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746125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95250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2" w:lineRule="exact"/>
        <w:rPr>
          <w:sz w:val="24"/>
          <w:szCs w:val="24"/>
          <w:color w:val="auto"/>
        </w:rPr>
      </w:pPr>
    </w:p>
    <w:p>
      <w:pPr>
        <w:ind w:left="540" w:hanging="490"/>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-86995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ind w:left="2100" w:right="1159" w:hanging="2050"/>
        <w:spacing w:after="0" w:line="342" w:lineRule="auto"/>
        <w:tabs>
          <w:tab w:leader="none" w:pos="54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4"/>
          <w:szCs w:val="14"/>
          <w:color w:val="auto"/>
        </w:rPr>
      </w:pPr>
    </w:p>
    <w:p>
      <w:pPr>
        <w:ind w:left="33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-379095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76200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Progyny,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6"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3540" w:type="dxa"/>
            <w:vAlign w:val="bottom"/>
          </w:tcPr>
          <w:p>
            <w:pPr>
              <w:jc w:val="center"/>
              <w:ind w:right="13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4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27-2220139</w:t>
            </w:r>
          </w:p>
        </w:tc>
      </w:tr>
      <w:tr>
        <w:trPr>
          <w:trHeight w:val="135"/>
        </w:trPr>
        <w:tc>
          <w:tcPr>
            <w:tcW w:w="3540" w:type="dxa"/>
            <w:vAlign w:val="bottom"/>
          </w:tcPr>
          <w:p>
            <w:pPr>
              <w:jc w:val="center"/>
              <w:ind w:right="13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440" w:type="dxa"/>
            <w:vAlign w:val="bottom"/>
          </w:tcPr>
          <w:p>
            <w:pPr>
              <w:jc w:val="center"/>
              <w:ind w:left="13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5"/>
        </w:trPr>
        <w:tc>
          <w:tcPr>
            <w:tcW w:w="3540" w:type="dxa"/>
            <w:vAlign w:val="bottom"/>
          </w:tcPr>
          <w:p>
            <w:pPr>
              <w:jc w:val="center"/>
              <w:ind w:right="13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440" w:type="dxa"/>
            <w:vAlign w:val="bottom"/>
          </w:tcPr>
          <w:p>
            <w:pPr>
              <w:jc w:val="center"/>
              <w:ind w:left="13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35"/>
        </w:trPr>
        <w:tc>
          <w:tcPr>
            <w:tcW w:w="3540" w:type="dxa"/>
            <w:vAlign w:val="bottom"/>
          </w:tcPr>
          <w:p>
            <w:pPr>
              <w:jc w:val="center"/>
              <w:ind w:right="13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1359 Broadway</w:t>
            </w:r>
          </w:p>
        </w:tc>
        <w:tc>
          <w:tcPr>
            <w:tcW w:w="2440" w:type="dxa"/>
            <w:vAlign w:val="bottom"/>
          </w:tcPr>
          <w:p>
            <w:pPr>
              <w:spacing w:after="0"/>
              <w:rPr>
                <w:sz w:val="11"/>
                <w:szCs w:val="11"/>
                <w:color w:val="auto"/>
              </w:rPr>
            </w:pPr>
          </w:p>
        </w:tc>
      </w:tr>
      <w:tr>
        <w:trPr>
          <w:trHeight w:val="166"/>
        </w:trPr>
        <w:tc>
          <w:tcPr>
            <w:tcW w:w="3540" w:type="dxa"/>
            <w:vAlign w:val="bottom"/>
          </w:tcPr>
          <w:p>
            <w:pPr>
              <w:jc w:val="center"/>
              <w:ind w:right="1397"/>
              <w:spacing w:after="0"/>
              <w:rPr>
                <w:sz w:val="20"/>
                <w:szCs w:val="20"/>
                <w:color w:val="auto"/>
              </w:rPr>
            </w:pPr>
            <w:r>
              <w:rPr>
                <w:rFonts w:ascii="Times New Roman" w:cs="Times New Roman" w:eastAsia="Times New Roman" w:hAnsi="Times New Roman"/>
                <w:sz w:val="13"/>
                <w:szCs w:val="13"/>
                <w:b w:val="1"/>
                <w:bCs w:val="1"/>
                <w:color w:val="auto"/>
                <w:w w:val="93"/>
              </w:rPr>
              <w:t>New York, New York</w:t>
            </w:r>
          </w:p>
        </w:tc>
        <w:tc>
          <w:tcPr>
            <w:tcW w:w="24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10018</w:t>
            </w:r>
          </w:p>
        </w:tc>
      </w:tr>
      <w:tr>
        <w:trPr>
          <w:trHeight w:val="189"/>
        </w:trPr>
        <w:tc>
          <w:tcPr>
            <w:tcW w:w="3540" w:type="dxa"/>
            <w:vAlign w:val="bottom"/>
          </w:tcPr>
          <w:p>
            <w:pPr>
              <w:jc w:val="center"/>
              <w:ind w:right="13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44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888-3124</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80" w:lineRule="exact"/>
        <w:rPr>
          <w:sz w:val="24"/>
          <w:szCs w:val="24"/>
          <w:color w:val="auto"/>
        </w:rPr>
      </w:pPr>
    </w:p>
    <w:tbl>
      <w:tblPr>
        <w:tblLayout w:type="fixed"/>
        <w:tblInd w:w="70" w:type="dxa"/>
        <w:tblCellMar>
          <w:top w:w="0" w:type="dxa"/>
          <w:left w:w="0" w:type="dxa"/>
          <w:bottom w:w="0" w:type="dxa"/>
          <w:right w:w="0" w:type="dxa"/>
        </w:tblCellMar>
      </w:tblPr>
      <w:tr>
        <w:trPr>
          <w:trHeight w:val="148"/>
        </w:trPr>
        <w:tc>
          <w:tcPr>
            <w:tcW w:w="2620" w:type="dxa"/>
            <w:vAlign w:val="bottom"/>
            <w:tcBorders>
              <w:top w:val="single" w:sz="8" w:color="auto"/>
              <w:left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520" w:type="dxa"/>
            <w:vAlign w:val="bottom"/>
            <w:tcBorders>
              <w:top w:val="single" w:sz="8" w:color="auto"/>
              <w:bottom w:val="single" w:sz="8" w:color="auto"/>
              <w:right w:val="single" w:sz="8" w:color="auto"/>
            </w:tcBorders>
          </w:tcPr>
          <w:p>
            <w:pPr>
              <w:spacing w:after="0"/>
              <w:rPr>
                <w:sz w:val="12"/>
                <w:szCs w:val="12"/>
                <w:color w:val="auto"/>
              </w:rPr>
            </w:pP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1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 on which registered</w:t>
            </w:r>
          </w:p>
        </w:tc>
      </w:tr>
      <w:tr>
        <w:trPr>
          <w:trHeight w:val="110"/>
        </w:trPr>
        <w:tc>
          <w:tcPr>
            <w:tcW w:w="2620" w:type="dxa"/>
            <w:vAlign w:val="bottom"/>
            <w:tcBorders>
              <w:left w:val="single" w:sz="8" w:color="auto"/>
            </w:tcBorders>
          </w:tcPr>
          <w:p>
            <w:pPr>
              <w:jc w:val="center"/>
              <w:ind w:left="458"/>
              <w:spacing w:after="0" w:line="110" w:lineRule="exact"/>
              <w:rPr>
                <w:sz w:val="20"/>
                <w:szCs w:val="20"/>
                <w:color w:val="auto"/>
              </w:rPr>
            </w:pPr>
            <w:r>
              <w:rPr>
                <w:rFonts w:ascii="Times New Roman" w:cs="Times New Roman" w:eastAsia="Times New Roman" w:hAnsi="Times New Roman"/>
                <w:sz w:val="12"/>
                <w:szCs w:val="12"/>
                <w:color w:val="auto"/>
              </w:rPr>
              <w:t>Common Stock,</w:t>
            </w:r>
          </w:p>
        </w:tc>
        <w:tc>
          <w:tcPr>
            <w:tcW w:w="52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PGNY</w:t>
            </w:r>
          </w:p>
        </w:tc>
        <w:tc>
          <w:tcPr>
            <w:tcW w:w="660" w:type="dxa"/>
            <w:vAlign w:val="bottom"/>
          </w:tcPr>
          <w:p>
            <w:pPr>
              <w:spacing w:after="0"/>
              <w:rPr>
                <w:sz w:val="9"/>
                <w:szCs w:val="9"/>
                <w:color w:val="auto"/>
              </w:rPr>
            </w:pPr>
          </w:p>
        </w:tc>
        <w:tc>
          <w:tcPr>
            <w:tcW w:w="2460" w:type="dxa"/>
            <w:vAlign w:val="bottom"/>
            <w:tcBorders>
              <w:right w:val="single" w:sz="8" w:color="auto"/>
            </w:tcBorders>
          </w:tcPr>
          <w:p>
            <w:pPr>
              <w:jc w:val="center"/>
              <w:ind w:right="640"/>
              <w:spacing w:after="0" w:line="110" w:lineRule="exact"/>
              <w:rPr>
                <w:sz w:val="20"/>
                <w:szCs w:val="20"/>
                <w:color w:val="auto"/>
              </w:rPr>
            </w:pPr>
            <w:r>
              <w:rPr>
                <w:rFonts w:ascii="Times New Roman" w:cs="Times New Roman" w:eastAsia="Times New Roman" w:hAnsi="Times New Roman"/>
                <w:sz w:val="12"/>
                <w:szCs w:val="12"/>
                <w:color w:val="auto"/>
              </w:rPr>
              <w:t>The Nasdaq Global Select Market</w:t>
            </w:r>
          </w:p>
        </w:tc>
      </w:tr>
      <w:tr>
        <w:trPr>
          <w:trHeight w:val="153"/>
        </w:trPr>
        <w:tc>
          <w:tcPr>
            <w:tcW w:w="2620" w:type="dxa"/>
            <w:vAlign w:val="bottom"/>
            <w:tcBorders>
              <w:left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3"/>
                <w:szCs w:val="13"/>
                <w:color w:val="auto"/>
                <w:w w:val="97"/>
              </w:rPr>
              <w:t>$0.0001 par value per share</w:t>
            </w:r>
          </w:p>
        </w:tc>
        <w:tc>
          <w:tcPr>
            <w:tcW w:w="520" w:type="dxa"/>
            <w:vAlign w:val="bottom"/>
            <w:tcBorders>
              <w:bottom w:val="single" w:sz="8" w:color="auto"/>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r>
      <w:tr>
        <w:trPr>
          <w:trHeight w:val="274"/>
        </w:trPr>
        <w:tc>
          <w:tcPr>
            <w:tcW w:w="2620" w:type="dxa"/>
            <w:vAlign w:val="bottom"/>
          </w:tcPr>
          <w:p>
            <w:pPr>
              <w:spacing w:after="0"/>
              <w:rPr>
                <w:sz w:val="23"/>
                <w:szCs w:val="23"/>
                <w:color w:val="auto"/>
              </w:rPr>
            </w:pPr>
          </w:p>
        </w:tc>
        <w:tc>
          <w:tcPr>
            <w:tcW w:w="384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w w:val="98"/>
              </w:rPr>
              <w:t>Securities registered pursuant to Section 12(g) of the Act: None</w:t>
            </w:r>
          </w:p>
        </w:tc>
        <w:tc>
          <w:tcPr>
            <w:tcW w:w="2460" w:type="dxa"/>
            <w:vAlign w:val="bottom"/>
          </w:tcPr>
          <w:p>
            <w:pPr>
              <w:spacing w:after="0"/>
              <w:rPr>
                <w:sz w:val="23"/>
                <w:szCs w:val="23"/>
                <w:color w:val="auto"/>
              </w:rPr>
            </w:pPr>
          </w:p>
        </w:tc>
      </w:tr>
      <w:tr>
        <w:trPr>
          <w:trHeight w:val="284"/>
        </w:trPr>
        <w:tc>
          <w:tcPr>
            <w:tcW w:w="6460" w:type="dxa"/>
            <w:vAlign w:val="bottom"/>
            <w:gridSpan w:val="4"/>
          </w:tcPr>
          <w:p>
            <w:pPr>
              <w:ind w:left="500"/>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w:t>
            </w:r>
          </w:p>
        </w:tc>
        <w:tc>
          <w:tcPr>
            <w:tcW w:w="246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spacing w:after="0" w:line="58" w:lineRule="exact"/>
        <w:rPr>
          <w:sz w:val="24"/>
          <w:szCs w:val="24"/>
          <w:color w:val="auto"/>
        </w:rPr>
      </w:pPr>
    </w:p>
    <w:p>
      <w:pPr>
        <w:ind w:left="560"/>
        <w:spacing w:after="0" w:line="150" w:lineRule="exact"/>
        <w:tabs>
          <w:tab w:leader="none" w:pos="6700" w:val="left"/>
          <w:tab w:leader="none" w:pos="7180" w:val="left"/>
        </w:tabs>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4" w:lineRule="exact"/>
        <w:rPr>
          <w:sz w:val="24"/>
          <w:szCs w:val="24"/>
          <w:color w:val="auto"/>
        </w:rPr>
      </w:pPr>
    </w:p>
    <w:p>
      <w:pPr>
        <w:jc w:val="both"/>
        <w:ind w:left="60" w:right="59" w:firstLine="518"/>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50" w:lineRule="exact"/>
        <w:tabs>
          <w:tab w:leader="none" w:pos="6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4" w:lineRule="exact"/>
        <w:rPr>
          <w:sz w:val="24"/>
          <w:szCs w:val="24"/>
          <w:color w:val="auto"/>
        </w:rPr>
      </w:pPr>
    </w:p>
    <w:p>
      <w:pPr>
        <w:jc w:val="both"/>
        <w:ind w:left="60" w:right="59" w:firstLine="51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5" w:lineRule="exact"/>
        <w:rPr>
          <w:sz w:val="24"/>
          <w:szCs w:val="24"/>
          <w:color w:val="auto"/>
        </w:rPr>
      </w:pPr>
    </w:p>
    <w:p>
      <w:pPr>
        <w:jc w:val="both"/>
        <w:ind w:left="60" w:right="59" w:firstLine="518"/>
        <w:spacing w:after="0" w:line="23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40" w:type="dxa"/>
        <w:tblCellMar>
          <w:top w:w="0" w:type="dxa"/>
          <w:left w:w="0" w:type="dxa"/>
          <w:bottom w:w="0" w:type="dxa"/>
          <w:right w:w="0" w:type="dxa"/>
        </w:tblCellMar>
      </w:tblPr>
      <w:tr>
        <w:trPr>
          <w:trHeight w:val="128"/>
        </w:trPr>
        <w:tc>
          <w:tcPr>
            <w:tcW w:w="20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Large accelerated filer</w:t>
            </w:r>
          </w:p>
        </w:tc>
        <w:tc>
          <w:tcPr>
            <w:tcW w:w="1340" w:type="dxa"/>
            <w:vAlign w:val="bottom"/>
          </w:tcPr>
          <w:p>
            <w:pPr>
              <w:ind w:left="900"/>
              <w:spacing w:after="0" w:line="128"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auto"/>
              </w:rPr>
              <w:t>Accelerated filer</w:t>
            </w:r>
          </w:p>
        </w:tc>
        <w:tc>
          <w:tcPr>
            <w:tcW w:w="980" w:type="dxa"/>
            <w:vAlign w:val="bottom"/>
          </w:tcPr>
          <w:p>
            <w:pPr>
              <w:ind w:left="860"/>
              <w:spacing w:after="0" w:line="128"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34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Emerging growth company</w:t>
            </w:r>
          </w:p>
        </w:tc>
        <w:tc>
          <w:tcPr>
            <w:tcW w:w="9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8" w:lineRule="exact"/>
        <w:rPr>
          <w:sz w:val="24"/>
          <w:szCs w:val="24"/>
          <w:color w:val="auto"/>
        </w:rPr>
      </w:pPr>
    </w:p>
    <w:p>
      <w:pPr>
        <w:jc w:val="both"/>
        <w:ind w:left="60" w:right="59" w:firstLine="518"/>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8" w:lineRule="exact"/>
        <w:rPr>
          <w:sz w:val="24"/>
          <w:szCs w:val="24"/>
          <w:color w:val="auto"/>
        </w:rPr>
      </w:pPr>
    </w:p>
    <w:p>
      <w:pPr>
        <w:jc w:val="both"/>
        <w:ind w:left="60" w:right="59" w:firstLine="518"/>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cs="Times New Roman" w:eastAsia="Times New Roman" w:hAnsi="Times New Roman"/>
          <w:sz w:val="12"/>
          <w:szCs w:val="12"/>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2"/>
          <w:szCs w:val="12"/>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2"/>
          <w:szCs w:val="12"/>
          <w:color w:val="auto"/>
        </w:rPr>
        <w:t>☐</w:t>
      </w:r>
    </w:p>
    <w:p>
      <w:pPr>
        <w:spacing w:after="0" w:line="32" w:lineRule="exact"/>
        <w:rPr>
          <w:sz w:val="24"/>
          <w:szCs w:val="24"/>
          <w:color w:val="auto"/>
        </w:rPr>
      </w:pPr>
    </w:p>
    <w:p>
      <w:pPr>
        <w:ind w:left="560"/>
        <w:spacing w:after="0" w:line="150" w:lineRule="exact"/>
        <w:tabs>
          <w:tab w:leader="none" w:pos="6400" w:val="left"/>
          <w:tab w:leader="none" w:pos="68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7" w:lineRule="exact"/>
        <w:rPr>
          <w:sz w:val="24"/>
          <w:szCs w:val="24"/>
          <w:color w:val="auto"/>
        </w:rPr>
      </w:pPr>
    </w:p>
    <w:p>
      <w:pPr>
        <w:jc w:val="both"/>
        <w:ind w:left="60" w:right="59" w:firstLine="518"/>
        <w:spacing w:after="0" w:line="246" w:lineRule="auto"/>
        <w:rPr>
          <w:sz w:val="20"/>
          <w:szCs w:val="20"/>
          <w:color w:val="auto"/>
        </w:rPr>
      </w:pPr>
      <w:r>
        <w:rPr>
          <w:rFonts w:ascii="Times New Roman" w:cs="Times New Roman" w:eastAsia="Times New Roman" w:hAnsi="Times New Roman"/>
          <w:sz w:val="12"/>
          <w:szCs w:val="12"/>
          <w:color w:val="auto"/>
        </w:rPr>
        <w:t>The aggregate market value of the voting and non-voting common equity held by non-affiliates of the registrant, based on the closing price of the registrant’s shares of common stock as reported by The Nasdaq Global Select Market on June 30, 2020 (the last business day of the registrant’s second fiscal quarter), was approximately $1.1 billion.</w:t>
      </w:r>
    </w:p>
    <w:p>
      <w:pPr>
        <w:spacing w:after="0" w:line="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3"/>
          <w:szCs w:val="13"/>
          <w:color w:val="auto"/>
        </w:rPr>
        <w:t>As of January 31, 2021, the registrant had 87,215,936 shares of common stock, $0.0001 par value per share, outstanding.</w:t>
      </w:r>
    </w:p>
    <w:p>
      <w:pPr>
        <w:spacing w:after="0" w:line="9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3" w:lineRule="exact"/>
        <w:rPr>
          <w:sz w:val="24"/>
          <w:szCs w:val="24"/>
          <w:color w:val="auto"/>
        </w:rPr>
      </w:pPr>
    </w:p>
    <w:p>
      <w:pPr>
        <w:ind w:left="60" w:right="79" w:firstLine="567"/>
        <w:spacing w:after="0"/>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2021 Annual Meeting of Stockholders to be filed within 120 days after the end of the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721995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36195</wp:posOffset>
            </wp:positionV>
            <wp:extent cx="5657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70485</wp:posOffset>
            </wp:positionV>
            <wp:extent cx="565785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8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PROGYNY, INC.</w:t>
            </w:r>
          </w:p>
        </w:tc>
        <w:tc>
          <w:tcPr>
            <w:tcW w:w="700" w:type="dxa"/>
            <w:vAlign w:val="bottom"/>
          </w:tcPr>
          <w:p>
            <w:pPr>
              <w:spacing w:after="0"/>
              <w:rPr>
                <w:sz w:val="20"/>
                <w:szCs w:val="20"/>
                <w:color w:val="auto"/>
              </w:rPr>
            </w:pPr>
          </w:p>
        </w:tc>
      </w:tr>
      <w:tr>
        <w:trPr>
          <w:trHeight w:val="432"/>
        </w:trPr>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8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4"/>
                <w:szCs w:val="24"/>
                <w:color w:val="auto"/>
              </w:rPr>
            </w:pPr>
          </w:p>
        </w:tc>
      </w:tr>
      <w:tr>
        <w:trPr>
          <w:trHeight w:val="427"/>
        </w:trPr>
        <w:tc>
          <w:tcPr>
            <w:tcW w:w="1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PART 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Item 1.</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1A.</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Risk Factors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1B.</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Unresolved Staff Comments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2.</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Properties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3.</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Legal Proceedings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4.</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Mine Safety Disclosures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1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53">
              <w:r>
                <w:rPr>
                  <w:rFonts w:ascii="Times New Roman" w:cs="Times New Roman" w:eastAsia="Times New Roman" w:hAnsi="Times New Roman"/>
                  <w:sz w:val="18"/>
                  <w:szCs w:val="18"/>
                  <w:b w:val="1"/>
                  <w:bCs w:val="1"/>
                  <w:u w:val="single" w:color="auto"/>
                  <w:color w:val="0000EE"/>
                </w:rPr>
                <w:t>PART 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1960" w:type="dxa"/>
            <w:vAlign w:val="bottom"/>
          </w:tcPr>
          <w:p>
            <w:pPr>
              <w:ind w:left="1140"/>
              <w:spacing w:after="0" w:line="194" w:lineRule="exact"/>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Item 5.</w:t>
              </w:r>
            </w:hyperlink>
          </w:p>
        </w:tc>
        <w:tc>
          <w:tcPr>
            <w:tcW w:w="6240" w:type="dxa"/>
            <w:vAlign w:val="bottom"/>
            <w:gridSpan w:val="9"/>
          </w:tcPr>
          <w:p>
            <w:pPr>
              <w:spacing w:after="0" w:line="194"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Market for Registrant’s Common Equity, Related Stockholder Matters and Issuer</w:t>
              </w:r>
            </w:hyperlink>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960" w:type="dxa"/>
            <w:vAlign w:val="bottom"/>
          </w:tcPr>
          <w:p>
            <w:pPr>
              <w:spacing w:after="0"/>
              <w:rPr>
                <w:sz w:val="17"/>
                <w:szCs w:val="17"/>
                <w:color w:val="auto"/>
              </w:rPr>
            </w:pPr>
          </w:p>
        </w:tc>
        <w:tc>
          <w:tcPr>
            <w:tcW w:w="58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Purchases of Equity Securities</w:t>
              </w:r>
            </w:hyperlink>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8"/>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Item 6.</w:t>
              </w:r>
            </w:hyperlink>
          </w:p>
        </w:tc>
        <w:tc>
          <w:tcPr>
            <w:tcW w:w="218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Selected Financial Data</w:t>
              </w:r>
            </w:hyperlink>
          </w:p>
        </w:tc>
        <w:tc>
          <w:tcPr>
            <w:tcW w:w="4060" w:type="dxa"/>
            <w:vAlign w:val="bottom"/>
            <w:gridSpan w:val="5"/>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4"/>
        </w:trPr>
        <w:tc>
          <w:tcPr>
            <w:tcW w:w="1960" w:type="dxa"/>
            <w:vAlign w:val="bottom"/>
          </w:tcPr>
          <w:p>
            <w:pPr>
              <w:ind w:left="1140"/>
              <w:spacing w:after="0" w:line="194" w:lineRule="exact"/>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Item 7.</w:t>
              </w:r>
            </w:hyperlink>
          </w:p>
        </w:tc>
        <w:tc>
          <w:tcPr>
            <w:tcW w:w="562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Management’s Discussion and Analysis of Financial Condition and Results of</w:t>
              </w:r>
            </w:hyperlink>
          </w:p>
        </w:tc>
        <w:tc>
          <w:tcPr>
            <w:tcW w:w="620" w:type="dxa"/>
            <w:vAlign w:val="bottom"/>
            <w:gridSpan w:val="4"/>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960" w:type="dxa"/>
            <w:vAlign w:val="bottom"/>
          </w:tcPr>
          <w:p>
            <w:pPr>
              <w:spacing w:after="0"/>
              <w:rPr>
                <w:sz w:val="17"/>
                <w:szCs w:val="17"/>
                <w:color w:val="auto"/>
              </w:rPr>
            </w:pPr>
          </w:p>
        </w:tc>
        <w:tc>
          <w:tcPr>
            <w:tcW w:w="6240" w:type="dxa"/>
            <w:vAlign w:val="bottom"/>
            <w:gridSpan w:val="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Operations</w:t>
              </w:r>
            </w:hyperlink>
          </w:p>
        </w:tc>
        <w:tc>
          <w:tcPr>
            <w:tcW w:w="7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8"/>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Item 7A.</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Quantitative and Qualitative Disclosures about Market Risk</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Item 8.</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Financial Statements and Supplementary Data</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94"/>
        </w:trPr>
        <w:tc>
          <w:tcPr>
            <w:tcW w:w="1960" w:type="dxa"/>
            <w:vAlign w:val="bottom"/>
          </w:tcPr>
          <w:p>
            <w:pPr>
              <w:ind w:left="1140"/>
              <w:spacing w:after="0" w:line="194" w:lineRule="exact"/>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Item 9.</w:t>
              </w:r>
            </w:hyperlink>
          </w:p>
        </w:tc>
        <w:tc>
          <w:tcPr>
            <w:tcW w:w="566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Changes in and Disagreements with Accountants on Accounting and Financial</w:t>
              </w:r>
            </w:hyperlink>
          </w:p>
        </w:tc>
        <w:tc>
          <w:tcPr>
            <w:tcW w:w="580" w:type="dxa"/>
            <w:vAlign w:val="bottom"/>
            <w:gridSpan w:val="3"/>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96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Disclosure</w:t>
              </w:r>
            </w:hyperlink>
          </w:p>
        </w:tc>
        <w:tc>
          <w:tcPr>
            <w:tcW w:w="54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r>
      <w:tr>
        <w:trPr>
          <w:trHeight w:val="218"/>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Item 9A.</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2"/>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Item 9B.</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Other Information</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0"/>
        </w:trPr>
        <w:tc>
          <w:tcPr>
            <w:tcW w:w="1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11">
              <w:r>
                <w:rPr>
                  <w:rFonts w:ascii="Times New Roman" w:cs="Times New Roman" w:eastAsia="Times New Roman" w:hAnsi="Times New Roman"/>
                  <w:sz w:val="18"/>
                  <w:szCs w:val="18"/>
                  <w:b w:val="1"/>
                  <w:bCs w:val="1"/>
                  <w:u w:val="single" w:color="auto"/>
                  <w:color w:val="0000EE"/>
                </w:rPr>
                <w:t>PART III</w:t>
              </w:r>
            </w:hyperlink>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Item 10.</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Directors, Executive Officers, and Corporate Governance</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960" w:type="dxa"/>
            <w:vAlign w:val="bottom"/>
          </w:tcPr>
          <w:p>
            <w:pPr>
              <w:ind w:left="1140"/>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u w:val="single" w:color="auto"/>
                  <w:color w:val="0000EE"/>
                </w:rPr>
                <w:t>Item 11</w:t>
              </w:r>
              <w:r>
                <w:rPr>
                  <w:rFonts w:ascii="Times New Roman" w:cs="Times New Roman" w:eastAsia="Times New Roman" w:hAnsi="Times New Roman"/>
                  <w:sz w:val="18"/>
                  <w:szCs w:val="18"/>
                  <w:color w:val="0000EE"/>
                </w:rPr>
                <w:t>.</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Executive Compensation</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194"/>
        </w:trPr>
        <w:tc>
          <w:tcPr>
            <w:tcW w:w="1960" w:type="dxa"/>
            <w:vAlign w:val="bottom"/>
          </w:tcPr>
          <w:p>
            <w:pPr>
              <w:ind w:left="1140"/>
              <w:spacing w:after="0" w:line="194" w:lineRule="exact"/>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Item 12.</w:t>
              </w:r>
            </w:hyperlink>
          </w:p>
        </w:tc>
        <w:tc>
          <w:tcPr>
            <w:tcW w:w="57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Security Ownership of Certain Beneficial Owners and Management and Related</w:t>
              </w:r>
            </w:hyperlink>
          </w:p>
        </w:tc>
        <w:tc>
          <w:tcPr>
            <w:tcW w:w="460" w:type="dxa"/>
            <w:vAlign w:val="bottom"/>
            <w:gridSpan w:val="2"/>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w:t>
            </w:r>
          </w:p>
        </w:tc>
      </w:tr>
      <w:tr>
        <w:trPr>
          <w:trHeight w:val="196"/>
        </w:trPr>
        <w:tc>
          <w:tcPr>
            <w:tcW w:w="196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111">
              <w:r>
                <w:rPr>
                  <w:rFonts w:ascii="Times New Roman" w:cs="Times New Roman" w:eastAsia="Times New Roman" w:hAnsi="Times New Roman"/>
                  <w:sz w:val="18"/>
                  <w:szCs w:val="18"/>
                  <w:color w:val="0000EE"/>
                  <w:w w:val="98"/>
                </w:rPr>
                <w:t>Stockholder Matters</w:t>
              </w:r>
            </w:hyperlink>
          </w:p>
        </w:tc>
        <w:tc>
          <w:tcPr>
            <w:tcW w:w="47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r>
      <w:tr>
        <w:trPr>
          <w:trHeight w:val="218"/>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Item 13.</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2"/>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Item 14.</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Principal Accountant Fees and Services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0"/>
        </w:trPr>
        <w:tc>
          <w:tcPr>
            <w:tcW w:w="1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12">
              <w:r>
                <w:rPr>
                  <w:rFonts w:ascii="Times New Roman" w:cs="Times New Roman" w:eastAsia="Times New Roman" w:hAnsi="Times New Roman"/>
                  <w:sz w:val="18"/>
                  <w:szCs w:val="18"/>
                  <w:b w:val="1"/>
                  <w:bCs w:val="1"/>
                  <w:u w:val="single" w:color="auto"/>
                  <w:color w:val="0000EE"/>
                </w:rPr>
                <w:t>PART IV</w:t>
              </w:r>
            </w:hyperlink>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Item 15.</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Exhibits, Financial Statement Schedules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960" w:type="dxa"/>
            <w:vAlign w:val="bottom"/>
          </w:tcPr>
          <w:p>
            <w:pPr>
              <w:ind w:left="1140"/>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Item 16.</w:t>
              </w:r>
            </w:hyperlink>
          </w:p>
        </w:tc>
        <w:tc>
          <w:tcPr>
            <w:tcW w:w="6240" w:type="dxa"/>
            <w:vAlign w:val="bottom"/>
            <w:gridSpan w:val="9"/>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Form 10-K Summary</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32"/>
        </w:trPr>
        <w:tc>
          <w:tcPr>
            <w:tcW w:w="1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16">
              <w:r>
                <w:rPr>
                  <w:rFonts w:ascii="Times New Roman" w:cs="Times New Roman" w:eastAsia="Times New Roman" w:hAnsi="Times New Roman"/>
                  <w:sz w:val="18"/>
                  <w:szCs w:val="18"/>
                  <w:b w:val="1"/>
                  <w:bCs w:val="1"/>
                  <w:u w:val="single" w:color="auto"/>
                  <w:color w:val="0000EE"/>
                </w:rPr>
                <w:t>SIGNATURES</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and the impact of the COVID-19 pandemic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1A. “Risk Factors” and Part II, Item 7. “Management’s Discussion and Analysis of Financial Condition and Results of Operations.” of this Annual Report on Form 10-K.</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left="60" w:right="59" w:firstLine="704"/>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U.S. Securities and Exchange Commission, or the SEC, before making an investment decision regarding our common stock.</w:t>
      </w:r>
    </w:p>
    <w:p>
      <w:pPr>
        <w:spacing w:after="0" w:line="183" w:lineRule="exact"/>
        <w:rPr>
          <w:sz w:val="20"/>
          <w:szCs w:val="20"/>
          <w:color w:val="auto"/>
        </w:rPr>
      </w:pPr>
    </w:p>
    <w:p>
      <w:pPr>
        <w:ind w:left="1020" w:right="99" w:hanging="322"/>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is expected to continue to have, and similar health epidemics could in the future have, an adverse impact on our business, operations, and the markets and communities in which we and our clients, members and providers operate.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37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161" w:lineRule="exact"/>
        <w:rPr>
          <w:rFonts w:ascii="Times New Roman" w:cs="Times New Roman" w:eastAsia="Times New Roman" w:hAnsi="Times New Roman"/>
          <w:sz w:val="18"/>
          <w:szCs w:val="18"/>
          <w:color w:val="auto"/>
        </w:rPr>
      </w:pPr>
    </w:p>
    <w:p>
      <w:pPr>
        <w:ind w:left="1020" w:right="19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61" w:lineRule="exact"/>
        <w:rPr>
          <w:rFonts w:ascii="Times New Roman" w:cs="Times New Roman" w:eastAsia="Times New Roman" w:hAnsi="Times New Roman"/>
          <w:sz w:val="18"/>
          <w:szCs w:val="18"/>
          <w:color w:val="auto"/>
        </w:rPr>
      </w:pPr>
    </w:p>
    <w:p>
      <w:pPr>
        <w:ind w:left="1020" w:right="379" w:hanging="322"/>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20" w:right="139" w:hanging="322"/>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ind w:left="1020" w:right="33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161"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utilization of our solutions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sustain profitability in the future.</w:t>
      </w:r>
    </w:p>
    <w:p>
      <w:pPr>
        <w:spacing w:after="0" w:line="225"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161" w:lineRule="exact"/>
        <w:rPr>
          <w:rFonts w:ascii="Times New Roman" w:cs="Times New Roman" w:eastAsia="Times New Roman" w:hAnsi="Times New Roman"/>
          <w:sz w:val="18"/>
          <w:szCs w:val="18"/>
          <w:color w:val="auto"/>
        </w:rPr>
      </w:pPr>
    </w:p>
    <w:p>
      <w:pPr>
        <w:ind w:left="1020" w:right="89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health insurance market could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20" w:right="19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20" w:right="159" w:hanging="322"/>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p>
    <w:p>
      <w:pPr>
        <w:spacing w:after="0" w:line="202" w:lineRule="exact"/>
        <w:rPr>
          <w:rFonts w:ascii="Times New Roman" w:cs="Times New Roman" w:eastAsia="Times New Roman" w:hAnsi="Times New Roman"/>
          <w:sz w:val="18"/>
          <w:szCs w:val="18"/>
          <w:color w:val="auto"/>
        </w:rPr>
      </w:pPr>
    </w:p>
    <w:p>
      <w:pPr>
        <w:ind w:left="1020" w:right="239" w:hanging="322"/>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5" w:lineRule="exact"/>
        <w:rPr>
          <w:rFonts w:ascii="Times New Roman" w:cs="Times New Roman" w:eastAsia="Times New Roman" w:hAnsi="Times New Roman"/>
          <w:sz w:val="18"/>
          <w:szCs w:val="18"/>
          <w:color w:val="auto"/>
        </w:rPr>
      </w:pPr>
    </w:p>
    <w:p>
      <w:pPr>
        <w:ind w:left="1020" w:right="679" w:hanging="322"/>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requirements.</w:t>
      </w:r>
    </w:p>
    <w:p>
      <w:pPr>
        <w:spacing w:after="0" w:line="161" w:lineRule="exact"/>
        <w:rPr>
          <w:rFonts w:ascii="Times New Roman" w:cs="Times New Roman" w:eastAsia="Times New Roman" w:hAnsi="Times New Roman"/>
          <w:sz w:val="18"/>
          <w:szCs w:val="18"/>
          <w:color w:val="auto"/>
        </w:rPr>
      </w:pPr>
    </w:p>
    <w:p>
      <w:pPr>
        <w:ind w:left="1020" w:right="99" w:hanging="322"/>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Annual Report on Form 10-K to the terms “Progyny,” “the Company,” “we,” “our” and “us” refer to Progyny, Inc.</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at investors.progyny.com. We therefore encourage investors and others interested in Progyny to review the information that we make available on our website, in addition to following our filings with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statistical data, estimates and forecasts that are based on independent industry publications, such as those published by The Journal of the American Medical Association, the American Society for Reproductive Medicine, the American Journal of Obstetrics &amp; Gynecology, Reproductive Medicine Associates of New Jersey, the Reproductive Medicine Associates of New York, European Society of Human Reproduction and Embryology, FertilityIQ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1A. “Risk Factors,” of this Annual Report on Form 10-K that could cause results to differ materially from those expressed in these publications and other publicly available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180. We currently have contracts to provide coverage to approximately 2.7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over that same time period is evidenced by our most recent industry-leading Net Promoter Score, or NPS, of +79 for our fertility benefits solution and +81 for our integrated pharmacy benefits solution, Progyny Rx.</w:t>
      </w:r>
    </w:p>
    <w:p>
      <w:pPr>
        <w:spacing w:after="0" w:line="194"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redefining fertility and family building benefits, proving that a comprehensive fertility solution can simultaneously benefit employers, patients and physicians. We believe the differentiated 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8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order to simplify the process for our members, we position the benefit to them using our proprietary Smart Cycle approach. Smart Cycles are designed by us to include the medical services required for a member’s full course of treatment, including all necessary diagnostic testing and access to the latest technology. In conjunction with the Smart Cycle plan design, each of our members who utilizes our benefit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19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to our fertility benefits solution, we offer an integrated pharmacy benefit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have demonstrated our ability to drive better outcomes for our clients, members and provider clinics across multiple metrics. Provider clinics within our network produce outcomes that surpass their own reported practice averages when treating Progyny members because of our differentiated solution. Additionally, across our membership, our outcomes compared to national averages have been consistently superior.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in 2008 under the name Auxogen Bioscience, Inc. In 2010, we changed our name to Auxogyn, Inc., and in 2015 we changed our name to Progyny, Inc. Our principal executive offices are located at 1359 Broadway, New York, New York 10018, and our telephone number is (212) 888-3124. Our website address is www.progyny.com.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87"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We completed our initial public offering, or our IPO, in October 2019, and our common stock is listed on the Nasdaq Global Select Market under the symbol “PGNY.”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prevalence of infertility is high, affecting one in eight couples in the United States according to the Centers for Disease Control and Prevention, or CDC, and infertility is gaining attention as individuals are more openly 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 medical insurance. By comparison, medical conditions with a similar prevalence, such as diabetes (affecting one in 11 individuals, according to the CDC) and asthma (affecting one in 13 individuals, according to the CDC), are comprehensively covered by conventional health insurance carriers and employers. Due to the high prevalence of infertility, its high costs of treatment and the limited insurance coverage provided for the disease, there is a significant unmet need for fertility services in the United States and several macro trends are driving that need for fertility treatments and propelling the overall size of the fertility market higher.</w:t>
      </w:r>
    </w:p>
    <w:p>
      <w:pPr>
        <w:spacing w:after="0" w:line="194"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While fertility treatments have been available for almost 40 years to help individuals suffering from infertility build their families, access to these treatments has been limited due to the lack of comprehensive coverage and the prohibitive costs. The cost of care for a successful outcome can exceed $60,000 according to a study published in The Journal of the American Medical Association, yet only a small percentage of employers provide a benefits plan that addresses these costs. As a result, the vast majority of patients who undergo fertility treatment must pay for most or all of their care out-of-pocket, which is cost-prohibitive for many families and individuals.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lack of adequate coverage has been the result of both broader public policy issues, as well as conventional health insurance carrier-specific policies. For example, it was not until 2017 that infertility was first recognized as a disease by the American Medical Association and, even now, only 19 states have mandated insurance coverage for infertility. For the states that do mandate coverage, the mandates vary greatly and often leave patients with inadequate coverage or unable to pursue care at all. When conventional health insurance carriers have chosen to structure fertility coverage for their employer clients, that coverage often has limited lifetime dollar maximums (with median coverage maximum of $15,000 according to Mercer) and clinically antiquated "one size fits all" clinical protocols, such as mandated step therapy protocols.</w:t>
      </w:r>
    </w:p>
    <w:p>
      <w:pPr>
        <w:spacing w:after="0" w:line="192" w:lineRule="exact"/>
        <w:rPr>
          <w:sz w:val="20"/>
          <w:szCs w:val="20"/>
          <w:color w:val="auto"/>
        </w:rPr>
      </w:pPr>
    </w:p>
    <w:p>
      <w:pPr>
        <w:jc w:val="both"/>
        <w:ind w:left="60" w:right="159" w:firstLine="648"/>
        <w:spacing w:after="0" w:line="257" w:lineRule="auto"/>
        <w:rPr>
          <w:sz w:val="20"/>
          <w:szCs w:val="20"/>
          <w:color w:val="auto"/>
        </w:rPr>
      </w:pPr>
      <w:r>
        <w:rPr>
          <w:rFonts w:ascii="Times New Roman" w:cs="Times New Roman" w:eastAsia="Times New Roman" w:hAnsi="Times New Roman"/>
          <w:sz w:val="18"/>
          <w:szCs w:val="18"/>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w:t>
      </w:r>
    </w:p>
    <w:p>
      <w:pPr>
        <w:spacing w:after="0" w:line="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Additionally, the increased acceptance of non-traditional paths to parenthood has created an increased need for access to fertility treatments. As employees are demanding more robust fertility benefits coverage, employers are increasingly focused on providing a comprehensive fertility benefits plan that supports an inclusive and diverse workplace in order to attract and retain top employees.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w:t>
      </w:r>
    </w:p>
    <w:p>
      <w:pPr>
        <w:spacing w:after="0" w:line="18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Driven by these market dynamics, according to the CDC, the market for fertility treatments grew at a 10% compound annual growth rate from 2013 to 2018 as more individuals pursued treatment. Given this increasing demand coupled with inadequate existing coverage, there is a greater need than ever before for a fertility benefits manager who can provide comprehensive and effective benefits to the employer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Employers are faced with three major challenges relating to providing fertility benefits to their employee bases:</w:t>
      </w:r>
    </w:p>
    <w:p>
      <w:pPr>
        <w:spacing w:after="0" w:line="225" w:lineRule="exact"/>
        <w:rPr>
          <w:sz w:val="20"/>
          <w:szCs w:val="20"/>
          <w:color w:val="auto"/>
        </w:rPr>
      </w:pPr>
    </w:p>
    <w:p>
      <w:pPr>
        <w:ind w:left="1020" w:hanging="32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comprehensive fertility benefits solution that optimizes their fertility treatment expenditures;</w:t>
      </w:r>
    </w:p>
    <w:p>
      <w:pPr>
        <w:spacing w:after="0" w:line="225" w:lineRule="exact"/>
        <w:rPr>
          <w:rFonts w:ascii="Times New Roman" w:cs="Times New Roman" w:eastAsia="Times New Roman" w:hAnsi="Times New Roman"/>
          <w:sz w:val="18"/>
          <w:szCs w:val="18"/>
          <w:color w:val="auto"/>
        </w:rPr>
      </w:pPr>
    </w:p>
    <w:p>
      <w:pPr>
        <w:ind w:left="1020" w:right="479" w:hanging="322"/>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reduce the significant maternity and neonatal intensive care unit, or NICU, expenses, and the workplace impact, resulting from multiple births caused by fertility treatments;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find innovative ways to attract and retain highly sought-after talent.</w:t>
      </w:r>
    </w:p>
    <w:p>
      <w:pPr>
        <w:spacing w:after="0" w:line="225"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Employers are seeing an increasing demand for fertility and family building benefits solutions from their employees, yet the programs offered by their conventional health insurance carriers do not successfully address these core challenges.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Lack of Effective Fertility Benefits Solutions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The common use of multiple embryo transfer belies the fact that this procedure greatly increases the risk of multiple births and health complications among the mother and babies. One of the most common complications associated with multiples is preterm births, which significantly escalate healthcare costs, including maternity care, labor and delivery costs and NICU expenses. According to a study published in the American Journal of Obstetrics &amp; Gynecology that analyzed the total costs of care over 400,000 deliveries between 2005 and 2010, as adjusted for inflation, the maternity and perinatal healthcare costs attributable to a set of twins are approximately $153,000 on average, more than four times the comparable costs attributable to singleton births of approximately $36,000, and often exceed this average. In the case of triplets, the costs escalate significantly and average $577,000, sometimes extending upwards of $1.0 million.</w:t>
      </w:r>
    </w:p>
    <w:p>
      <w:pPr>
        <w:spacing w:after="0" w:line="190"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 A patient with mandated fertility step therapy protocol may be required to undergo three to six cycles of intrauterine insemination, or IUI, which has an average success rate range of 5% to 15%, takes place over three to six months and can cost up to $4,000 per cycle (or an aggregate of approximately $12,000 to $24,000), according to FertilityIQ.</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fertility process is a long, rigorous journey, both emotionally and physically. Conventional benefits programs lack any meaningful care coordination, education or patient support. Patients and their dependents have no help in understanding the complex choices they are faced with and discerning between treatment alternatives. There is also limited emotional support when patients face setbacks or unexpected outcomes as the current system ignores the emotional burden of patients embarking on the path to pregnancy through assisted reproductive technology, or ART, treatments and the impact that burden has on employee productivity and the workplace.</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conventional pharmacy delivery infrastructure is not designed to address the uniqueness of fertility treatment, which requires highly coordinated and timely delivery of medication. Conventional benefits managers require extensive and multiple authorizations and have inconsistent approval processes, which can complicate and delay the provision of medications that are essential to fertility treatment. We believe that with conventional benefits programs, authorization and delivery times of one to two weeks are typical. If medications are not received on time, patients may have to wait a month or longer to commence another round of fertility treatment, wasting valuable time and money.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addition, the storage, preparation and administration of fertility medication is complex and requires extensive self-administered injections, yet most fertility benefits programs offer limited guidance and clinical support to patients around these issues.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183"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Because of the unique challenges of infertility, including the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Costs Associated with Multiple Births and Poor Fertility Treatment Outcomes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In addition to multiple birth rates, the relatively higher miscarriage rate associated with IVF treatment also results in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Ability to Attract and Retain Talent</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Employers are facing increasing competition to attract and retain talent. As a result, employers are enhancing their value proposition to employees by evaluating and providing benefits that are most in demand. Family building solutions are an increasing area of focus for employees, and in turn, employers.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color w:val="auto"/>
        </w:rPr>
        <w:t>We believe we have a significant opportunity to provide employers with a superior comprehensive solution that addresses the unique challenges and complexities of fertility treatment and related fertility pharmacy services. Our core market for fertility benefits management is substantial and growing rapidly with strong tailwinds from major societal and cultural shifts, such as people starting families later in life, the growth in non-traditional paths to parenthood and other health-related burdens which have impacted the ability to have children. In addition, we believe that continued de-stigmatization of infertility, along with increased financial support from employers, will continue to drive better access to, and stronger demand for, fertility treatment services, thereby further enabling the expansion of our addressable market.</w:t>
      </w:r>
    </w:p>
    <w:p>
      <w:pPr>
        <w:spacing w:after="0" w:line="17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estimate that the market for fertility treatments in the United States was approximately $7.0 billion in 2018, based on data published by the CDC regarding the number of treatment cycles and FertilityIQ’s estimate of the average cost per cycle. We estimate the potential size of the U.S. fertility market to be at least twice as large because this figure excludes those individuals who do not seek treatment for infertility. According to a recent study by Reproductive Medicine Associates of New York, approximately 50% of people suffering from infertility do not seek treatment. Furthermore, when comparing the United States to other countries, the percentage of babies born utilizing ART is materially lower, at less than 2% in the United States (where fertility treatment is not adequately covered), compared to approximately 10% in Denmark and 5% in Japan (where there is more public health funding for fertility treatment).</w:t>
      </w:r>
    </w:p>
    <w:p>
      <w:pPr>
        <w:spacing w:after="0" w:line="19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contract with employers to provide fertility and family building benefits to their employees and covered dependents. We believe our addressable market consists of the approximately 8,000 self-insured employers in the United States. These 8,000 employers have a minimum of 1,000 employees, representing approximately 69 million potential covered lives in total. Our current member base of 2.7 million lives under contract represents a low single digit percent of our total market opportunity.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Regardless of whether or not these self-insured employers currently provide a fertility benefit, we believe they are prospective clients of Progyny. Further, 35% of our clients had no prior fertility coverage before adopting Progyny and 95% of our clients enhanced their coverage when they switched to Progyny. Overall, we believe our market opportunity is substantial and is continuing to grow as a result of the rising demand for fertility benefits solutions, the lack of adequate offerings in the market today and the increasing awareness of the challenges of infertility we are driving.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and members achieve savings in upfront treatment costs as well as reduced maternity and NICU expenses.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Differentiated Benefits Plan Design</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innovative Smart Cycle is our easy-to-understand fertility benefits design. Our Smart Cycle plan design allows members equitable access to the treatment they need and is designed to drive superior outcomes and reduce both upfront treatment expenses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17 different Smart Cycle treatment bundles, which may be used independently or in combination depending on the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 Our superior clinical outcomes driven by our Smart Cycle plan design include higher rates of pregnancy and live births, as well as lower miscarriage rates and fewer multiple births.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Personalized Concierge-Style Member Support Services</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who is paired to a member and interacts with them an average of 15 times over the course of their treatment.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that design our PCA training curriculum and direct our comprehensive member experience.</w:t>
      </w:r>
    </w:p>
    <w:p>
      <w:pPr>
        <w:spacing w:after="0" w:line="19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comprehensive member portal, accessible via any desktop or mobile device,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Additionally, the portal can be used to review plan coverage, benefit utilization, claim details and account balances. We believe our platform provides our members with best-in-class support services to help them navigate their fertility and family building journeys.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Selective Network of High-Quality Fertility Specialists</w:t>
      </w:r>
    </w:p>
    <w:p>
      <w:pPr>
        <w:spacing w:after="0" w:line="22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approximately 900 fertility specialists who practice at over 650 provider clinic locations throughout the United States. Our network includes 46 of the top 50 fertility practice groups by volume in the United States according to 2018 CDC data, which was published in 2020 and is the most recent data available. Fertility specialists who are invited to join our network must meet and maintain rigorous credentialing standards and quality thresholds that we set for inclusion in our network to ensure that our members receive the highest quality of care. Our national network serves members in virtually every state, providing extensive geographic coverage to our national employers.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Progyny Rx, an Integrated Pharmacy Benefits Solution</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process ensures that our members will not miss or delay cycles. We provide phone-based, clinical education and support seven days a week to ensure that our members understand any necessary medication storage requirements and administration techniques, including injection training. To further support those members that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Robust Data Collection Process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satisfaction. Finally, our data allows us to provide our clients with unique and detailed quarterly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Prestigious Medical Advisory Board</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designed to drive to the best outcomes. This review ensures that we are evaluating and covering the latest and most effective fertility treatments and identifying opportunities to improve our plan design, member experience and fertility specialists network standards.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Full Service Client Account Management</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provide a dedicated account management team to ensure that we are delivering superior service. Our account managers support our clients’ day-to-day needs and resolve issues that arise. For example, to help our clients ensure that their employees are fully aware of the Progyny program, our account management teams work with our clients to create co-branded materials to support health fairs, open enrollment events and other employee communications. The account management team also attends open enrollment benefits fairs and other health fairs throughout the year and hosts virtual open enrollment webinars for members to attend live or on-demand. Our account management team also reviews all quarterly and annual program reports with our clients to reinforce the transparency we provide to clients into their expenditures and outcomes and to review and quantify the value created by our solutions. We believe our account management services, including our detailed client reporting, plays an important role in helping us maintain and strengthen our client relationships.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Ease of Integration for Our Clients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Facilitating the ease of integration is the fact that we have developed multiple integration solutions that allow us to integrate with any health plan or health insurance carrier, reducing significant time and expense for our clients. Our ability to integrate our solution with our clients' health insurance coverage allows our benefit to be offered to employees on a pre-tax basis, providing our members with significant savings in comparison to a post-tax reimbursement. We believe our ability to integrate our benefits solutions with all of the large national health insurance carriers is a differentiating factor within the industry.</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Surrogacy and Adoption Reimbursement Program</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also offer a surrogacy and adoption reimbursement program. We can manage the reimbursement of surrogacy and adoption expenses for those clients who offer such reimbursement benefits. For these programs, employers designate a specific lifetime dollar amount toward surrogacy and/or adoption services for their employees. We then administer the expense reimbursement to employees up to this dollar amount. We work with our clients to determine what expenses related to adoption and/or surrogacy will be covered under their plan, thereby alleviating their administrative burden. Examples of reimbursement expenses typically include agency fees, surrogacy fees, travel expenses and healthcare expenses for the surrogate.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Provide Measurable Value to Our Employer Clients</w:t>
      </w:r>
    </w:p>
    <w:p>
      <w:pPr>
        <w:spacing w:after="0" w:line="227" w:lineRule="exact"/>
        <w:rPr>
          <w:sz w:val="20"/>
          <w:szCs w:val="20"/>
          <w:color w:val="auto"/>
        </w:rPr>
      </w:pPr>
    </w:p>
    <w:p>
      <w:pPr>
        <w:ind w:left="1020" w:right="299" w:hanging="322"/>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Substantial and Measurable Financial Value. </w:t>
      </w:r>
      <w:r>
        <w:rPr>
          <w:rFonts w:ascii="Times New Roman" w:cs="Times New Roman" w:eastAsia="Times New Roman" w:hAnsi="Times New Roman"/>
          <w:sz w:val="18"/>
          <w:szCs w:val="18"/>
          <w:color w:val="auto"/>
        </w:rPr>
        <w:t>Our superior clinical outcomes drive savings in both upfront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fertility treatment costs (due to our higher live birth rates) as well as subsequent maternity and NICU expenses for our clients (due to our lower multiple birth rates).</w:t>
      </w:r>
    </w:p>
    <w:p>
      <w:pPr>
        <w:spacing w:after="0" w:line="173" w:lineRule="exact"/>
        <w:rPr>
          <w:rFonts w:ascii="Times New Roman" w:cs="Times New Roman" w:eastAsia="Times New Roman" w:hAnsi="Times New Roman"/>
          <w:sz w:val="18"/>
          <w:szCs w:val="18"/>
          <w:color w:val="auto"/>
        </w:rPr>
      </w:pPr>
    </w:p>
    <w:p>
      <w:pPr>
        <w:ind w:left="1020" w:right="459" w:hanging="322"/>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Progyny Rx Savings. </w:t>
      </w:r>
      <w:r>
        <w:rPr>
          <w:rFonts w:ascii="Times New Roman" w:cs="Times New Roman" w:eastAsia="Times New Roman" w:hAnsi="Times New Roman"/>
          <w:sz w:val="18"/>
          <w:szCs w:val="18"/>
          <w:color w:val="auto"/>
        </w:rPr>
        <w:t>Progyny Rx delivers unit cost savings of between 10% and 20% to our clients,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savings of approximately 8% based on a reduction in unnecessary quantities of medication dispensed.</w:t>
      </w:r>
    </w:p>
    <w:p>
      <w:pPr>
        <w:spacing w:after="0" w:line="173" w:lineRule="exact"/>
        <w:rPr>
          <w:rFonts w:ascii="Times New Roman" w:cs="Times New Roman" w:eastAsia="Times New Roman" w:hAnsi="Times New Roman"/>
          <w:sz w:val="18"/>
          <w:szCs w:val="18"/>
          <w:color w:val="auto"/>
        </w:rPr>
      </w:pPr>
    </w:p>
    <w:p>
      <w:pPr>
        <w:ind w:left="1020" w:right="179" w:hanging="322"/>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Productivity and Retention. </w:t>
      </w:r>
      <w:r>
        <w:rPr>
          <w:rFonts w:ascii="Times New Roman" w:cs="Times New Roman" w:eastAsia="Times New Roman" w:hAnsi="Times New Roman"/>
          <w:sz w:val="18"/>
          <w:szCs w:val="18"/>
          <w:color w:val="auto"/>
        </w:rPr>
        <w:t>Our solution addresses employee absenteeism, poor productivity,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lack of employee retention driven by the stress of suffering from infertility (and undergoing fertility treatment) as well as the back-to-work issues related to multiple births. Our members are able to receive the most effective treatments more quickly and have access to high-touch member support services through our PCAs, thereby reducing the physical and emotional rigors of infertility and its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20" w:right="159" w:hanging="322"/>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Appeal to Existing and Prospective Employees. </w:t>
      </w:r>
      <w:r>
        <w:rPr>
          <w:rFonts w:ascii="Times New Roman" w:cs="Times New Roman" w:eastAsia="Times New Roman" w:hAnsi="Times New Roman"/>
          <w:sz w:val="18"/>
          <w:szCs w:val="18"/>
          <w:color w:val="auto"/>
        </w:rPr>
        <w:t>Better fertility benefits programs can be a key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a company’s overall benefits and an important tool in its 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Members</w:t>
      </w:r>
    </w:p>
    <w:p>
      <w:pPr>
        <w:spacing w:after="0" w:line="227" w:lineRule="exact"/>
        <w:rPr>
          <w:sz w:val="20"/>
          <w:szCs w:val="20"/>
          <w:color w:val="auto"/>
        </w:rPr>
      </w:pPr>
    </w:p>
    <w:p>
      <w:pPr>
        <w:ind w:left="60" w:right="61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Superior Clinical Outcomes. </w:t>
      </w:r>
      <w:r>
        <w:rPr>
          <w:rFonts w:ascii="Times New Roman" w:cs="Times New Roman" w:eastAsia="Times New Roman" w:hAnsi="Times New Roman"/>
          <w:sz w:val="17"/>
          <w:szCs w:val="17"/>
          <w:color w:val="auto"/>
        </w:rPr>
        <w:t>Our members experience healthier pregnancies (with significantly increased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utilization of single embryo transfer) and superior rates of pregnancy and live births, as well as reduced rates of miscarriages and multiple births, saving valuable time and money and limiting personal and professional disruption.</w:t>
      </w: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vMerge w:val="restart"/>
          </w:tcPr>
          <w:p>
            <w:pPr>
              <w:jc w:val="center"/>
              <w:ind w:right="170"/>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Network</w:t>
            </w:r>
          </w:p>
        </w:tc>
        <w:tc>
          <w:tcPr>
            <w:tcW w:w="1600" w:type="dxa"/>
            <w:vAlign w:val="bottom"/>
            <w:gridSpan w:val="2"/>
          </w:tcPr>
          <w:p>
            <w:pPr>
              <w:jc w:val="center"/>
              <w:ind w:right="190"/>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Network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National Averages</w:t>
            </w:r>
          </w:p>
        </w:tc>
        <w:tc>
          <w:tcPr>
            <w:tcW w:w="1580" w:type="dxa"/>
            <w:vAlign w:val="bottom"/>
            <w:gridSpan w:val="2"/>
            <w:vMerge w:val="continue"/>
          </w:tcPr>
          <w:p>
            <w:pPr>
              <w:spacing w:after="0"/>
              <w:rPr>
                <w:sz w:val="12"/>
                <w:szCs w:val="12"/>
                <w:color w:val="auto"/>
              </w:rPr>
            </w:pPr>
          </w:p>
        </w:tc>
        <w:tc>
          <w:tcPr>
            <w:tcW w:w="160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Provider Clinic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8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16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0" w:type="dxa"/>
            <w:vAlign w:val="bottom"/>
          </w:tcPr>
          <w:p>
            <w:pPr>
              <w:spacing w:after="0"/>
              <w:rPr>
                <w:sz w:val="1"/>
                <w:szCs w:val="1"/>
                <w:color w:val="auto"/>
              </w:rPr>
            </w:pPr>
          </w:p>
        </w:tc>
      </w:tr>
      <w:tr>
        <w:trPr>
          <w:trHeight w:val="148"/>
        </w:trPr>
        <w:tc>
          <w:tcPr>
            <w:tcW w:w="2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56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for All Provider</w:t>
            </w:r>
          </w:p>
        </w:tc>
        <w:tc>
          <w:tcPr>
            <w:tcW w:w="158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Averages</w:t>
            </w:r>
          </w:p>
        </w:tc>
        <w:tc>
          <w:tcPr>
            <w:tcW w:w="160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for Progyny</w:t>
            </w:r>
          </w:p>
        </w:tc>
        <w:tc>
          <w:tcPr>
            <w:tcW w:w="0" w:type="dxa"/>
            <w:vAlign w:val="bottom"/>
          </w:tcPr>
          <w:p>
            <w:pPr>
              <w:spacing w:after="0"/>
              <w:rPr>
                <w:sz w:val="1"/>
                <w:szCs w:val="1"/>
                <w:color w:val="auto"/>
              </w:rPr>
            </w:pPr>
          </w:p>
        </w:tc>
      </w:tr>
      <w:tr>
        <w:trPr>
          <w:trHeight w:val="173"/>
        </w:trPr>
        <w:tc>
          <w:tcPr>
            <w:tcW w:w="2860" w:type="dxa"/>
            <w:vAlign w:val="bottom"/>
            <w:gridSpan w:val="4"/>
            <w:vMerge w:val="continue"/>
          </w:tcPr>
          <w:p>
            <w:pPr>
              <w:spacing w:after="0"/>
              <w:rPr>
                <w:sz w:val="15"/>
                <w:szCs w:val="15"/>
                <w:color w:val="auto"/>
              </w:rPr>
            </w:pPr>
          </w:p>
        </w:tc>
        <w:tc>
          <w:tcPr>
            <w:tcW w:w="15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Clinics</w:t>
            </w:r>
          </w:p>
        </w:tc>
        <w:tc>
          <w:tcPr>
            <w:tcW w:w="158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6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Members Only</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Single embryo transfer rate</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Pregnancy rate per IVF transfer</w:t>
            </w:r>
            <w:r>
              <w:rPr>
                <w:rFonts w:ascii="Times New Roman" w:cs="Times New Roman" w:eastAsia="Times New Roman" w:hAnsi="Times New Roman"/>
                <w:sz w:val="25"/>
                <w:szCs w:val="25"/>
                <w:color w:val="auto"/>
                <w:vertAlign w:val="superscript"/>
              </w:rPr>
              <w:t>(1)</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52.4 %</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54.0 %</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Miscarriage rate</w:t>
            </w:r>
            <w:r>
              <w:rPr>
                <w:rFonts w:ascii="Times New Roman" w:cs="Times New Roman" w:eastAsia="Times New Roman" w:hAnsi="Times New Roman"/>
                <w:sz w:val="25"/>
                <w:szCs w:val="25"/>
                <w:color w:val="auto"/>
                <w:vertAlign w:val="superscript"/>
              </w:rPr>
              <w:t>(1)</w:t>
            </w:r>
          </w:p>
        </w:tc>
        <w:tc>
          <w:tcPr>
            <w:tcW w:w="1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19.0 %</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18.7 %</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Live birth rate</w:t>
            </w:r>
            <w:r>
              <w:rPr>
                <w:rFonts w:ascii="Times New Roman" w:cs="Times New Roman" w:eastAsia="Times New Roman" w:hAnsi="Times New Roman"/>
                <w:sz w:val="25"/>
                <w:szCs w:val="25"/>
                <w:color w:val="auto"/>
                <w:vertAlign w:val="superscript"/>
              </w:rPr>
              <w:t>(2)</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42.1 %</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43.7 %</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IVF multiples rate</w:t>
            </w:r>
            <w:r>
              <w:rPr>
                <w:rFonts w:ascii="Times New Roman" w:cs="Times New Roman" w:eastAsia="Times New Roman" w:hAnsi="Times New Roman"/>
                <w:sz w:val="25"/>
                <w:szCs w:val="25"/>
                <w:color w:val="auto"/>
                <w:vertAlign w:val="superscript"/>
              </w:rPr>
              <w:t>(2)</w:t>
            </w:r>
          </w:p>
        </w:tc>
        <w:tc>
          <w:tcPr>
            <w:tcW w:w="1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12.2 %</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11.2 %</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20" w:right="319" w:hanging="322"/>
        <w:spacing w:after="0" w:line="208" w:lineRule="auto"/>
        <w:tabs>
          <w:tab w:leader="none" w:pos="10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based on the Society for Assisted Reproductive Technology, or SART, 2017 National Summary Report, finalized in 2020.</w:t>
      </w:r>
    </w:p>
    <w:p>
      <w:pPr>
        <w:spacing w:after="0" w:line="123" w:lineRule="exact"/>
        <w:rPr>
          <w:rFonts w:ascii="Times New Roman" w:cs="Times New Roman" w:eastAsia="Times New Roman" w:hAnsi="Times New Roman"/>
          <w:sz w:val="27"/>
          <w:szCs w:val="27"/>
          <w:color w:val="auto"/>
          <w:vertAlign w:val="superscript"/>
        </w:rPr>
      </w:pPr>
    </w:p>
    <w:p>
      <w:pPr>
        <w:ind w:left="1020" w:hanging="322"/>
        <w:spacing w:after="0"/>
        <w:tabs>
          <w:tab w:leader="none" w:pos="10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based on CDC, 2018 National Summary and Clinic Data Sets, published in 2020.</w:t>
      </w:r>
    </w:p>
    <w:p>
      <w:pPr>
        <w:spacing w:after="0" w:line="125" w:lineRule="exact"/>
        <w:rPr>
          <w:rFonts w:ascii="Times New Roman" w:cs="Times New Roman" w:eastAsia="Times New Roman" w:hAnsi="Times New Roman"/>
          <w:sz w:val="27"/>
          <w:szCs w:val="27"/>
          <w:color w:val="auto"/>
          <w:vertAlign w:val="superscript"/>
        </w:rPr>
      </w:pPr>
    </w:p>
    <w:p>
      <w:pPr>
        <w:ind w:left="1020" w:hanging="322"/>
        <w:spacing w:after="0" w:line="236" w:lineRule="auto"/>
        <w:tabs>
          <w:tab w:leader="none" w:pos="10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based on the 12-month period ended December 31, 2019.</w:t>
      </w:r>
    </w:p>
    <w:p>
      <w:pPr>
        <w:spacing w:after="0" w:line="196" w:lineRule="exact"/>
        <w:rPr>
          <w:sz w:val="20"/>
          <w:szCs w:val="20"/>
          <w:color w:val="auto"/>
        </w:rPr>
      </w:pPr>
    </w:p>
    <w:p>
      <w:pPr>
        <w:ind w:left="1020" w:right="199" w:hanging="322"/>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Coverage. </w:t>
      </w:r>
      <w:r>
        <w:rPr>
          <w:rFonts w:ascii="Times New Roman" w:cs="Times New Roman" w:eastAsia="Times New Roman" w:hAnsi="Times New Roman"/>
          <w:sz w:val="18"/>
          <w:szCs w:val="18"/>
          <w:color w:val="auto"/>
        </w:rPr>
        <w:t>We provide all individuals with access to comprehensive coverage. Our Smart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Cycle design ensures that members always have coverage for a full treatment cycle as their access to treatment is not limited by a dollar maximum that could be exhausted mid-treatment. Additionally, members have access to the latest technologies and procedures, which are reviewed and approved by our Medical Advisory Board.</w:t>
      </w:r>
    </w:p>
    <w:p>
      <w:pPr>
        <w:spacing w:after="0" w:line="183" w:lineRule="exact"/>
        <w:rPr>
          <w:rFonts w:ascii="Times New Roman" w:cs="Times New Roman" w:eastAsia="Times New Roman" w:hAnsi="Times New Roman"/>
          <w:sz w:val="18"/>
          <w:szCs w:val="18"/>
          <w:color w:val="auto"/>
        </w:rPr>
      </w:pPr>
    </w:p>
    <w:p>
      <w:pPr>
        <w:ind w:left="1020" w:right="459" w:hanging="322"/>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for All Members and Dependents. </w:t>
      </w:r>
      <w:r>
        <w:rPr>
          <w:rFonts w:ascii="Times New Roman" w:cs="Times New Roman" w:eastAsia="Times New Roman" w:hAnsi="Times New Roman"/>
          <w:sz w:val="18"/>
          <w:szCs w:val="18"/>
          <w:color w:val="auto"/>
        </w:rPr>
        <w:t>Smart Cycles are available to be utilized across all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groups, including populations not typically covered, such as LGBTQ+ individuals and single mothers by choice.</w:t>
      </w:r>
    </w:p>
    <w:p>
      <w:pPr>
        <w:spacing w:after="0" w:line="173" w:lineRule="exact"/>
        <w:rPr>
          <w:rFonts w:ascii="Times New Roman" w:cs="Times New Roman" w:eastAsia="Times New Roman" w:hAnsi="Times New Roman"/>
          <w:sz w:val="18"/>
          <w:szCs w:val="18"/>
          <w:color w:val="auto"/>
        </w:rPr>
      </w:pPr>
    </w:p>
    <w:p>
      <w:pPr>
        <w:ind w:left="1020" w:right="139" w:hanging="322"/>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Equitable Access to Care. </w:t>
      </w:r>
      <w:r>
        <w:rPr>
          <w:rFonts w:ascii="Times New Roman" w:cs="Times New Roman" w:eastAsia="Times New Roman" w:hAnsi="Times New Roman"/>
          <w:sz w:val="18"/>
          <w:szCs w:val="18"/>
          <w:color w:val="auto"/>
        </w:rPr>
        <w:t>Our Smart Cycle design ensures members receive fair and balanced access to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not dependent on where members live, how expensive a fertility specialist is or which specific treatments are required.</w:t>
      </w:r>
    </w:p>
    <w:p>
      <w:pPr>
        <w:spacing w:after="0" w:line="173" w:lineRule="exact"/>
        <w:rPr>
          <w:rFonts w:ascii="Times New Roman" w:cs="Times New Roman" w:eastAsia="Times New Roman" w:hAnsi="Times New Roman"/>
          <w:sz w:val="18"/>
          <w:szCs w:val="18"/>
          <w:color w:val="auto"/>
        </w:rPr>
      </w:pPr>
    </w:p>
    <w:p>
      <w:pPr>
        <w:ind w:left="1020" w:right="99" w:hanging="322"/>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High-Touch Concierge Member Experience. </w:t>
      </w:r>
      <w:r>
        <w:rPr>
          <w:rFonts w:ascii="Times New Roman" w:cs="Times New Roman" w:eastAsia="Times New Roman" w:hAnsi="Times New Roman"/>
          <w:sz w:val="18"/>
          <w:szCs w:val="18"/>
          <w:color w:val="auto"/>
        </w:rPr>
        <w:t>We provide our members with high-touch, end-to-end concierge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including logistical assistance, clinical guidance and emotional support through our PCAs and our in-house clinical staff.</w:t>
      </w:r>
    </w:p>
    <w:p>
      <w:pPr>
        <w:spacing w:after="0" w:line="173" w:lineRule="exact"/>
        <w:rPr>
          <w:rFonts w:ascii="Times New Roman" w:cs="Times New Roman" w:eastAsia="Times New Roman" w:hAnsi="Times New Roman"/>
          <w:sz w:val="18"/>
          <w:szCs w:val="18"/>
          <w:color w:val="auto"/>
        </w:rPr>
      </w:pPr>
    </w:p>
    <w:p>
      <w:pPr>
        <w:ind w:left="1020" w:right="139" w:hanging="322"/>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to Selective, Premier Fertility Specialist Network. </w:t>
      </w:r>
      <w:r>
        <w:rPr>
          <w:rFonts w:ascii="Times New Roman" w:cs="Times New Roman" w:eastAsia="Times New Roman" w:hAnsi="Times New Roman"/>
          <w:sz w:val="18"/>
          <w:szCs w:val="18"/>
          <w:color w:val="auto"/>
        </w:rPr>
        <w:t>Our solution provides members with access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nation’s most desired fertility providers, including approximately 900 fertility specialists who practice at approximately 650 provider clinic locations throughout the United States. Our network includes 46 of the top 50 fertility practice groups by volume in the United States according to 2018 CDC data.</w:t>
      </w:r>
    </w:p>
    <w:p>
      <w:pPr>
        <w:spacing w:after="0" w:line="179" w:lineRule="exact"/>
        <w:rPr>
          <w:rFonts w:ascii="Times New Roman" w:cs="Times New Roman" w:eastAsia="Times New Roman" w:hAnsi="Times New Roman"/>
          <w:sz w:val="18"/>
          <w:szCs w:val="18"/>
          <w:color w:val="auto"/>
        </w:rPr>
      </w:pPr>
    </w:p>
    <w:p>
      <w:pPr>
        <w:jc w:val="both"/>
        <w:ind w:left="1020" w:right="559" w:hanging="322"/>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Pharmacy Benefits Solution. </w:t>
      </w:r>
      <w:r>
        <w:rPr>
          <w:rFonts w:ascii="Times New Roman" w:cs="Times New Roman" w:eastAsia="Times New Roman" w:hAnsi="Times New Roman"/>
          <w:sz w:val="18"/>
          <w:szCs w:val="18"/>
          <w:color w:val="auto"/>
        </w:rPr>
        <w:t>Progyny Rx provides members with a simplified authorization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timely medication delivery and member support from pharmacy clinicians seven days a week.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Fertility Specialists</w:t>
      </w:r>
    </w:p>
    <w:p>
      <w:pPr>
        <w:spacing w:after="0" w:line="227" w:lineRule="exact"/>
        <w:rPr>
          <w:sz w:val="20"/>
          <w:szCs w:val="20"/>
          <w:color w:val="auto"/>
        </w:rPr>
      </w:pPr>
    </w:p>
    <w:p>
      <w:pPr>
        <w:ind w:left="1340" w:right="79" w:hanging="318"/>
        <w:spacing w:after="0" w:line="281"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Members Supported With a Comprehensive Benefit. </w:t>
      </w:r>
      <w:r>
        <w:rPr>
          <w:rFonts w:ascii="Times New Roman" w:cs="Times New Roman" w:eastAsia="Times New Roman" w:hAnsi="Times New Roman"/>
          <w:sz w:val="17"/>
          <w:szCs w:val="17"/>
          <w:color w:val="auto"/>
        </w:rPr>
        <w:t>Our solutions allow our members to arrive at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fertility specialist with a fully-covered course of treatment and the flexibility to utilize the latest approved technologies and best practices via our comprehensive Smart Cycle benefits plan design. These members are also educated on the use of best practices and are supported by PCAs along their fertility journey.</w:t>
      </w:r>
    </w:p>
    <w:p>
      <w:pPr>
        <w:spacing w:after="0" w:line="164" w:lineRule="exact"/>
        <w:rPr>
          <w:rFonts w:ascii="Times New Roman" w:cs="Times New Roman" w:eastAsia="Times New Roman" w:hAnsi="Times New Roman"/>
          <w:sz w:val="17"/>
          <w:szCs w:val="17"/>
          <w:color w:val="auto"/>
        </w:rPr>
      </w:pPr>
    </w:p>
    <w:p>
      <w:pPr>
        <w:ind w:left="1340" w:right="139" w:hanging="318"/>
        <w:spacing w:after="0" w:line="261"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Eliminate Step Therapy Protocols. </w:t>
      </w:r>
      <w:r>
        <w:rPr>
          <w:rFonts w:ascii="Times New Roman" w:cs="Times New Roman" w:eastAsia="Times New Roman" w:hAnsi="Times New Roman"/>
          <w:sz w:val="18"/>
          <w:szCs w:val="18"/>
          <w:color w:val="auto"/>
        </w:rPr>
        <w:t>Our network of fertility specialists have access to the latest science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technologies through our innovative Smart Cycles, which free our fertility specialists from having to follow the ineffective protocols common to conventional coverage and allow them to pursue the most effective treatments first, thereby saving time and money.</w:t>
      </w:r>
    </w:p>
    <w:p>
      <w:pPr>
        <w:spacing w:after="0" w:line="179" w:lineRule="exact"/>
        <w:rPr>
          <w:rFonts w:ascii="Times New Roman" w:cs="Times New Roman" w:eastAsia="Times New Roman" w:hAnsi="Times New Roman"/>
          <w:sz w:val="18"/>
          <w:szCs w:val="18"/>
          <w:color w:val="auto"/>
        </w:rPr>
      </w:pPr>
    </w:p>
    <w:p>
      <w:pPr>
        <w:jc w:val="both"/>
        <w:ind w:left="1340" w:right="339" w:hanging="318"/>
        <w:spacing w:after="0" w:line="267"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Simplified Administration. </w:t>
      </w:r>
      <w:r>
        <w:rPr>
          <w:rFonts w:ascii="Times New Roman" w:cs="Times New Roman" w:eastAsia="Times New Roman" w:hAnsi="Times New Roman"/>
          <w:sz w:val="18"/>
          <w:szCs w:val="18"/>
          <w:color w:val="auto"/>
        </w:rPr>
        <w:t>Once a Smart Cycle treatment is authorized, fertility specialists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are able to prescribe the optimal treatment plan without any need for pre-certification or pre-authorization.</w:t>
      </w:r>
    </w:p>
    <w:p>
      <w:pPr>
        <w:spacing w:after="0" w:line="173" w:lineRule="exact"/>
        <w:rPr>
          <w:rFonts w:ascii="Times New Roman" w:cs="Times New Roman" w:eastAsia="Times New Roman" w:hAnsi="Times New Roman"/>
          <w:sz w:val="18"/>
          <w:szCs w:val="18"/>
          <w:color w:val="auto"/>
        </w:rPr>
      </w:pPr>
    </w:p>
    <w:p>
      <w:pPr>
        <w:ind w:left="1340" w:right="199" w:hanging="318"/>
        <w:spacing w:after="0" w:line="258"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Outcomes for Progyny members across our fertility specialist network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superior to the average outcomes that these same provider clinics report to the CDC for all of their patients. For example, as shown in the prior table, the in-network average live birth rate for Progyny members is 51.9%, as compared to the 43.7% average live birth rate for all of the patients at those same clinics.</w:t>
      </w:r>
    </w:p>
    <w:p>
      <w:pPr>
        <w:spacing w:after="0" w:line="183" w:lineRule="exact"/>
        <w:rPr>
          <w:rFonts w:ascii="Times New Roman" w:cs="Times New Roman" w:eastAsia="Times New Roman" w:hAnsi="Times New Roman"/>
          <w:sz w:val="18"/>
          <w:szCs w:val="18"/>
          <w:color w:val="auto"/>
        </w:rPr>
      </w:pPr>
    </w:p>
    <w:p>
      <w:pPr>
        <w:ind w:left="1340" w:right="119" w:hanging="318"/>
        <w:spacing w:after="0" w:line="267"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Eliminating Financial Risk Associated With Collections. </w:t>
      </w:r>
      <w:r>
        <w:rPr>
          <w:rFonts w:ascii="Times New Roman" w:cs="Times New Roman" w:eastAsia="Times New Roman" w:hAnsi="Times New Roman"/>
          <w:sz w:val="18"/>
          <w:szCs w:val="18"/>
          <w:color w:val="auto"/>
        </w:rPr>
        <w:t>We assume full responsibility for the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all members’ deductibles and coinsurance, thereby eliminating the burden and cost of collection (and bad debt expense) for member payments that our provider clinics otherwise would experience.</w:t>
      </w:r>
    </w:p>
    <w:p>
      <w:pPr>
        <w:spacing w:after="0" w:line="173" w:lineRule="exact"/>
        <w:rPr>
          <w:rFonts w:ascii="Times New Roman" w:cs="Times New Roman" w:eastAsia="Times New Roman" w:hAnsi="Times New Roman"/>
          <w:sz w:val="18"/>
          <w:szCs w:val="18"/>
          <w:color w:val="auto"/>
        </w:rPr>
      </w:pPr>
    </w:p>
    <w:p>
      <w:pPr>
        <w:ind w:left="1340" w:right="299" w:hanging="318"/>
        <w:spacing w:after="0" w:line="284"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Sharing and Reporting. </w:t>
      </w:r>
      <w:r>
        <w:rPr>
          <w:rFonts w:ascii="Times New Roman" w:cs="Times New Roman" w:eastAsia="Times New Roman" w:hAnsi="Times New Roman"/>
          <w:sz w:val="18"/>
          <w:szCs w:val="18"/>
          <w:color w:val="auto"/>
        </w:rPr>
        <w:t>We produce clinic scorecards quarterly with key performance indicators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allow fertility specialists to compare their results with peer averages.</w:t>
      </w:r>
    </w:p>
    <w:p>
      <w:pPr>
        <w:spacing w:after="0" w:line="158" w:lineRule="exact"/>
        <w:rPr>
          <w:rFonts w:ascii="Times New Roman" w:cs="Times New Roman" w:eastAsia="Times New Roman" w:hAnsi="Times New Roman"/>
          <w:sz w:val="18"/>
          <w:szCs w:val="18"/>
          <w:color w:val="auto"/>
        </w:rPr>
      </w:pPr>
    </w:p>
    <w:p>
      <w:pPr>
        <w:ind w:left="1340" w:right="139" w:hanging="318"/>
        <w:spacing w:after="0" w:line="267"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Higher Volumes and Improved Financial Performance. </w:t>
      </w:r>
      <w:r>
        <w:rPr>
          <w:rFonts w:ascii="Times New Roman" w:cs="Times New Roman" w:eastAsia="Times New Roman" w:hAnsi="Times New Roman"/>
          <w:sz w:val="18"/>
          <w:szCs w:val="18"/>
          <w:color w:val="auto"/>
        </w:rPr>
        <w:t>Fertility specialists in our network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an increase in patient volume, and because of our comprehensive benefits design, an increase in the number of patients who progress from consultation to treatment.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Expand Our Client Base</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intend to continue increasing our client base of self-insured employers throughout the United States by leveraging our experienced salesforce and strong relationships with benefits consultants. We believe we have an addressable market of approximately 8,000 potential self-insured employer clients in the United States and, with our base of over 180 clients, are still in the early stages of our growth trajectory. Importantly, as we have continued to grow, we have meaningfully diversified our client base across an array of different industries. We are expanding our client base within each industry that we serve, and have an industry-specific strategy, which enables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Embedded Growth Potential within Our Existing Client Base</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Expansion of Progyny Benefits Solutions within Our Existing Client Base</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believe we will continue to see growth from existing clients that add incremental services to their fertility benefits program. For example, a client can expand the fertility benefits they offer to their employees by increasing the number of Smart Cycles they contract for. In addition, our fertility benefits solution clients can purchase our add-on Progyny Rx solution. We introduced Progyny Rx in the third quarter of 2017 and went live with a select number of clients in January 2018. Currently, 73% of our clients are utilizing this solution, including 84% of the clients we signed in 2020. We believe our sales and marketing capabilities play an important role in informing and educating clients about the additional value and impact we can provide to them and their members by enhancing their benefit program.</w:t>
      </w:r>
    </w:p>
    <w:p>
      <w:pPr>
        <w:spacing w:after="0" w:line="185" w:lineRule="exact"/>
        <w:rPr>
          <w:sz w:val="20"/>
          <w:szCs w:val="20"/>
          <w:color w:val="auto"/>
        </w:rPr>
      </w:pPr>
    </w:p>
    <w:p>
      <w:pPr>
        <w:ind w:left="7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Services and Addressable Markets to Enhance the Depth and Breadth of Our Comprehensive Fertility Offering</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As we continue to grow and expand our client base, we are continuously evaluating the latest evolving trends to find ways we can better serve the needs of existing and new potential clients and their employees. We believe we are uniquely positioned to do this for several reasons. First,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do so in the future. To date, we have identified several ways we believe we can potentially expand our offering and expand our client base in the future. We will continue to evaluate opportunities as our platform continues to expand.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serve over 180 self-insured employers in the United States across more than 30 industries. Our current clients, who are industry leaders across both high-growth and mature industries and range in size from approximately 1,000 to 350,000 employees, represent approximately 2.7 million covered lives under contract. For the year ended December 31, 2020, two clients accounted for 18% and 17%, or a combined 35%, of our total revenue. No other clients accounted for more than 10% for the year ended December 31, 2020.</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employer clients are thought leaders in their respective industries and are creating a network effect that is helping to drive more widespread adoption of fertility benefits in their specific industries. We have clients in the technology, consumer retail, industrial, healthcare, media, insurance, legal, food and beverage, financial services, life sciences, professional services, government services, energy, manufacturing, logistics, transportation, real estate, nonprofit and hospitality sectors.</w:t>
      </w:r>
    </w:p>
    <w:p>
      <w:pPr>
        <w:spacing w:after="0" w:line="183" w:lineRule="exact"/>
        <w:rPr>
          <w:sz w:val="20"/>
          <w:szCs w:val="20"/>
          <w:color w:val="auto"/>
        </w:rPr>
      </w:pPr>
    </w:p>
    <w:p>
      <w:pPr>
        <w:ind w:left="60" w:right="699"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our clients have renewed their benefits management contracts since our initial benefits offerings launched in 2016. The majority of our clients have signed multi-year contracts or contracts that renew automatically on an annual basis.</w:t>
      </w:r>
    </w:p>
    <w:p>
      <w:pPr>
        <w:spacing w:after="0" w:line="176" w:lineRule="exact"/>
        <w:rPr>
          <w:sz w:val="20"/>
          <w:szCs w:val="20"/>
          <w:color w:val="auto"/>
        </w:rPr>
      </w:pPr>
    </w:p>
    <w:p>
      <w:pPr>
        <w:ind w:left="60" w:right="79" w:firstLine="648"/>
        <w:spacing w:after="0" w:line="233" w:lineRule="auto"/>
        <w:rPr>
          <w:sz w:val="20"/>
          <w:szCs w:val="20"/>
          <w:color w:val="auto"/>
        </w:rPr>
      </w:pPr>
      <w:r>
        <w:rPr>
          <w:rFonts w:ascii="Times New Roman" w:cs="Times New Roman" w:eastAsia="Times New Roman" w:hAnsi="Times New Roman"/>
          <w:sz w:val="18"/>
          <w:szCs w:val="18"/>
          <w:color w:val="auto"/>
        </w:rPr>
        <w:t>Given that the majority of our clients contract with us for a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the 2020 sales cycle, more clients have opted for comprehensive coverage, with substantially all of our new clients electing for Progyny Rx, multiple Smart Cycles and/or egg-freezing.</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Landscape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We believe we are the leader in the market for employer-sponsored fertility benefits and family building solutions.</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225" w:lineRule="exact"/>
        <w:rPr>
          <w:sz w:val="20"/>
          <w:szCs w:val="20"/>
          <w:color w:val="auto"/>
        </w:rPr>
      </w:pPr>
    </w:p>
    <w:p>
      <w:pPr>
        <w:ind w:left="1340" w:hanging="318"/>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and comprehensiveness of the benefits solution and superior outcomes for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plan design;</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for all employees and their dependents, including LGBTQ+ and single mothers by choice;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equitable access to care across geographies;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plans that maximize effectiveness and achieve desired outcomes;</w:t>
      </w:r>
    </w:p>
    <w:p>
      <w:pPr>
        <w:spacing w:after="0" w:line="225"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experience, including unlimited dedicated patient education, clinical guidance and emotional support;</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network of high-quality fertility specialists;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reporting and sharing;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 integrated pharmacy solution.</w:t>
      </w:r>
    </w:p>
    <w:p>
      <w:pPr>
        <w:spacing w:after="0" w:line="225"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While we do not believe any single competitor offers a comparably robust, integrated fertility and family building benefits solution, we compete primarily with health insurance companies and benefits administrators that also provide fertility benefits management services as part of their overall healthcare coverage. These competitors include conventional health insurance carriers, such as UnitedHealthcare, Cigna, Aetna and members of the Blue Cross Blue Shield Association.</w:t>
      </w:r>
    </w:p>
    <w:p>
      <w:pPr>
        <w:spacing w:after="0" w:line="164"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Other competitors who currently provide fertility benefits management services to employers include WIN Fertility and Optum Fertility Solutions.</w:t>
      </w:r>
    </w:p>
    <w:p>
      <w:pPr>
        <w:spacing w:after="0" w:line="16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Our solutions are structured as a pre-tax benefit program integrated into employers’ overall employee medical insurance, which is unique compared to the offerings of benefits managers new to the industry that do not have integrated health insurance carrier solutions. These emerging companies, such as Carrot Fertility and Maven Clinic, currently offer employees post-tax reimbursement programs for fertility benefits. In addition to our unique plan design, member support and fertility specialist network, one of the key structural differences between our pre-tax benefit and their post-tax reimbursement programs is that the individual receiving reimbursement for fertility treatments must pay income taxes on the amount of that reimbursement for the post-tax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over 45 new clients that we added in 2020, and the fact that approximately 65% of our current clients terminated their existing fertility coverage to switch to Progyny.</w:t>
      </w:r>
    </w:p>
    <w:p>
      <w:pPr>
        <w:spacing w:after="0" w:line="189" w:lineRule="exact"/>
        <w:rPr>
          <w:sz w:val="20"/>
          <w:szCs w:val="20"/>
          <w:color w:val="auto"/>
        </w:rPr>
      </w:pPr>
    </w:p>
    <w:p>
      <w:pPr>
        <w:ind w:left="60" w:right="219" w:firstLine="648"/>
        <w:spacing w:after="0" w:line="274" w:lineRule="auto"/>
        <w:rPr>
          <w:sz w:val="20"/>
          <w:szCs w:val="20"/>
          <w:color w:val="auto"/>
        </w:rPr>
      </w:pPr>
      <w:r>
        <w:rPr>
          <w:rFonts w:ascii="Times New Roman" w:cs="Times New Roman" w:eastAsia="Times New Roman" w:hAnsi="Times New Roman"/>
          <w:sz w:val="17"/>
          <w:szCs w:val="17"/>
          <w:color w:val="auto"/>
        </w:rPr>
        <w:t>We generate client leads, accelerate sales opportunities and build brand awareness through our marketing programs. Our marketing programs target human resource, benefits and finance executives in addition to health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a participant in the health care industry, we are required to comply with extensive and complex U.S. laws and regulations at the federal and state levels. Although many regulatory and governmental requirements do not directly apply to our business, our clients are required to comply with a variety of U.S. laws, and we may be affected by these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laws as a result of our contractual obligations. We have attempted to structure our operations to comply with laws, regulations and other requirements applicable to us directly and to our clients, members, fertility specialists and specialty pharmacies, but there can be no assurance that our operations will not be challenged or impacted by enforcement initiatives.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It is uncertain how our operations will be affected by the changing political, legislative, and regulatory landscapes, as well as other influences impacting the healthcare industry. While the most salient vehicle for healthcare reform, the Patient Protection and Affordable Care Act, as amended by the Health Care and Education Reconciliation Act, or collectively the ACA, does not directly regulate our business, it does affect the coverage and plan designs that are or will be provided by certain insurance carriers and certain of our clients, as well as the overall reimbursement environment for healthcare providers. Since its enactment in March 2010, there have been judicial, executive and Congressional challenges to certain aspects of the ACA. For example, the United States Supreme Court heard oral arguments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which consolidated two cases regarding the constitutionality of the ACA, on November 10, 2020. It is unclear when a decision is expected to be made. The Supreme Court’s decision could end the case, or it could result in the case being sent back to the lower courts for continued litigation. Other health reform efforts have been proposed by members of Congress, such as measures that would expand the role of government-sponsored coverage, including further reform to the ACA, as well as single payer or so-called “Medicare-for-All” proposals,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enacted on December 27, 2020, contain provisions impacting group health plans, including protections for plan participants from surprise medical bills and ensuring health plan price transparency.</w:t>
      </w:r>
    </w:p>
    <w:p>
      <w:pPr>
        <w:spacing w:after="0" w:line="19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Several items pertain to disclosure. The CAA prohibits plans from entering into services agreements that directly or indirectly restrict the plans from disclosing provider-specific costs and quality of care information. It will also require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effective December 27, 2021. The CAA will also require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surprise billing laws and the CAA defers to existing state requirements with respect to state-established payment amounts.</w:t>
      </w:r>
    </w:p>
    <w:p>
      <w:pPr>
        <w:spacing w:after="0" w:line="18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 Requirements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providing third-party administrator, or TPA, or pharmacy benefit management, or PBM, services. Given the nature and scope of the solutions and services that we provide, we are required to maintain TPA and/or PBM licenses and registrations in certain jurisdictions and to ensure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that such licenses and registrations are in good standing on an annual basis. These licenses require us to comply with the rules and regulations of the governmental bodies that issued such licenses, including maintaining certain solvency or bond requirements. Our failure to comply with such rules and regulations could result in administrative penalties, the suspension of a license, or the loss of a license, all of which could negatively impact our business.</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our services require us to be licensed under these state laws. We are unable to predict, however, how our services may be viewed by regulators over time, how these laws and regulations will be interpreted, or the full extent of their application. If a regulatory authority in any state determine that the nature of our business requires that we be licensed under such state laws, we may need to restructure our business to comply with any related requirements.</w:t>
      </w:r>
    </w:p>
    <w:p>
      <w:pPr>
        <w:spacing w:after="0" w:line="183"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Fraud and Abuse Laws. </w:t>
      </w:r>
      <w:r>
        <w:rPr>
          <w:rFonts w:ascii="Times New Roman" w:cs="Times New Roman" w:eastAsia="Times New Roman" w:hAnsi="Times New Roman"/>
          <w:sz w:val="18"/>
          <w:szCs w:val="18"/>
          <w:color w:val="auto"/>
        </w:rPr>
        <w:t>Many of our clients, insurance carriers, and network healthcare providers are impacted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and indirectly by certain fraud and abuse laws, including the federal anti-kickback and false claims laws. Because the solutions we provide are not reimbursed by government healthcare payors, such fraud and abuse laws generally do not directly apply to our business. However, many states have similar laws and regulations that may differ from each other and federal law in significant ways, thus complicating compliance efforts. For example, certain states have anti-kickback and false claims laws that may be broader in scope than analogous federal laws and may apply regardless of payor.</w:t>
      </w:r>
    </w:p>
    <w:p>
      <w:pPr>
        <w:spacing w:after="0" w:line="18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w:t>
      </w:r>
      <w:r>
        <w:rPr>
          <w:rFonts w:ascii="Times New Roman" w:cs="Times New Roman" w:eastAsia="Times New Roman" w:hAnsi="Times New Roman"/>
          <w:sz w:val="18"/>
          <w:szCs w:val="18"/>
          <w:color w:val="auto"/>
        </w:rPr>
        <w:t>The Employee Retirement Income Security Act of 1974, or ERISA, regulates certain aspects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health benefits plans, which includes both insured and self-funded health plans sponsored by our clients, with which we have agreements to provide TPA services. Although health plans and their fiduciaries are subject to the fiduciary obligations of ERISA, we believe that we are not fiduciaries in the conduct of our business vis-a-vis these plans.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ERISA also imposes civil and criminal liability on service providers and certain other persons with relationships to health plans subject to ERISA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w:t>
      </w:r>
    </w:p>
    <w:p>
      <w:pPr>
        <w:spacing w:after="0" w:line="187" w:lineRule="exact"/>
        <w:rPr>
          <w:sz w:val="20"/>
          <w:szCs w:val="20"/>
          <w:color w:val="auto"/>
        </w:rPr>
      </w:pPr>
    </w:p>
    <w:p>
      <w:pPr>
        <w:jc w:val="both"/>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Employee benefits plans subject to ERISA are subject to certain rules, published by the DOL, including certain reporting requirements for direct and indirect compensation received by plan service providers. Finally, although ERISA has broad preemptive effect with respect to certain state laws that “relate” to benefit plans, it does not preempt state laws imposing transparency requirements on PBMs.</w:t>
      </w:r>
    </w:p>
    <w:p>
      <w:pPr>
        <w:spacing w:after="0" w:line="176" w:lineRule="exact"/>
        <w:rPr>
          <w:sz w:val="20"/>
          <w:szCs w:val="20"/>
          <w:color w:val="auto"/>
        </w:rPr>
      </w:pPr>
    </w:p>
    <w:p>
      <w:pPr>
        <w:ind w:left="60" w:right="99"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Prompt Pay Laws. </w:t>
      </w:r>
      <w:r>
        <w:rPr>
          <w:rFonts w:ascii="Times New Roman" w:cs="Times New Roman" w:eastAsia="Times New Roman" w:hAnsi="Times New Roman"/>
          <w:sz w:val="17"/>
          <w:szCs w:val="17"/>
          <w:color w:val="auto"/>
        </w:rPr>
        <w:t>Certain states have laws regulating the amount of time that may elapse from when a third-party payor receives a claim for services rendered to when those services are paid. Many of these state laws do not apply to our business as these laws are preempted by ERISA or otherwise exempt entities like us that provide TPA-only services.</w:t>
      </w:r>
    </w:p>
    <w:p>
      <w:pPr>
        <w:spacing w:after="0" w:line="153" w:lineRule="exact"/>
        <w:rPr>
          <w:sz w:val="20"/>
          <w:szCs w:val="20"/>
          <w:color w:val="auto"/>
        </w:rPr>
      </w:pPr>
    </w:p>
    <w:p>
      <w:pPr>
        <w:ind w:left="60" w:right="59" w:firstLine="648"/>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Network Adequacy and Access. </w:t>
      </w:r>
      <w:r>
        <w:rPr>
          <w:rFonts w:ascii="Times New Roman" w:cs="Times New Roman" w:eastAsia="Times New Roman" w:hAnsi="Times New Roman"/>
          <w:sz w:val="18"/>
          <w:szCs w:val="18"/>
          <w:color w:val="auto"/>
        </w:rPr>
        <w:t>Certain states and government programs have laws regulating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networks in order to ensure adequacy and access for beneficiaries and providers. These laws may affect us and our payor clients in network design and management. If we do not comply, we could face enforcement action or other penalties.</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Requirements Regarding the Privacy and Security of Personal Information</w:t>
      </w:r>
    </w:p>
    <w:p>
      <w:pPr>
        <w:spacing w:after="0" w:line="225"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HIPAA Privacy and Security Requirements. </w:t>
      </w:r>
      <w:r>
        <w:rPr>
          <w:rFonts w:ascii="Times New Roman" w:cs="Times New Roman" w:eastAsia="Times New Roman" w:hAnsi="Times New Roman"/>
          <w:sz w:val="18"/>
          <w:szCs w:val="18"/>
          <w:color w:val="auto"/>
        </w:rPr>
        <w:t>There are numerous federal and state laws and regulations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privacy and security of health information. In particular, regulations promulgated pursuant to the Health Insurance Portability and Accountability Act of 1996, as amended by the Health Information Technology for Economic and Clinical Health Act, or collectively referred to as HIPAA, establish privacy and security standards that limit the use and disclosure of certain individually identifiable health information (known as “protected health information”) and require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the implementation of administrative, physical and technological safeguards to protect the privacy of protected health information and ensure the confidentiality, integrity and availability of electronic protected health information.</w:t>
      </w:r>
    </w:p>
    <w:p>
      <w:pPr>
        <w:spacing w:after="0" w:line="14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solutions and for other limited purposes, but other uses and disclosures, such as marketing communications, require written authorization from the patient or must meet an exception specified under the privacy regulations.</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Privacy and Security Requirements. </w:t>
      </w:r>
      <w:r>
        <w:rPr>
          <w:rFonts w:ascii="Times New Roman" w:cs="Times New Roman" w:eastAsia="Times New Roman" w:hAnsi="Times New Roman"/>
          <w:sz w:val="18"/>
          <w:szCs w:val="18"/>
          <w:color w:val="auto"/>
        </w:rPr>
        <w:t>In addition to HIPAA, numerous other federal and state laws govern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State laws are contributing to increased enforcement activity and may also be subject to interpretation by various courts and other governmental authorities. Further, California recently enacted the California Consumer Privacy Act, or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w:t>
      </w:r>
    </w:p>
    <w:p>
      <w:pPr>
        <w:spacing w:after="0" w:line="18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 Protection and Breaches. </w:t>
      </w:r>
      <w:r>
        <w:rPr>
          <w:rFonts w:ascii="Times New Roman" w:cs="Times New Roman" w:eastAsia="Times New Roman" w:hAnsi="Times New Roman"/>
          <w:sz w:val="18"/>
          <w:szCs w:val="18"/>
          <w:color w:val="auto"/>
        </w:rPr>
        <w:t>Laws in all 50 states require businesses to provide notice to clients whose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personally identifiable information has been disclosed as a result of a data breach. Most states require holders of personal information to maintain safeguards and take certain actions in response to a data breach, such as providing prompt notification of the breach to affected individuals or the state’s attorney general.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 As a Business Associate under HIPAA, we are required to report breaches of unsecured protected health information to Covered Entities within 60 days of discovery of the breach or such shorter period as set forth in the applicable Business Associate Agreement.</w:t>
      </w:r>
    </w:p>
    <w:p>
      <w:pPr>
        <w:spacing w:after="0" w:line="18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HIPAA Transaction and Identifier Standards. </w:t>
      </w:r>
      <w:r>
        <w:rPr>
          <w:rFonts w:ascii="Times New Roman" w:cs="Times New Roman" w:eastAsia="Times New Roman" w:hAnsi="Times New Roman"/>
          <w:sz w:val="18"/>
          <w:szCs w:val="18"/>
          <w:color w:val="auto"/>
        </w:rPr>
        <w:t>HIPAA and its implementing regulations mandate format and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standards and provider identifier standards (known as the National Provider Identifier) that must be used in certain electronic transactions, such as claims, payment advice and eligibility inquiries. The U.S. Department of Health and Human Services, or HHS, now requires the use of updated standard code sets for diagnoses and procedures known as the ICD-10 code sets. Enforcement of compliance with these standards falls under HHS and is carried out by the Centers for Medicare &amp; Medicaid Services, or CMS. In the event new requirements are imposed, we will be required to modify our systems and processes to accommodate these changes.</w:t>
      </w:r>
    </w:p>
    <w:p>
      <w:pPr>
        <w:spacing w:after="0" w:line="183"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Consumer Protection Laws. </w:t>
      </w:r>
      <w:r>
        <w:rPr>
          <w:rFonts w:ascii="Times New Roman" w:cs="Times New Roman" w:eastAsia="Times New Roman" w:hAnsi="Times New Roman"/>
          <w:sz w:val="17"/>
          <w:szCs w:val="17"/>
          <w:color w:val="auto"/>
        </w:rPr>
        <w:t>Federal and state consumer protection laws are being applied increasingly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7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Restrictions on Communication. </w:t>
      </w:r>
      <w:r>
        <w:rPr>
          <w:rFonts w:ascii="Times New Roman" w:cs="Times New Roman" w:eastAsia="Times New Roman" w:hAnsi="Times New Roman"/>
          <w:sz w:val="18"/>
          <w:szCs w:val="18"/>
          <w:color w:val="auto"/>
        </w:rPr>
        <w:t>Communications with our members increasingly may be subject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rely on trademarks, copyrights, trade secrets,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relationships with providers and clients, unique benefits model, ability to track outcomes and creation of resources for all constituents, along with the skills and ingenuity of our employees, are larger contributors to our success our company. Other than the trademark Progyny (and design), Smart Cycle and UnPack It, which are not subject to any known rights of others, including any impairments, assignments or pledges, we do not believe our business is dependent to a material degree on trademarks, patents, copyrights or trade secrets.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99" w:firstLine="648"/>
        <w:spacing w:after="0" w:line="230" w:lineRule="auto"/>
        <w:rPr>
          <w:sz w:val="20"/>
          <w:szCs w:val="20"/>
          <w:color w:val="auto"/>
        </w:rPr>
      </w:pPr>
      <w:r>
        <w:rPr>
          <w:rFonts w:ascii="Times New Roman" w:cs="Times New Roman" w:eastAsia="Times New Roman" w:hAnsi="Times New Roman"/>
          <w:sz w:val="18"/>
          <w:szCs w:val="18"/>
          <w:color w:val="auto"/>
        </w:rPr>
        <w:t>Given that the majority of our clients contract with us for a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benefits plan start date, the first quarter has historically been the strongest in terms of sequential quarterly growth. We have in the past and expect in the future to experience seasonal fluctuations in our revenue as more members choose to start their fertility journey while also seeking to minimize their out-of-pocket costs as the calendar year progresses.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left="60" w:right="179" w:firstLine="630"/>
        <w:spacing w:after="0" w:line="256" w:lineRule="auto"/>
        <w:rPr>
          <w:sz w:val="20"/>
          <w:szCs w:val="20"/>
          <w:color w:val="auto"/>
        </w:rPr>
      </w:pPr>
      <w:r>
        <w:rPr>
          <w:rFonts w:ascii="Times New Roman" w:cs="Times New Roman" w:eastAsia="Times New Roman" w:hAnsi="Times New Roman"/>
          <w:sz w:val="18"/>
          <w:szCs w:val="18"/>
          <w:color w:val="auto"/>
        </w:rPr>
        <w:t>As of December 31, 2020, we had 210 full-time employees. Our employees are our most important asset and our culture is a key to our success. In response to the COVID-19 pandemic, we implemented significant changes designed to ensure the safety and well-being of our employees as well as the communities in which we operate. This includes a work-from-home policy for all of our employees for most of 2020. We have not furloughed or laid off any employees due to the pandemic. We recently re-opened our offices for a small group of employees, while implementing additional safety measures including testing, masks and social distancing protocols.</w:t>
      </w:r>
    </w:p>
    <w:p>
      <w:pPr>
        <w:spacing w:after="0" w:line="18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are united around our mission and committed to our shared values of Passion, Collaboration, Innovation, Integrity and Growth. Our people strategy is focused on employee culture and engagement, competitive compensation and development, diversity, equity and inclusion, and community outreach and support.</w:t>
      </w:r>
    </w:p>
    <w:p>
      <w:pPr>
        <w:spacing w:after="0" w:line="174" w:lineRule="exact"/>
        <w:rPr>
          <w:sz w:val="20"/>
          <w:szCs w:val="20"/>
          <w:color w:val="auto"/>
        </w:rPr>
      </w:pPr>
    </w:p>
    <w:p>
      <w:pPr>
        <w:ind w:left="700" w:right="79" w:hanging="326"/>
        <w:spacing w:after="0" w:line="254"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Culture and Engagement. </w:t>
      </w:r>
      <w:r>
        <w:rPr>
          <w:rFonts w:ascii="Times New Roman" w:cs="Times New Roman" w:eastAsia="Times New Roman" w:hAnsi="Times New Roman"/>
          <w:sz w:val="18"/>
          <w:szCs w:val="18"/>
          <w:color w:val="auto"/>
        </w:rPr>
        <w:t>Our benefits are designed to help employees and their families stay healthy, meet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goals, protect their income and help them balance their work and personal lives. These include access to mental health services, life and financial planning workshops, wellness initiatives, employee assistance programs, and new parent and return to work benefits. We also measure employee engagement on an ongoing basis, including through broad employee satisfaction surveys and pulse surveys on specific issues, intended to assess our success in promoting an environment where employees are engaged, satisfied, productive and possess a strong understanding of our business goals. The results from engagement surveys are used to implement programs and processes designed to enhance employee engagement and improve the employee experience or modify existing programs and benefits offerings.</w:t>
      </w:r>
    </w:p>
    <w:p>
      <w:pPr>
        <w:spacing w:after="0" w:line="188" w:lineRule="exact"/>
        <w:rPr>
          <w:rFonts w:ascii="Times New Roman" w:cs="Times New Roman" w:eastAsia="Times New Roman" w:hAnsi="Times New Roman"/>
          <w:sz w:val="18"/>
          <w:szCs w:val="18"/>
          <w:color w:val="auto"/>
        </w:rPr>
      </w:pPr>
    </w:p>
    <w:p>
      <w:pPr>
        <w:ind w:left="700" w:right="299" w:hanging="326"/>
        <w:spacing w:after="0" w:line="258"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Compensation and Development. </w:t>
      </w:r>
      <w:r>
        <w:rPr>
          <w:rFonts w:ascii="Times New Roman" w:cs="Times New Roman" w:eastAsia="Times New Roman" w:hAnsi="Times New Roman"/>
          <w:sz w:val="18"/>
          <w:szCs w:val="18"/>
          <w:color w:val="auto"/>
        </w:rPr>
        <w:t>We invest in our workforce by offering competitive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incentives and innovative benefits. We focus on creating opportunities for employee growth, development and training, including opportunities to cultivate talent and identify candidates for new roles from within the company, management and leadership development programs, technical skill building initiatives and mentoring programs.</w:t>
      </w:r>
    </w:p>
    <w:p>
      <w:pPr>
        <w:spacing w:after="0" w:line="183" w:lineRule="exact"/>
        <w:rPr>
          <w:rFonts w:ascii="Times New Roman" w:cs="Times New Roman" w:eastAsia="Times New Roman" w:hAnsi="Times New Roman"/>
          <w:sz w:val="18"/>
          <w:szCs w:val="18"/>
          <w:color w:val="auto"/>
        </w:rPr>
      </w:pPr>
    </w:p>
    <w:p>
      <w:pPr>
        <w:ind w:left="700" w:right="319" w:hanging="326"/>
        <w:spacing w:after="0" w:line="261"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We believe diversity, equity and inclusion results in business growth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encourages increased innovation, retention of talent and a more engaged workforce. We strive to create a workplace where all individuals feel valued, empowered and welcomed. Our key initiatives focus on recruiting outreach, internal resource groups, mentoring programs and career development ladders.</w:t>
      </w:r>
    </w:p>
    <w:p>
      <w:pPr>
        <w:spacing w:after="0" w:line="179" w:lineRule="exact"/>
        <w:rPr>
          <w:rFonts w:ascii="Times New Roman" w:cs="Times New Roman" w:eastAsia="Times New Roman" w:hAnsi="Times New Roman"/>
          <w:sz w:val="18"/>
          <w:szCs w:val="18"/>
          <w:color w:val="auto"/>
        </w:rPr>
      </w:pPr>
    </w:p>
    <w:p>
      <w:pPr>
        <w:ind w:left="700" w:right="199" w:hanging="326"/>
        <w:spacing w:after="0" w:line="258"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Outreach and Support</w:t>
      </w:r>
      <w:r>
        <w:rPr>
          <w:rFonts w:ascii="Times New Roman" w:cs="Times New Roman" w:eastAsia="Times New Roman" w:hAnsi="Times New Roman"/>
          <w:sz w:val="18"/>
          <w:szCs w:val="18"/>
          <w:color w:val="auto"/>
        </w:rPr>
        <w:t>. We believe it is important to give back and promote community outreach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through corporate giving, charitable matching, and employee volunteerism in the communities in which we live and work. We allow flexible work hours to accommodate employee volunteer opportunities, provide corporate sponsored charitable events and have designed initiatives in the fertility and maternal health space to include corporate matching of employee charitable donations.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file electronically with the SEC, our annual reports on Form 10-K, quarterly reports on Form 10-Q, current reports on Form 8-K (including amendments to those reports), proxy statements, and other information. Our SEC filings are available to the public over the Internet at the SEC’s website at http://www.sec.gov. We make available on our website at investors.progyny.com, under “Financials—SEC Filings,” free of charge, copies of these reports as soon as reasonably practicable after filing or furnishing these reports with the SEC. The information contained on the websites referenced in this Annual Report on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0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in this Annual Report on Form 10-K, including the sections titled “Cautionary Note Regarding Forward-Looking Statements,” and Part II, Item 7 “Management’s Discussion and Analysis of Financial Condition and Results of Operation” and our consolidated financial statements and the accompanying notes included elsewhere in this Annual Report on Form 10-K. The risks described below are not the only ones we face. Any of the following risks could materially and adversely affect our business, financial condition and results of operations,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is expected to continue to have, and similar health epidemics could in the future have, an adverse impact on our business, operations, and the markets and communities in which we and our clients, members and providers operate.</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business and operations have been adversely affected by the COVID-19 pandemic, which has impacted the markets and communities in which we and our clients, members and providers operate. Since December 2019, when COVID-19 was first reported, the virus has spread to countries worldwide, including the United States and more specifically, New York, New York, where our primary office is located.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ongoing COVID-19 pandemic has adversely impacted, and may continue to adversely impact, many aspects of our business. Our revenue growth for the year ended December 31, 2020 was negatively impacted by COVID-19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are acutely affected by the COVID-19 pandemic and have delayed and may not want to continue or begin new fertility cycles during the pandemic. The lack of research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our utilization rates and the number of members enrolled in our clients’ benefit plans.</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many state, local, and foreign governments have put in place, and continue to enforce in whole or in part, and may at any time choose to fully reinstate,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light of the uncertainty and rapidly evolving situation relating to the spread of COVID-19 and in compliance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with shelter-in-place orders and other government executive orders directing that all non-essential businesses close their physical operations, we implemented a work-from-home policy for all of our employees. Although we have since re-opened our offices for a small group of employees, the majority of our employees continue to work remotely.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 and may impact our ability to comply with the financial covenant relating to revenue targets in our loan agreement with Silicon Valley Bank if a material economic downturn results in substantially lower revenue than expected under our annual financial projections.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59"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We have provided and may continue to provide guidance about our business and future operating results. On February 24, 2021, we issued guidance for the first quarter of 2021 and full year 2021.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how long it will take both clinics and patients to return to normal practice volumes, which are inherently difficult to predict. This guidance, which consists of forward-looking statements, is qualified by, and subject to, such assumptions, estimates and expectations as of the date such guidance is given.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or economic conditions,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15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73% of our clients have now launched this solution, including approximately 84% of the clients we signed in 2020.</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162" w:lineRule="exact"/>
        <w:rPr>
          <w:sz w:val="20"/>
          <w:szCs w:val="20"/>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659" w:hanging="3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fertility offering;</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unemployment rate;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clients and, in particular, reduction in our clients’ headcount;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left="60" w:right="59" w:firstLine="648"/>
        <w:spacing w:after="0" w:line="312" w:lineRule="auto"/>
        <w:rPr>
          <w:sz w:val="20"/>
          <w:szCs w:val="20"/>
          <w:color w:val="auto"/>
        </w:rPr>
      </w:pPr>
      <w:r>
        <w:rPr>
          <w:rFonts w:ascii="Times New Roman" w:cs="Times New Roman" w:eastAsia="Times New Roman" w:hAnsi="Times New Roman"/>
          <w:sz w:val="17"/>
          <w:szCs w:val="17"/>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3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serve over 180 employers in the United States across more than 30 industries. For the year ended December 31, 2020, two clients accounted for 18% and 17%, or a combined 35%, of our total revenue. No other clients accounted for more than 10% for the year ended December 31, 2020. In 2019, each of our largest three clients represented more than 10% of our total revenue, accounting for 16%, 15%, and 10%, respectively.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utilization of our solutions could have an adverse effect on our business, financial condition and results of operations.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solutions include: reductions in workforce by existing clients; general economic downturn that results in business failures and high unemployment rates; outbreaks of contagious diseases or the worsening thereof, including the COVID-19 pandemic; employers no longer offering comprehensive health coverage or offering alternative solutions such as coverage on a voluntary, employee-funded basis; federal and state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159"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experienced net losses from 2015 to 2019. Our net loss from continuing operations was $8.6 million and $5.1 million for the years ended December 31, 2019 and 2018, respectively. While we have experienced significant revenue growth since 2016, achieved profitability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 care system at the state level are regularly introduced, such as in New York and California. At the federal level, President Biden and Congress may consider other legislation and/or executive orders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in this matter, and is in the process of reviewing this case. A decision is expected in 2021. On January 28, 2021, President Biden issued an Executive Order that iterates the policy of the Administration to protect and strengthen the ACA, making high-quality healthcare accessible and affordable to all Americans. The Executive Order directs federal agencies to examine agency actions to determine whether they are consistent with that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w:t>
      </w:r>
    </w:p>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experienced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requirements—Data Protection and Breaches.”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76" w:lineRule="exact"/>
        <w:rPr>
          <w:sz w:val="20"/>
          <w:szCs w:val="20"/>
          <w:color w:val="auto"/>
        </w:rPr>
      </w:pPr>
    </w:p>
    <w:p>
      <w:pPr>
        <w:ind w:left="700" w:hanging="32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ectPr>
          <w:pgSz w:w="11900" w:h="16838" w:orient="portrait"/>
          <w:cols w:equalWidth="0" w:num="1">
            <w:col w:w="9019"/>
          </w:cols>
          <w:pgMar w:left="1440" w:top="513" w:right="1440"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095"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25" w:lineRule="exact"/>
        <w:rPr>
          <w:rFonts w:ascii="Times New Roman" w:cs="Times New Roman" w:eastAsia="Times New Roman" w:hAnsi="Times New Roman"/>
          <w:sz w:val="18"/>
          <w:szCs w:val="18"/>
          <w:color w:val="auto"/>
        </w:rPr>
      </w:pPr>
    </w:p>
    <w:p>
      <w:pPr>
        <w:ind w:left="700" w:right="55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259" w:firstLine="324"/>
        <w:spacing w:after="0" w:line="272" w:lineRule="auto"/>
        <w:rPr>
          <w:sz w:val="20"/>
          <w:szCs w:val="20"/>
          <w:color w:val="auto"/>
        </w:rPr>
      </w:pPr>
      <w:r>
        <w:rPr>
          <w:rFonts w:ascii="Times New Roman" w:cs="Times New Roman" w:eastAsia="Times New Roman" w:hAnsi="Times New Roman"/>
          <w:sz w:val="17"/>
          <w:szCs w:val="17"/>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w:t>
      </w:r>
    </w:p>
    <w:p>
      <w:pPr>
        <w:spacing w:after="0" w:line="2" w:lineRule="exact"/>
        <w:rPr>
          <w:sz w:val="20"/>
          <w:szCs w:val="20"/>
          <w:color w:val="auto"/>
        </w:rPr>
      </w:pPr>
    </w:p>
    <w:p>
      <w:pPr>
        <w:ind w:left="60" w:right="459"/>
        <w:spacing w:after="0" w:line="260" w:lineRule="auto"/>
        <w:rPr>
          <w:sz w:val="20"/>
          <w:szCs w:val="20"/>
          <w:color w:val="auto"/>
        </w:rPr>
      </w:pPr>
      <w:r>
        <w:rPr>
          <w:rFonts w:ascii="Times New Roman" w:cs="Times New Roman" w:eastAsia="Times New Roman" w:hAnsi="Times New Roman"/>
          <w:sz w:val="18"/>
          <w:szCs w:val="18"/>
          <w:color w:val="auto"/>
        </w:rPr>
        <w:t>You should not rely on our revenue for any prior quarterly or annual periods as any indication of our future revenue or revenue growth.</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98"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121" w:lineRule="exact"/>
        <w:rPr>
          <w:rFonts w:ascii="Times New Roman" w:cs="Times New Roman" w:eastAsia="Times New Roman" w:hAnsi="Times New Roman"/>
          <w:sz w:val="18"/>
          <w:szCs w:val="18"/>
          <w:color w:val="auto"/>
        </w:rPr>
      </w:pPr>
    </w:p>
    <w:p>
      <w:pPr>
        <w:ind w:left="700" w:right="779" w:hanging="3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12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our business, financial position and results of operations may be harmed.</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benefits attracts potential competitors to enter the market and results in greater competition, our business, financial condition and results of operations could be adversely affected.</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Reductions in employee benefits spending or material defaults by members on their cost share due to unfavorable conditions in our industry or the United States economy could limit our ability to grow our business and negatively affect our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Unfavorable economic conditions could result in the cancellation by certain clients, a reduction in their number of employees or material defaults by members on their cost share, particularly if they lose their employer coverage and do not replace it with a health benefit plan that provides fertility coverage. Unfavorable changes in our industry or in the United States economy could have a negative effect on our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COVID-19 pandemic, warfare and terrorist attacks on the United States, could cause a decrease in business investments, including spending on employee benefits, and negatively affect the growth of our business.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increasing treatments in the latter part of the year. We expect that this seasonality will continue to affect our revenue and results of operations in the future as we continue to target larger enterprise clients.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one or more of our executive officers, or the failure by our executive team to effectively work with our employees and lead our company, could harm our business.</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15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 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 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7"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9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 We do not control the pricing strategies of our specialty pharmacy partners, each of whom may be motivated by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1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9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maintain contractual relationships with select pharmaceutical manufacturers, which provide us with access to limited distribution specialty pharmaceutical rebates for drugs we purchase. While we have contractual relationships with such pharmaceutical manufacturers, such manufacturers in turn often negotiate complex and multi-party pricing structures with other industry participants, and we have no control over the policies and strategies implemented in negotiating these pricing structures, and such structures may set or significantly impact market prices for prescription drugs we purchase and associated rebates for such drugs. Pharmaceutical manufacturers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participants—impact the list prices for medications. Our ability to obtain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 with benefits consultants.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complex and evolving legal and regulatory requirements.</w:t>
      </w:r>
    </w:p>
    <w:p>
      <w:pPr>
        <w:spacing w:after="0" w:line="9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federal and state statutes, regulations, guidance and contractual provisions related to or impacting the healthcare industry that may apply to our business activities directly or indirectly, including, but not limited to:</w:t>
      </w:r>
    </w:p>
    <w:p>
      <w:pPr>
        <w:spacing w:after="0" w:line="77" w:lineRule="exact"/>
        <w:rPr>
          <w:sz w:val="20"/>
          <w:szCs w:val="20"/>
          <w:color w:val="auto"/>
        </w:rPr>
      </w:pPr>
    </w:p>
    <w:p>
      <w:pPr>
        <w:jc w:val="both"/>
        <w:ind w:left="1020" w:right="79" w:hanging="322"/>
        <w:spacing w:after="0" w:line="253"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acting as 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06" w:lineRule="exact"/>
        <w:rPr>
          <w:rFonts w:ascii="Times New Roman" w:cs="Times New Roman" w:eastAsia="Times New Roman" w:hAnsi="Times New Roman"/>
          <w:sz w:val="18"/>
          <w:szCs w:val="18"/>
          <w:color w:val="auto"/>
        </w:rPr>
      </w:pPr>
    </w:p>
    <w:p>
      <w:pPr>
        <w:jc w:val="both"/>
        <w:ind w:left="1020" w:right="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91" w:lineRule="exact"/>
        <w:rPr>
          <w:rFonts w:ascii="Times New Roman" w:cs="Times New Roman" w:eastAsia="Times New Roman" w:hAnsi="Times New Roman"/>
          <w:sz w:val="18"/>
          <w:szCs w:val="18"/>
          <w:color w:val="auto"/>
        </w:rPr>
      </w:pPr>
    </w:p>
    <w:p>
      <w:pPr>
        <w:jc w:val="both"/>
        <w:ind w:left="102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03" w:lineRule="exact"/>
        <w:rPr>
          <w:rFonts w:ascii="Times New Roman" w:cs="Times New Roman" w:eastAsia="Times New Roman" w:hAnsi="Times New Roman"/>
          <w:sz w:val="18"/>
          <w:szCs w:val="18"/>
          <w:color w:val="auto"/>
        </w:rPr>
      </w:pPr>
    </w:p>
    <w:p>
      <w:pPr>
        <w:jc w:val="both"/>
        <w:ind w:left="1020" w:right="79" w:hanging="322"/>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There are numerous federal and state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59"/>
        <w:spacing w:after="0" w:line="252" w:lineRule="auto"/>
        <w:rPr>
          <w:sz w:val="20"/>
          <w:szCs w:val="20"/>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91" w:lineRule="exact"/>
        <w:rPr>
          <w:sz w:val="20"/>
          <w:szCs w:val="20"/>
          <w:color w:val="auto"/>
        </w:rPr>
      </w:pPr>
    </w:p>
    <w:p>
      <w:pPr>
        <w:jc w:val="both"/>
        <w:ind w:left="1020" w:right="79" w:hanging="322"/>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04" w:lineRule="exact"/>
        <w:rPr>
          <w:rFonts w:ascii="Times New Roman" w:cs="Times New Roman" w:eastAsia="Times New Roman" w:hAnsi="Times New Roman"/>
          <w:sz w:val="18"/>
          <w:szCs w:val="18"/>
          <w:color w:val="auto"/>
        </w:rPr>
      </w:pPr>
    </w:p>
    <w:p>
      <w:pPr>
        <w:jc w:val="both"/>
        <w:ind w:left="1020" w:right="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020" w:right="79" w:hanging="322"/>
        <w:spacing w:after="0" w:line="25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9" w:lineRule="exact"/>
        <w:rPr>
          <w:rFonts w:ascii="Times New Roman" w:cs="Times New Roman" w:eastAsia="Times New Roman" w:hAnsi="Times New Roman"/>
          <w:sz w:val="18"/>
          <w:szCs w:val="18"/>
          <w:color w:val="auto"/>
        </w:rPr>
      </w:pPr>
    </w:p>
    <w:p>
      <w:pPr>
        <w:jc w:val="both"/>
        <w:ind w:left="102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8" w:lineRule="exact"/>
        <w:rPr>
          <w:rFonts w:ascii="Times New Roman" w:cs="Times New Roman" w:eastAsia="Times New Roman" w:hAnsi="Times New Roman"/>
          <w:sz w:val="18"/>
          <w:szCs w:val="18"/>
          <w:color w:val="auto"/>
        </w:rPr>
      </w:pPr>
    </w:p>
    <w:p>
      <w:pPr>
        <w:jc w:val="both"/>
        <w:ind w:left="1020" w:right="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91" w:lineRule="exact"/>
        <w:rPr>
          <w:rFonts w:ascii="Times New Roman" w:cs="Times New Roman" w:eastAsia="Times New Roman" w:hAnsi="Times New Roman"/>
          <w:sz w:val="18"/>
          <w:szCs w:val="18"/>
          <w:color w:val="auto"/>
        </w:rPr>
      </w:pPr>
    </w:p>
    <w:p>
      <w:pPr>
        <w:jc w:val="both"/>
        <w:ind w:left="1020" w:right="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020" w:right="79" w:hanging="322"/>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6" w:lineRule="exact"/>
        <w:rPr>
          <w:rFonts w:ascii="Times New Roman" w:cs="Times New Roman" w:eastAsia="Times New Roman" w:hAnsi="Times New Roman"/>
          <w:sz w:val="18"/>
          <w:szCs w:val="18"/>
          <w:color w:val="auto"/>
        </w:rPr>
      </w:pPr>
    </w:p>
    <w:p>
      <w:pPr>
        <w:jc w:val="both"/>
        <w:ind w:left="1020" w:right="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84"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88" w:lineRule="exact"/>
        <w:rPr>
          <w:rFonts w:ascii="Times New Roman" w:cs="Times New Roman" w:eastAsia="Times New Roman" w:hAnsi="Times New Roman"/>
          <w:sz w:val="18"/>
          <w:szCs w:val="18"/>
          <w:color w:val="auto"/>
        </w:rPr>
      </w:pPr>
    </w:p>
    <w:p>
      <w:pPr>
        <w:jc w:val="both"/>
        <w:ind w:left="1020" w:right="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3"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of medicine,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spacing w:after="0" w:line="261" w:lineRule="auto"/>
        <w:rPr>
          <w:sz w:val="20"/>
          <w:szCs w:val="20"/>
          <w:color w:val="auto"/>
        </w:rPr>
      </w:pPr>
      <w:r>
        <w:rPr>
          <w:rFonts w:ascii="Times New Roman" w:cs="Times New Roman" w:eastAsia="Times New Roman" w:hAnsi="Times New Roman"/>
          <w:sz w:val="18"/>
          <w:szCs w:val="18"/>
          <w:color w:val="auto"/>
        </w:rPr>
        <w:t>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76" w:lineRule="exact"/>
        <w:rPr>
          <w:sz w:val="20"/>
          <w:szCs w:val="20"/>
          <w:color w:val="auto"/>
        </w:rPr>
      </w:pPr>
    </w:p>
    <w:p>
      <w:pPr>
        <w:jc w:val="both"/>
        <w:ind w:left="1020" w:right="79" w:hanging="322"/>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aspects of employee health plans, 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w:t>
      </w:r>
    </w:p>
    <w:p>
      <w:pPr>
        <w:spacing w:after="0" w:line="5" w:lineRule="exact"/>
        <w:rPr>
          <w:sz w:val="20"/>
          <w:szCs w:val="20"/>
          <w:color w:val="auto"/>
        </w:rPr>
      </w:pPr>
    </w:p>
    <w:p>
      <w:pPr>
        <w:jc w:val="both"/>
        <w:ind w:left="1020" w:right="79"/>
        <w:spacing w:after="0" w:line="252" w:lineRule="auto"/>
        <w:rPr>
          <w:sz w:val="20"/>
          <w:szCs w:val="20"/>
          <w:color w:val="auto"/>
        </w:rPr>
      </w:pPr>
      <w:r>
        <w:rPr>
          <w:rFonts w:ascii="Times New Roman" w:cs="Times New Roman" w:eastAsia="Times New Roman" w:hAnsi="Times New Roman"/>
          <w:sz w:val="18"/>
          <w:szCs w:val="18"/>
          <w:color w:val="auto"/>
        </w:rPr>
        <w:t xml:space="preserve">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established that ERISA does not preempt all state laws imposing transparency or other requirements on PBMs.</w:t>
      </w:r>
    </w:p>
    <w:p>
      <w:pPr>
        <w:spacing w:after="0" w:line="186" w:lineRule="exact"/>
        <w:rPr>
          <w:sz w:val="20"/>
          <w:szCs w:val="20"/>
          <w:color w:val="auto"/>
        </w:rPr>
      </w:pPr>
    </w:p>
    <w:p>
      <w:pPr>
        <w:jc w:val="both"/>
        <w:ind w:left="1020" w:right="79" w:hanging="322"/>
        <w:spacing w:after="0" w:line="253"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89" w:lineRule="exact"/>
        <w:rPr>
          <w:rFonts w:ascii="Times New Roman" w:cs="Times New Roman" w:eastAsia="Times New Roman" w:hAnsi="Times New Roman"/>
          <w:sz w:val="18"/>
          <w:szCs w:val="18"/>
          <w:color w:val="auto"/>
        </w:rPr>
      </w:pPr>
    </w:p>
    <w:p>
      <w:pPr>
        <w:jc w:val="both"/>
        <w:ind w:left="1020" w:right="79" w:hanging="322"/>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020" w:right="79" w:hanging="322"/>
        <w:spacing w:after="0" w:line="25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2" w:lineRule="exact"/>
        <w:rPr>
          <w:rFonts w:ascii="Times New Roman" w:cs="Times New Roman" w:eastAsia="Times New Roman" w:hAnsi="Times New Roman"/>
          <w:sz w:val="18"/>
          <w:szCs w:val="18"/>
          <w:color w:val="auto"/>
        </w:rPr>
      </w:pPr>
    </w:p>
    <w:p>
      <w:pPr>
        <w:jc w:val="both"/>
        <w:ind w:left="1020" w:right="79" w:hanging="322"/>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For example, the United States Supreme Court heard oral arguments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which consolidated two cases regarding the constitutionality of the ACA on November 10, 2020. A decision is expected in 2021. The Supreme Court’s decision could end the case, or it could result in the case being sent back to the lower courts for continued litigation.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enacted on December 27, 2020, contain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effective December 27, 2021. The CAA will also require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providers, subject to certain exceptions. Several states have also enacted comprehensive surprise billing laws and the CAA defers to existing state requirements with respect to state-established payment amounts.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Further, the U.S. Supreme Court’s recent decision in </w:t>
      </w:r>
      <w:r>
        <w:rPr>
          <w:rFonts w:ascii="Times New Roman" w:cs="Times New Roman" w:eastAsia="Times New Roman" w:hAnsi="Times New Roman"/>
          <w:sz w:val="18"/>
          <w:szCs w:val="18"/>
          <w:i w:val="1"/>
          <w:iCs w:val="1"/>
          <w:color w:val="auto"/>
        </w:rPr>
        <w:t>Rutledge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 Care Mgmt. Ass’n </w:t>
      </w:r>
      <w:r>
        <w:rPr>
          <w:rFonts w:ascii="Times New Roman" w:cs="Times New Roman" w:eastAsia="Times New Roman" w:hAnsi="Times New Roman"/>
          <w:sz w:val="18"/>
          <w:szCs w:val="18"/>
          <w:color w:val="auto"/>
        </w:rPr>
        <w:t>on December 10, 2020, which held that an Arkansas state law requiring PBMs to reimburse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Times New Roman" w:cs="Times New Roman" w:eastAsia="Times New Roman" w:hAnsi="Times New Roman"/>
          <w:sz w:val="18"/>
          <w:szCs w:val="18"/>
          <w:i w:val="1"/>
          <w:iCs w:val="1"/>
          <w:color w:val="auto"/>
        </w:rPr>
        <w:t>Rutledge</w:t>
      </w:r>
      <w:r>
        <w:rPr>
          <w:rFonts w:ascii="Times New Roman" w:cs="Times New Roman" w:eastAsia="Times New Roman" w:hAnsi="Times New Roman"/>
          <w:sz w:val="18"/>
          <w:szCs w:val="18"/>
          <w:color w:val="auto"/>
        </w:rPr>
        <w:t xml:space="preserve"> ruling, for example, New York has already reintroduced previously vetoed PBM legislation and Governor Andrew Cuomo has issued an Executive Budget for 2022 that highlights the need for PBM accountability. At least 10 states have proposed new PBM legislation in 2021 alone, including New York, Texas, and Florida.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the recent finalization of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90"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3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As discussed in Part I, Item 3 of this Annual Report on the Form 10-K, we were subject to a vendor arbitration that was recently settled in December 2020. As part of our settlement and to avoid further costs, we agreed to pay the vendor a total of $5.75 million.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25" w:lineRule="exact"/>
        <w:rPr>
          <w:sz w:val="20"/>
          <w:szCs w:val="20"/>
          <w:color w:val="auto"/>
        </w:rPr>
      </w:pPr>
    </w:p>
    <w:p>
      <w:pPr>
        <w:ind w:left="700" w:right="19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225" w:lineRule="exact"/>
        <w:rPr>
          <w:rFonts w:ascii="Times New Roman" w:cs="Times New Roman" w:eastAsia="Times New Roman" w:hAnsi="Times New Roman"/>
          <w:sz w:val="18"/>
          <w:szCs w:val="18"/>
          <w:color w:val="auto"/>
        </w:rPr>
      </w:pPr>
    </w:p>
    <w:p>
      <w:pPr>
        <w:ind w:left="700" w:right="379" w:hanging="326"/>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25" w:lineRule="exact"/>
        <w:rPr>
          <w:rFonts w:ascii="Times New Roman" w:cs="Times New Roman" w:eastAsia="Times New Roman" w:hAnsi="Times New Roman"/>
          <w:sz w:val="18"/>
          <w:szCs w:val="18"/>
          <w:color w:val="auto"/>
        </w:rPr>
      </w:pPr>
    </w:p>
    <w:p>
      <w:pPr>
        <w:ind w:left="700" w:right="21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share price.</w:t>
      </w:r>
    </w:p>
    <w:p>
      <w:pPr>
        <w:spacing w:after="0" w:line="16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developments could have an adverse effect on our results of operations.</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9"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6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As of January 1, 2020, we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using the modified retrospective transition method and recorded a right-of-use asset and lease liabilities of $9.5 million and $9.9 million, respectively. In addition, as of January 1, 2020, we also adopted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326) </w:t>
      </w:r>
      <w:r>
        <w:rPr>
          <w:rFonts w:ascii="Times New Roman" w:cs="Times New Roman" w:eastAsia="Times New Roman" w:hAnsi="Times New Roman"/>
          <w:sz w:val="18"/>
          <w:szCs w:val="18"/>
          <w:color w:val="auto"/>
        </w:rPr>
        <w:t>using the modified retrospective transition method, which resulted in a cumulative-effect adjustment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deficit of $1.2 million and impacted our methodology for calculating and estimating our allowance for doubtful accounts. See Note 2 – Summary of Significant Accounting Policies, in the consolidated financial statements included in Part II, Item 8 of this Annual Report on Form 10-K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revenue recognition including accrued receivables and allowance for service changes and cancellations, accrued claims payable, stock-based compensation, and accounting for income taxes have the greatest potential impact on our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substantially as a result of this and a variety of factors, some of which are beyond our control, including, but not limited to:</w:t>
      </w:r>
    </w:p>
    <w:p>
      <w:pPr>
        <w:spacing w:after="0" w:line="225" w:lineRule="exact"/>
        <w:rPr>
          <w:sz w:val="20"/>
          <w:szCs w:val="20"/>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recent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recent COVID-19 pandemic;</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achieve compliance with Section 404, we perform system and process evaluation and testing of our internal controls over financial reporting to allow management to report on the effectiveness of our internal controls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2020, there were an aggregate of 13,384,301 and 489,067 shares of our common stock subject to outstanding options and unvested restricted stock units, respectively.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ectPr>
          <w:pgSz w:w="11900" w:h="16838" w:orient="portrait"/>
          <w:cols w:equalWidth="0" w:num="1">
            <w:col w:w="9019"/>
          </w:cols>
          <w:pgMar w:left="1440" w:top="513" w:right="1440" w:bottom="1095"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095" w:gutter="0" w:footer="0" w:header="0"/>
          <w:type w:val="continuous"/>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90"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700" w:right="99" w:hanging="326"/>
        <w:spacing w:after="0" w:line="266"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61" w:lineRule="exact"/>
        <w:rPr>
          <w:rFonts w:ascii="Times New Roman" w:cs="Times New Roman" w:eastAsia="Times New Roman" w:hAnsi="Times New Roman"/>
          <w:sz w:val="18"/>
          <w:szCs w:val="18"/>
          <w:color w:val="auto"/>
        </w:rPr>
      </w:pPr>
    </w:p>
    <w:p>
      <w:pPr>
        <w:ind w:left="700" w:right="17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700" w:right="41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161"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161" w:lineRule="exact"/>
        <w:rPr>
          <w:rFonts w:ascii="Times New Roman" w:cs="Times New Roman" w:eastAsia="Times New Roman" w:hAnsi="Times New Roman"/>
          <w:sz w:val="18"/>
          <w:szCs w:val="18"/>
          <w:color w:val="auto"/>
        </w:rPr>
      </w:pPr>
    </w:p>
    <w:p>
      <w:pPr>
        <w:ind w:left="700" w:right="21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bylaws and certain provisions of our certificate of incorporation.</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shares of our common stock, and they could deter potential acquirers of our company, thereby reducing the likelihood that you would receive a premium for your shares of our common stock in an acquisition.</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8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1359 Broadway, New York, New York 10018, under a sublease that commenced in September 2019 and expires in May 2029. We use this space for administration, sales and marketing and client support.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1119" w:firstLine="648"/>
        <w:spacing w:after="0" w:line="282" w:lineRule="auto"/>
        <w:rPr>
          <w:sz w:val="20"/>
          <w:szCs w:val="20"/>
          <w:color w:val="auto"/>
        </w:rPr>
      </w:pPr>
      <w:r>
        <w:rPr>
          <w:rFonts w:ascii="Times New Roman" w:cs="Times New Roman" w:eastAsia="Times New Roman" w:hAnsi="Times New Roman"/>
          <w:sz w:val="18"/>
          <w:szCs w:val="18"/>
          <w:color w:val="auto"/>
        </w:rPr>
        <w:t>See Part II, Item 8 “Financial Statements and Supplementary Data — Note 15 — Commitments and Contingencies — Arbitration/Litigation.”</w:t>
      </w:r>
    </w:p>
    <w:p>
      <w:pPr>
        <w:spacing w:after="0" w:line="37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225" w:lineRule="exact"/>
        <w:rPr>
          <w:sz w:val="20"/>
          <w:szCs w:val="20"/>
          <w:color w:val="auto"/>
        </w:rPr>
      </w:pPr>
    </w:p>
    <w:p>
      <w:pPr>
        <w:ind w:left="60" w:right="3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sets forth information regarding our executive officers and directors as of the date of this Annual Report on Form 10-K.</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5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42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3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Schlanger</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Anevski</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Bealer</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Secretary and General Counsel</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Greenbaum</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Client Officer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Livingston</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8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 Employee Directors: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Seidenberg, M.D.</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63</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Malissia Clinton</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E. Cohen, D.Phil.</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Gordon</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Roger Holstein</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68</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Park</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Norman Payson, M.D.</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72</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Cheryl Scott</w:t>
            </w:r>
          </w:p>
        </w:tc>
        <w:tc>
          <w:tcPr>
            <w:tcW w:w="7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71</w:t>
            </w:r>
          </w:p>
        </w:tc>
        <w:tc>
          <w:tcPr>
            <w:tcW w:w="20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Schlanger </w:t>
      </w:r>
      <w:r>
        <w:rPr>
          <w:rFonts w:ascii="Times New Roman" w:cs="Times New Roman" w:eastAsia="Times New Roman" w:hAnsi="Times New Roman"/>
          <w:sz w:val="18"/>
          <w:szCs w:val="18"/>
          <w:color w:val="auto"/>
        </w:rPr>
        <w:t>has served as our Chief Executive Officer since January 2017 and on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2017. From August 2013 until September 2016, he served as the Chief Executive Officer of WebMD Health Corp., or WebMD. Prior to that, he served as the Interim Chief Executive Officer and in various other senior executive positions at WebMD and predecessor companies for more than 15 years, including as Senior Vice President, Strategic and Corporate Development and Senior Vice President, Corporate Development. Mr. Schlanger received his B.S. from Georgetown University and his J.D. from the University of Michigan Law School. We believe that Mr. Schlanger is qualified to serve on our board of directors because of his extensive experience at healthcare companies and in executive management.</w:t>
      </w:r>
    </w:p>
    <w:p>
      <w:pPr>
        <w:spacing w:after="0" w:line="183"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Peter Anevski </w:t>
      </w:r>
      <w:r>
        <w:rPr>
          <w:rFonts w:ascii="Times New Roman" w:cs="Times New Roman" w:eastAsia="Times New Roman" w:hAnsi="Times New Roman"/>
          <w:sz w:val="18"/>
          <w:szCs w:val="18"/>
          <w:color w:val="auto"/>
        </w:rPr>
        <w:t>has served as our Chief Operating Officer since January 2017 and our President since June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September 2020, Mr. Anevski also served as our Chief Financial Officer. Mr. Anevski has extensive experience managing financial functions for public companies. From May 2013 until September 2016, he served as the Executive Vice President and Chief Financial Officer of WebMD. Prior to that, Mr. Anevski served in senior finance and operations roles at WebMD and predecessor companies for 14 years, including as Senior Vice President, Finance. Mr. Anevski received his B.A. in Accounting from Montclair State University.</w:t>
      </w:r>
    </w:p>
    <w:p>
      <w:pPr>
        <w:spacing w:after="0" w:line="182"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Jennifer Bealer </w:t>
      </w:r>
      <w:r>
        <w:rPr>
          <w:rFonts w:ascii="Times New Roman" w:cs="Times New Roman" w:eastAsia="Times New Roman" w:hAnsi="Times New Roman"/>
          <w:sz w:val="18"/>
          <w:szCs w:val="18"/>
          <w:color w:val="auto"/>
        </w:rPr>
        <w:t>has served as our General Counsel since October 2017. Prior to that, she was an Associate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Ropes &amp; Gray’s nationally-ranked healthcare practice from November 2010 to October 2017, where she gained extensive expertise in providing healthcare clients with strategic, regulatory, compliance and transaction advice. Ms. Bealer holds Bachelor of Science degrees in Biology and Psychology from the Pennsylvania State University and received her J.D. from the University of Pennsylvania Law School, A.L.M from Harvard University, and Master of Bioethics from University of Pennsylvania School of Medicine.</w:t>
      </w:r>
    </w:p>
    <w:p>
      <w:pPr>
        <w:spacing w:after="0" w:line="182" w:lineRule="exact"/>
        <w:rPr>
          <w:sz w:val="20"/>
          <w:szCs w:val="20"/>
          <w:color w:val="auto"/>
        </w:rPr>
      </w:pPr>
    </w:p>
    <w:p>
      <w:pPr>
        <w:ind w:left="60" w:right="3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Lisa Greenbaum </w:t>
      </w:r>
      <w:r>
        <w:rPr>
          <w:rFonts w:ascii="Times New Roman" w:cs="Times New Roman" w:eastAsia="Times New Roman" w:hAnsi="Times New Roman"/>
          <w:sz w:val="18"/>
          <w:szCs w:val="18"/>
          <w:color w:val="auto"/>
        </w:rPr>
        <w:t>has served as our Executive Vice President and Chief Client Officer since June 2019.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Ms. Greenbaum spent 15 years at WebMD in various roles, including Group General Manager of Professional Services, Senior Vice President, Group Vice President, Vice President of Sales and Executive Director. She also has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experience working for digital health and pharmaceutical companies, including HealthStream, Merck and Procter &amp; Gamble. Ms. Greenbaum received her B.A. from Duke University.</w:t>
      </w:r>
    </w:p>
    <w:p>
      <w:pPr>
        <w:spacing w:after="0" w:line="160" w:lineRule="exact"/>
        <w:rPr>
          <w:sz w:val="20"/>
          <w:szCs w:val="20"/>
          <w:color w:val="auto"/>
        </w:rPr>
      </w:pPr>
    </w:p>
    <w:p>
      <w:pPr>
        <w:ind w:left="60" w:right="99"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 Livingston </w:t>
      </w:r>
      <w:r>
        <w:rPr>
          <w:rFonts w:ascii="Times New Roman" w:cs="Times New Roman" w:eastAsia="Times New Roman" w:hAnsi="Times New Roman"/>
          <w:sz w:val="17"/>
          <w:szCs w:val="17"/>
          <w:color w:val="auto"/>
        </w:rPr>
        <w:t>has served as our Chief Financial Officer since September 2020. Previously, Mr. Livingston had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our Executive Vice President of Finance since May 2019. Prior to joining that, he served as Chief Financial Officer of the international business at Scripps Network Interactive, a media company, where he worked from August 2010 to April 2018, and as Chief Financial Officer of Emerson, Reid &amp; Company, an employee benefits wholesaler, from June 2007 to August 2010. Previously, Mr. Livingston has held senior financial leadership roles at WebMD Corporation and Hess Corporation. Mr. Livingston received his B.S. from Tulane University, and is a licensed Certified Public Accountant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Beth Seidenberg, M.D. </w:t>
      </w:r>
      <w:r>
        <w:rPr>
          <w:rFonts w:ascii="Times New Roman" w:cs="Times New Roman" w:eastAsia="Times New Roman" w:hAnsi="Times New Roman"/>
          <w:sz w:val="18"/>
          <w:szCs w:val="18"/>
          <w:color w:val="auto"/>
        </w:rPr>
        <w:t>has served as a member of our board of directors since May 2010 and as Chair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June 2015. Dr. Seidenberg has been a partner at Kleiner Perkins, a venture capital firm, since May 2005, where she primarily focuses on life sciences investing. She has also served as the Managing Director of Westlake Village BioPartners, another venture capital firm, since August 2018. Prior to joining Kleiner Perkins, Dr. Seidenberg was the Senior Vice President, Head of Global Development and Chief Medical Officer at Amgen, Inc., a biotechnology company. In addition, Dr. Seidenberg was a senior executive in research and development at Bristol Myers Squibb Company, a biopharmaceutical company, and Merck. Dr. Seidenberg has served on the board of directors of Atara Biotherapeutics since August 2012. Dr. Seidenberg previously served on the boards of directors of Epizyme, Inc., from February 2008 to September 2019, Tesaro, Inc., from June 2011 to February 2019, and ARMO BioSciences, Inc. from December 2012 until June 2018.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Malissia Clinton </w:t>
      </w:r>
      <w:r>
        <w:rPr>
          <w:rFonts w:ascii="Times New Roman" w:cs="Times New Roman" w:eastAsia="Times New Roman" w:hAnsi="Times New Roman"/>
          <w:sz w:val="18"/>
          <w:szCs w:val="18"/>
          <w:color w:val="auto"/>
        </w:rPr>
        <w:t>has served as a member of our board of directors since November 2020. Ms. Clinton has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Senior Vice President, General Counsel and Secretary at The Aerospace Corporation since 2009. She previously worked at Northrop Grumman from 2002 to 2009, including her role as Senior Counsel for Special Projects beginning in 2007. Ms. Clinton joined TRW Space Technology, a division of TRW, Inc., in 1998 as Counsel in its Telecommunication Programs and Avionic Systems division. She began her career as an Associate at Tuttle &amp; Taylor. Additionally, Ms. Clinton has served on the board of directors of 3D Systems Corporation since 2019 and on the board of directors of City of Hope Medical Center since 2016. Ms. Clinton holds a Bachelor of Science degree in Political Science and Government from Arizona State University and received her Juris Doctor from the Stanford Law School. We believe that Ms. Clinton is qualified to serve on our board of directors because of her strong legal background and extensive experience in corporate governance.</w:t>
      </w:r>
    </w:p>
    <w:p>
      <w:pPr>
        <w:spacing w:after="0" w:line="18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Fred E. Cohen, M.D. D.Phil. </w:t>
      </w:r>
      <w:r>
        <w:rPr>
          <w:rFonts w:ascii="Times New Roman" w:cs="Times New Roman" w:eastAsia="Times New Roman" w:hAnsi="Times New Roman"/>
          <w:sz w:val="18"/>
          <w:szCs w:val="18"/>
          <w:color w:val="auto"/>
        </w:rPr>
        <w:t>has served on our board of directors since March 2015. Dr. Cohen is currently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Advisor to TPG Capital, where he previously served for over 15 years as a Partner, and founder of TPG Biotechnology, a life science focused venture capital fund. Beginning in November 2017, Dr. Cohen has served as a co-founder and senior managing director of Vida Ventures, LLC, a biotechnology venture capital fund. In addition, for three decades throughout his career, Dr. Cohen has been affiliated with University of California, San Francisco where he held various clinical responsibilities, including as a research scientist, an internist for hospitalized patients, a consulting endocrinologist, and the Chief of the Division of Endocrinology and Metabolism. Dr. Cohen currently serves on the boards of directors of the following public companies: Urogen Pharma Ltd. (since May 2017), CareDx, Inc. (since January 2003), Intellia Therapeutics, Inc. (since January 2019) and Veracyte, Inc. (since 2007). Dr. Cohen also serves on the board of directors of several privately-held companies and previously served on the board of directors of BioCryst Pharmaceuticals, Inc. from July 2013 until January 2019, Quintiles Transnational Holdings, Inc. from May 2007 to November 2015, Roka Bioscience, Inc. from September 2009 to October 2017, Five Prime Therapeutics, Inc. from May 2002 until May 2018, Tandem Diabetes Care, Inc. from June 2013 until June 2019 and Genomic Health Inc. from April 2002 until November 2019. Dr. Cohen received his B.S. degree in Molecular Biophysics and Biochemistry from Yale University, his D.Phil. in Molecular Biophysics from Oxford on a Rhodes Scholarship, and his M.D. from Stanford. He is a member of the National Academy of Medicine and the American Academy of Arts and Sciences. We believe that Dr. Cohen is qualified to serve on our board of directors because of his financial and medical knowledge and experience.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Kevin Gordon </w:t>
      </w:r>
      <w:r>
        <w:rPr>
          <w:rFonts w:ascii="Times New Roman" w:cs="Times New Roman" w:eastAsia="Times New Roman" w:hAnsi="Times New Roman"/>
          <w:sz w:val="18"/>
          <w:szCs w:val="18"/>
          <w:color w:val="auto"/>
        </w:rPr>
        <w:t>has served as a member of our board of directors since October 2019. Mr. Gordon has also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board of directors of Veracyte, Inc., a genomic diagnostics company, since December 2016, and Q Holdco Limited, a private company that provides world class engineered and elastomeric solutions, since September 2019. From January 2018 until March 2019, he was the President and Chief Financial Officer of Liquidia Technologies Inc., a clinical biopharmaceutical company. Mr. Gordon served as Executive Vice President and Chief Operating Officer of Quintiles Transnational Holdings Inc., or Quintiles, a research, clinical trial and pharmaceutical consulting company, from October 2015 until its merger with IMS Health Holdings, Inc. (forming IQVIA Holdings, Inc.) in October 2016. Prior to that, he was the Executive Vice President and Chief Financial Officer of Quintiles from July 2010 until December 2015. Mr. Gordon served as Executive Vice President and Chief Financial Officer of Teleflex Incorporated, a medical device company, from March 2007 until January 2010. Mr. Gordon held various senior corporate development positions at Teleflex Incorporated from 1997 to 2007. From 1992 to 1997, he held various senior positions, including Chief Financial Officer at Package Machinery Company. From 1984 to 1992, he held senior manager and other various finance positions at KPMG LLP. Mr. Gordon holds a Bachelor of Science degree in Accounting from the University of Connecticut. We believe that Mr. Gordon is qualified to serve on our board of directors because of his extensive accounting experience and leadership experience in healthcare companies.</w:t>
      </w:r>
    </w:p>
    <w:p>
      <w:pPr>
        <w:spacing w:after="0" w:line="19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Roger Holstein </w:t>
      </w:r>
      <w:r>
        <w:rPr>
          <w:rFonts w:ascii="Times New Roman" w:cs="Times New Roman" w:eastAsia="Times New Roman" w:hAnsi="Times New Roman"/>
          <w:sz w:val="18"/>
          <w:szCs w:val="18"/>
          <w:color w:val="auto"/>
        </w:rPr>
        <w:t>has served as a member of our board of directors since November 2020. He has been a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at Vestar Capital Partners since 2006. He currently serves on the boards of Quest Analytics, Healthgrades and Veritas Collaborative. From 1997 to 2005, Mr. Holstein served as Chief Executive Officer, President or Director of WebMD and helped establish it as the leading source of healthcare information for consumers and professionals. From 1991 to 1996, Mr. Holstein was a member of the Office of the President at Medco, where he helped create the business of prescription benefit management. Prior to that, Mr. Holstein held executive positions at MCI, Warner Amex Cable and Grey Advertising. He began his career in marketing with the Spirits of St. Louis basketball team in the American Basketball Association. Mr. Holstein holds a Bachelor of Arts degree, with distinction, from Swarthmore College. We believe Mr. Holstein is qualified to serve on our board of directors because of his extensive leadership and healthcare experience.</w:t>
      </w:r>
    </w:p>
    <w:p>
      <w:pPr>
        <w:spacing w:after="0" w:line="18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Jeff Park </w:t>
      </w:r>
      <w:r>
        <w:rPr>
          <w:rFonts w:ascii="Times New Roman" w:cs="Times New Roman" w:eastAsia="Times New Roman" w:hAnsi="Times New Roman"/>
          <w:sz w:val="18"/>
          <w:szCs w:val="18"/>
          <w:color w:val="auto"/>
        </w:rPr>
        <w:t>has served as a member of our board of directors since October 2019. Mr. Park has served since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as the Chairman and Chief Executive Officer of WellDyneRx, an independent pharmacy benefits manager. From January 2018 until May 2018, he was the Interim Chief Executive Officer of Diplomat Pharmacy, Inc., or Diplomat, a provider of specialty pharmacy services. Additionally, from June 2017 to February 2019, he served on the board of directors of Diplomat. Prior to that, from July 2015 until July 2016, he was the Chief Operating Officer of OptumRX, the entity resulting from the merger of Catamaran Corporation, or Catamaran, and OptumRX, UnitedHealthcare Group’s free-standing pharmacy care services business. Before the merger, from March 2014 until July 2015, he was Catamaran’s Executive Vice President, Operations, and previously served as Catamaran’s Chief Financial Officer, beginning in 2006. Mr. Park holds a Bachelor of Science degree in Accounting from Brock University. We believe that Mr. Park is qualified to serve on our board of directors because of his extensive leadership experience in the pharmaceutical industry.</w:t>
      </w:r>
    </w:p>
    <w:p>
      <w:pPr>
        <w:spacing w:after="0" w:line="18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Norman Payson, M.D. </w:t>
      </w:r>
      <w:r>
        <w:rPr>
          <w:rFonts w:ascii="Times New Roman" w:cs="Times New Roman" w:eastAsia="Times New Roman" w:hAnsi="Times New Roman"/>
          <w:sz w:val="18"/>
          <w:szCs w:val="18"/>
          <w:color w:val="auto"/>
        </w:rPr>
        <w:t>has served on our board of directors since December 2016. Dr. Payson was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Healthsource from 1985 to 1997, Chief Executive Officer of Oxford Health Plans from 1998 to 2002, Chairman of Concentra from 2005 to 2008 and Chief Executive Officer of Apria Healthcare Group Inc. from 2008 to 2012, where he is currently a member of the board of directors. Since 1997, Dr. Payson has served as President and a director of NCP, Inc., his family office, through which he engages in consulting and personal investment activities. Additionally, Dr. Payson served as a strategic advisor for Evolent Health, Inc., or Evolent, from March 2014 through December 2020 and from December 2013 to June 2019, Dr. Payson also served on the board of directors of Evolent. Dr. Payson is currently serving on the Board of Directors of various private and not-for-profit companies including Access Clinical Partners, City of Hope, Smile Brands, HPM National Advisory Board at the Mailman School of Public Health at Columbia and USC Schaeffer Center Advisory Board. Dr. Payson is also on the board of Kiva Foundation, a private charitable foundation organized by Dr. Payson and his wife in June 1998. Until June 2019, Dr. Payson served as a director at Geisel School of Medicine at Dartmouth, where he now serves as director emeritus. Dr. Payson holds a Bachelor of Science degree in earth and planetary sciences from the Massachusetts Institute of Technology and received his doctorate in medicine from Dartmouth Medical School. Dr. Payson is a California licensed physician. We believe that Dr. Payson is qualified to serve on our board of directors because of his 30-year career as chief executive officer or chairman of multiple healthcare organizations, including publicly-traded companies.</w:t>
      </w:r>
    </w:p>
    <w:p>
      <w:pPr>
        <w:spacing w:after="0" w:line="195" w:lineRule="exact"/>
        <w:rPr>
          <w:sz w:val="20"/>
          <w:szCs w:val="20"/>
          <w:color w:val="auto"/>
        </w:rPr>
      </w:pPr>
    </w:p>
    <w:p>
      <w:pPr>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Cheryl Scott </w:t>
      </w:r>
      <w:r>
        <w:rPr>
          <w:rFonts w:ascii="Times New Roman" w:cs="Times New Roman" w:eastAsia="Times New Roman" w:hAnsi="Times New Roman"/>
          <w:sz w:val="18"/>
          <w:szCs w:val="18"/>
          <w:color w:val="auto"/>
        </w:rPr>
        <w:t>has served as a member of our board of directors since October 2019. Ms. Scott has served since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as the Main Principal of the McClintock Scott Group. From June 2006 to July 2016, Ms. Scott served as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Senior Advisor to the Bill &amp; Melinda Gates Foundation. Previously, she served as President and Chief Executive Officer of the Seattle-based Group Health Cooperative for eight years. Ms. Scott has served as a member of the board of directors of Evolent Health, Inc. since November 2015. She also currently serves on a variety of private and not-for-profit boards. She was a member of the board of directors of Recreational Equipment Incorporated (REI) from 2005 to 2017, and served as the board chairperson from 2015 to 2017. Ms. Scott received her bachelor’s degree in communications and master’s degree in health management from the University of Washington, and is currently a Clinical Professor of Health Services at the University of Washington. We believe that Ms. Scott is qualified to serve on our board of directors because of her extensive career in healthcare, leadership and corporate governance, including her tenure as the Chief Executive Officer of Group Health Cooperative.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MATTERS AND ISSUER PURCHASES OF EQUITY SECURITIES.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“PGNY” since October 25, 2019. Prior to that time, there was no public market for our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2021, there were approximately 67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any future earnings and do not expect to pay cash dividends in the foreseeable future.</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16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withheld shares through net settlements (where the award holder receives the net of the shares vested, after surrendering a portion of the shares back to the Company for tax withholding) for certain restricted stock units that vested.</w:t>
      </w:r>
    </w:p>
    <w:p>
      <w:pPr>
        <w:spacing w:after="0" w:line="176"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December 31, 2020:</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3"/>
        </w:trPr>
        <w:tc>
          <w:tcPr>
            <w:tcW w:w="4080" w:type="dxa"/>
            <w:vAlign w:val="bottom"/>
            <w:gridSpan w:val="3"/>
            <w:vMerge w:val="continue"/>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xml:space="preserve">Repurchased </w:t>
            </w:r>
            <w:r>
              <w:rPr>
                <w:rFonts w:ascii="Times New Roman" w:cs="Times New Roman" w:eastAsia="Times New Roman" w:hAnsi="Times New Roman"/>
                <w:sz w:val="10"/>
                <w:szCs w:val="10"/>
                <w:b w:val="1"/>
                <w:bCs w:val="1"/>
                <w:color w:val="auto"/>
              </w:rPr>
              <w:t>(1)</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2020 through October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2020 through November 30, 2020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2020 through December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20" w:hanging="170"/>
        <w:spacing w:after="0"/>
        <w:tabs>
          <w:tab w:leader="none" w:pos="220"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Represents shares withheld on net settlements of restricted stock units that vested under our equity incentive plans.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cumulative total return on our common stock with the cumulative total return of the (i) S&amp;P Health Care (Sector) and (ii) the Nasdaq Composite Index resulting from an initial investment of $100 in each and, assuming the reinvestment of any dividends, based on closing prices. Measurement points are from October 24, 2019 (the date our common stock began trading on Nasdaq)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125730</wp:posOffset>
            </wp:positionV>
            <wp:extent cx="4097655" cy="2820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9765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Company/Index</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Cumulative Total Returns since Initial Public Offering</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10/24/2019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3/31/2020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6/30/2020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9/30/2020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Progyny,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211.15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Health Care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111.78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selected consolidated statement of operations data for the years ended December 31, 2020, 2019 and 2018 and the consolidated balance sheet data as of December 31, 2020 and 2019 have been derived from our audited consolidated financial statements included elsewhere in this Annual Report on Form 10-K. The consolidated statements of operations data for the year ended December 31, 2017 and the consolidated balance sheet data as of December 31, 2018 and December 31, 2017 have been derived from our audited consolidated financial statements that are not included in this Annual Report on Form 10-K.</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consolidated financial data set forth below in conjunction with our consolidated financial statements and the accompanying notes and the information in Part II, Item 7. “Management’s Discussion and Analysis of Financial Condition and Results of Operations” and Part II, Item 8. “Financial Statements and Supplementary Data” of this Annual Report on Form 10-K. Our historical results are not necessarily indicative of the results to be expected for any other period in the future.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tcPr>
          <w:p>
            <w:pPr>
              <w:spacing w:after="0"/>
              <w:rPr>
                <w:sz w:val="15"/>
                <w:szCs w:val="15"/>
                <w:color w:val="auto"/>
              </w:rPr>
            </w:pPr>
          </w:p>
        </w:tc>
        <w:tc>
          <w:tcPr>
            <w:tcW w:w="4240" w:type="dxa"/>
            <w:vAlign w:val="bottom"/>
            <w:gridSpan w:val="10"/>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7"/>
                <w:szCs w:val="17"/>
                <w:color w:val="auto"/>
              </w:rPr>
              <w:t>Cost of services</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Convertible preferred stock warrant valuation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(18,176)</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income from discontinued operations, net of taxes</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46,459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(8,569)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(5,541)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Discontinued operations</w:t>
            </w:r>
            <w:r>
              <w:rPr>
                <w:rFonts w:ascii="Times New Roman" w:cs="Times New Roman" w:eastAsia="Times New Roman" w:hAnsi="Times New Roman"/>
                <w:sz w:val="25"/>
                <w:szCs w:val="25"/>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4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net income (loss) per share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61"/>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basic</w:t>
            </w:r>
          </w:p>
        </w:tc>
        <w:tc>
          <w:tcPr>
            <w:tcW w:w="1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40" w:type="dxa"/>
            <w:vAlign w:val="bottom"/>
            <w:tcBorders>
              <w:top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Discontinued operations</w:t>
            </w:r>
            <w:r>
              <w:rPr>
                <w:rFonts w:ascii="Times New Roman" w:cs="Times New Roman" w:eastAsia="Times New Roman" w:hAnsi="Times New Roman"/>
                <w:sz w:val="25"/>
                <w:szCs w:val="25"/>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Total net income (loss) per share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61"/>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diluted</w:t>
            </w:r>
          </w:p>
        </w:tc>
        <w:tc>
          <w:tcPr>
            <w:tcW w:w="1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54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average shares used in computing net income</w:t>
            </w: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Basic</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85,722,670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5,539,739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5,677,860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5"/>
                <w:szCs w:val="25"/>
                <w:color w:val="auto"/>
                <w:vertAlign w:val="superscript"/>
              </w:rPr>
              <w:t>(4)</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99,055,526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5,539,739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5,677,860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763270</wp:posOffset>
            </wp:positionV>
            <wp:extent cx="1414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hanging="330"/>
        <w:spacing w:after="0" w:line="220" w:lineRule="auto"/>
        <w:tabs>
          <w:tab w:leader="none" w:pos="38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Effective January 1, 2020, we adopted new accounting pronouncements as described in Part II, Item 8 of this Form 10-K in the Notes to Consolidated Financial Statements in Note 2, "Summary of Significant Accounting Policies." Prior year data remains unchanged.</w:t>
      </w:r>
    </w:p>
    <w:p>
      <w:pPr>
        <w:spacing w:after="0" w:line="123" w:lineRule="exact"/>
        <w:rPr>
          <w:rFonts w:ascii="Times New Roman" w:cs="Times New Roman" w:eastAsia="Times New Roman" w:hAnsi="Times New Roman"/>
          <w:sz w:val="27"/>
          <w:szCs w:val="27"/>
          <w:color w:val="auto"/>
          <w:vertAlign w:val="superscript"/>
        </w:rPr>
      </w:pPr>
    </w:p>
    <w:p>
      <w:pPr>
        <w:ind w:left="380" w:hanging="330"/>
        <w:spacing w:after="0"/>
        <w:tabs>
          <w:tab w:leader="none" w:pos="38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stock-based compensation expense as follows:</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599" w:hanging="330"/>
        <w:spacing w:after="0" w:line="208" w:lineRule="auto"/>
        <w:tabs>
          <w:tab w:leader="none" w:pos="38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Note 8 to our consolidated financial statements included elsewhere in this Annual Report on Form 10-K for further information about a certain divestiture.</w:t>
      </w:r>
    </w:p>
    <w:p>
      <w:pPr>
        <w:spacing w:after="0" w:line="199" w:lineRule="exact"/>
        <w:rPr>
          <w:rFonts w:ascii="Times New Roman" w:cs="Times New Roman" w:eastAsia="Times New Roman" w:hAnsi="Times New Roman"/>
          <w:sz w:val="27"/>
          <w:szCs w:val="27"/>
          <w:color w:val="auto"/>
          <w:vertAlign w:val="superscript"/>
        </w:rPr>
      </w:pPr>
    </w:p>
    <w:p>
      <w:pPr>
        <w:ind w:left="380" w:right="99" w:hanging="330"/>
        <w:spacing w:after="0" w:line="220" w:lineRule="auto"/>
        <w:tabs>
          <w:tab w:leader="none" w:pos="38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Note 12 to our consolidated financial statements included elsewhere in this Annual Report on Form 10-K for an explanation of the calculations of our basic and diluted earnings per share attributable to common stockholders and the weighted average number of shares used in the computation of the per share amounts.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09"/>
        </w:trPr>
        <w:tc>
          <w:tcPr>
            <w:tcW w:w="48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70,305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80,382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166,947</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(95,115)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83"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Working capital is defined as current assets less current liabilities.</w:t>
      </w:r>
    </w:p>
    <w:p>
      <w:pPr>
        <w:spacing w:after="0" w:line="200" w:lineRule="exact"/>
        <w:rPr>
          <w:sz w:val="20"/>
          <w:szCs w:val="20"/>
          <w:color w:val="auto"/>
        </w:rPr>
      </w:pPr>
    </w:p>
    <w:p>
      <w:pPr>
        <w:spacing w:after="0" w:line="210" w:lineRule="exact"/>
        <w:rPr>
          <w:sz w:val="20"/>
          <w:szCs w:val="20"/>
          <w:color w:val="auto"/>
        </w:rPr>
      </w:pPr>
    </w:p>
    <w:p>
      <w:pPr>
        <w:ind w:left="1420" w:right="659" w:hanging="1363"/>
        <w:spacing w:after="0" w:line="28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ind w:left="60" w:right="79" w:firstLine="648"/>
        <w:spacing w:after="0" w:line="25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 1A. “Risk Factors” of this </w:t>
      </w:r>
      <w:hyperlink r:id="rId77">
        <w:r>
          <w:rPr>
            <w:rFonts w:ascii="Times New Roman" w:cs="Times New Roman" w:eastAsia="Times New Roman" w:hAnsi="Times New Roman"/>
            <w:sz w:val="18"/>
            <w:szCs w:val="18"/>
            <w:i w:val="1"/>
            <w:iCs w:val="1"/>
            <w:u w:val="single" w:color="auto"/>
            <w:color w:val="0000EE"/>
          </w:rPr>
          <w:t>Annual Report on Form 10-K</w:t>
        </w:r>
      </w:hyperlink>
      <w:r>
        <w:rPr>
          <w:rFonts w:ascii="Times New Roman" w:cs="Times New Roman" w:eastAsia="Times New Roman" w:hAnsi="Times New Roman"/>
          <w:sz w:val="18"/>
          <w:szCs w:val="18"/>
          <w:i w:val="1"/>
          <w:iCs w:val="1"/>
          <w:color w:val="auto"/>
        </w:rPr>
        <w:t xml:space="preserve">. A discussion of the year ended December 31, 2019 compared to the year ended December 31, 2018 has been reported previously in our Annual Report on Form 10-K for the year ended </w:t>
      </w:r>
      <w:hyperlink r:id="rId77">
        <w:r>
          <w:rPr>
            <w:rFonts w:ascii="Times New Roman" w:cs="Times New Roman" w:eastAsia="Times New Roman" w:hAnsi="Times New Roman"/>
            <w:sz w:val="18"/>
            <w:szCs w:val="18"/>
            <w:i w:val="1"/>
            <w:iCs w:val="1"/>
            <w:color w:val="auto"/>
          </w:rPr>
          <w:t>December 31, 2019 filed with the SEC on March 10, 2020 (File No. 001-39100) under the heading “</w:t>
        </w:r>
        <w:r>
          <w:rPr>
            <w:rFonts w:ascii="Times New Roman" w:cs="Times New Roman" w:eastAsia="Times New Roman" w:hAnsi="Times New Roman"/>
            <w:sz w:val="18"/>
            <w:szCs w:val="18"/>
            <w:i w:val="1"/>
            <w:iCs w:val="1"/>
            <w:u w:val="single" w:color="auto"/>
            <w:color w:val="0000EE"/>
          </w:rPr>
          <w:t>Management’s</w:t>
        </w:r>
      </w:hyperlink>
      <w:r>
        <w:rPr>
          <w:rFonts w:ascii="Times New Roman" w:cs="Times New Roman" w:eastAsia="Times New Roman" w:hAnsi="Times New Roman"/>
          <w:sz w:val="18"/>
          <w:szCs w:val="18"/>
          <w:i w:val="1"/>
          <w:iCs w:val="1"/>
          <w:color w:val="auto"/>
        </w:rPr>
        <w:t xml:space="preserve"> </w:t>
      </w:r>
      <w:hyperlink r:id="rId77">
        <w:r>
          <w:rPr>
            <w:rFonts w:ascii="Times New Roman" w:cs="Times New Roman" w:eastAsia="Times New Roman" w:hAnsi="Times New Roman"/>
            <w:sz w:val="18"/>
            <w:szCs w:val="18"/>
            <w:i w:val="1"/>
            <w:iCs w:val="1"/>
            <w:u w:val="single" w:color="auto"/>
            <w:color w:val="0000EE"/>
          </w:rPr>
          <w:t>Discussion and Analysis of Financial Condition and Results of Operations – Comparison of Years Ended December 31,</w:t>
        </w:r>
      </w:hyperlink>
      <w:r>
        <w:rPr>
          <w:rFonts w:ascii="Times New Roman" w:cs="Times New Roman" w:eastAsia="Times New Roman" w:hAnsi="Times New Roman"/>
          <w:sz w:val="18"/>
          <w:szCs w:val="18"/>
          <w:i w:val="1"/>
          <w:iCs w:val="1"/>
          <w:u w:val="single" w:color="auto"/>
          <w:color w:val="0000EE"/>
        </w:rPr>
        <w:t xml:space="preserve"> </w:t>
      </w:r>
      <w:hyperlink r:id="rId77">
        <w:r>
          <w:rPr>
            <w:rFonts w:ascii="Times New Roman" w:cs="Times New Roman" w:eastAsia="Times New Roman" w:hAnsi="Times New Roman"/>
            <w:sz w:val="18"/>
            <w:szCs w:val="18"/>
            <w:i w:val="1"/>
            <w:iCs w:val="1"/>
            <w:u w:val="single" w:color="auto"/>
            <w:color w:val="0000EE"/>
          </w:rPr>
          <w:t>2019 and 2018.</w:t>
        </w:r>
        <w:r>
          <w:rPr>
            <w:rFonts w:ascii="Times New Roman" w:cs="Times New Roman" w:eastAsia="Times New Roman" w:hAnsi="Times New Roman"/>
            <w:sz w:val="18"/>
            <w:szCs w:val="18"/>
            <w:i w:val="1"/>
            <w:iCs w:val="1"/>
            <w:color w:val="000000"/>
          </w:rPr>
          <w:t>”</w:t>
        </w:r>
      </w:hyperlink>
    </w:p>
    <w:p>
      <w:pPr>
        <w:spacing w:after="0" w:line="190" w:lineRule="exact"/>
        <w:rPr>
          <w:rFonts w:ascii="Times New Roman" w:cs="Times New Roman" w:eastAsia="Times New Roman" w:hAnsi="Times New Roman"/>
          <w:sz w:val="18"/>
          <w:szCs w:val="18"/>
          <w:i w:val="1"/>
          <w:i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rFonts w:ascii="Times New Roman" w:cs="Times New Roman" w:eastAsia="Times New Roman" w:hAnsi="Times New Roman"/>
          <w:sz w:val="18"/>
          <w:szCs w:val="18"/>
          <w:i w:val="1"/>
          <w:iCs w:val="1"/>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12" w:lineRule="exact"/>
        <w:rPr>
          <w:rFonts w:ascii="Times New Roman" w:cs="Times New Roman" w:eastAsia="Times New Roman" w:hAnsi="Times New Roman"/>
          <w:sz w:val="18"/>
          <w:szCs w:val="18"/>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180. We have retained substantially all of our clients since inception, and our member satisfaction over that same time period is evidenced by our most recent industry-leading Net Promoter Score, or NPS, of +79 for our fertility benefits solution and +81 for our integrated pharmacy benefits solution, Progyny Rx. We currently have contracts to provide coverage to approximately 2.7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18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Fertility Benefits Solution. </w:t>
      </w:r>
      <w:r>
        <w:rPr>
          <w:rFonts w:ascii="Times New Roman" w:cs="Times New Roman" w:eastAsia="Times New Roman" w:hAnsi="Times New Roman"/>
          <w:sz w:val="18"/>
          <w:szCs w:val="18"/>
          <w:color w:val="auto"/>
        </w:rPr>
        <w:t>Our fertility benefits solution includes providing members with access to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(e.g., in the case of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PCAs, can choose their preferred provider clinics within our network and utilize the specific Smart Cycle treatment bundles necessary for the treatment pathway they determine throughout their fertility journey.</w:t>
      </w:r>
    </w:p>
    <w:p>
      <w:pPr>
        <w:spacing w:after="0" w:line="18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9"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Progyny Rx. </w:t>
      </w:r>
      <w:r>
        <w:rPr>
          <w:rFonts w:ascii="Times New Roman" w:cs="Times New Roman" w:eastAsia="Times New Roman" w:hAnsi="Times New Roman"/>
          <w:sz w:val="18"/>
          <w:szCs w:val="18"/>
          <w:color w:val="auto"/>
        </w:rPr>
        <w:t>We went live with our integrated pharmacy benefits solution in 2018. Progyny Rx can only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82" w:lineRule="exact"/>
        <w:rPr>
          <w:sz w:val="20"/>
          <w:szCs w:val="20"/>
          <w:color w:val="auto"/>
        </w:rPr>
      </w:pPr>
    </w:p>
    <w:p>
      <w:pPr>
        <w:ind w:left="60" w:right="159" w:firstLine="6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serve over 180 employers in the United States across more than 30 industries. Our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who are industry leaders across both high-growth and mature industries and who range in size from approximately 1,000 to 350,000 employees, represent approximately 2.7 million covered lives under contract.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72" w:lineRule="exact"/>
        <w:rPr>
          <w:sz w:val="20"/>
          <w:szCs w:val="20"/>
          <w:color w:val="auto"/>
        </w:rPr>
      </w:pPr>
    </w:p>
    <w:p>
      <w:pPr>
        <w:ind w:left="1020" w:right="179" w:hanging="322"/>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20" w:right="99" w:hanging="322"/>
        <w:spacing w:after="0" w:line="25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2% and 1% of our total revenue for the years ended December 31, 2020 and 2019, respectively.</w:t>
      </w:r>
    </w:p>
    <w:p>
      <w:pPr>
        <w:spacing w:after="0" w:line="183"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Our revenue in a given year is determined by both the utilization of our fertility benefits and Progyny Rx solutions by our members and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200"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7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There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8,000 employers in the United States (excluding quasi-governmental entities, such as universities and school systems, and labor unions) who have a minimum of 1,000 employees, representing approximately 69 million potential covered lives in total. Our current member base of 2.7 million lives under contract represents a low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December 31, 2020 and 2019, we served 135 and 87 clients, respectively, representing 2,335,000 and 1,517,000 members, respectively.</w:t>
      </w:r>
    </w:p>
    <w:p>
      <w:pPr>
        <w:spacing w:after="0" w:line="18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Tier (Members)</w:t>
            </w: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9"/>
        </w:trPr>
        <w:tc>
          <w:tcPr>
            <w:tcW w:w="5760" w:type="dxa"/>
            <w:vAlign w:val="bottom"/>
            <w:gridSpan w:val="3"/>
            <w:vMerge w:val="continue"/>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Clients</w:t>
            </w:r>
          </w:p>
        </w:tc>
        <w:tc>
          <w:tcPr>
            <w:tcW w:w="160" w:type="dxa"/>
            <w:vAlign w:val="bottom"/>
          </w:tcPr>
          <w:p>
            <w:pPr>
              <w:spacing w:after="0"/>
              <w:rPr>
                <w:sz w:val="11"/>
                <w:szCs w:val="11"/>
                <w:color w:val="auto"/>
              </w:rPr>
            </w:pPr>
          </w:p>
        </w:tc>
        <w:tc>
          <w:tcPr>
            <w:tcW w:w="84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Clients</w:t>
            </w:r>
          </w:p>
        </w:tc>
        <w:tc>
          <w:tcPr>
            <w:tcW w:w="100" w:type="dxa"/>
            <w:vAlign w:val="bottom"/>
          </w:tcPr>
          <w:p>
            <w:pPr>
              <w:spacing w:after="0"/>
              <w:rPr>
                <w:sz w:val="11"/>
                <w:szCs w:val="11"/>
                <w:color w:val="auto"/>
              </w:rPr>
            </w:pPr>
          </w:p>
        </w:tc>
        <w:tc>
          <w:tcPr>
            <w:tcW w:w="84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Up to 2,500</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38,000</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2,501 - 10,000</w:t>
            </w:r>
          </w:p>
        </w:tc>
        <w:tc>
          <w:tcPr>
            <w:tcW w:w="4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393,000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10,001 - 50,000</w:t>
            </w:r>
          </w:p>
        </w:tc>
        <w:tc>
          <w:tcPr>
            <w:tcW w:w="4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377,000</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Greater than 50,000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1,259,000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866,000</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2,335,000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Utilization. </w:t>
      </w:r>
      <w:r>
        <w:rPr>
          <w:rFonts w:ascii="Times New Roman" w:cs="Times New Roman" w:eastAsia="Times New Roman" w:hAnsi="Times New Roman"/>
          <w:sz w:val="18"/>
          <w:szCs w:val="18"/>
          <w:color w:val="auto"/>
        </w:rPr>
        <w:t>A key driver of our revenue is the number of members we serve and the rate at which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utilize their fertility benefits. As our client base has grown, our membership has grown from approximately 110,000 members in 2016 when we launched our fertility benefits solution to 2.3 million members as of December 31, 2020.</w:t>
      </w:r>
    </w:p>
    <w:p>
      <w:pPr>
        <w:spacing w:after="0" w:line="175"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ART cycles performed for Progyny members and the member utilization rates for each of the periods presented.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200" w:type="dxa"/>
            <w:vAlign w:val="bottom"/>
          </w:tcPr>
          <w:p>
            <w:pPr>
              <w:spacing w:after="0"/>
              <w:rPr>
                <w:sz w:val="15"/>
                <w:szCs w:val="15"/>
                <w:color w:val="auto"/>
              </w:rPr>
            </w:pPr>
          </w:p>
        </w:tc>
        <w:tc>
          <w:tcPr>
            <w:tcW w:w="1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2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Assisted Reproductive Treatment (ART) Cycles</w:t>
            </w:r>
            <w:r>
              <w:rPr>
                <w:rFonts w:ascii="Times New Roman" w:cs="Times New Roman" w:eastAsia="Times New Roman" w:hAnsi="Times New Roman"/>
                <w:sz w:val="24"/>
                <w:szCs w:val="24"/>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r>
      <w:tr>
        <w:trPr>
          <w:trHeight w:val="216"/>
        </w:trPr>
        <w:tc>
          <w:tcPr>
            <w:tcW w:w="52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Utilization - All Members</w:t>
            </w:r>
            <w:r>
              <w:rPr>
                <w:rFonts w:ascii="Times New Roman" w:cs="Times New Roman" w:eastAsia="Times New Roman" w:hAnsi="Times New Roman"/>
                <w:sz w:val="25"/>
                <w:szCs w:val="2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Utilization - Female Only</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Members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2,305,000</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1,514,000</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2,191,000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65405</wp:posOffset>
            </wp:positionV>
            <wp:extent cx="141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6" w:lineRule="exact"/>
        <w:rPr>
          <w:sz w:val="20"/>
          <w:szCs w:val="20"/>
          <w:color w:val="auto"/>
        </w:rPr>
      </w:pPr>
    </w:p>
    <w:p>
      <w:pPr>
        <w:ind w:left="380" w:right="839" w:hanging="330"/>
        <w:spacing w:after="0" w:line="208" w:lineRule="auto"/>
        <w:tabs>
          <w:tab w:leader="none" w:pos="380"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99" w:lineRule="exact"/>
        <w:rPr>
          <w:rFonts w:ascii="Times New Roman" w:cs="Times New Roman" w:eastAsia="Times New Roman" w:hAnsi="Times New Roman"/>
          <w:sz w:val="27"/>
          <w:szCs w:val="27"/>
          <w:color w:val="auto"/>
          <w:vertAlign w:val="superscript"/>
        </w:rPr>
      </w:pPr>
    </w:p>
    <w:p>
      <w:pPr>
        <w:ind w:left="380" w:right="99" w:hanging="330"/>
        <w:spacing w:after="0" w:line="234" w:lineRule="auto"/>
        <w:tabs>
          <w:tab w:leader="none" w:pos="380"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COVID-19 pandemic has significantly impacted various markets around the world, including the United States. Public and private sector policies and initiatives to reduce the transmission of COVID-19 have varied significantly across the United States, but as of December 31, 2020, a significant percentage of the U.S. population remained subject to meaningful restrictions on activities, which included school closures, limitations on large gatherings and other policies to promote or enforce physical distancing. As described below, these restrictions and our responses to them have significantly impacted and may continue to impact how our members use our services, access our providers, and how our employees work and provide services to our clients and members, resulting in an impact on our revenue.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Employee safety is our first priority, and as a result, we have implemented a remote working policy for all of our employees. Although we have re-opened our corporate offices for a small group of employees, while implementing additional safety measures including testing, masks and social distancing protocols, the majority of our employees continue to work remotely. We are also working closely with all of our clients, members, providers and other external business partners. We believe we have sufficient liquidity to satisfy our cash needs, however, we continue to evaluate and monitor liquidity, as necessary, and ensure that our business can continue to operate during these uncertain times.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2020, the COVID-19 pandemic had a material negative impact on our revenue growth. In particular, the outbreak and preventative measures taken to contain COVID-19, especially in the first half of 2020, negatively impacted our members’ access to care due to a temporary unavailability of the full range of fertility treatments at our provider clinics.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March 17, 2020, the American Society for Reproductive Medicine, or ASRM, issued guidelines recommending the suspension of new treatment cycles. As a result, the significant majority of our members were unable to complete diagnostics or initiate new treatment cycles, and our volumes declined precipitously as of that date. ASRM continues to update its guidelines to reaffirm those provided on May 11, 2020, providing fertility clinics with a path for the safe and gradual resumption of patient care. Additionally, most state and local governments have eased stay-at-home orders and allowed for the resumption of non-emergent medical procedures. Most of our clinics resumed their full range of services towards the end of the second quarter of 2020, which led to an increase in benefits utilization as compared to the end of the first quarter and the beginning of the second quarter.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our business, future results of operations and financial condition will depend on future developments that are highly uncertain and cannot be accurately predicted, including, without limitation, new information that may emerge concerning COVID-19, the timing, extent, trajectory and duration of the pandemic; the availability, distribution and effectiveness of vaccines; the imposition of protective public safety measures; and the economic impact on local, regional and national markets. To the extent that the markets we serve experience increased cases of COVID-19, state or local governments may reinstitute measures to control its spread, which could again negatively impact our members’ access to care. We will continue to evaluate the nature and extent of these potential impacts to our business, results of operations and liquidity.</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read Part I, Item 1A.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Risk Factors included in this Annual Report on Form 10-K.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left="60" w:right="499" w:firstLine="648"/>
        <w:spacing w:after="0" w:line="272" w:lineRule="auto"/>
        <w:rPr>
          <w:sz w:val="20"/>
          <w:szCs w:val="20"/>
          <w:color w:val="auto"/>
        </w:rPr>
      </w:pPr>
      <w:r>
        <w:rPr>
          <w:rFonts w:ascii="Times New Roman" w:cs="Times New Roman" w:eastAsia="Times New Roman" w:hAnsi="Times New Roman"/>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w:t>
      </w:r>
    </w:p>
    <w:p>
      <w:pPr>
        <w:spacing w:after="0" w:line="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Our cost of services has three primary components: (1) fertility benefit services; (2) pharmacy benefit services; and (3) vendor rebates.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Fertility Benefit Services</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and related information technology support costs. Our contracts with provider clinics are typically for a term of one to two years.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for employees and professional fees and insurance and related third-party consulting services on an ongoing basis as a public company and to support growth in the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includes investment income, interest income (expense) and preferred stock warrant valuation adjustment.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As of each reporting date, management considered new evidence, both positive and negative, that could affect its view of the future realization of deferred tax assets. As of December 31, 2020, in part because in the current year we achieved three years of cumulative income, along with our projections of profitability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management determined that there is sufficient positive evidence to conclude that it is more likely than not that the net deferred tax assets of $38.0 million are realizable and have therefore released substantially all of our valuation allowance.</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16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344,858</w:t>
            </w:r>
          </w:p>
        </w:tc>
        <w:tc>
          <w:tcPr>
            <w:tcW w:w="240" w:type="dxa"/>
            <w:vAlign w:val="bottom"/>
          </w:tcPr>
          <w:p>
            <w:pPr>
              <w:spacing w:after="0"/>
              <w:rPr>
                <w:sz w:val="18"/>
                <w:szCs w:val="18"/>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of services</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gridSpan w:val="3"/>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32,393</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stock-based compensation expense as follows:</w:t>
      </w:r>
    </w:p>
    <w:p>
      <w:pPr>
        <w:spacing w:after="0" w:line="20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28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 of revenue: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ind w:left="60" w:right="339" w:firstLine="648"/>
        <w:spacing w:after="0" w:line="273" w:lineRule="auto"/>
        <w:rPr>
          <w:sz w:val="20"/>
          <w:szCs w:val="20"/>
          <w:color w:val="auto"/>
        </w:rPr>
      </w:pPr>
      <w:r>
        <w:rPr>
          <w:rFonts w:ascii="Times New Roman" w:cs="Times New Roman" w:eastAsia="Times New Roman" w:hAnsi="Times New Roman"/>
          <w:sz w:val="17"/>
          <w:szCs w:val="17"/>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and interest (income) expense, net; (5) it does not consider the impact of any stock warrant valuation adjustment; (6) it does not reflect tax payments that may represent a reduction in cash available to us; (7) it does not include settlement cost and legal fees associated with a vendor arbitration; and (8) it does not include non-deferred costs associated with our initial public offering, or IPO,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9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depreciation and amortization, stock-based compensation expense, other income, interest (income) expense, net, convertible preferred stock warrant valuation adjustment, (benefit) provision for income taxes, settlement cost and legal fees associated with a vendor arbitration and non-deferred IPO costs. The following table presents a reconciliation of Adjusted EBITDA to net income for each of the periods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 stock warrant valuation adjustment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(37,780)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cost and legal fees associated with a vendor arbitration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Non-deferred IPO Costs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2020 and 2019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$ 344,858</w:t>
            </w:r>
          </w:p>
        </w:tc>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$ 229,683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Revenue increased by $115.2 million, or 50%, for the year ended December 31, 2020 compared to the year ended December 31, 2019. This increase is primarily due to a $63.9 million, or 34% increase, in revenue from our fertility benefits solution and a $51.2 million or 128%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outpaced the fertility benefits revenue as Progyny Rx went live with only a select number of clients on January 1, 2018 and has continued to add both new and existing fertility benefit solution clients since its initial launch. Our revenue growth for the year ended December 31, 2020 was negatively impacted by COVID-19.</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$ 274,799</w:t>
            </w:r>
          </w:p>
        </w:tc>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$ 184,178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Cost of services increased by $90.6 million, or 49%, for the year ended December 31, 2020 compared to the year ended December 31, 2019 primarily due to an increase in medical treatment and pharmacy prescription costs associated with fertility treatments delivered as well as increases in personnel-related costs, including stock-based compensation.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$ 70,059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$ 45,505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$24.6 million, or 54%, for the year ended December 31, 2020 compared to the year ended December 31, 2019.</w:t>
      </w:r>
    </w:p>
    <w:p>
      <w:pPr>
        <w:spacing w:after="0" w:line="16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Gross margin increased 50 basis points for the year ended December 31, 2020 compared to year ended December 31, 2019, primarily due to higher revenues which triggered favorable contractual terms with our pharmacy dispensing and manufacturing partners, the net favorable impact of regular contract renewals with our providers along with continued efficiencies gained across our care management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7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$ 15,006</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$ 11,901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$3.1 million, or 26%, for the year ended December 31, 2020 compared to the year ended December 31, 2019. This increase was primarily due to a $3.2 million increase in personnel-related costs (including a $1.2 million increase in stock-based compensation) relating to additional headcount and commissions for sales and marketing functions, which was partially offset by lower travel and other overhead costs due to COVID-19.</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7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7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$ 46,705</w:t>
            </w:r>
          </w:p>
        </w:tc>
        <w:tc>
          <w:tcPr>
            <w:tcW w:w="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$ 23,927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by $22.8 million, or 95%, for the year ended December 31, 2020 compared to the year ended December 31, 2019. This increase was primarily due to a $8.0 million increase in settlement cost and legal fees for a vendor arbitration, a $6.4 million increase in personnel-related costs (including a $4.1 million increase in stock-based compensation) as a result of additional headcount for general and administrative functions, a $4.0 million increase in bad debt expense, a $3.5 million increase in insurance costs, and a $0.9 million increase in other related general and administrative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vMerge w:val="continue"/>
          </w:tcPr>
          <w:p>
            <w:pPr>
              <w:spacing w:after="0"/>
              <w:rPr>
                <w:sz w:val="11"/>
                <w:szCs w:val="11"/>
                <w:color w:val="auto"/>
              </w:rPr>
            </w:pPr>
          </w:p>
        </w:tc>
        <w:tc>
          <w:tcPr>
            <w:tcW w:w="7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(18,234)</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Other income (expense), net improved by $18.6 million for the year ended December 31, 2020 compared to the year ended December 31, 2019, primarily due to the impact in 2019 of a $18.2 million charge related to the fair value adjustment of the preferred stock warrants and an increase of $0.4 million in investment and interest income for the year ended December 31, 2020. The preferred stock warrants were converted to common stock warrants as of the IPO and therefore were no longer subject to a mark to market adjustment.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$ 37,780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we recorded a benefit for income taxes of $37.8 million primarily as a result of the release of substantially all of our valuation allowance on our deferred tax assets as we concluded there was sufficient positive evidence that it is more likely than not that the deferred tax assets are realizable. For the year ended December 31, 2019, we recorded a provision for state income taxes of $12,000.</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2020, we had $70.3 million of cash and cash equivalents, $39.0 million of marketable securities, and $15.0 million of cash available on the revolving line of credit with Silicon Valley Bank.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1st,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For additional information, See Note 1 – Business and Basis of Presentation to our financial statements included in Part II, Item 8 of this Annual Report on Form 10-K.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8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Other than the impact on our revenues and the related cash flows resulting from the various restrictions on activities due to the COVID-19 pandemic, our sources and uses of cash were not otherwise materially impacted by the COVID-19 pandemic in the three months ended December 31, 2020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read Part I, Item 1A. Risk Factors included in this Annual Report on Form 10-K.</w:t>
      </w:r>
    </w:p>
    <w:p>
      <w:pPr>
        <w:spacing w:after="0" w:line="19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In June 2018, we entered into an agreement with Silicon Valley Bank to replace our then-outstanding term loan with a revolving line of credit of up to $15.0 million that will mature on June 8, 2021, which agreement was amended in April 2019, January 2020, June 2020 and February 2021.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we hold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The line of credit contains customary affirmative and negative covenants, as well as a financial covenant that requires us to achieve a specified minimum quarterly revenue as defined in the agreement. As of December 31, 2020 and 2019, we were in compliance with all requirements and covenants of the revolving credit facility.</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the periods presented:</w:t>
      </w:r>
    </w:p>
    <w:p>
      <w:pPr>
        <w:spacing w:after="0" w:line="23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6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28"/>
        </w:trPr>
        <w:tc>
          <w:tcPr>
            <w:tcW w:w="6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1"/>
                <w:szCs w:val="1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5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84,545</w:t>
            </w:r>
          </w:p>
        </w:tc>
      </w:tr>
      <w:tr>
        <w:trPr>
          <w:trHeight w:val="209"/>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 from continuing operations</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80,055</w:t>
            </w:r>
          </w:p>
        </w:tc>
      </w:tr>
      <w:tr>
        <w:trPr>
          <w:trHeight w:val="20"/>
        </w:trPr>
        <w:tc>
          <w:tcPr>
            <w:tcW w:w="6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$36.2 million for the year ended December 31, 2020, primarily consisting of net income of $46.5 million adjusted for certain non-cash items, which include $38.0 million of deferred tax assets, $12.8 million of stock-based compensation expense, $5.6 million of bad debt expense, and $1.9 million of depreciation and amortization. Changes in operating assets and liabilities resulted in cash used in operating activities from an increase in accounts receivable of $35.3 million and prepaid expenses and other current assets of $0.3 million, more than offset by cash provided by operating activities from increases in accounts payable of $25.0 million, accrued expenses and other current liabilities of $17.4 million, and other noncurrent assets and liabilities of $0.6 million. These changes are a result of the impact of revenue growth and our operating results as well as the timing of payments to third party providers and collections from customers. Net cash provided by operating activities for the year ended December 31, 2020 included the impact of the settlement cost and legal fees associated with a vendor arbitration of $8.9 million.</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$1.5 million for the year ended December 31, 2019, primarily consisting of a $8.6 million net loss from continuing operations adjusted for certain non-cash items, which include $5.1 million of stock based compensation expense, a $18.2 million change in fair value of warrant liabilities, $2.1 million of depreciation and amortization, and $1.6 million from bad debt expense. Changes in operating assets and liabilities resulted in cash used in operating activities from increases in accounts receivable of $25.3 million and prepaid assets and other assets of $4.5 million, offset by cash provided by operating activities from increases in accounts payable of $3.5 million and accrued expenses and other current liabilities of $6.4 million. These changes are a result of the impact of revenue growth combined with the timing of payments to third party providers and collections from clients.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$40.0 million and $3.0 million for the years ended December 31, 2020 and 2019, respectively. During the year ended December 31, 2020, the net cash used primarily consisted of net investments of $39.0 million in marketable securities. The remainder of the activity consists of purchases of computers, software, and leasehold improvements, including leasehold improvements associated with the buildout of our new corporate office which was occupied in February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$6.2 million for the year ended December 31, 2020, consisting of payments of $8.9 million for employee taxes related to equity awards and $0.9 million for IPO costs, partially offset by $2.3 million in proceeds from stock option exercises and $1.2 million in proceeds from contributions to our employee stock purchase plan.</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$84.5 million for the year ended December 31, 2019, primarily consisting of $78.4 million in proceeds from the issuance of common stock in our IPO ($0.9 million of IPO costs were not paid yet as of December 31, 2020), $6.5 million from stock option exercises, and $0.1 million from warrant exercises, partially offset by $0.3 million in net payments on our revolving line of credit with Silicon Valley Bank, and repurchases of common stock of $0.2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2020:</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78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40" w:type="dxa"/>
            <w:vAlign w:val="bottom"/>
          </w:tcPr>
          <w:p>
            <w:pPr>
              <w:spacing w:after="0"/>
              <w:rPr>
                <w:sz w:val="10"/>
                <w:szCs w:val="10"/>
                <w:color w:val="auto"/>
              </w:rPr>
            </w:pPr>
          </w:p>
        </w:tc>
        <w:tc>
          <w:tcPr>
            <w:tcW w:w="86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499"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revenue recognition including accrued receivables and allowance for service changes and cancellations, accrued claims payable, stock-based compensation, and accounting for income taxes have the greatest potential impact on our financial statements. Therefore, we consider these to be our critical accounting policies and estimates.</w:t>
      </w:r>
    </w:p>
    <w:p>
      <w:pPr>
        <w:spacing w:after="0" w:line="180"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significant accounting policies and estimates, see Note 1 – Business and Basis of Presentation and Note 2 - Summary of Significant Accounting Policies in the notes to the consolidated financial statements included in Part II, Item 8 of this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Our revenue is recognized when control of the promised goods or services is transferred to our clients in an amount that reflects the consideration we expect to be entitled to in exchange for those goods or services.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apply the following five-step model to recognize revenue from contracts with our clients:</w:t>
      </w:r>
    </w:p>
    <w:p>
      <w:pPr>
        <w:spacing w:after="0" w:line="225" w:lineRule="exact"/>
        <w:rPr>
          <w:sz w:val="20"/>
          <w:szCs w:val="20"/>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11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Fertility Benefits Revenue</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primarily generate revenue through our fertility benefits solution, in which we provide our clients and their employees and partners, or our members, with fertility benefits. As part of the fertility benefits solution, we provide access to effective and cost-efficient fertility treatments, referred to as Smart Cycles, as well as other related services. Smart Cycles are our proprietary treatment bundles that include certain medical services available to members through our proprietary, credentialed network of provider clinics. In addition to access to our Smart Cycle treatment bundles and access to our network of provider clinics, the fertility benefits solution includes other comprehensive services, which we refer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our in house staff of PCAs.</w:t>
      </w:r>
    </w:p>
    <w:p>
      <w:pPr>
        <w:spacing w:after="0" w:line="194"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promises within our fertility benefits contract with a client represent a single performance obligation because we provide a significant service of integrating our Smart Cycles and access to the fertility treatment services provided by provider clinics with the other comprehensive services into the combined fertility benefits solution that the client contracted to receive. Our fertility benefits solution is a stand-ready obligation that is satisfied over the contract term.</w:t>
      </w:r>
    </w:p>
    <w:p>
      <w:pPr>
        <w:spacing w:after="0" w:line="16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contracts include the following sources of consideration, which are all variable: a PEPM administration fee (in most, but not all contracts) and a fixed rate per Smart Cycle. The PEPM administration fee is allocated between the fertility benefits solution and the pharmacy benefits solution based on standalone selling price, estimated using an expected cost plus margin method. We allocate the variable consideration related to the fixed rate per Smart Cycle to the distinct period during which the related services were performed as those fees relate specifically to our efforts to provide our fertility benefits solution to our clients in the period and represent the consideration we are entitled to for the fertility benefits services provided. As a result, the fixed rate per Smart Cycle is included in the transaction price and recognized in the period in which the Smart Cycle is provided to the member.</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contracts also include potential service level agreement refunds related to outcome based service metrics. These service level refunds, which are determined based on results of a full plan year, if met, are based on a percentage of the PEPM fee paid by clients. We estimate the variable consideration related to the total PEPM administration fee, less estimated refunds related to service level agreements, and recognize the amounts allocated to the fertility benefits solution ratably over the contract term. Our estimate of service level agreement refunds, have not historically resulted in significant adjustments to the transaction price.</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Clients are invoiced on a monthly basis for the PEPM administration fee. We invoice our clients and members for their respective portions of the fixed rate per Smart Cycle bundle when all treatment services within a Smart Cycle are completed by the provider clinic. Once an invoice is issued, payment terms are typically between 30 to 60 days.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assess whether we are the principal or the agent for each arrangement with a client, since fertility treatment services are provided by a third party—the provider clinics. We are the principal in our arrangements with clients and therefore present revenue gross of the amounts paid to the provider clinics because we control the specified service (the fertility benefits solution) before it is transferred to the client. We integrate the fertility treatment services provided by the provider clinics into the overall fertility benefits solution that the client contracted to receive. In addition, we define the scope of the potential services to be performed by the provider clinics and monitor the performance of the provider clinics. Furthermore, we are primarily responsible for fulfilling the promise to the client and have discretion in setting the pricing, as we separately negotiate agreements with the provider clinics, which establish pricing for each treatment service. Pricing of services from provider clinics is independent from the fees charged to clients.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Pharmacy Benefits Revenue</w:t>
      </w:r>
    </w:p>
    <w:p>
      <w:pPr>
        <w:spacing w:after="0" w:line="22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clients that have the fertility benefits solution, we offer, as an add-on, our pharmacy benefits solution, which is a separate, fully integrated pharmacy benefit. As part of the pharmacy benefits solution, we provide care management services, which include our formulary plan design, prescription fulfillment, simplified authorization and timely delivery of the medications used during treatment through our network of specialty pharmacies, and clinical services consisting of member assessments, UnPack It calls, telephone support, online education, medication administration training, pharmacy support services and continuing PCA support.</w:t>
      </w:r>
    </w:p>
    <w:p>
      <w:pPr>
        <w:spacing w:after="0" w:line="18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we provide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We allocate the variable consideration related to the fixed fee per fertility drug to the distinct period during which the related services were performed, as those fees relate specifically to our efforts to provide our pharmacy benefits solution to clients in the period and represents the consideration we are entitled to for the pharmacy benefits services provided. As a result, the fixed fee per fertility drug is included in the transaction price and recognized in the period in which we are entitled to consideration from a client, which is when a prescription is filled and delivered to the members.</w:t>
      </w:r>
    </w:p>
    <w:p>
      <w:pPr>
        <w:spacing w:after="0" w:line="18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We invoice the client and the member for their respective portions of the fixed fee per fertility drug, when the prescription services are completed by the specialty pharmacy. Once an invoice is issued, payment terms are typically between 30 to 60 days.</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assess whether we are the principal or the agent for each arrangement with a client, as prescription fulfillment and clinical services are provided by a third party—the specialty pharmacies. We are the principal in our arrangements with clients, and therefore present revenue gross of the amounts paid to the specialty pharmacies. We control the specified service (the pharmacy benefits solution) before it is transferred to the client. We integrate the prescription fulfillment and clinical services provided by the pharmacies and PCAs into the overall pharmacy benefits solution that the client contracted to receive. In addition, we define the scope of the potential services to be performed by the specialty pharmacies and monitor the performance of the specialty pharmacies. Furthermore, we are primarily responsible for fulfilling the promise to the client and have discretion in setting the pricing, as we separately negotiate agreements with pharmacies, which establish pricing for each drug. Pricing of fertility drugs is independent from the fees charged to clients.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 and Accrued Claims Payable</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estimate accrued receivables based on historical experience for those fertility benefit services provided but for which a claim has not been received from the provider clinic, which includes assumptions regarding the lag between the authorization date and service date. We include accrued receivables within accounts receivable on our consolidated balance sheet. We also estimate an allowance for changes and cancellations based upon historical experience.</w:t>
      </w:r>
    </w:p>
    <w:p>
      <w:pPr>
        <w:spacing w:after="0" w:line="18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At the same time, we estimate cost of services and accrued claims payables based on the amount to be paid to the provider clinic and historical gross margin achieved on fertility benefit services. We include accrued claims payable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within accrued expenses and other current liabilities on our consolidated balance sheet. Claims payable are generally paid within 30 days based on contractual terms. Our estimates are adjusted to actual at the time of billing and these adjustments have historically not been material.</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stock options granted to employees and directors using the Black-Scholes option-pricing model, which requires the input of subjective assumptions, including (1) the expected stock price volatility, (2) the expected term of the award, (3) the risk-free interest rate and (4) expected dividends. Forfeitures and cancellations of awards are recognized as they occur.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Prior to our IPO on October 29, 2019, the fair value of the shares of common stock underlying the stock options had historically been determined by our Board of Directors as there was no public market for the common stock. The Board of Directors determined the fair value of our common stock by considering a number of objective and subjective factors, including: the valuation of comparable companies, sales of redeemable convertible preferred stock to unrelated third parties, our operating and financial performance, the lack of liquidity of common stock and general and industry specific economic outlook, amongst other factors. We selected companies with comparable characteristics to us, including enterprise value, risk profiles and position within the industry and with historical share price information sufficient to meet the expected term of the stock options.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options granted to employees:</w:t>
      </w: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4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49.2% - 54.7%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48.6% - 49.0%</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5.50 - 6.11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5.63 - 6.28</w:t>
            </w:r>
          </w:p>
        </w:tc>
      </w:tr>
      <w:tr>
        <w:trPr>
          <w:trHeight w:val="216"/>
        </w:trPr>
        <w:tc>
          <w:tcPr>
            <w:tcW w:w="64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- 1.7%</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- 2.5%</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We periodically review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for each jurisdiction including past operating results, estimates of future taxable income and the feasibility of ongoing tax planning strategies. In the event we change our determination as to the amount of deferred tax assets that can be realized, we will adjust our valuation allowance with a corresponding impact to income tax expense in the period in which such determination is made. The amount of deferred tax provided is calculated using tax rates enacted at the balance sheet date. The impact of tax law changes is recognized in periods when the change is enacted. As of December 31, 2020, the Company achieved three years of cumulative income, along with projections of profitability, for which management determined that there is sufficient positive evidence to conclude that it is more likely than not that substantially all of the deferred tax assets will be realized. As such, we have released the valuation allowance on our realizable deferred tax assets.</w:t>
      </w:r>
    </w:p>
    <w:p>
      <w:pPr>
        <w:spacing w:after="0" w:line="19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62"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A two-step approach is applied pursuant to ASC 740 in the recognition and measurement of uncertain tax positions taken or expected to be taken in our tax return. The first step is to determine if the weight of available evidence indicates that it is more likely than not that the tax position will be sustained in an audit, including resolution of any</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related appeals or litigation processes. The second step is to measure the tax benefit as the largest amount that is more than 50% likely to be realized upon ultimate settlement.</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penalty expenses associated with uncertain tax positions as a component of income tax expense in the consolidated statements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Note 2 – Summary of Significant Accounting Policies, in the consolidated financial statements included in Part II, Item 8 of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Prior to December 31, 2020, we were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elected to use the extended transition period under the JOBS Act until the earlier of the date we (1) were no longer an emerging growth company or (2) affirmatively and irrevocably opted out of the extended transition period provided in the JOBS Act. Based on the market value of our common stock held by non-affiliates as of June 30, 2020, we ceased to qualify as an emerging growth company as of December 31, 2020. As a result, the Company no longer is able to use the extended transition period for complying with new or revised accounting standards available to emerging growth companies and is required to adopt new or revised accounting standards as of the effective dates for public companies. All new accounting pronouncements recently adopted as discussed in Note 2 – Summary of Significant Accounting Policies, in the consolidated financial statements included in Part II, Item 8 of this Annual Report on Form 10-K were adopted in the fourth quarter of 2020 with an effective date of January 1,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At December 31, 2020, we had cash and cash equivalents of $70.3 million and marketable securities of $39.0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Inflation Rate Risk</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73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6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7"/>
        </w:trPr>
        <w:tc>
          <w:tcPr>
            <w:tcW w:w="8340" w:type="dxa"/>
            <w:vAlign w:val="bottom"/>
            <w:gridSpan w:val="2"/>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Report of Independent Registered Public Accounting Firm</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tcPr>
          <w:p>
            <w:pPr>
              <w:spacing w:after="0"/>
              <w:rPr>
                <w:sz w:val="18"/>
                <w:szCs w:val="18"/>
                <w:color w:val="auto"/>
              </w:rPr>
            </w:pPr>
          </w:p>
        </w:tc>
      </w:tr>
      <w:tr>
        <w:trPr>
          <w:trHeight w:val="216"/>
        </w:trPr>
        <w:tc>
          <w:tcPr>
            <w:tcW w:w="834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Consolidated Balance Sheets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34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Consolidated Statements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34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Consolidated Statements Comprehensive Income (Loss)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340" w:type="dxa"/>
            <w:vAlign w:val="bottom"/>
            <w:gridSpan w:val="2"/>
          </w:tcPr>
          <w:p>
            <w:pPr>
              <w:ind w:left="18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u w:val="single" w:color="auto"/>
                  <w:color w:val="0000EE"/>
                </w:rPr>
                <w:t>Consolidated Statements of Changes in Convertible Preferred Stock and Stockholders’ Equity (Deficit</w:t>
              </w:r>
            </w:hyperlink>
            <w:r>
              <w:rPr>
                <w:rFonts w:ascii="Times New Roman" w:cs="Times New Roman" w:eastAsia="Times New Roman" w:hAnsi="Times New Roman"/>
                <w:sz w:val="18"/>
                <w:szCs w:val="18"/>
                <w:color w:val="00000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34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Consolidated Statements of Cash Flows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8340" w:type="dxa"/>
            <w:vAlign w:val="bottom"/>
            <w:gridSpan w:val="2"/>
          </w:tcPr>
          <w:p>
            <w:pPr>
              <w:ind w:left="18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Progyny, Inc. (the Company) as of December 31, 2020 and 2019, the related consolidated statements of operations, comprehensive income (loss), changes in convertible preferred stock and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ASU No. 2016-02</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leases in 2020 due to the adoption of Accounting Standards Update (ASU) No. 2016-02, Leases and associated amendments (Topic 842) using the modified retrospective method.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ASU No. 2016-13</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credit losses in 2020 due to the adoption of Accounting Standards Update (ASU) No. 2016-13, Financial Instruments – Credit Losses (Topic 326) using the modified retrospective method.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tc>
      </w:tr>
      <w:tr>
        <w:trPr>
          <w:trHeight w:val="400"/>
        </w:trPr>
        <w:tc>
          <w:tcPr>
            <w:tcW w:w="13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Description of</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of December 31, 2020, accrued receivables and accrued claims payable were $28.2 million and</w:t>
            </w:r>
          </w:p>
        </w:tc>
      </w:tr>
      <w:tr>
        <w:trPr>
          <w:trHeight w:val="216"/>
        </w:trPr>
        <w:tc>
          <w:tcPr>
            <w:tcW w:w="1340" w:type="dxa"/>
            <w:vAlign w:val="bottom"/>
          </w:tcPr>
          <w:p>
            <w:pPr>
              <w:spacing w:after="0" w:line="216" w:lineRule="exact"/>
              <w:rPr>
                <w:sz w:val="20"/>
                <w:szCs w:val="20"/>
                <w:color w:val="auto"/>
              </w:rPr>
            </w:pPr>
            <w:r>
              <w:rPr>
                <w:rFonts w:ascii="Times New Roman" w:cs="Times New Roman" w:eastAsia="Times New Roman" w:hAnsi="Times New Roman"/>
                <w:sz w:val="20"/>
                <w:szCs w:val="20"/>
                <w:i w:val="1"/>
                <w:iCs w:val="1"/>
                <w:color w:val="auto"/>
              </w:rPr>
              <w:t>the Matter</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$22.8 million, respectively. As discussed in Note 2 to the consolidated financial statements, the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estimates accrued receivables for those fertility benefit services provided but for which a</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 has not been received from the provider clinic based on historical claims experience. The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estimated cost of the related services and accrued claims payable are determined based upon the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historical costs paid to the provider clinic and the historical gross margin achieved for each related</w:t>
            </w:r>
          </w:p>
        </w:tc>
      </w:tr>
      <w:tr>
        <w:trPr>
          <w:trHeight w:val="234"/>
        </w:trPr>
        <w:tc>
          <w:tcPr>
            <w:tcW w:w="134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fertility benefit service estimated to have been provided.</w:t>
            </w:r>
          </w:p>
        </w:tc>
      </w:tr>
      <w:tr>
        <w:trPr>
          <w:trHeight w:val="414"/>
        </w:trPr>
        <w:tc>
          <w:tcPr>
            <w:tcW w:w="1340" w:type="dxa"/>
            <w:vAlign w:val="bottom"/>
          </w:tcPr>
          <w:p>
            <w:pPr>
              <w:spacing w:after="0"/>
              <w:rPr>
                <w:sz w:val="24"/>
                <w:szCs w:val="24"/>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Auditing the Company’s estimates of accrued receivables and the related accrued claims payable was</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complex and required significant judgment as the estimates were sensitive to changes in the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assumptions, including management’s assumptions regarding the lag between</w:t>
            </w:r>
          </w:p>
        </w:tc>
      </w:tr>
      <w:tr>
        <w:trPr>
          <w:trHeight w:val="234"/>
        </w:trPr>
        <w:tc>
          <w:tcPr>
            <w:tcW w:w="134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date and service date, service changes and cancellations.</w:t>
            </w: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controls over the Company’s process to estimate accrued receivables and the associated claims</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For example, we tested controls over management’s review of the methodology, significant</w:t>
            </w: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assumptions and the underlying data used to determine these estimates.</w:t>
            </w:r>
          </w:p>
        </w:tc>
      </w:tr>
      <w:tr>
        <w:trPr>
          <w:trHeight w:val="414"/>
        </w:trPr>
        <w:tc>
          <w:tcPr>
            <w:tcW w:w="1340" w:type="dxa"/>
            <w:vAlign w:val="bottom"/>
          </w:tcPr>
          <w:p>
            <w:pPr>
              <w:spacing w:after="0"/>
              <w:rPr>
                <w:sz w:val="24"/>
                <w:szCs w:val="24"/>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test the accrued receivables and the related claims payable, our audit procedures included, among</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others, assessing the methodology, evaluating the significant assumptions described above and testing</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completeness and accuracy of the underlying data used in the Company’s analysis. For example,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tested the Company’s assumptions of the lag between the authorization date and service date,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changes and cancellations based on historical claims data, historical gross margin per service</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tested the clerical accuracy of management’s analysis. Additionally, we evaluated the historical</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accuracy of management’s estimate by testing management’s retrospective review analysis that</w:t>
            </w:r>
          </w:p>
        </w:tc>
      </w:tr>
      <w:tr>
        <w:trPr>
          <w:trHeight w:val="216"/>
        </w:trPr>
        <w:tc>
          <w:tcPr>
            <w:tcW w:w="1340" w:type="dxa"/>
            <w:vAlign w:val="bottom"/>
          </w:tcPr>
          <w:p>
            <w:pPr>
              <w:spacing w:after="0"/>
              <w:rPr>
                <w:sz w:val="18"/>
                <w:szCs w:val="18"/>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compared the prior period estimated accrued receivables and accrued claims payable to actual billing</w:t>
            </w:r>
          </w:p>
        </w:tc>
      </w:tr>
      <w:tr>
        <w:trPr>
          <w:trHeight w:val="234"/>
        </w:trPr>
        <w:tc>
          <w:tcPr>
            <w:tcW w:w="134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claims data.</w:t>
            </w:r>
          </w:p>
        </w:tc>
      </w:tr>
    </w:tbl>
    <w:p>
      <w:pPr>
        <w:spacing w:after="0" w:line="200" w:lineRule="exact"/>
        <w:rPr>
          <w:sz w:val="20"/>
          <w:szCs w:val="20"/>
          <w:color w:val="auto"/>
        </w:rPr>
      </w:pP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Valuation of deferred tax assets</w:t>
      </w:r>
    </w:p>
    <w:p>
      <w:pPr>
        <w:spacing w:after="0" w:line="214"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of December 31, 2020, the Company had deferred tax assets related to deductible temporary</w:t>
      </w:r>
    </w:p>
    <w:p>
      <w:pPr>
        <w:spacing w:after="0" w:line="29"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differences and carryforwards of $40.8 million, net of a valuation allowance of $0.2 million. As</w:t>
      </w:r>
    </w:p>
    <w:p>
      <w:pPr>
        <w:spacing w:after="0" w:line="9" w:lineRule="exact"/>
        <w:rPr>
          <w:sz w:val="20"/>
          <w:szCs w:val="20"/>
          <w:color w:val="auto"/>
        </w:rPr>
      </w:pPr>
    </w:p>
    <w:p>
      <w:pPr>
        <w:ind w:left="1620" w:right="319"/>
        <w:spacing w:after="0" w:line="255" w:lineRule="auto"/>
        <w:rPr>
          <w:sz w:val="20"/>
          <w:szCs w:val="20"/>
          <w:color w:val="auto"/>
        </w:rPr>
      </w:pPr>
      <w:r>
        <w:rPr>
          <w:rFonts w:ascii="Times New Roman" w:cs="Times New Roman" w:eastAsia="Times New Roman" w:hAnsi="Times New Roman"/>
          <w:sz w:val="18"/>
          <w:szCs w:val="18"/>
          <w:color w:val="auto"/>
        </w:rPr>
        <w:t>discussed in Note 14 to the consolidated financial statements, the Company recognizes a valuation allowance to reduce the carrying value of its deferred tax assets to the amount that management believes is more likely than not to be realized.</w:t>
      </w:r>
    </w:p>
    <w:p>
      <w:pPr>
        <w:spacing w:after="0" w:line="172" w:lineRule="exact"/>
        <w:rPr>
          <w:sz w:val="20"/>
          <w:szCs w:val="20"/>
          <w:color w:val="auto"/>
        </w:rPr>
      </w:pPr>
    </w:p>
    <w:p>
      <w:pPr>
        <w:ind w:left="1620" w:right="299"/>
        <w:spacing w:after="0" w:line="261" w:lineRule="auto"/>
        <w:rPr>
          <w:sz w:val="20"/>
          <w:szCs w:val="20"/>
          <w:color w:val="auto"/>
        </w:rPr>
      </w:pPr>
      <w:r>
        <w:rPr>
          <w:rFonts w:ascii="Times New Roman" w:cs="Times New Roman" w:eastAsia="Times New Roman" w:hAnsi="Times New Roman"/>
          <w:sz w:val="18"/>
          <w:szCs w:val="18"/>
          <w:color w:val="auto"/>
        </w:rPr>
        <w:t>Auditing the Company’s assessment of the realizability of its deferred tax assets involved complex auditor judgment because management’s estimates of future taxable income are highly judgmental and based upon significant assumptions that may be affected by future market conditions and the Company’s performance.</w:t>
      </w:r>
    </w:p>
    <w:p>
      <w:pPr>
        <w:spacing w:after="0" w:line="164"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How We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internal</w:t>
      </w:r>
    </w:p>
    <w:p>
      <w:pPr>
        <w:spacing w:after="0" w:line="29"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Addressed the</w:t>
      </w:r>
      <w:r>
        <w:rPr>
          <w:sz w:val="20"/>
          <w:szCs w:val="20"/>
          <w:color w:val="auto"/>
        </w:rPr>
        <w:tab/>
      </w:r>
      <w:r>
        <w:rPr>
          <w:rFonts w:ascii="Times New Roman" w:cs="Times New Roman" w:eastAsia="Times New Roman" w:hAnsi="Times New Roman"/>
          <w:sz w:val="17"/>
          <w:szCs w:val="17"/>
          <w:color w:val="auto"/>
        </w:rPr>
        <w:t>controls over the Company’s income tax process, including management’s assessment of the</w:t>
      </w:r>
    </w:p>
    <w:p>
      <w:pPr>
        <w:spacing w:after="0" w:line="9"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Matter in Our</w:t>
      </w:r>
      <w:r>
        <w:rPr>
          <w:sz w:val="20"/>
          <w:szCs w:val="20"/>
          <w:color w:val="auto"/>
        </w:rPr>
        <w:tab/>
      </w:r>
      <w:r>
        <w:rPr>
          <w:rFonts w:ascii="Times New Roman" w:cs="Times New Roman" w:eastAsia="Times New Roman" w:hAnsi="Times New Roman"/>
          <w:sz w:val="17"/>
          <w:szCs w:val="17"/>
          <w:color w:val="auto"/>
        </w:rPr>
        <w:t>realizability of the deferred tax assets. For example, we tested controls over management’s review of</w:t>
      </w:r>
    </w:p>
    <w:p>
      <w:pPr>
        <w:spacing w:after="0" w:line="9"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the significant assumptions and the underlying data used to determine the timing and amount of</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projected future taxable income.</w:t>
      </w:r>
    </w:p>
    <w:p>
      <w:pPr>
        <w:spacing w:after="0" w:line="207" w:lineRule="exact"/>
        <w:rPr>
          <w:sz w:val="20"/>
          <w:szCs w:val="20"/>
          <w:color w:val="auto"/>
        </w:rPr>
      </w:pPr>
    </w:p>
    <w:p>
      <w:pPr>
        <w:ind w:left="1620" w:right="119"/>
        <w:spacing w:after="0" w:line="255" w:lineRule="auto"/>
        <w:rPr>
          <w:sz w:val="20"/>
          <w:szCs w:val="20"/>
          <w:color w:val="auto"/>
        </w:rPr>
      </w:pPr>
      <w:r>
        <w:rPr>
          <w:rFonts w:ascii="Times New Roman" w:cs="Times New Roman" w:eastAsia="Times New Roman" w:hAnsi="Times New Roman"/>
          <w:sz w:val="18"/>
          <w:szCs w:val="18"/>
          <w:color w:val="auto"/>
        </w:rPr>
        <w:t>Among other audit procedures performed, we evaluated the Company’s assessment of the realizability of deferred tax assets and the resultant valuation allowance including management’s estimates of future taxable income. We compared management’s estimates of future taxable income, with actual results of prior periods, economic trends and other forecasted financial information prepared by the Company. We involved our tax professionals to evaluate the application of tax law in the Company’s assessment. We also tested the Company’s scheduling of the timing and amount of reversal of taxable temporary differences.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$16,199 and $6,320 of allowances at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2020 and December 31, 2019, respectively</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75,664</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253,927</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43,514</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2020 and 2019, respectively; 87,054,329 and 84,188,202 shares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issued and outstanding at December 31, 2020 and 2019, respectively</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Treasury stock, at cost, $0.0001 par value; 615,980 shares outstanding at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2020 and 2019, respectively</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253,927</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105,400</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85,966</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preferred stock warrant valuation adjustment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(18,176)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from discontinued operations, net of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46,459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(8,569)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8"/>
        </w:trPr>
        <w:tc>
          <w:tcPr>
            <w:tcW w:w="5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basic net income (loss) per share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61"/>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8"/>
        </w:trPr>
        <w:tc>
          <w:tcPr>
            <w:tcW w:w="56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diluted net income (loss) per share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61"/>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85,722,670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5,539,739</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99,055,526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5,539,739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on marketable securities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Convertible Preferred Stock and Stockholders’ Equity (Deficit)</w:t>
      </w:r>
    </w:p>
    <w:p>
      <w:pPr>
        <w:spacing w:after="0" w:line="1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1400" w:type="dxa"/>
            <w:vAlign w:val="bottom"/>
          </w:tcPr>
          <w:p>
            <w:pPr>
              <w:spacing w:after="0"/>
              <w:rPr>
                <w:sz w:val="2"/>
                <w:szCs w:val="2"/>
                <w:color w:val="auto"/>
              </w:rPr>
            </w:pPr>
          </w:p>
        </w:tc>
        <w:tc>
          <w:tcPr>
            <w:tcW w:w="17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Convertible</w:t>
            </w: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40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740" w:type="dxa"/>
            <w:vAlign w:val="bottom"/>
            <w:gridSpan w:val="5"/>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20" w:type="dxa"/>
            <w:vAlign w:val="bottom"/>
            <w:shd w:val="clear" w:color="auto" w:fill="000000"/>
          </w:tcPr>
          <w:p>
            <w:pPr>
              <w:spacing w:after="0"/>
              <w:rPr>
                <w:sz w:val="15"/>
                <w:szCs w:val="15"/>
                <w:color w:val="auto"/>
              </w:rPr>
            </w:pPr>
          </w:p>
        </w:tc>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2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Paid in</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960" w:type="dxa"/>
            <w:vAlign w:val="bottom"/>
            <w:tcBorders>
              <w:top w:val="single" w:sz="8" w:color="auto"/>
            </w:tcBorders>
            <w:gridSpan w:val="2"/>
          </w:tcPr>
          <w:p>
            <w:pPr>
              <w:jc w:val="right"/>
              <w:ind w:right="30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w w:val="95"/>
              </w:rPr>
              <w:t>Amount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3"/>
                <w:szCs w:val="13"/>
                <w:color w:val="auto"/>
              </w:rPr>
            </w:pPr>
          </w:p>
        </w:tc>
        <w:tc>
          <w:tcPr>
            <w:tcW w:w="8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3"/>
                <w:szCs w:val="13"/>
                <w:color w:val="auto"/>
              </w:rPr>
            </w:pPr>
          </w:p>
        </w:tc>
        <w:tc>
          <w:tcPr>
            <w:tcW w:w="960" w:type="dxa"/>
            <w:vAlign w:val="bottom"/>
            <w:gridSpan w:val="2"/>
          </w:tcPr>
          <w:p>
            <w:pPr>
              <w:jc w:val="right"/>
              <w:ind w:right="440"/>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3"/>
                <w:szCs w:val="13"/>
                <w:color w:val="auto"/>
              </w:rPr>
            </w:pPr>
          </w:p>
        </w:tc>
        <w:tc>
          <w:tcPr>
            <w:tcW w:w="120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Income</w:t>
            </w:r>
          </w:p>
        </w:tc>
        <w:tc>
          <w:tcPr>
            <w:tcW w:w="6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34"/>
        </w:trPr>
        <w:tc>
          <w:tcPr>
            <w:tcW w:w="14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0" w:type="dxa"/>
            <w:vAlign w:val="bottom"/>
            <w:tcBorders>
              <w:top w:val="single" w:sz="8" w:color="auto"/>
              <w:left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66,630,284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108,312</w:t>
            </w: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5,690,083</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6,933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(104,556)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 (97,622)</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Repurchase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convertible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4"/>
                <w:szCs w:val="14"/>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preferred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(1,202,196)</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(2,075)</w:t>
            </w:r>
          </w:p>
        </w:tc>
        <w:tc>
          <w:tcPr>
            <w:tcW w:w="20" w:type="dxa"/>
            <w:vAlign w:val="bottom"/>
            <w:shd w:val="clear" w:color="auto" w:fill="000000"/>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(425)</w:t>
            </w:r>
          </w:p>
        </w:tc>
        <w:tc>
          <w:tcPr>
            <w:tcW w:w="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Repurchase of</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(589,321)</w:t>
            </w:r>
          </w:p>
        </w:tc>
        <w:tc>
          <w:tcPr>
            <w:tcW w:w="34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(884)</w:t>
            </w: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(321)</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Non-cash</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contribution</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Stock option</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exercise</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54,645</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Stock-based</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2,997</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Impact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adoption of ASU</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2016-09</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tcBorders>
              <w:left w:val="single" w:sz="8" w:color="CCEEFF"/>
            </w:tcBorders>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(213)</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661</w:t>
            </w:r>
          </w:p>
        </w:tc>
        <w:tc>
          <w:tcPr>
            <w:tcW w:w="0" w:type="dxa"/>
            <w:vAlign w:val="bottom"/>
          </w:tcPr>
          <w:p>
            <w:pPr>
              <w:spacing w:after="0"/>
              <w:rPr>
                <w:sz w:val="1"/>
                <w:szCs w:val="1"/>
                <w:color w:val="auto"/>
              </w:rPr>
            </w:pPr>
          </w:p>
        </w:tc>
      </w:tr>
      <w:tr>
        <w:trPr>
          <w:trHeight w:val="134"/>
        </w:trPr>
        <w:tc>
          <w:tcPr>
            <w:tcW w:w="14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0" w:type="dxa"/>
            <w:vAlign w:val="bottom"/>
            <w:tcBorders>
              <w:top w:val="single" w:sz="8" w:color="auto"/>
              <w:left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2018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65,428,088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106,237</w:t>
            </w: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5,155,407</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(884)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10,622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(104,854)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 (95,115)</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Repurchase of</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(26,659)</w:t>
            </w: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Stock option</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exercise</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6,490,059</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6,536</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Stock-based</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5,061</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Conversion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convertible</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preferred stock to</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common stock</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upon initial public</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offering</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(65,428,088)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(106,237)</w:t>
            </w: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65,428,088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106,230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106,237</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Conversion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convertible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preferred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warrants to</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common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warrants upon</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initial public</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offering</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22,765</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Warrant exercise</w:t>
            </w: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441,307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common stock in</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connection with</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initial public</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offering, net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costs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$5.9 million and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$3.7 million in</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offering costs</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6,700,000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77,479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77,479</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(8,569)</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(8,569)</w:t>
            </w:r>
          </w:p>
        </w:tc>
        <w:tc>
          <w:tcPr>
            <w:tcW w:w="0" w:type="dxa"/>
            <w:vAlign w:val="bottom"/>
          </w:tcPr>
          <w:p>
            <w:pPr>
              <w:spacing w:after="0"/>
              <w:rPr>
                <w:sz w:val="1"/>
                <w:szCs w:val="1"/>
                <w:color w:val="auto"/>
              </w:rPr>
            </w:pPr>
          </w:p>
        </w:tc>
      </w:tr>
      <w:tr>
        <w:trPr>
          <w:trHeight w:val="134"/>
        </w:trPr>
        <w:tc>
          <w:tcPr>
            <w:tcW w:w="140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December 31, 2019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84,188,202</w:t>
            </w:r>
          </w:p>
        </w:tc>
        <w:tc>
          <w:tcPr>
            <w:tcW w:w="1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(1,009)</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228,755</w:t>
            </w:r>
          </w:p>
        </w:tc>
        <w:tc>
          <w:tcPr>
            <w:tcW w:w="16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(113,483)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$ 114,271</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employee equity</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awards, net of</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shares withheld</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2,688,273</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(5,451)</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(5,450)</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Stock-based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compensation</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000000"/>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12,821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12,821</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Warrant exercise</w:t>
            </w: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800" w:type="dxa"/>
            <w:vAlign w:val="bottom"/>
            <w:tcBorders>
              <w:left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177,854</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Reduction in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initial public</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4"/>
                <w:szCs w:val="14"/>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offering costs</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45"/>
        </w:trPr>
        <w:tc>
          <w:tcPr>
            <w:tcW w:w="1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Impact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adoption of ASU</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960" w:type="dxa"/>
            <w:vAlign w:val="bottom"/>
            <w:tcBorders>
              <w:lef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2016-13</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tcBorders>
              <w:left w:val="single" w:sz="8" w:color="CCEEFF"/>
            </w:tcBorders>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(1,169)</w:t>
            </w: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0" w:type="dxa"/>
            <w:vAlign w:val="bottom"/>
          </w:tcPr>
          <w:p>
            <w:pPr>
              <w:spacing w:after="0"/>
              <w:rPr>
                <w:sz w:val="1"/>
                <w:szCs w:val="1"/>
                <w:color w:val="auto"/>
              </w:rPr>
            </w:pPr>
          </w:p>
        </w:tc>
      </w:tr>
      <w:tr>
        <w:trPr>
          <w:trHeight w:val="145"/>
        </w:trPr>
        <w:tc>
          <w:tcPr>
            <w:tcW w:w="140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comprehensive</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4"/>
                <w:szCs w:val="14"/>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left w:val="single" w:sz="8" w:color="CCEEFF"/>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46,459</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46,459</w:t>
            </w:r>
          </w:p>
        </w:tc>
        <w:tc>
          <w:tcPr>
            <w:tcW w:w="0" w:type="dxa"/>
            <w:vAlign w:val="bottom"/>
          </w:tcPr>
          <w:p>
            <w:pPr>
              <w:spacing w:after="0"/>
              <w:rPr>
                <w:sz w:val="1"/>
                <w:szCs w:val="1"/>
                <w:color w:val="auto"/>
              </w:rPr>
            </w:pPr>
          </w:p>
        </w:tc>
      </w:tr>
      <w:tr>
        <w:trPr>
          <w:trHeight w:val="148"/>
        </w:trPr>
        <w:tc>
          <w:tcPr>
            <w:tcW w:w="1400" w:type="dxa"/>
            <w:vAlign w:val="bottom"/>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shd w:val="clear" w:color="auto" w:fill="000000"/>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87,054,329</w:t>
            </w:r>
          </w:p>
        </w:tc>
        <w:tc>
          <w:tcPr>
            <w:tcW w:w="16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(1,009)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236,139</w:t>
            </w:r>
          </w:p>
        </w:tc>
        <w:tc>
          <w:tcPr>
            <w:tcW w:w="160" w:type="dxa"/>
            <w:vAlign w:val="bottom"/>
          </w:tcPr>
          <w:p>
            <w:pPr>
              <w:spacing w:after="0"/>
              <w:rPr>
                <w:sz w:val="12"/>
                <w:szCs w:val="12"/>
                <w:color w:val="auto"/>
              </w:rPr>
            </w:pP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(68,193)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$166,947</w:t>
            </w:r>
          </w:p>
        </w:tc>
        <w:tc>
          <w:tcPr>
            <w:tcW w:w="0" w:type="dxa"/>
            <w:vAlign w:val="bottom"/>
          </w:tcPr>
          <w:p>
            <w:pPr>
              <w:spacing w:after="0"/>
              <w:rPr>
                <w:sz w:val="1"/>
                <w:szCs w:val="1"/>
                <w:color w:val="auto"/>
              </w:rPr>
            </w:pPr>
          </w:p>
        </w:tc>
      </w:tr>
      <w:tr>
        <w:trPr>
          <w:trHeight w:val="170"/>
        </w:trPr>
        <w:tc>
          <w:tcPr>
            <w:tcW w:w="140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December 31, 2020</w:t>
            </w:r>
          </w:p>
        </w:tc>
        <w:tc>
          <w:tcPr>
            <w:tcW w:w="9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 notes are an integral part of these consolidated financial statements.</w:t>
      </w:r>
    </w:p>
    <w:p>
      <w:pPr>
        <w:sectPr>
          <w:pgSz w:w="11900" w:h="16838" w:orient="portrait"/>
          <w:cols w:equalWidth="0" w:num="1">
            <w:col w:w="9700"/>
          </w:cols>
          <w:pgMar w:left="1220" w:top="513" w:right="979" w:bottom="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700"/>
          </w:cols>
          <w:pgMar w:left="1220" w:top="513" w:right="979" w:bottom="110" w:gutter="0" w:footer="0" w:header="0"/>
          <w:type w:val="continuous"/>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88900</wp:posOffset>
            </wp:positionV>
            <wp:extent cx="598360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-3175</wp:posOffset>
            </wp:positionV>
            <wp:extent cx="1954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46,459</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(8,569)</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Income from discontinued operations, net of income tax</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activities: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expense (benefit)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(37,971)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interest expense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Bad debt expense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Accretion of debt discount and debt issuance costs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(35,336)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(25,342)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current other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assets and liabilities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36,203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(1,534)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2,272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net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(103,964)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 of marketable securities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64,970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continuing operations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(2,956)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discontinued operations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(2,756)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upon initial public offering</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initial public offering costs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 of term loan</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line of credit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made against revolving line of credit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(182,278)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convertible preferred 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warrants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(6,249)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84,545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80,382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year</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70,305</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80,382</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4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5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4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initial public offering costs in accounts payable and accrued expenses</w:t>
            </w:r>
          </w:p>
        </w:tc>
        <w:tc>
          <w:tcPr>
            <w:tcW w:w="42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36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settlement of liability</w:t>
            </w:r>
          </w:p>
        </w:tc>
        <w:tc>
          <w:tcPr>
            <w:tcW w:w="4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liability forgiveness related to divestiture</w:t>
            </w:r>
          </w:p>
        </w:tc>
        <w:tc>
          <w:tcPr>
            <w:tcW w:w="42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Non-cash preferred stock warrant conversion to common stock warrant upon IPO</w:t>
            </w:r>
          </w:p>
        </w:tc>
        <w:tc>
          <w:tcPr>
            <w:tcW w:w="42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(22,765)</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right="5999" w:hanging="10"/>
        <w:spacing w:after="0" w:line="503" w:lineRule="auto"/>
        <w:tabs>
          <w:tab w:leader="none" w:pos="3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Business</w:t>
      </w: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Progyny, Inc. (referred to as “Progyny” or the “Company”) was incorporated in the state of Delaware on April 3, 2008, and maintains its corporate headquarters in New York, NY.</w:t>
      </w:r>
    </w:p>
    <w:p>
      <w:pPr>
        <w:spacing w:after="0" w:line="162"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On October 14, 2019, the shareholders of Progyny approved a one-for-4.5454 reverse stock split of its common and convertible preferred stock. The par value of the common stock and convertible preferred stock was not adjusted as a result of the reverse stock split. Accordingly, the consolidated financial statements and notes retroactively reflect Progyny’s capital structure after giving effect to the reverse stock split.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$77.6 million from the IPO, after deducting underwriters’ discounts and commissions of $5.9 million and offering costs of $3.6 million. Offering costs were initially capitalized and consisted of fees and expenses incurred in connection with the sale of common stock in the IPO, including legal, accounting, printing and other IPO-related costs. Upon completion of the IPO, these offering costs were reclassified to stockholders’ equity and offset against the proceeds from the offering on the balance sheet. Immediately prior to the completion of the IPO, all shares 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Prior to December 31, 2020, the Company was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elected to use this extended transition period for complying with new or revised accounting standards that have different effective dates for public and private companies until the earlier of the date that it was (i) no longer an emerging growth company or (ii) affirmatively and irrevocably opted out of the extended transition period provided in the JOBS Act. Based on the market value of the Company’s common stock as of June 30, 2020, the Company ceased to qualify as an emerging growth company as of December 31, 2020. As a result, the Company no longer is able to use the extended transition period for complying with new or revised accounting standards available to emerging growth companies and is required to adopt new or revised accounting standards as of the effective dates for public companies. All new accounting pronouncements recently adopted as discussed in Note 2 – Summary of Significant Accounting Policies below were adopted in the fourth quarter of 2020 with an effective date of January 1, 2020.</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 owned subsidiary, Fertility Authority LLC. Effective June 2018, the Company legally dissolved the Fertility Authority LLC legal entity. All intercompany balances and transactions have been eliminated in consolidation. The consolidated financial statements and accompanying notes were prepared in accordance with accounting principles generally accepted in United Sates (“U.S. GAAP”).</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there are many uncertainties regarding the ongoing coronavirus (“COVID-19”) pandemic,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 operates and manages in one operating segment, providing fertility and pharmacy benefits solutions. The Company defines its CODM as its Chief Executive Officer and its President and Chief Operating Officer. All long-lived assets are located in the United States and all revenue is attributed to the United States. Since the Company operates in one operating segment, all required financial segment information can be found in the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revenue recognition including accrued receivables and allowance for service changes and cancellations, accrued claims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payable, allowance for doubtful accounts, stock-based compensation, convertible preferred stock warrant liabilities,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 value. Unrealized gains and losses on marketable securities are excluded from earnings and reported as a component of other comprehensive income (loss). Gross unrealized gains recorded within other comprehensive income as of December 31, 2020 were not significant.</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11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Fertility Benefits Revenue</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benefits solution that the client contracted to receive. Progyny’s fertility benefits solution is a stand-ready obligation that is satisfied over the contract term.</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8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87" w:lineRule="exact"/>
        <w:rPr>
          <w:sz w:val="20"/>
          <w:szCs w:val="20"/>
          <w:color w:val="auto"/>
        </w:rPr>
      </w:pPr>
    </w:p>
    <w:p>
      <w:pPr>
        <w:ind w:left="60" w:right="199" w:firstLine="648"/>
        <w:spacing w:after="0" w:line="289" w:lineRule="auto"/>
        <w:rPr>
          <w:sz w:val="20"/>
          <w:szCs w:val="20"/>
          <w:color w:val="auto"/>
        </w:rPr>
      </w:pPr>
      <w:r>
        <w:rPr>
          <w:rFonts w:ascii="Times New Roman" w:cs="Times New Roman" w:eastAsia="Times New Roman" w:hAnsi="Times New Roman"/>
          <w:sz w:val="17"/>
          <w:szCs w:val="17"/>
          <w:color w:val="auto"/>
        </w:rPr>
        <w:t>Clients are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5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Pharmacy Benefits Revenue</w:t>
      </w:r>
    </w:p>
    <w:p>
      <w:pPr>
        <w:spacing w:after="0" w:line="227"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3"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pacing w:after="0" w:line="176" w:lineRule="exact"/>
        <w:rPr>
          <w:sz w:val="20"/>
          <w:szCs w:val="20"/>
          <w:color w:val="auto"/>
        </w:rPr>
      </w:pPr>
    </w:p>
    <w:p>
      <w:pPr>
        <w:jc w:val="both"/>
        <w:ind w:left="60" w:right="239" w:firstLine="648"/>
        <w:spacing w:after="0" w:line="272" w:lineRule="auto"/>
        <w:rPr>
          <w:sz w:val="20"/>
          <w:szCs w:val="20"/>
          <w:color w:val="auto"/>
        </w:rPr>
      </w:pPr>
      <w:r>
        <w:rPr>
          <w:rFonts w:ascii="Times New Roman" w:cs="Times New Roman" w:eastAsia="Times New Roman" w:hAnsi="Times New Roman"/>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w:t>
      </w:r>
    </w:p>
    <w:p>
      <w:pPr>
        <w:spacing w:after="0" w:line="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8"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Accrued Receivable and Accrued Claims Payable</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 services provided but for which a claim has not been received from the provider clinic, which includes assumptions regarding the lag between authorization date and service date.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and 2019, accrued receivables, net of the allowance for service changes and cancellations discussed below, were $28.2 million and $16.0 million, respectively. Accrued receivables are included within accounts receivable in the consolidated balance sheet.</w:t>
      </w:r>
    </w:p>
    <w:p>
      <w:pPr>
        <w:spacing w:after="0" w:line="17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$22.8 million and $9.8 million as of December 31, 2020 and 2019,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2020 and December 31, 2019, unbilled receivables, which represent claims received and approved but unbilled at the end of the reporting period, were $16.4 million and $8.5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Accounts receivable also includes certain accrued receivables for fertility benefits claims from provider clinics at the end of each period for services provided that have not yet been received. The Company estimates an allowance for changes and cancellations of services based upon historical experience.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Additionally, as a result of the adoption of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beginning January 1, 2020, the Company estimates the allowance for doubtful accounts based on the lifetime expected credit losses for the client and member receivable pools, respectively. Under this model, the Company determines the allowance for doubtful accounts based on factors such as the age of the receivable balance, historical experience, current economic conditions, and reasonable and supportable forecasts of future economic conditions. The new standard requires a change in timing of loss recognition where an allowance for credit losses is now applied at the time the asset is recognized. Prior to the adoption of ASU 2016-13, credit losses were determined based upon historical bad debts, current receivables balances, and the age of the receivables balances. Expected credit losses are recorded as general and administrative expenses on our consolidated statements of operations. The Company adopted the standard using the modified retrospective transition method, which resulted in a cumulative-effect adjustment to accumulated deficit of $1.2 million. As a result, periods prior to the adoption date continue to be reported under the historical accounting guidance.</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2020, 2019 and 2018</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ASU 2016-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Charged</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to Costs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13 Adoption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Utilization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73"/>
        </w:trPr>
        <w:tc>
          <w:tcPr>
            <w:tcW w:w="2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 Revenue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Allowance for doubtful</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Allowance for service changes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20"/>
              <w:spacing w:after="0" w:line="235" w:lineRule="exact"/>
              <w:rPr>
                <w:sz w:val="20"/>
                <w:szCs w:val="20"/>
                <w:color w:val="auto"/>
              </w:rPr>
            </w:pPr>
            <w:r>
              <w:rPr>
                <w:rFonts w:ascii="Times New Roman" w:cs="Times New Roman" w:eastAsia="Times New Roman" w:hAnsi="Times New Roman"/>
                <w:sz w:val="18"/>
                <w:szCs w:val="18"/>
                <w:color w:val="auto"/>
              </w:rPr>
              <w:t>and cancellations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16,199</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Allowance for doubtful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Allowance for service changes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shd w:val="clear" w:color="auto" w:fill="CCEEFF"/>
          </w:tcPr>
          <w:p>
            <w:pPr>
              <w:spacing w:after="0" w:line="235" w:lineRule="exact"/>
              <w:rPr>
                <w:sz w:val="20"/>
                <w:szCs w:val="20"/>
                <w:color w:val="auto"/>
              </w:rPr>
            </w:pPr>
            <w:r>
              <w:rPr>
                <w:rFonts w:ascii="Times New Roman" w:cs="Times New Roman" w:eastAsia="Times New Roman" w:hAnsi="Times New Roman"/>
                <w:sz w:val="18"/>
                <w:szCs w:val="18"/>
                <w:color w:val="auto"/>
              </w:rPr>
              <w:t>and cancellations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3,486</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7,742</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Allowance for doubtful</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Allowance for service changes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ind w:left="20"/>
              <w:spacing w:after="0" w:line="235" w:lineRule="exact"/>
              <w:rPr>
                <w:sz w:val="20"/>
                <w:szCs w:val="20"/>
                <w:color w:val="auto"/>
              </w:rPr>
            </w:pPr>
            <w:r>
              <w:rPr>
                <w:rFonts w:ascii="Times New Roman" w:cs="Times New Roman" w:eastAsia="Times New Roman" w:hAnsi="Times New Roman"/>
                <w:sz w:val="18"/>
                <w:szCs w:val="18"/>
                <w:color w:val="auto"/>
              </w:rPr>
              <w:t>and cancellations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619" w:hanging="330"/>
        <w:spacing w:after="0" w:line="208" w:lineRule="auto"/>
        <w:tabs>
          <w:tab w:leader="none" w:pos="38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allowance released as a result of the cancellation or adjustment to an authorized fertility benefits service treatment.</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Fertility Benefit Services</w:t>
      </w:r>
    </w:p>
    <w:p>
      <w:pPr>
        <w:spacing w:after="0" w:line="22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Pharmacy Benefit Services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 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Credit Risk and Off-Balance-Sheet Risk</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consists primarily of cash and cash equivalents, marketable securities, and accounts receivable.</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invests its cash and cash equivalents and marketable securities with highly rated financial institutions and management believes that the financial risks associated with its cash equivalents are minimal. Substantially all of the Company’s cash is maintained with one financial institution with a high credit standing. From time to time, such deposits may exceed federally insured limits.</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regularly reviews the outstanding accounts receivable and makes estimates of expected credit and collectability trends for the allowance of credit losses based upon consideration of factors such as the age of the receivable balance, historical experience, current economic conditions, and reasonable and supportable forecasts of future economic conditions. Two customers accounted for 14% each, or a combined 28% total receivables as of December 31, 2020. Two customers accounted for 17% and 14% each, or a combined 31% total receivables as of December 31, 2019. Three customers accounted for 25%, 13% and 10% each, or 48% of total accounts receivables as of December 31, 2018. To manage credit risk related to accounts receivable, the Company evaluates client’s financial condition and collateral is generally not required.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consist of computer equipment, machinery and equipment, furniture and fixtures, leasehold improvements, and capitalized software development costs. The assets are stated at cost less accumulated depreciation and amortization. Depreciation is calculated using the straight-line method based on estimated useful lives and in the case of leasehold improvements, the shorter of the useful life or the remaining term of the lease (see Note 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Goodwill represents the excess of the consideration transferred over the fair value of the assets acquired and liabilities assumed in a business combination. Other intangible assets consist of trademarks, physician network, and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Goodwill is reviewed for impairment annually as of October 1st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192"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tests for goodwill impairment for each reporting unit, which is at the operating segment or one level below the operating segment. This analysis requires us to make a series of assumptions to (1) evaluate whether any impairment exists and (2) measure the amount of impairment. There was no impairment of goodwill or intangible assets for the years ended December 31, 2020, 2019, and 2018.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There were no impairments recorded for the years ended December 31, 2020, 2019 and 2018.</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assets, accrued expenses and other current liabilities, and operating lease noncurrent liabilities on our consolidated balance sheets. As of December 31, 2020, the Company has no financing lease arrangements.</w:t>
      </w:r>
    </w:p>
    <w:p>
      <w:pPr>
        <w:spacing w:after="0" w:line="176" w:lineRule="exact"/>
        <w:rPr>
          <w:sz w:val="20"/>
          <w:szCs w:val="20"/>
          <w:color w:val="auto"/>
        </w:rPr>
      </w:pPr>
    </w:p>
    <w:p>
      <w:pPr>
        <w:ind w:left="60" w:right="79" w:firstLine="405"/>
        <w:spacing w:after="0" w:line="254" w:lineRule="auto"/>
        <w:rPr>
          <w:sz w:val="20"/>
          <w:szCs w:val="20"/>
          <w:color w:val="auto"/>
        </w:rPr>
      </w:pPr>
      <w:r>
        <w:rPr>
          <w:rFonts w:ascii="Times New Roman" w:cs="Times New Roman" w:eastAsia="Times New Roman" w:hAnsi="Times New Roman"/>
          <w:sz w:val="18"/>
          <w:szCs w:val="18"/>
          <w:color w:val="auto"/>
        </w:rPr>
        <w:t>In accordance with ASC 842, which the Company adopted on January 1, 2020, the Company records a right-of-use asset (“ROU”) and lease liability in connection with its operating leases. Operating lease ROU assets and operating lease liabilities are recognized based on the present value of the future minimum lease payments over the lease term at commencement date. To determine the present value of lease payments, the Company utilizes the rate implicit in the lease, if available. If the rate implicit in the lease is not readily determinable, the Company uses its secured incremental borrowing rate to determine the present value of the lease payments. The determination of the Company’s incremental borrowing rate requires judgment and is primarily based on publicly available information for companies within the same industry and with similar credit profiles. The rate is then adjusted for the lease term and other specific terms included in the Company’s lease arrangements. The incremental borrowing rate is subsequently reassessed upon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modification to the lease arrangement. The operating lease ROU asset also includes any lease payments made prior to commencement date and excludes lease incentives and initial direct costs incurred. ROU assets are subsequently assessed for impairment in accordance with the Company’s accounting policy for long-lived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awards in accordance with FASB ASC Topic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(ASC 718). ASC 718 requires all share-based payments, including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and grants of stock options, to be recognized in the consolidated statements of operations based on their respective fair values. For non-employee awards, a measurement date is normally reached when performance is completed, and the fair value is remeasured as the awards vest. The fair value of the Company’s restricted stock units has been determined utilizing the closing market price of the Company’s common stock on the date of the grant.</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Company’s stock options and stock purchased under the employee stock purchase plan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a specified group of companies in Progyny’s industry for a period equal to the expected life of the option. Progyny selected companies with comparable characteristics to the Company,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18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expected life of the options granted represents the period of time that options granted are expected to be outstanding and is calculated using the simplified method, which is the mid-point between the vesting date and the end of the contractual term for each option. We have estimated the expected term of non-employee service-based and performance-based awards based on the remaining contractual term of such awards. The risk-free interest rate is based on a zero coupon, United States Treasury instrument whose term is consistent with the expected life of the stock option. The Company has not paid, and does not anticipate paying, cash dividends on its shares of common stock; therefore, the expected dividend yield is zero.</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ASU 2016-09,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which in turn resulted in a change in accounting policy to account for forfeitures as they occur. Prior to January 1, 2018, forfeitures were estimated at the date of grant and revised, if necessary, in subsequent periods if actual forfeitures differed from those estimates. The adoption resulted in a transition adjustment of $0.2 million, recorded to accumulated deficit.</w:t>
      </w:r>
    </w:p>
    <w:p>
      <w:pPr>
        <w:spacing w:after="0" w:line="18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Company’s share-based awards are subject to either service-based or performance-based vesting conditions. The Company recognizes compensation expense for service-based awards over the vesting period of the award on a straight-line basis. Compensation expense related to awards with performance-based vesting conditions is recognized when achievement of the performance condition is considered probable over the requisite service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 Valuation</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Prior to the Company’s IPO on October 29, 2019, the Company had historically granted stock options at exercise prices equal to the fair value as determined by the Board of Directors on the date of grant. Prior to the IPO and in the absence of a public trading market, the Board of Directors, with input from management, exercised significant judgement and considered numerous objective and subjective factors to determine the fair value of the Company’s common stock as of the date of each stock option grant, including:</w:t>
      </w:r>
    </w:p>
    <w:p>
      <w:pPr>
        <w:spacing w:after="0" w:line="183" w:lineRule="exact"/>
        <w:rPr>
          <w:sz w:val="20"/>
          <w:szCs w:val="20"/>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performance</w:t>
      </w:r>
    </w:p>
    <w:p>
      <w:pPr>
        <w:spacing w:after="0" w:line="117"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the convertible preferred stock relative to those of the common stock;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79" w:hanging="318"/>
        <w:spacing w:after="0" w:line="282" w:lineRule="auto"/>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conditions, and the trends specific to the markets in which the Company operates</w:t>
      </w:r>
    </w:p>
    <w:p>
      <w:pPr>
        <w:spacing w:after="0" w:line="5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Board of Directors considered the independent valuations completed by a third-party valuation consultant. The valuations of the Company’s common stock were determined in accordance with the guidelines outlined in the </w:t>
      </w:r>
      <w:r>
        <w:rPr>
          <w:rFonts w:ascii="Times New Roman" w:cs="Times New Roman" w:eastAsia="Times New Roman" w:hAnsi="Times New Roman"/>
          <w:sz w:val="18"/>
          <w:szCs w:val="18"/>
          <w:i w:val="1"/>
          <w:iCs w:val="1"/>
          <w:color w:val="auto"/>
        </w:rPr>
        <w:t>American Institute of Certified Public Accountants Practice Aid, 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In performing these valuations, the Board of Directors considered a variety of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and valuation methodologies in accordance with the guidelines. Following the IPO, the Board of Directors determines the fair market value for all common stock grants based on the closing market price of our common stock, on the date of grant, as reported by Nasdaq.</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 The amount of deferred tax provided is calculated using tax rates enacted at the balance sheet date. The impact of tax law changes is recognized in periods when the change is enacted.</w:t>
      </w:r>
    </w:p>
    <w:p>
      <w:pPr>
        <w:spacing w:after="0" w:line="18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83" w:lineRule="exact"/>
        <w:rPr>
          <w:sz w:val="20"/>
          <w:szCs w:val="20"/>
          <w:color w:val="auto"/>
        </w:rPr>
      </w:pPr>
    </w:p>
    <w:p>
      <w:pPr>
        <w:jc w:val="both"/>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penalty expenses associated with uncertain tax positions as a component of income tax expense in the consolidated statements of operations and comprehensive (loss) income. As of December 31, 2020, 2019 and 2018, the Company had no accrued interest or penalties related to uncertain tax positions and no amounts have been recognized in the Company’s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and Fair Value Measurements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sz w:val="20"/>
          <w:szCs w:val="20"/>
          <w:color w:val="auto"/>
        </w:rPr>
      </w:pPr>
    </w:p>
    <w:p>
      <w:pPr>
        <w:ind w:left="1440" w:right="499" w:hanging="750"/>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40" w:right="119"/>
        <w:spacing w:after="0" w:line="282" w:lineRule="auto"/>
        <w:rPr>
          <w:sz w:val="20"/>
          <w:szCs w:val="20"/>
          <w:color w:val="auto"/>
        </w:rPr>
      </w:pPr>
      <w:r>
        <w:rPr>
          <w:rFonts w:ascii="Times New Roman" w:cs="Times New Roman" w:eastAsia="Times New Roman" w:hAnsi="Times New Roman"/>
          <w:sz w:val="18"/>
          <w:szCs w:val="18"/>
          <w:color w:val="auto"/>
        </w:rPr>
        <w:t>observable or can be corroborated by observable market data for substantially the full term of the assets or liabilities.</w:t>
      </w:r>
    </w:p>
    <w:p>
      <w:pPr>
        <w:spacing w:after="0" w:line="162" w:lineRule="exact"/>
        <w:rPr>
          <w:sz w:val="20"/>
          <w:szCs w:val="20"/>
          <w:color w:val="auto"/>
        </w:rPr>
      </w:pPr>
    </w:p>
    <w:p>
      <w:pPr>
        <w:ind w:left="1440" w:right="199" w:hanging="75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80"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certain of the Company’s financial instruments, including cash equivalents, marketable securities, accounts receivable, accounts payable and the term loan approximate fair value due to their short maturities.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calculated by dividing the net income (loss) attributable to common stockholders by the weighted-average number of shares of common stock outstanding for the period. The Company adjusts its net income (loss) attributable to common stockholders to reflect the impact of deemed dividends recorded for convertible preferred stock during the period.</w:t>
      </w:r>
    </w:p>
    <w:p>
      <w:pPr>
        <w:spacing w:after="0" w:line="18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2019 and 2018, the Company’s convertible preferred stock was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income (loss) per share using the two-class method. Accordingly, the net income (loss) attributable to common stockholders is derived from the net income (loss) for the period and, in periods in which the Company has net income attributable to common stockholders, an adjustment is made for the allocations of undistributed earnings to participating securities based on their outstanding shareholder rights. Under the two-class method, the net loss attributable to common stockholders is not allocated to the convertible preferred stock as the convertible preferred stockholders did not have a contractual obligation to share in the Company’s losses.</w:t>
      </w:r>
    </w:p>
    <w:p>
      <w:pPr>
        <w:spacing w:after="0" w:line="194"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Diluted net income (loss) attributable to common stockholders is computed by adjusting (loss) income attributable to common stockholders to allocate undistributed earnings based on the potential impact of dilutive securities, including outstanding stock options, convertible preferred stock, convertible preferred stock warrants, and common stock warrants. Diluted net income (loss) per share attributable to common stockholders is computed by dividing the diluted net income (loss) attributable to common stockholders by the weighted average number of common shares outstanding for the period, including common stock equivalents. In periods when the Company has incurred a net loss, convertible 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Company adopted this standard on January 1, 2020, using the modified retrospective transition method, which applies the provisions of the standard at the effective date without adjusting the comparative periods presented. As a result, periods prior to the adoption date continue to be reported under the historical lease accounting guidance. In addition, the Company elected the package of practical expedients permitted under the transition guidance within the new standard, which allowed the Company not to reassess (i) whether any expired or existing contracts contained leases, (ii) the lease classification for any expired or existing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leases, and (iii) initial direct costs for existing leases. The Company also elected to not reassess lease terms for existing leases using hindsight and to account for each separate lease and non-lease component as a single lease component. As a result of the adoption of the new leasing guidance, the Company recorded right-of-use assets and lease liabilities of $9.5 million and $9.9 million, respectively. The right-of-use assets are classified within Operating lease right-of-use assets on the Company’s consolidated balance sheet. Lease liabilities are classified within accrued expenses and other current liabilities and operating lease noncurrent liabilities on the Company’s consolidated balance sheet. The adoption of the standard did not materially impact the Company’s statement of operations or statement of cash flows for the year ended December 31, 2020. See Note 7 – Leases for further details.</w:t>
      </w:r>
    </w:p>
    <w:p>
      <w:pPr>
        <w:spacing w:after="0" w:line="190" w:lineRule="exact"/>
        <w:rPr>
          <w:sz w:val="20"/>
          <w:szCs w:val="20"/>
          <w:color w:val="auto"/>
        </w:rPr>
      </w:pPr>
    </w:p>
    <w:p>
      <w:pPr>
        <w:jc w:val="both"/>
        <w:ind w:left="60" w:right="21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xml:space="preserve"> which replaces the incurred loss impairment methodology in current U.S. GAAP with a methodology that reflects expected credit losses and requires consideration of a broader range of reasonable and supportable information to inform credit loss estimates.</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adopted this standard as of January 1, 2020 using the modified retrospective transition method, which resulted in a cumulative-effect adjustment to accumulated deficit of $1.2 million. The adoption of the new standard impacted our methodology for calculating and estimating our allowance for doubtful accounts. As a result, periods prior to the adoption date continue to be reported under the historical accounting guidance.</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final guidance requiring a customer in a cloud computing arrangement that is a service contract to follow the internal use software guidance in Accounting Standards Codification (“ASC”) 350-402 </w:t>
      </w:r>
      <w:r>
        <w:rPr>
          <w:rFonts w:ascii="Times New Roman" w:cs="Times New Roman" w:eastAsia="Times New Roman" w:hAnsi="Times New Roman"/>
          <w:sz w:val="18"/>
          <w:szCs w:val="18"/>
          <w:i w:val="1"/>
          <w:iCs w:val="1"/>
          <w:color w:val="auto"/>
        </w:rPr>
        <w:t xml:space="preserve">Intangibles—Goodwill and Other—Internal Use Software </w:t>
      </w:r>
      <w:r>
        <w:rPr>
          <w:rFonts w:ascii="Times New Roman" w:cs="Times New Roman" w:eastAsia="Times New Roman" w:hAnsi="Times New Roman"/>
          <w:sz w:val="18"/>
          <w:szCs w:val="18"/>
          <w:color w:val="auto"/>
        </w:rPr>
        <w:t>(Subtopic 350-40) to determine which implementation costs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 as assets. The Company adopted this standard on January 1, 2020. The adoption of the new standard did not have a material effect on the Company’s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Pronouncements Issued but Not Yet Adopted</w:t>
      </w:r>
    </w:p>
    <w:p>
      <w:pPr>
        <w:spacing w:after="0" w:line="227"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December 2019, the FASB issued ASU 2019-12, </w:t>
      </w:r>
      <w:r>
        <w:rPr>
          <w:rFonts w:ascii="Times New Roman" w:cs="Times New Roman" w:eastAsia="Times New Roman" w:hAnsi="Times New Roman"/>
          <w:sz w:val="17"/>
          <w:szCs w:val="17"/>
          <w:i w:val="1"/>
          <w:iCs w:val="1"/>
          <w:color w:val="auto"/>
        </w:rPr>
        <w:t>Income Taxes (Topic 740): Simplifying the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standard is intended to simplify the accounting for income taxes by removing certain exceptions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principles in Topic 740, as well as improve consistent application of and simplify GAAP for other areas of Topic 740 by clarifying and amending existing guidance. The new standard will be effective for the Company for the fiscal year beginning January 1, 2021. The Company is currently evaluating the impact this ASU will have on its financial statements.</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3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Fertility benefit services revenue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$ 253,556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189,618</w:t>
            </w:r>
          </w:p>
        </w:tc>
        <w:tc>
          <w:tcPr>
            <w:tcW w:w="18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99,786</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Pharmacy benefit services revenue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r>
      <w:tr>
        <w:trPr>
          <w:trHeight w:val="210"/>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$ 344,858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229,683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105,400</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Major Clients</w:t>
      </w:r>
    </w:p>
    <w:p>
      <w:pPr>
        <w:spacing w:after="0" w:line="227"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two clients accounted for 18% and 17%, or a combined 35%, of our total revenue. No other clients accounted for more than 10% for the year ended December 31, 2020. For the year ended December 31, 2019, three clients accounted for 16%, 15%, and 10%, or a combined 41%, of our total revenue. For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December 31, 2018, three clients accounted for 24%, 14%, and 10%, or a combined 48%, of our total revenue.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2020, the Company had $66.3 million in financial assets held in money market accounts and $39.0 million held in marketable securities, both of which were classified as Level 1 in the fair value hierarchy. The Company measured these assets at fair value. The Company classified these assets as Level 1 because the values of these assets are determined using unadjusted quoted prices in active markets for identical assets. During the year ended December 31, 2020, the Company had $15,000 and $29,000 of net realized gains related to its money market accounts and marketable securities, respectively. As of December 31, 2019, the Company did not have any financial instruments classified as Level 1 in the fair value hierarchy.</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and December 31, 2019, the Company did not maintain any assets or liabilities classified as Level 2 or Level 3 in the fair value hierarchy.</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 term</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$744,000, $650,000, and $400,000 for the years ended December 31, 2020, 2019 and 2018, respectively.</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Physician Network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0"/>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$1.2 million for the year ended December 31, 2020 and $1.5 million for the years ended December 31, 2019, and 2018.</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2020, the future amortization expense of other intangible assets is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60" w:right="119" w:firstLine="405"/>
        <w:spacing w:after="0" w:line="261" w:lineRule="auto"/>
        <w:rPr>
          <w:sz w:val="20"/>
          <w:szCs w:val="20"/>
          <w:color w:val="auto"/>
        </w:rPr>
      </w:pPr>
      <w:r>
        <w:rPr>
          <w:rFonts w:ascii="Times New Roman" w:cs="Times New Roman" w:eastAsia="Times New Roman" w:hAnsi="Times New Roman"/>
          <w:sz w:val="18"/>
          <w:szCs w:val="18"/>
          <w:color w:val="auto"/>
        </w:rPr>
        <w:t>In September 2019, the Company’s lease agreement for its corporate headquarters in New York, NY commenced and will expire in May 2029. Pursuant to the lease, the Company will pay the base rent of approximately $1.3 million per annum through the end of the fifth lease year and approximately $1.4 million per annum thereafter through the expiration date.</w:t>
      </w:r>
    </w:p>
    <w:p>
      <w:pPr>
        <w:spacing w:after="0" w:line="180" w:lineRule="exact"/>
        <w:rPr>
          <w:sz w:val="20"/>
          <w:szCs w:val="20"/>
          <w:color w:val="auto"/>
        </w:rPr>
      </w:pPr>
    </w:p>
    <w:p>
      <w:pPr>
        <w:ind w:left="60" w:right="939"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our operating lease for the year ended December 31, 2020 was $1.3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our leases is as follows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3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3"/>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4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outflows from operating activities attributable to operating leases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9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16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Future minimum facility lease payments as of December 31, 2020, are as follows (in thousands):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 Payments as of December 31, 2020</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CCEEFF"/>
            </w:tcBorders>
            <w:gridSpan w:val="2"/>
            <w:shd w:val="clear" w:color="auto" w:fill="CCEEFF"/>
          </w:tcPr>
          <w:p>
            <w:pPr>
              <w:jc w:val="right"/>
              <w:ind w:right="25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25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80" w:type="dxa"/>
            <w:vAlign w:val="bottom"/>
            <w:gridSpan w:val="3"/>
          </w:tcPr>
          <w:p>
            <w:pPr>
              <w:jc w:val="right"/>
              <w:ind w:right="2279"/>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Future minimum facility lease payments as of December 31, 2019,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Operating Lease Payments as of December 31, 2019</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Rent expense under our operating leases was approximately $1.2 million and $0.9 million for the years ended December 31, 2019 and 2018, respectively. The terms of the facility lease provide for rental payments on a monthly basis and on a graduated scale.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Divestitures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On January 18, 2018, the Company completed the divestiture of its Eeva business, the primary operations of our previous medical device segment, to a related party, Ares Trading S.A. a subsidiary of Merck Serono, S.A. (“Merck”), a shareholder in the Company. The Eeva business was sold to Merck for $7.9 million, consisting of cash of $3.0 million and the forgiveness of the $4.9 million liability remaining from the previous license agreement for the Eeva product between the two parties. The cash consideration includes $300,000 of deferred consideration, of which the last payment was received by the Company in March 2019.</w:t>
      </w:r>
    </w:p>
    <w:p>
      <w:pPr>
        <w:spacing w:after="0" w:line="187"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The Company determined that the Eeva business met the criteria to be classified as held for sale as of December 31, 2016, representing a strategic shift in Progyny’s operations. With the amendment of the license agreement in May 2016, management committed to a plan to sell the business and move from the medical device business to the fertility benefits business which represented a strategic shift. The Board of Directors approved the ultimate sale of Eeva in December 2017.</w:t>
      </w:r>
    </w:p>
    <w:p>
      <w:pPr>
        <w:spacing w:after="0" w:line="164"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applicable accounting guidance, upon the sale of the Eeva business on January 18, 2018, the Company reflected the Eeva business as discontinued operations in the consolidated financial statements.</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Excluding the $200,000 of assets representing the remaining deferred consideration, there was no other assets or liabilities associated with the Eeva business as of December 31, 2018.</w:t>
      </w:r>
    </w:p>
    <w:p>
      <w:pPr>
        <w:spacing w:after="0" w:line="162"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This transaction had no impact on the consolidated statement of operations for the fiscal years of 2019 and 2020 and no impact on the statement of cash flows for the fiscal year of 2020. The following is a summary of the operating results of Eeva which have been reflected within income from discontinued operations, net of tax (in thousands):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116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before taxes</w:t>
            </w:r>
          </w:p>
        </w:tc>
        <w:tc>
          <w:tcPr>
            <w:tcW w:w="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09"/>
        </w:trPr>
        <w:tc>
          <w:tcPr>
            <w:tcW w:w="2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from discontinued operations, net of taxes</w:t>
            </w:r>
          </w:p>
        </w:tc>
        <w:tc>
          <w:tcPr>
            <w:tcW w:w="4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significant components of the consolidated statement of cash flows for Eeva are as follows (in thousands):</w:t>
      </w:r>
    </w:p>
    <w:p>
      <w:pPr>
        <w:spacing w:after="0" w:line="232"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54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license revenue</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154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business, net of costs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claims payable</w:t>
            </w:r>
          </w:p>
        </w:tc>
        <w:tc>
          <w:tcPr>
            <w:tcW w:w="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7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$8.0 million term loan, entered into in November 2015 (“Term Loan”), carried an interest rate equal to the greater of 7.5% or LIBOR plus 7.3%. The terms contain a prepayment fee of 3.0% of the outstanding principal if repaid after the effective date but on or prior to the first anniversary, 2.0% if repaid after the first anniversary of the effective date but on or prior to the second anniversary, and 1.0% if repaid after the second anniversary of the effective date but prior to the maturity date. Additionally, the terms contained an additional significant final payment representing 8.0% of the original principal.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(“SVB Line of Credit”). Eligible accounts receivable is defined in the loan agreement as accounts billed with aging 90 days or less and excludes accounts receivable due for member copayments, coinsurance, and deductibles.</w:t>
      </w:r>
    </w:p>
    <w:p>
      <w:pPr>
        <w:spacing w:after="0" w:line="183"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Upon execution of the SVB Line of Credit, the Term Loan was paid off in full including the remaining principal balance of $2.9 million, final balloon payment of $640,000 and the 1.0% early payment penalty fee of $15,000. The repayment of the Term Loan was treated as a debt extinguishment and the Company recognized the remaining unamortized debt discount of $88,000 as a loss on debt extinguishment in Interest expense, net for the year ended December 31, 2018.</w:t>
      </w:r>
    </w:p>
    <w:p>
      <w:pPr>
        <w:spacing w:after="0" w:line="164"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 is required to pay a revolving line commitment fee of $225,000 in three equal annual installments of $75,000 starting on the one-year anniversary of the revolving line. The Company made the first installment payment of $75,000 in June 2019 and accrues this cost monthly.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Interest is paid based upon the borrowed funds.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to achieve a specified minimum quarterly revenue as defined by the SVB Line of Credit.</w:t>
      </w:r>
    </w:p>
    <w:p>
      <w:pPr>
        <w:spacing w:after="0" w:line="192"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requirements and its covenant of the revolving credit facility as of December 31, 2020 and December 31, 2019.</w:t>
      </w:r>
    </w:p>
    <w:p>
      <w:pPr>
        <w:spacing w:after="0" w:line="162"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Prior to the repayment of the Term Loan, the Company recorded interest of $163,000 and accretion of the debt discount of $75,000 in Interest expense, net for the year ended December 31, 2018.</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had $0 drawn on the SVB Line of Credit as of December 31, 2020 and 2019, and $253,000 drawn as of December 31, 2018. The Company recorded interest expense on the SVB Line of Credit of $75,000 and $213,000 during the years ended December 31, 2020 and 2019, respectively.</w:t>
      </w:r>
    </w:p>
    <w:p>
      <w:pPr>
        <w:spacing w:after="0" w:line="172" w:lineRule="exact"/>
        <w:rPr>
          <w:sz w:val="20"/>
          <w:szCs w:val="20"/>
          <w:color w:val="auto"/>
        </w:rPr>
      </w:pPr>
    </w:p>
    <w:p>
      <w:pPr>
        <w:ind w:left="60" w:right="7079" w:hanging="10"/>
        <w:spacing w:after="0" w:line="503" w:lineRule="auto"/>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The common stock confers upon its holders the right to receive dividends out of any assets legally available, when and as declared by the Board of Directors.</w:t>
      </w:r>
    </w:p>
    <w:p>
      <w:pPr>
        <w:spacing w:after="0" w:line="176"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August 2019, the Company repurchased 26,659 shares of common stock at an average price per share of $6.91 pursuant to its contractual right of first refusal for offers made by third parties to acquire outstanding shares from existing stockholders. The repurchased shares were recorded as treasury shares.</w:t>
      </w:r>
    </w:p>
    <w:p>
      <w:pPr>
        <w:spacing w:after="0" w:line="176"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had 615,980 shares of treasury stock as of December 31, 2020 and 2019, and 589,320 shares of treasury stock as of December 31, 2018.</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In February and June of 2016, the Company issued common stock warrants to non-employees to acquire 71,280 and 69,114 shares of the Company’s common stock at an exercise price of $0.86 and $1.41 per share, respectively. The common stock warrants expire on the fifth anniversary of the grant. Additionally, in connection with the IPO on October 25, 2019, all outstanding convertible preferred warrants were converted to common stock warrants. As of December 31, 2020 and 2019, the Company had 1,419,415 and 1,607,864 common stock warrants outstanding, respectively.</w:t>
      </w:r>
    </w:p>
    <w:p>
      <w:pPr>
        <w:spacing w:after="0" w:line="16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188,449 common stock warrants were exercised for 177,854 shares of common stock at a weighted average exercise price of $1.73. For the year ended December 31, 2019, 482,661 warrants were exercised for 441,307 shares of common stock at a weighted average exercise price of $1.59. In addition, 69,114 warrants were cancelled in 2019. The Company did not recognize compensation expense relating to the common stock warrants for the years ended December 31, 2020 and 2019 as they were all fully vested. For the years ended December 31, 2018, the Company recognized total compensation expense of $0.3 million relating to the common stock warrants.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October 2019, the Company’s Board of Directors and stockholders adopted and approved the 2019 Equity Incentive Plan, as amended (the “2019 Plan”), as the successor to continuation of the Company’s 2017 Equity Incentive Plan, as amended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remained available for the issuance of awards under the 2017 Plan immediately prior to the effective date of the 2019 Plan and (b) shares of our common stock subject to outstanding stock options or other stock awards granted under our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2018, the Company maintained two equity incentive plans: (i) the 2008 Stock Plan (the “2008 Plan”) and (ii) the 2017 Plan. All awards issued in 2018 were issued pursuant to the 2017 Plan. Under the Company’s 2017 Plan and consistent with the 2008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2020, 2019, and 2018.</w:t>
      </w:r>
    </w:p>
    <w:p>
      <w:pPr>
        <w:spacing w:after="0" w:line="192"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As of December 31, 2020 and 2019, 5,287,341 and 3,124,254 shares of common stock, respectively, remained available for future grants under the 2019 Plan. Under the 2019 Plan, subject to any adjustments necessary to implement any capitalization adjustments, an annual increase to the number of shares issuable is automatically added on January 1 of each year for a period of ten years commencing on January 1, 2020 and ending on (and including) January 1, 2029, in an amount equal to 4% of the total number of shares of common stock outstanding on December 31 of the preceding year.</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Stock options are exercisable based on the terms and conditions outlined in the applicable award agreement. Stock options generally vest over four years and expire ten years from the date of grant. A summary of the Company’s stock option activity for the year ended December 31, 2020 is as follows: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20" w:type="dxa"/>
            <w:vAlign w:val="bottom"/>
            <w:gridSpan w:val="2"/>
          </w:tcPr>
          <w:p>
            <w:pPr>
              <w:jc w:val="center"/>
              <w:ind w:left="1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15,721,085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13,384,301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500,053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Exercisable at December 31, 2019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4,349,090</w:t>
            </w:r>
          </w:p>
        </w:tc>
        <w:tc>
          <w:tcPr>
            <w:tcW w:w="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52,367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7,343,948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$79.6 million, $50.8 million, and $59.0 million for the years ended December 31, 2020, 2019 and 2018, respectively.</w:t>
      </w:r>
    </w:p>
    <w:p>
      <w:pPr>
        <w:spacing w:after="0" w:line="16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was $26.56, $2.68, and $1.14 in the years ended December 31, 2020, 2019 and 2018, respectively.</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vested was $9.3 million, $2.8 million, and $3.7 million in the years ended December 31, 2020, 2019 and 2018, respectively.</w:t>
      </w:r>
    </w:p>
    <w:p>
      <w:pPr>
        <w:spacing w:after="0" w:line="16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options was approximately $26.2 million at December 31, 2020. The weighted-average remaining recognition period is approximately 2.8 years.</w:t>
      </w:r>
    </w:p>
    <w:p>
      <w:pPr>
        <w:spacing w:after="0" w:line="162"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Certain weighted-average information and assumptions used in the option-pricing model for options granted to employees, directors, and non-employees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1360" w:type="dxa"/>
            <w:vAlign w:val="bottom"/>
            <w:gridSpan w:val="2"/>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56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2"/>
                <w:szCs w:val="12"/>
                <w:color w:val="auto"/>
              </w:rPr>
            </w:pPr>
          </w:p>
        </w:tc>
        <w:tc>
          <w:tcPr>
            <w:tcW w:w="1400" w:type="dxa"/>
            <w:vAlign w:val="bottom"/>
            <w:gridSpan w:val="2"/>
          </w:tcPr>
          <w:p>
            <w:pPr>
              <w:jc w:val="right"/>
              <w:ind w:right="4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- 6.11</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- 6.28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- 6.10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- 49.0%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- 48.9%</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600" w:type="dxa"/>
            <w:vAlign w:val="bottom"/>
          </w:tcPr>
          <w:p>
            <w:pPr>
              <w:spacing w:after="0"/>
              <w:rPr>
                <w:sz w:val="20"/>
                <w:szCs w:val="20"/>
                <w:color w:val="auto"/>
              </w:rPr>
            </w:pPr>
          </w:p>
        </w:tc>
        <w:tc>
          <w:tcPr>
            <w:tcW w:w="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20"/>
                <w:szCs w:val="20"/>
                <w:color w:val="auto"/>
              </w:rPr>
            </w:pPr>
          </w:p>
        </w:tc>
        <w:tc>
          <w:tcPr>
            <w:tcW w:w="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began granting restricted stock units under the 2019 Equity Incentive Plan. Restricted stock units vest based on the terms outlined in the applicable award agreement, which is generally over a period of 4 years. A summary of the Company’s restricted stock unit activity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558,008</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total intrinsic value of restricted stock units vested was $1.4 million for the year ended December 31, 2020.</w:t>
      </w:r>
    </w:p>
    <w:p>
      <w:pPr>
        <w:spacing w:after="0" w:line="225"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restricted stock units granted was $25.46 for the year ended December 31, 2020.</w:t>
      </w:r>
    </w:p>
    <w:p>
      <w:pPr>
        <w:spacing w:after="0" w:line="162"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restricted stock units was approximately $11.1 million at December 31, 2020. The weighted-average remaining recognition period is approximately 3.1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for employees, which was included in the statements of operations and comprehensive loss as follows (in thousands):</w:t>
      </w:r>
    </w:p>
    <w:p>
      <w:pPr>
        <w:spacing w:after="0" w:line="16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6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A reconciliation of net income (loss) available to common stockholders and the number of shares in the calculation of basic and diluted net income (loss) per share follows (in thousands, except share and per share amounts):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Deemed dividends on convertible preferred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net income (loss) per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85,722,670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5,539,739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net income (loss) attributable to common stockholders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net income (loss) per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 attributable to common stockholder</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85,722,670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00" w:type="dxa"/>
            <w:vAlign w:val="bottom"/>
            <w:tcBorders>
              <w:top w:val="single" w:sz="8" w:color="CCEEFF"/>
            </w:tcBorders>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Weighted-average shares used in computing diluted net income (loss) per</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99,055,526</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20,735,202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loss per share attributable to common stockholders for the period presented because including them would have been antidilutive: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699,233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13,610,441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 stock</w:t>
            </w:r>
          </w:p>
        </w:tc>
        <w:tc>
          <w:tcPr>
            <w:tcW w:w="2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2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769,417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13,733,323</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72,306,085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0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401(k) Plan and ESPP</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and began employer contributions in 2018. The Company incurred expenses of $0.5 million, $0.4 million, and $0.3 million for the years ended December 31, 2020, 2019, and 2018 respectively.</w:t>
      </w:r>
    </w:p>
    <w:p>
      <w:pPr>
        <w:spacing w:after="0" w:line="17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October 2019, the Board of Directors and stockholders also adopted and approved the 2019 Employee Stock Purchase Plan (the “ESPP”). Following the IPO, the ESPP authorized the issuance of 1,700,000 shares of common stock to purchase rights granted to our employees or to employees of our designated affiliates. As of December 31, 2020, 1,596,323 shares of common stock remained available to be issued under the ESPP. The first purchase period commenced on October 25, 2019 and ended on July 31, 2020 with proceeds of $1.1 million used for the purchase of shares of common stock. The second purchase period commenced on August 1, 2020 and ended on January 31,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 tax benefit of $37.8 million and $1.8 million was recorded for the years ended December 31, 2020 and 2018, as part of continuing operations. A tax provision of $12,000 was recorded for the year ended December 31, 2019.</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provision/(benefit) from income taxes is composed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(1,446)</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0"/>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w:t>
            </w: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(37,971)</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provision/(benefit) from Income taxes</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(1,777)</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Warrant valuation</w:t>
            </w:r>
          </w:p>
        </w:tc>
        <w:tc>
          <w:tcPr>
            <w:tcW w:w="7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State rate change</w:t>
            </w:r>
          </w:p>
        </w:tc>
        <w:tc>
          <w:tcPr>
            <w:tcW w:w="7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r>
      <w:tr>
        <w:trPr>
          <w:trHeight w:val="21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years ended December 31, 2020, 2019 and 2018 was (436%), 0%, and 26%, respectively. For the year ended December 31, 2020, the effective tax rate differs from the U.S. federal statutory rate primarily due to the release of the valuation allowance in this period, in addition to permanent tax adjustments, including windfalls upon the vesting of RSUs and exercise of stock options. For the year ended December 31, 2019, the effective tax rate differs from the U.S. federal statutory rate due to the increase in valuation allowance. For the year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ended December 31, 2018, the effective tax rate differs from the U.S. federal statutory rate due to the decrease in valuation allowance offset by permanent tax adjustments.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Deferred Tax Balances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and liabilities are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$ 29,291</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8"/>
                <w:szCs w:val="18"/>
                <w:color w:val="auto"/>
              </w:rPr>
              <w:t>Capitalized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costs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Indirect tax</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$ 40,610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$ 37,971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 The valuation allowance decreased by approximately $1.1 million during the year ended December 31, 2018 and increased by $2.9 million during the year ended December 31, 2019. As of December 31, 2020, the Company achieved three years of cumulative income, along with projections of profitability, for which management determined that there is sufficient positive evidence to conclude that it is more likely than not that substantially all of the deferred tax assets will be realized. As such, $28.5 million of the valuation allowance has been released.</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2020, the Company has net operating loss carryforwards for federal and state income tax purposes of approximately $86.3 million and $85.0 million, respectively, which expire beginning in the year 2027. In addition to the above federal net operating losses, the Company has net operating losses of $19.7 million with an indefinite carryforward period. There are certain state net operating losses that follow the federal carryforward period and are indefinite in nature. The federal and California research and development tax credits are approximately $0.7 million and $0.8 million, respectively. The federal research credits will begin to expire in 2030 and the California research and development credits have no expiration date. Utilization of the net operating loss carryforwards and credits may be subject to a substantial annual limitation due to ownership changes that may occur, as provided by Section 382 of the Internal Revenue Code of 1986, as well as similar state provisions. Such annual limitation could result in the expiration of net operating losses and credits before their utilization. The Company has most recently performed an analysis that confirmed an ownership change has not occurred as of December 31,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Reductions based upon tax positions related to the current year</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In order for these unrecognized tax benefits to be realized, the net operating loss carryforwards must be utilized first. The Company does not anticipate any material change in its unrecognized tax benefits over the next twelve months.</w:t>
      </w:r>
    </w:p>
    <w:p>
      <w:pPr>
        <w:spacing w:after="0" w:line="14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All tax years since inception remain open to examination due to the carryover of unused net operating losses and tax credits.</w:t>
      </w:r>
    </w:p>
    <w:p>
      <w:pPr>
        <w:spacing w:after="0" w:line="200" w:lineRule="exact"/>
        <w:rPr>
          <w:sz w:val="20"/>
          <w:szCs w:val="20"/>
          <w:color w:val="auto"/>
        </w:rPr>
      </w:pPr>
    </w:p>
    <w:p>
      <w:pPr>
        <w:spacing w:after="0" w:line="390" w:lineRule="exact"/>
        <w:rPr>
          <w:sz w:val="20"/>
          <w:szCs w:val="20"/>
          <w:color w:val="auto"/>
        </w:rPr>
      </w:pPr>
    </w:p>
    <w:p>
      <w:pPr>
        <w:ind w:left="60" w:right="6159" w:hanging="10"/>
        <w:spacing w:after="0" w:line="532" w:lineRule="auto"/>
        <w:tabs>
          <w:tab w:leader="none" w:pos="33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Arbitration/Litigation</w:t>
      </w:r>
    </w:p>
    <w:p>
      <w:pPr>
        <w:spacing w:after="0" w:line="1"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with the vendor. On April 3, 2019, the vendor filed a Second Amended Demand for Arbitration (“SAD”) for breach of the Agreement. The vendor was seeking $25.0 million in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Arbitration Panel held additional hearings for the two remaining claims between August 17, 2020 and August 26, 2020. Final arguments were held on October 20, 2020. Based on a willingness to expeditiously resolve the matter, the parties proposed settlement to the panel on November 16, 2020. In December 2020, the Company finalized and settled the arbitration for $5.75 million without admission of liability to avoid further legal costs.</w:t>
      </w:r>
    </w:p>
    <w:p>
      <w:pPr>
        <w:spacing w:after="0" w:line="192"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there is no other litigation pending that could have, individually or in the aggregate, a material adverse effect on the Company’s financial position, results of operations, or cash flows.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In January 2018, the Company executed an agreement with a related party to sell the Eeva business, representing all of the medical device segment. Refer to Note 6 - Divestitures.</w:t>
      </w:r>
    </w:p>
    <w:p>
      <w:pPr>
        <w:spacing w:after="0" w:line="162"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In June 2018, the Company redeemed and retired 1,202,196 Series B convertible preferred stock from a former employee pursuant to their contractual right of first refusal at a purchase price of $2.5 million The excess of the purchase price over the carrying value $(1.73) of $425,000 has been recorded as a dividend in accumulated deficit as of December 31,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Unaudited Quarterly Results of Operations Data</w:t>
      </w:r>
    </w:p>
    <w:p>
      <w:pPr>
        <w:spacing w:after="0" w:line="229" w:lineRule="exact"/>
        <w:rPr>
          <w:sz w:val="20"/>
          <w:szCs w:val="20"/>
          <w:color w:val="auto"/>
        </w:rPr>
      </w:pPr>
    </w:p>
    <w:p>
      <w:pPr>
        <w:ind w:left="60" w:right="499" w:firstLine="648"/>
        <w:spacing w:after="0" w:line="281" w:lineRule="auto"/>
        <w:rPr>
          <w:sz w:val="20"/>
          <w:szCs w:val="20"/>
          <w:color w:val="auto"/>
        </w:rPr>
      </w:pPr>
      <w:r>
        <w:rPr>
          <w:rFonts w:ascii="Times New Roman" w:cs="Times New Roman" w:eastAsia="Times New Roman" w:hAnsi="Times New Roman"/>
          <w:sz w:val="17"/>
          <w:szCs w:val="17"/>
          <w:color w:val="auto"/>
        </w:rPr>
        <w:t>The following table sets forth our unaudited quarterly consolidated results of operations for each of the eight quarterly periods in the period ended December 31, 2020. Our unaudited quarterly results of operations have been prepared on the same basis as our audited consolidated financial statements, and we believe they reflect all normal recurring adjustments necessary for the fair statement of our results of operations for these periods. This information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should be read in conjunction with our consolidated financial statements and related notes included elsewhere in this Annual Report. Our historical operating data may not be indicative of our future performance.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9"/>
                <w:szCs w:val="9"/>
                <w:color w:val="auto"/>
              </w:rPr>
            </w:pPr>
          </w:p>
        </w:tc>
        <w:tc>
          <w:tcPr>
            <w:tcW w:w="7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Jun. 30,</w:t>
            </w:r>
          </w:p>
        </w:tc>
        <w:tc>
          <w:tcPr>
            <w:tcW w:w="80" w:type="dxa"/>
            <w:vAlign w:val="bottom"/>
          </w:tcPr>
          <w:p>
            <w:pPr>
              <w:spacing w:after="0"/>
              <w:rPr>
                <w:sz w:val="9"/>
                <w:szCs w:val="9"/>
                <w:color w:val="auto"/>
              </w:rPr>
            </w:pPr>
          </w:p>
        </w:tc>
        <w:tc>
          <w:tcPr>
            <w:tcW w:w="78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Sep. 30,</w:t>
            </w:r>
          </w:p>
        </w:tc>
        <w:tc>
          <w:tcPr>
            <w:tcW w:w="120" w:type="dxa"/>
            <w:vAlign w:val="bottom"/>
          </w:tcPr>
          <w:p>
            <w:pPr>
              <w:spacing w:after="0"/>
              <w:rPr>
                <w:sz w:val="9"/>
                <w:szCs w:val="9"/>
                <w:color w:val="auto"/>
              </w:rPr>
            </w:pPr>
          </w:p>
        </w:tc>
        <w:tc>
          <w:tcPr>
            <w:tcW w:w="84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Dec. 31,</w:t>
            </w:r>
          </w:p>
        </w:tc>
        <w:tc>
          <w:tcPr>
            <w:tcW w:w="100" w:type="dxa"/>
            <w:vAlign w:val="bottom"/>
          </w:tcPr>
          <w:p>
            <w:pPr>
              <w:spacing w:after="0"/>
              <w:rPr>
                <w:sz w:val="9"/>
                <w:szCs w:val="9"/>
                <w:color w:val="auto"/>
              </w:rPr>
            </w:pPr>
          </w:p>
        </w:tc>
        <w:tc>
          <w:tcPr>
            <w:tcW w:w="86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9"/>
                <w:szCs w:val="9"/>
                <w:color w:val="auto"/>
              </w:rPr>
            </w:pPr>
          </w:p>
        </w:tc>
        <w:tc>
          <w:tcPr>
            <w:tcW w:w="860" w:type="dxa"/>
            <w:vAlign w:val="bottom"/>
            <w:gridSpan w:val="2"/>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Jun. 30,</w:t>
            </w:r>
          </w:p>
        </w:tc>
        <w:tc>
          <w:tcPr>
            <w:tcW w:w="80" w:type="dxa"/>
            <w:vAlign w:val="bottom"/>
          </w:tcPr>
          <w:p>
            <w:pPr>
              <w:spacing w:after="0"/>
              <w:rPr>
                <w:sz w:val="9"/>
                <w:szCs w:val="9"/>
                <w:color w:val="auto"/>
              </w:rPr>
            </w:pPr>
          </w:p>
        </w:tc>
        <w:tc>
          <w:tcPr>
            <w:tcW w:w="880" w:type="dxa"/>
            <w:vAlign w:val="bottom"/>
            <w:gridSpan w:val="2"/>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Sep. 30,</w:t>
            </w:r>
          </w:p>
        </w:tc>
        <w:tc>
          <w:tcPr>
            <w:tcW w:w="80" w:type="dxa"/>
            <w:vAlign w:val="bottom"/>
          </w:tcPr>
          <w:p>
            <w:pPr>
              <w:spacing w:after="0"/>
              <w:rPr>
                <w:sz w:val="9"/>
                <w:szCs w:val="9"/>
                <w:color w:val="auto"/>
              </w:rPr>
            </w:pPr>
          </w:p>
        </w:tc>
        <w:tc>
          <w:tcPr>
            <w:tcW w:w="740" w:type="dxa"/>
            <w:vAlign w:val="bottom"/>
          </w:tcPr>
          <w:p>
            <w:pPr>
              <w:jc w:val="right"/>
              <w:ind w:right="129"/>
              <w:spacing w:after="0" w:line="109" w:lineRule="exact"/>
              <w:rPr>
                <w:sz w:val="20"/>
                <w:szCs w:val="20"/>
                <w:color w:val="auto"/>
              </w:rPr>
            </w:pPr>
            <w:r>
              <w:rPr>
                <w:rFonts w:ascii="Times New Roman" w:cs="Times New Roman" w:eastAsia="Times New Roman" w:hAnsi="Times New Roman"/>
                <w:sz w:val="12"/>
                <w:szCs w:val="12"/>
                <w:b w:val="1"/>
                <w:bCs w:val="1"/>
                <w:color w:val="auto"/>
              </w:rPr>
              <w:t>Dec.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9"/>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2020 </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9"/>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2020 </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9"/>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2020 </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4"/>
          </w:tcPr>
          <w:p>
            <w:pPr>
              <w:jc w:val="right"/>
              <w:ind w:right="349"/>
              <w:spacing w:after="0" w:line="11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65,122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44,716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48,876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53,353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64,422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52,650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78,092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General and</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6,068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4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Total operating</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9,251</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Income (loss) from</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1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 net</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Convertible preferred</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warrant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4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4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(11,226)</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valuation adjustment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Total other income</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4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(11,254)</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(5,621)</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 net</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Income (loss) before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w:t>
            </w:r>
          </w:p>
        </w:tc>
        <w:tc>
          <w:tcPr>
            <w:tcW w:w="120" w:type="dxa"/>
            <w:vAlign w:val="bottom"/>
            <w:vMerge w:val="restart"/>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(4,477)</w:t>
            </w:r>
          </w:p>
        </w:tc>
        <w:tc>
          <w:tcPr>
            <w:tcW w:w="120" w:type="dxa"/>
            <w:vAlign w:val="bottom"/>
            <w:vMerge w:val="restart"/>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Benefit (provision) for</w:t>
            </w:r>
          </w:p>
        </w:tc>
        <w:tc>
          <w:tcPr>
            <w:tcW w:w="8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(8,210)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attributable to common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(8,210)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3,629</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540" w:type="dxa"/>
            <w:vAlign w:val="bottom"/>
            <w:tcBorders>
              <w:top w:val="single" w:sz="8" w:color="CCEEFF"/>
            </w:tcBorders>
            <w:shd w:val="clear" w:color="auto" w:fill="CCEEFF"/>
          </w:tcPr>
          <w:p>
            <w:pPr>
              <w:ind w:left="20"/>
              <w:spacing w:after="0" w:line="79" w:lineRule="exact"/>
              <w:rPr>
                <w:sz w:val="20"/>
                <w:szCs w:val="20"/>
                <w:color w:val="auto"/>
              </w:rPr>
            </w:pPr>
            <w:r>
              <w:rPr>
                <w:rFonts w:ascii="Times New Roman" w:cs="Times New Roman" w:eastAsia="Times New Roman" w:hAnsi="Times New Roman"/>
                <w:sz w:val="9"/>
                <w:szCs w:val="9"/>
                <w:color w:val="auto"/>
              </w:rPr>
              <w:t>Net income (loss) per</w:t>
            </w:r>
          </w:p>
        </w:tc>
        <w:tc>
          <w:tcPr>
            <w:tcW w:w="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 attributable to</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stockholders:</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used in</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computing net income</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per share: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Borders>
              <w:bottom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15,120,928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5,172,209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7,472,469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64,192,100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84,537,538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85,281,151</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86,265,297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86,514,619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4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15,120,928</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5,172,209</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7,472,469</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64,192,100</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99,665,158</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85,281,151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98,969,588</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99,021,233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60" w:lineRule="exact"/>
        <w:rPr>
          <w:sz w:val="20"/>
          <w:szCs w:val="20"/>
          <w:color w:val="auto"/>
        </w:rPr>
      </w:pPr>
    </w:p>
    <w:p>
      <w:pPr>
        <w:jc w:val="both"/>
        <w:ind w:left="60" w:right="99" w:firstLine="638"/>
        <w:spacing w:after="0" w:line="236" w:lineRule="auto"/>
        <w:tabs>
          <w:tab w:leader="none" w:pos="93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 the fourth quarter of 2020, the Company adopted ASU 2016-13, “Financial Instruments – Credit Losses (Topic 326)” with an adoption date of January 1, 2020. As such, quarterly financial information for the interim periods of 2020 has been recast with resulting impacts to the previously disclosed general and administrative expense of $0.4 million, $(0.7) million, and $0.5 million for the three-month periods ended March 31, 2020, June 30, 2020, and September 30, 2020, respectively. Refer to Note 2 for further discussion of the new accounting pronouncements recently adopted.</w:t>
      </w:r>
    </w:p>
    <w:p>
      <w:pPr>
        <w:spacing w:after="0" w:line="164" w:lineRule="exact"/>
        <w:rPr>
          <w:sz w:val="20"/>
          <w:szCs w:val="20"/>
          <w:color w:val="auto"/>
        </w:rPr>
      </w:pPr>
    </w:p>
    <w:p>
      <w:pPr>
        <w:ind w:left="1340" w:right="4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239" w:firstLine="66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Annual Report on Form 10-K, the effectiveness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2020.</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60" w:right="79" w:firstLine="66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principal executive officer and principal financial officer, our management assessed the effectiveness of our internal control over financial reporting as of December 31, 2020 based on the criteria set forth in Internal Control-Integrated Framework issued by the Committee of Sponsoring Organizations of the Treadway Commission (2013 framework). Based on the assessment, our management concluded that our internal control over financial reporting was effective as of December 31, 2020. The effectiveness of our internal control over financial reporting as of December 31, 2020 has been audited by Ernst &amp; Young LLP, an independent registered public accounting firm, as stated in their report that is included herein.</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60" w:right="219" w:firstLine="66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December 31, 2020 that have materially affected, or are reasonably likely to materially affect, our internal control over financial reporting.</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35"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have audited Progyny, Inc.’s internal control over financial reporting as of December 31, 2020, based on criteria established in Internal Control—Integrated Framework issued by the Committee of Sponsoring Organizations of the Treadway Commission (2013 framework) (the COSO criteria). In our opinion, Progyny, Inc. (the Company) maintained, in all material respects, effective internal control over financial reporting as of December 31, 2020, based on the COSO criteria.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stockholders’ equity (deficit) and cash flows for each of the three years in the period ended December 31, 2020, and the related notes and our report dated March 1, 2021,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 2021</w:t>
      </w: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Code of Conduct applicable to all officers, directors and employees, including our principal executive officer, principal financial officer, principal accounting officer or controller, or persons performing similar functions. A copy of the code is available at the Investor Relations section of our website, located at investors.progyny.com, under “Governance—Documents and Charters.” We intend to make all disclosures required by law or Nasdaq Stock Market rules regarding any amendments to, or waivers from, any provisions of the code at the same location of our website. Our website is not incorporated by reference into this Annual Report on Form 10-K, and you should not consider information on our website to be part of this Annual Report on Form 10-K.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under the headings “Proposal 1—Election of Directors,” “Information Regarding Director Nominees and Current Directors,” “Information Regarding the Board of Directors and Corporate Governance,” and, if applicable, “Delinquent Section 16(a) Reports” in our definitive proxy statement relating to the 2021 Annual Meeting of Stockholders to be filed with the SEC within 120 days of the fiscal year ended December 31, 2020, which we refer to as our 2021 Proxy Statement, and such required information is incorporated herein by reference into this Annual Report on Form 10-K.</w:t>
      </w:r>
    </w:p>
    <w:p>
      <w:pPr>
        <w:spacing w:after="0" w:line="18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 “Executive Compensation,” “Non-Employee Director Compensation,” and “Information Regarding the Board of Directors and Corporate Governance” in our 2021 Proxy Statement and is hereby incorporated by reference into this Annual Report on Form 10-K.</w:t>
      </w:r>
    </w:p>
    <w:p>
      <w:pPr>
        <w:spacing w:after="0" w:line="280" w:lineRule="exact"/>
        <w:rPr>
          <w:sz w:val="20"/>
          <w:szCs w:val="20"/>
          <w:color w:val="auto"/>
        </w:rPr>
      </w:pPr>
    </w:p>
    <w:p>
      <w:pPr>
        <w:ind w:left="1340" w:right="1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“Equity Compensation Plan Information” and “Security Ownership of Certain Beneficial Owners and Management” in our 2021 Proxy Statement and is hereby incorporated by reference into this Annual Report on Form 10 K.</w:t>
      </w:r>
    </w:p>
    <w:p>
      <w:pPr>
        <w:spacing w:after="0" w:line="280" w:lineRule="exact"/>
        <w:rPr>
          <w:sz w:val="20"/>
          <w:szCs w:val="20"/>
          <w:color w:val="auto"/>
        </w:rPr>
      </w:pPr>
    </w:p>
    <w:p>
      <w:pPr>
        <w:ind w:left="1340" w:right="10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5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“Transactions with Related Persons,” and “Information Regarding the Board of Directors and Corporate Governance” in our 2021 Proxy Statement and is hereby incorporated by reference into this Annual Report on Form 10-K.</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included under the heading “Principal Accountant Fees and Services” in our 2021 Proxy Statement and is hereby incorporated by reference into this Annual Report on Form 10-K.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5"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1. List of Financial Statements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financial statements are included in Item 8 “Financial Statements and Supplementary Data” herein.</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8340" w:type="dxa"/>
            <w:vAlign w:val="bottom"/>
            <w:vMerge w:val="continue"/>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Consolidated Balance Sheets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Consolidated Statements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Consolidated Statements of Comprehensive Income (Loss)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Consolidated Statements of Changes in Convertible Preferred Stock and Stockholders’ Deficit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Consolidated Statements of Cash Flows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8340" w:type="dxa"/>
            <w:vAlign w:val="bottom"/>
          </w:tcPr>
          <w:p>
            <w:pPr>
              <w:ind w:left="18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 List of Financial Statement Schedules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the required information is shown in the consolidated financial statements or notes thereto.</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exhibits to this report are listed below.</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0"/>
                <w:szCs w:val="10"/>
                <w:color w:val="auto"/>
              </w:rPr>
            </w:pPr>
          </w:p>
        </w:tc>
        <w:tc>
          <w:tcPr>
            <w:tcW w:w="66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11"/>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Amended and Restated Certificate</w:t>
              </w:r>
            </w:hyperlink>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001-39100</w:t>
            </w: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10/31/2019</w:t>
            </w:r>
          </w:p>
        </w:tc>
        <w:tc>
          <w:tcPr>
            <w:tcW w:w="1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of Incorporation of Progyny, Inc.</w:t>
              </w:r>
            </w:hyperlink>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6"/>
                <w:szCs w:val="16"/>
                <w:color w:val="auto"/>
              </w:rPr>
            </w:pPr>
          </w:p>
        </w:tc>
        <w:tc>
          <w:tcPr>
            <w:tcW w:w="23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Amended and Restated By-laws</w:t>
              </w:r>
            </w:hyperlink>
          </w:p>
        </w:tc>
        <w:tc>
          <w:tcPr>
            <w:tcW w:w="160" w:type="dxa"/>
            <w:vAlign w:val="bottom"/>
            <w:gridSpan w:val="3"/>
          </w:tcPr>
          <w:p>
            <w:pPr>
              <w:spacing w:after="0"/>
              <w:rPr>
                <w:sz w:val="16"/>
                <w:szCs w:val="16"/>
                <w:color w:val="auto"/>
              </w:rPr>
            </w:pPr>
          </w:p>
        </w:tc>
        <w:tc>
          <w:tcPr>
            <w:tcW w:w="8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3.4</w:t>
            </w:r>
          </w:p>
        </w:tc>
        <w:tc>
          <w:tcPr>
            <w:tcW w:w="128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9/27/2019</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1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of Progyny, Inc</w:t>
              </w:r>
              <w:r>
                <w:rPr>
                  <w:rFonts w:ascii="Times New Roman" w:cs="Times New Roman" w:eastAsia="Times New Roman" w:hAnsi="Times New Roman"/>
                  <w:sz w:val="18"/>
                  <w:szCs w:val="18"/>
                  <w:color w:val="000000"/>
                </w:rPr>
                <w:t>.</w:t>
              </w:r>
            </w:hyperlink>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Form of common stock</w:t>
              </w:r>
            </w:hyperlink>
          </w:p>
        </w:tc>
        <w:tc>
          <w:tcPr>
            <w:tcW w:w="800" w:type="dxa"/>
            <w:vAlign w:val="bottom"/>
            <w:gridSpan w:val="8"/>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8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10/15/2019</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14"/>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certificate</w:t>
              </w:r>
              <w:r>
                <w:rPr>
                  <w:rFonts w:ascii="Times New Roman" w:cs="Times New Roman" w:eastAsia="Times New Roman" w:hAnsi="Times New Roman"/>
                  <w:sz w:val="18"/>
                  <w:szCs w:val="18"/>
                  <w:color w:val="000000"/>
                </w:rPr>
                <w:t>.</w:t>
              </w:r>
            </w:hyperlink>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2013 Preferred Stock</w:t>
              </w:r>
            </w:hyperlink>
          </w:p>
        </w:tc>
        <w:tc>
          <w:tcPr>
            <w:tcW w:w="320" w:type="dxa"/>
            <w:vAlign w:val="bottom"/>
            <w:gridSpan w:val="6"/>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8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10/15/2019</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35">
              <w:r>
                <w:rPr>
                  <w:rFonts w:ascii="Times New Roman" w:cs="Times New Roman" w:eastAsia="Times New Roman" w:hAnsi="Times New Roman"/>
                  <w:sz w:val="18"/>
                  <w:szCs w:val="18"/>
                  <w:color w:val="0000EE"/>
                  <w:w w:val="94"/>
                </w:rPr>
                <w:t>Warrant.</w:t>
              </w:r>
            </w:hyperlink>
          </w:p>
        </w:tc>
        <w:tc>
          <w:tcPr>
            <w:tcW w:w="18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2014 Preferred Stock</w:t>
              </w:r>
            </w:hyperlink>
          </w:p>
        </w:tc>
        <w:tc>
          <w:tcPr>
            <w:tcW w:w="320" w:type="dxa"/>
            <w:vAlign w:val="bottom"/>
            <w:gridSpan w:val="6"/>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8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10/15/2019</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36">
              <w:r>
                <w:rPr>
                  <w:rFonts w:ascii="Times New Roman" w:cs="Times New Roman" w:eastAsia="Times New Roman" w:hAnsi="Times New Roman"/>
                  <w:sz w:val="18"/>
                  <w:szCs w:val="18"/>
                  <w:color w:val="0000EE"/>
                  <w:w w:val="94"/>
                </w:rPr>
                <w:t>Warrant.</w:t>
              </w:r>
            </w:hyperlink>
          </w:p>
        </w:tc>
        <w:tc>
          <w:tcPr>
            <w:tcW w:w="18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of 2015 Preferred Stock</w:t>
              </w:r>
            </w:hyperlink>
          </w:p>
        </w:tc>
        <w:tc>
          <w:tcPr>
            <w:tcW w:w="320" w:type="dxa"/>
            <w:vAlign w:val="bottom"/>
            <w:gridSpan w:val="6"/>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8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10/15/2019</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37">
              <w:r>
                <w:rPr>
                  <w:rFonts w:ascii="Times New Roman" w:cs="Times New Roman" w:eastAsia="Times New Roman" w:hAnsi="Times New Roman"/>
                  <w:sz w:val="18"/>
                  <w:szCs w:val="18"/>
                  <w:color w:val="0000EE"/>
                  <w:w w:val="94"/>
                </w:rPr>
                <w:t>Warrant.</w:t>
              </w:r>
            </w:hyperlink>
          </w:p>
        </w:tc>
        <w:tc>
          <w:tcPr>
            <w:tcW w:w="18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Warrant to Purchase Stock issued</w:t>
              </w:r>
            </w:hyperlink>
          </w:p>
        </w:tc>
        <w:tc>
          <w:tcPr>
            <w:tcW w:w="80" w:type="dxa"/>
            <w:vAlign w:val="bottom"/>
            <w:gridSpan w:val="2"/>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8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10/15/2019</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to Silicon Valley Bank dated</w:t>
              </w:r>
            </w:hyperlink>
          </w:p>
        </w:tc>
        <w:tc>
          <w:tcPr>
            <w:tcW w:w="4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1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October 9, 2013.</w:t>
              </w:r>
            </w:hyperlink>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2480" w:type="dxa"/>
            <w:vAlign w:val="bottom"/>
            <w:gridSpan w:val="14"/>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u w:val="single" w:color="auto"/>
                  <w:color w:val="0000EE"/>
                </w:rPr>
                <w:t>Description of Capital Stock</w:t>
              </w:r>
              <w:r>
                <w:rPr>
                  <w:rFonts w:ascii="Times New Roman" w:cs="Times New Roman" w:eastAsia="Times New Roman" w:hAnsi="Times New Roman"/>
                  <w:sz w:val="18"/>
                  <w:szCs w:val="18"/>
                  <w:color w:val="0000EE"/>
                </w:rPr>
                <w:t>.</w:t>
              </w:r>
            </w:hyperlink>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3/10/2020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6"/>
                <w:szCs w:val="16"/>
                <w:color w:val="auto"/>
              </w:rPr>
            </w:pPr>
          </w:p>
        </w:tc>
        <w:tc>
          <w:tcPr>
            <w:tcW w:w="230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Amended and Restated Investor</w:t>
              </w:r>
            </w:hyperlink>
          </w:p>
        </w:tc>
        <w:tc>
          <w:tcPr>
            <w:tcW w:w="180" w:type="dxa"/>
            <w:vAlign w:val="bottom"/>
            <w:gridSpan w:val="4"/>
          </w:tcPr>
          <w:p>
            <w:pPr>
              <w:spacing w:after="0"/>
              <w:rPr>
                <w:sz w:val="16"/>
                <w:szCs w:val="16"/>
                <w:color w:val="auto"/>
              </w:rPr>
            </w:pPr>
          </w:p>
        </w:tc>
        <w:tc>
          <w:tcPr>
            <w:tcW w:w="8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9/27/2019</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Rights Agreement, dated as of</w:t>
              </w:r>
            </w:hyperlink>
          </w:p>
        </w:tc>
        <w:tc>
          <w:tcPr>
            <w:tcW w:w="3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March 4, 2015, by and among</w:t>
              </w:r>
            </w:hyperlink>
          </w:p>
        </w:tc>
        <w:tc>
          <w:tcPr>
            <w:tcW w:w="3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14"/>
          </w:tcPr>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Progyny, Inc. and certain of its</w:t>
              </w:r>
            </w:hyperlink>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14"/>
          </w:tcPr>
          <w:p>
            <w:pPr>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stockholders</w:t>
              </w:r>
              <w:r>
                <w:rPr>
                  <w:rFonts w:ascii="Times New Roman" w:cs="Times New Roman" w:eastAsia="Times New Roman" w:hAnsi="Times New Roman"/>
                  <w:sz w:val="18"/>
                  <w:szCs w:val="18"/>
                  <w:u w:val="single" w:color="auto"/>
                  <w:color w:val="000000"/>
                </w:rPr>
                <w:t>.</w:t>
              </w:r>
            </w:hyperlink>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560" w:type="dxa"/>
            <w:vAlign w:val="bottom"/>
            <w:gridSpan w:val="21"/>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Progyny, Inc. 2008 Stock Plan, as</w:t>
              </w:r>
            </w:hyperlink>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9/27/2019</w:t>
            </w:r>
          </w:p>
        </w:tc>
      </w:tr>
      <w:tr>
        <w:trPr>
          <w:trHeight w:val="196"/>
        </w:trPr>
        <w:tc>
          <w:tcPr>
            <w:tcW w:w="9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amended, and forms of</w:t>
              </w:r>
            </w:hyperlink>
          </w:p>
        </w:tc>
        <w:tc>
          <w:tcPr>
            <w:tcW w:w="760" w:type="dxa"/>
            <w:vAlign w:val="bottom"/>
            <w:tcBorders>
              <w:top w:val="single" w:sz="8" w:color="0000EE"/>
            </w:tcBorders>
            <w:gridSpan w:val="14"/>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agreements thereunder</w:t>
              </w:r>
              <w:r>
                <w:rPr>
                  <w:rFonts w:ascii="Times New Roman" w:cs="Times New Roman" w:eastAsia="Times New Roman" w:hAnsi="Times New Roman"/>
                  <w:sz w:val="18"/>
                  <w:szCs w:val="18"/>
                  <w:u w:val="single" w:color="auto"/>
                  <w:color w:val="000000"/>
                </w:rPr>
                <w:t>.</w:t>
              </w:r>
            </w:hyperlink>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Progyny, Inc. 2017 Equity</w:t>
              </w:r>
            </w:hyperlink>
          </w:p>
        </w:tc>
        <w:tc>
          <w:tcPr>
            <w:tcW w:w="6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S-8</w:t>
            </w:r>
          </w:p>
        </w:tc>
        <w:tc>
          <w:tcPr>
            <w:tcW w:w="1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99.2</w:t>
            </w:r>
          </w:p>
        </w:tc>
        <w:tc>
          <w:tcPr>
            <w:tcW w:w="27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10/25/2019</w:t>
            </w: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Incentive Plan and forms of</w:t>
              </w:r>
            </w:hyperlink>
          </w:p>
        </w:tc>
        <w:tc>
          <w:tcPr>
            <w:tcW w:w="5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agreements thereunder</w:t>
              </w:r>
              <w:r>
                <w:rPr>
                  <w:rFonts w:ascii="Times New Roman" w:cs="Times New Roman" w:eastAsia="Times New Roman" w:hAnsi="Times New Roman"/>
                  <w:sz w:val="18"/>
                  <w:szCs w:val="18"/>
                  <w:u w:val="single" w:color="auto"/>
                  <w:color w:val="000000"/>
                </w:rPr>
                <w:t>.</w:t>
              </w:r>
            </w:hyperlink>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Amendment No. 1 to the Progyny,</w:t>
              </w:r>
            </w:hyperlink>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960" w:type="dxa"/>
            <w:vAlign w:val="bottom"/>
          </w:tcPr>
          <w:p>
            <w:pPr>
              <w:spacing w:after="0"/>
              <w:rPr>
                <w:sz w:val="18"/>
                <w:szCs w:val="18"/>
                <w:color w:val="auto"/>
              </w:rPr>
            </w:pPr>
          </w:p>
        </w:tc>
        <w:tc>
          <w:tcPr>
            <w:tcW w:w="2460" w:type="dxa"/>
            <w:vAlign w:val="bottom"/>
            <w:tcBorders>
              <w:top w:val="single" w:sz="8" w:color="0000EE"/>
            </w:tcBorders>
            <w:gridSpan w:val="20"/>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Inc. 2017 Equity Incentive Plan.</w:t>
              </w:r>
            </w:hyperlink>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Progyny, Inc. 2019 Equity</w:t>
              </w:r>
            </w:hyperlink>
          </w:p>
        </w:tc>
        <w:tc>
          <w:tcPr>
            <w:tcW w:w="6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27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10/15/2019</w:t>
            </w: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Incentive Plan and forms of</w:t>
              </w:r>
            </w:hyperlink>
          </w:p>
        </w:tc>
        <w:tc>
          <w:tcPr>
            <w:tcW w:w="5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r:id="rId144">
              <w:r>
                <w:rPr>
                  <w:rFonts w:ascii="Times New Roman" w:cs="Times New Roman" w:eastAsia="Times New Roman" w:hAnsi="Times New Roman"/>
                  <w:sz w:val="18"/>
                  <w:szCs w:val="18"/>
                  <w:u w:val="single" w:color="auto"/>
                  <w:color w:val="0000EE"/>
                </w:rPr>
                <w:t>agreements thereunder.</w:t>
              </w:r>
            </w:hyperlink>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Amendment No. 1 to the Progyny,</w:t>
              </w:r>
            </w:hyperlink>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960" w:type="dxa"/>
            <w:vAlign w:val="bottom"/>
          </w:tcPr>
          <w:p>
            <w:pPr>
              <w:spacing w:after="0"/>
              <w:rPr>
                <w:sz w:val="18"/>
                <w:szCs w:val="18"/>
                <w:color w:val="auto"/>
              </w:rPr>
            </w:pPr>
          </w:p>
        </w:tc>
        <w:tc>
          <w:tcPr>
            <w:tcW w:w="2460" w:type="dxa"/>
            <w:vAlign w:val="bottom"/>
            <w:tcBorders>
              <w:top w:val="single" w:sz="8" w:color="0000EE"/>
            </w:tcBorders>
            <w:gridSpan w:val="20"/>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Inc. 2019 Equity Incentive Plan.</w:t>
              </w:r>
            </w:hyperlink>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214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Progyny, Inc. 2019 Employee</w:t>
              </w:r>
            </w:hyperlink>
          </w:p>
        </w:tc>
        <w:tc>
          <w:tcPr>
            <w:tcW w:w="420" w:type="dxa"/>
            <w:vAlign w:val="bottom"/>
            <w:gridSpan w:val="8"/>
          </w:tcPr>
          <w:p>
            <w:pPr>
              <w:spacing w:after="0"/>
              <w:rPr>
                <w:sz w:val="16"/>
                <w:szCs w:val="16"/>
                <w:color w:val="auto"/>
              </w:rPr>
            </w:pPr>
          </w:p>
        </w:tc>
        <w:tc>
          <w:tcPr>
            <w:tcW w:w="6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27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10/15/2019</w:t>
            </w:r>
          </w:p>
        </w:tc>
      </w:tr>
      <w:tr>
        <w:trPr>
          <w:trHeight w:val="196"/>
        </w:trPr>
        <w:tc>
          <w:tcPr>
            <w:tcW w:w="960" w:type="dxa"/>
            <w:vAlign w:val="bottom"/>
          </w:tcPr>
          <w:p>
            <w:pPr>
              <w:spacing w:after="0"/>
              <w:rPr>
                <w:sz w:val="17"/>
                <w:szCs w:val="17"/>
                <w:color w:val="auto"/>
              </w:rPr>
            </w:pP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Stock Purchase Plan.</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Form of Indemnification</w:t>
              </w:r>
            </w:hyperlink>
          </w:p>
        </w:tc>
        <w:tc>
          <w:tcPr>
            <w:tcW w:w="780" w:type="dxa"/>
            <w:vAlign w:val="bottom"/>
            <w:gridSpan w:val="12"/>
          </w:tcPr>
          <w:p>
            <w:pPr>
              <w:spacing w:after="0"/>
              <w:rPr>
                <w:sz w:val="17"/>
                <w:szCs w:val="17"/>
                <w:color w:val="auto"/>
              </w:rPr>
            </w:pPr>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0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7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9/27/2019</w:t>
            </w:r>
          </w:p>
        </w:tc>
      </w:tr>
      <w:tr>
        <w:trPr>
          <w:trHeight w:val="196"/>
        </w:trPr>
        <w:tc>
          <w:tcPr>
            <w:tcW w:w="9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Agreement.</w:t>
              </w:r>
            </w:hyperlink>
          </w:p>
        </w:tc>
        <w:tc>
          <w:tcPr>
            <w:tcW w:w="172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Amended and Restated</w:t>
              </w:r>
            </w:hyperlink>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0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7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Employment Agreement between</w:t>
              </w:r>
            </w:hyperlink>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Progyny, Inc. and David</w:t>
              </w:r>
            </w:hyperlink>
          </w:p>
        </w:tc>
        <w:tc>
          <w:tcPr>
            <w:tcW w:w="80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Schlanger, dated September 23,</w:t>
              </w:r>
            </w:hyperlink>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80" w:type="dxa"/>
            <w:vAlign w:val="bottom"/>
          </w:tcPr>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2019.</w:t>
              </w:r>
            </w:hyperlink>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Amended and Restated</w:t>
              </w:r>
            </w:hyperlink>
          </w:p>
        </w:tc>
        <w:tc>
          <w:tcPr>
            <w:tcW w:w="6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27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Employment Agreement between</w:t>
              </w:r>
            </w:hyperlink>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Progyny, Inc. and Peter Anevski,</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360" w:type="dxa"/>
            <w:vAlign w:val="bottom"/>
            <w:tcBorders>
              <w:top w:val="single" w:sz="8" w:color="0000EE"/>
            </w:tcBorders>
            <w:gridSpan w:val="17"/>
          </w:tcPr>
          <w:p>
            <w:pPr>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dated September 25, 2019.</w:t>
              </w:r>
            </w:hyperlink>
          </w:p>
        </w:tc>
        <w:tc>
          <w:tcPr>
            <w:tcW w:w="20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Amended and Restated</w:t>
              </w:r>
            </w:hyperlink>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21">
              <w:r>
                <w:rPr>
                  <w:rFonts w:ascii="Times New Roman" w:cs="Times New Roman" w:eastAsia="Times New Roman" w:hAnsi="Times New Roman"/>
                  <w:sz w:val="18"/>
                  <w:szCs w:val="18"/>
                  <w:color w:val="0000EE"/>
                  <w:w w:val="99"/>
                </w:rPr>
                <w:t>Employment Agreement between</w:t>
              </w:r>
            </w:hyperlink>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21">
              <w:r>
                <w:rPr>
                  <w:rFonts w:ascii="Times New Roman" w:cs="Times New Roman" w:eastAsia="Times New Roman" w:hAnsi="Times New Roman"/>
                  <w:sz w:val="18"/>
                  <w:szCs w:val="18"/>
                  <w:color w:val="0000EE"/>
                  <w:w w:val="97"/>
                </w:rPr>
                <w:t>Progyny, Inc. and Mark</w:t>
              </w:r>
            </w:hyperlink>
          </w:p>
        </w:tc>
        <w:tc>
          <w:tcPr>
            <w:tcW w:w="86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Livingston dated September 15,</w:t>
              </w:r>
            </w:hyperlink>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2020.</w:t>
              </w:r>
            </w:hyperlink>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242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w:anchor="page129">
              <w:r>
                <w:rPr>
                  <w:rFonts w:ascii="Times New Roman" w:cs="Times New Roman" w:eastAsia="Times New Roman" w:hAnsi="Times New Roman"/>
                  <w:sz w:val="18"/>
                  <w:szCs w:val="18"/>
                  <w:color w:val="0000EE"/>
                  <w:w w:val="99"/>
                </w:rPr>
                <w:t>Employment Agreement between</w:t>
              </w:r>
            </w:hyperlink>
          </w:p>
        </w:tc>
        <w:tc>
          <w:tcPr>
            <w:tcW w:w="14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60" w:type="dxa"/>
            <w:vAlign w:val="bottom"/>
          </w:tcPr>
          <w:p>
            <w:pPr>
              <w:spacing w:after="0"/>
              <w:rPr>
                <w:sz w:val="17"/>
                <w:szCs w:val="17"/>
                <w:color w:val="auto"/>
              </w:rPr>
            </w:pP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Progyny, Inc. and Jennifer Bealer</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40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dated September 8, 2017.</w:t>
              </w:r>
            </w:hyperlink>
          </w:p>
        </w:tc>
        <w:tc>
          <w:tcPr>
            <w:tcW w:w="16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242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Employment Agreement between</w:t>
              </w:r>
            </w:hyperlink>
          </w:p>
        </w:tc>
        <w:tc>
          <w:tcPr>
            <w:tcW w:w="14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ind w:left="212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60" w:type="dxa"/>
            <w:vAlign w:val="bottom"/>
          </w:tcPr>
          <w:p>
            <w:pPr>
              <w:spacing w:after="0"/>
              <w:rPr>
                <w:sz w:val="17"/>
                <w:szCs w:val="17"/>
                <w:color w:val="auto"/>
              </w:rPr>
            </w:pPr>
          </w:p>
        </w:tc>
        <w:tc>
          <w:tcPr>
            <w:tcW w:w="1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Progyny, Inc. and Lisa</w:t>
              </w:r>
            </w:hyperlink>
          </w:p>
        </w:tc>
        <w:tc>
          <w:tcPr>
            <w:tcW w:w="90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Greenbaum dated April 19, 2019.</w:t>
              </w:r>
            </w:hyperlink>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2560" w:type="dxa"/>
            <w:vAlign w:val="bottom"/>
            <w:gridSpan w:val="21"/>
          </w:tcPr>
          <w:p>
            <w:pPr>
              <w:spacing w:after="0" w:line="194"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Sublease Agreement, dated as of</w:t>
              </w:r>
            </w:hyperlink>
          </w:p>
        </w:tc>
        <w:tc>
          <w:tcPr>
            <w:tcW w:w="6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27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9/27/2019</w:t>
            </w:r>
          </w:p>
        </w:tc>
      </w:tr>
      <w:tr>
        <w:trPr>
          <w:trHeight w:val="196"/>
        </w:trPr>
        <w:tc>
          <w:tcPr>
            <w:tcW w:w="960" w:type="dxa"/>
            <w:vAlign w:val="bottom"/>
          </w:tcPr>
          <w:p>
            <w:pPr>
              <w:spacing w:after="0"/>
              <w:rPr>
                <w:sz w:val="17"/>
                <w:szCs w:val="17"/>
                <w:color w:val="auto"/>
              </w:rPr>
            </w:pPr>
          </w:p>
        </w:tc>
        <w:tc>
          <w:tcPr>
            <w:tcW w:w="23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July 29, 2020 by and between</w:t>
              </w:r>
            </w:hyperlink>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IPREO Holdings, LLC and</w:t>
              </w:r>
            </w:hyperlink>
          </w:p>
        </w:tc>
        <w:tc>
          <w:tcPr>
            <w:tcW w:w="180" w:type="dxa"/>
            <w:vAlign w:val="bottom"/>
            <w:tcBorders>
              <w:top w:val="single" w:sz="8" w:color="0000EE"/>
            </w:tcBorders>
            <w:gridSpan w:val="2"/>
          </w:tcPr>
          <w:p>
            <w:pPr>
              <w:spacing w:after="0"/>
              <w:rPr>
                <w:sz w:val="17"/>
                <w:szCs w:val="17"/>
                <w:color w:val="auto"/>
              </w:rPr>
            </w:pPr>
          </w:p>
        </w:tc>
        <w:tc>
          <w:tcPr>
            <w:tcW w:w="4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49">
              <w:r>
                <w:rPr>
                  <w:rFonts w:ascii="Times New Roman" w:cs="Times New Roman" w:eastAsia="Times New Roman" w:hAnsi="Times New Roman"/>
                  <w:sz w:val="18"/>
                  <w:szCs w:val="18"/>
                  <w:color w:val="0000EE"/>
                  <w:w w:val="96"/>
                </w:rPr>
                <w:t>Progyny, Inc.</w:t>
              </w:r>
            </w:hyperlink>
          </w:p>
        </w:tc>
        <w:tc>
          <w:tcPr>
            <w:tcW w:w="160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Loan and Security Agreement,</w:t>
              </w:r>
            </w:hyperlink>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0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333-233965</w:t>
            </w:r>
          </w:p>
        </w:tc>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7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dated as of June 8, 2018, between</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Silicon Valley Bank and</w:t>
              </w:r>
            </w:hyperlink>
          </w:p>
        </w:tc>
        <w:tc>
          <w:tcPr>
            <w:tcW w:w="680" w:type="dxa"/>
            <w:vAlign w:val="bottom"/>
            <w:tcBorders>
              <w:top w:val="single" w:sz="8" w:color="0000EE"/>
            </w:tcBorders>
            <w:gridSpan w:val="12"/>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50">
              <w:r>
                <w:rPr>
                  <w:rFonts w:ascii="Times New Roman" w:cs="Times New Roman" w:eastAsia="Times New Roman" w:hAnsi="Times New Roman"/>
                  <w:sz w:val="18"/>
                  <w:szCs w:val="18"/>
                  <w:color w:val="0000EE"/>
                  <w:w w:val="96"/>
                </w:rPr>
                <w:t>Registrant.</w:t>
              </w:r>
            </w:hyperlink>
          </w:p>
        </w:tc>
        <w:tc>
          <w:tcPr>
            <w:tcW w:w="178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Amendments to Loan and</w:t>
              </w:r>
            </w:hyperlink>
          </w:p>
        </w:tc>
        <w:tc>
          <w:tcPr>
            <w:tcW w:w="680" w:type="dxa"/>
            <w:vAlign w:val="bottom"/>
            <w:gridSpan w:val="11"/>
          </w:tcPr>
          <w:p>
            <w:pPr>
              <w:spacing w:after="0"/>
              <w:rPr>
                <w:sz w:val="17"/>
                <w:szCs w:val="17"/>
                <w:color w:val="auto"/>
              </w:rPr>
            </w:pPr>
          </w:p>
        </w:tc>
        <w:tc>
          <w:tcPr>
            <w:tcW w:w="6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001-39100</w:t>
            </w:r>
          </w:p>
        </w:tc>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7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8/7/2020</w:t>
            </w:r>
          </w:p>
        </w:tc>
      </w:tr>
      <w:tr>
        <w:trPr>
          <w:trHeight w:val="196"/>
        </w:trPr>
        <w:tc>
          <w:tcPr>
            <w:tcW w:w="960" w:type="dxa"/>
            <w:vAlign w:val="bottom"/>
          </w:tcPr>
          <w:p>
            <w:pPr>
              <w:spacing w:after="0"/>
              <w:rPr>
                <w:sz w:val="17"/>
                <w:szCs w:val="17"/>
                <w:color w:val="auto"/>
              </w:rPr>
            </w:pPr>
          </w:p>
        </w:tc>
        <w:tc>
          <w:tcPr>
            <w:tcW w:w="2560" w:type="dxa"/>
            <w:vAlign w:val="bottom"/>
            <w:gridSpan w:val="21"/>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Security Agreement, dated as of</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June 8, 2018, between Silicon</w:t>
              </w:r>
            </w:hyperlink>
          </w:p>
        </w:tc>
        <w:tc>
          <w:tcPr>
            <w:tcW w:w="100" w:type="dxa"/>
            <w:vAlign w:val="bottom"/>
            <w:tcBorders>
              <w:top w:val="single" w:sz="8" w:color="0000EE"/>
            </w:tcBorders>
          </w:tcPr>
          <w:p>
            <w:pPr>
              <w:spacing w:after="0"/>
              <w:rPr>
                <w:sz w:val="17"/>
                <w:szCs w:val="17"/>
                <w:color w:val="auto"/>
              </w:rPr>
            </w:pPr>
          </w:p>
        </w:tc>
        <w:tc>
          <w:tcPr>
            <w:tcW w:w="2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36"/>
        </w:trPr>
        <w:tc>
          <w:tcPr>
            <w:tcW w:w="960" w:type="dxa"/>
            <w:vAlign w:val="bottom"/>
          </w:tcPr>
          <w:p>
            <w:pPr>
              <w:spacing w:after="0"/>
              <w:rPr>
                <w:sz w:val="20"/>
                <w:szCs w:val="20"/>
                <w:color w:val="auto"/>
              </w:rPr>
            </w:pPr>
          </w:p>
        </w:tc>
        <w:tc>
          <w:tcPr>
            <w:tcW w:w="2560" w:type="dxa"/>
            <w:vAlign w:val="bottom"/>
            <w:gridSpan w:val="21"/>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Valley Bank and Registrant.</w:t>
              </w:r>
            </w:hyperlink>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48"/>
        </w:trPr>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1"/>
        </w:trPr>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148">
              <w:r>
                <w:rPr>
                  <w:rFonts w:ascii="Times New Roman" w:cs="Times New Roman" w:eastAsia="Times New Roman" w:hAnsi="Times New Roman"/>
                  <w:sz w:val="18"/>
                  <w:szCs w:val="18"/>
                  <w:color w:val="0000EE"/>
                  <w:w w:val="98"/>
                </w:rPr>
                <w:t>Consent of Independent</w:t>
              </w:r>
            </w:hyperlink>
          </w:p>
        </w:tc>
        <w:tc>
          <w:tcPr>
            <w:tcW w:w="3140" w:type="dxa"/>
            <w:vAlign w:val="bottom"/>
            <w:gridSpan w:val="10"/>
          </w:tcPr>
          <w:p>
            <w:pPr>
              <w:spacing w:after="0"/>
              <w:rPr>
                <w:sz w:val="17"/>
                <w:szCs w:val="17"/>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96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Registered Public Accounting</w:t>
              </w:r>
            </w:hyperlink>
          </w:p>
        </w:tc>
        <w:tc>
          <w:tcPr>
            <w:tcW w:w="2700" w:type="dxa"/>
            <w:vAlign w:val="bottom"/>
            <w:gridSpan w:val="6"/>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Firm</w:t>
              </w:r>
              <w:r>
                <w:rPr>
                  <w:rFonts w:ascii="Times New Roman" w:cs="Times New Roman" w:eastAsia="Times New Roman" w:hAnsi="Times New Roman"/>
                  <w:sz w:val="18"/>
                  <w:szCs w:val="18"/>
                  <w:color w:val="000000"/>
                </w:rPr>
                <w:t>.</w:t>
              </w:r>
            </w:hyperlink>
          </w:p>
        </w:tc>
        <w:tc>
          <w:tcPr>
            <w:tcW w:w="26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Power of Attorney (incorporated</w:t>
              </w:r>
            </w:hyperlink>
          </w:p>
        </w:tc>
        <w:tc>
          <w:tcPr>
            <w:tcW w:w="2640" w:type="dxa"/>
            <w:vAlign w:val="bottom"/>
          </w:tcPr>
          <w:p>
            <w:pPr>
              <w:jc w:val="center"/>
              <w:ind w:left="23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60" w:type="dxa"/>
            <w:vAlign w:val="bottom"/>
          </w:tcPr>
          <w:p>
            <w:pPr>
              <w:spacing w:after="0"/>
              <w:rPr>
                <w:sz w:val="17"/>
                <w:szCs w:val="17"/>
                <w:color w:val="auto"/>
              </w:rPr>
            </w:pPr>
          </w:p>
        </w:tc>
        <w:tc>
          <w:tcPr>
            <w:tcW w:w="2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by reference to the signature</w:t>
              </w:r>
            </w:hyperlink>
          </w:p>
        </w:tc>
        <w:tc>
          <w:tcPr>
            <w:tcW w:w="2520" w:type="dxa"/>
            <w:vAlign w:val="bottom"/>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116">
              <w:r>
                <w:rPr>
                  <w:rFonts w:ascii="Times New Roman" w:cs="Times New Roman" w:eastAsia="Times New Roman" w:hAnsi="Times New Roman"/>
                  <w:sz w:val="18"/>
                  <w:szCs w:val="18"/>
                  <w:color w:val="0000EE"/>
                  <w:w w:val="98"/>
                </w:rPr>
                <w:t>pages of this Annual Report on</w:t>
              </w:r>
            </w:hyperlink>
          </w:p>
        </w:tc>
        <w:tc>
          <w:tcPr>
            <w:tcW w:w="2620" w:type="dxa"/>
            <w:vAlign w:val="bottom"/>
            <w:gridSpan w:val="5"/>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Form 10-K).</w:t>
              </w:r>
            </w:hyperlink>
          </w:p>
        </w:tc>
        <w:tc>
          <w:tcPr>
            <w:tcW w:w="26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Certification of Chief Executive</w:t>
              </w:r>
            </w:hyperlink>
          </w:p>
        </w:tc>
        <w:tc>
          <w:tcPr>
            <w:tcW w:w="2640" w:type="dxa"/>
            <w:vAlign w:val="bottom"/>
          </w:tcPr>
          <w:p>
            <w:pPr>
              <w:jc w:val="center"/>
              <w:ind w:left="23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149">
              <w:r>
                <w:rPr>
                  <w:rFonts w:ascii="Times New Roman" w:cs="Times New Roman" w:eastAsia="Times New Roman" w:hAnsi="Times New Roman"/>
                  <w:sz w:val="18"/>
                  <w:szCs w:val="18"/>
                  <w:color w:val="0000EE"/>
                  <w:w w:val="98"/>
                </w:rPr>
                <w:t>Officer pursuant to Exchange Act</w:t>
              </w:r>
            </w:hyperlink>
          </w:p>
        </w:tc>
        <w:tc>
          <w:tcPr>
            <w:tcW w:w="2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Rule 13a-14(a).</w:t>
              </w:r>
            </w:hyperlink>
          </w:p>
        </w:tc>
        <w:tc>
          <w:tcPr>
            <w:tcW w:w="26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50">
              <w:r>
                <w:rPr>
                  <w:rFonts w:ascii="Times New Roman" w:cs="Times New Roman" w:eastAsia="Times New Roman" w:hAnsi="Times New Roman"/>
                  <w:sz w:val="18"/>
                  <w:szCs w:val="18"/>
                  <w:color w:val="0000EE"/>
                  <w:w w:val="99"/>
                </w:rPr>
                <w:t>Certification of Chief Financial</w:t>
              </w:r>
            </w:hyperlink>
          </w:p>
        </w:tc>
        <w:tc>
          <w:tcPr>
            <w:tcW w:w="2560" w:type="dxa"/>
            <w:vAlign w:val="bottom"/>
            <w:gridSpan w:val="3"/>
          </w:tcPr>
          <w:p>
            <w:pPr>
              <w:spacing w:after="0"/>
              <w:rPr>
                <w:sz w:val="17"/>
                <w:szCs w:val="17"/>
                <w:color w:val="auto"/>
              </w:rPr>
            </w:pPr>
          </w:p>
        </w:tc>
        <w:tc>
          <w:tcPr>
            <w:tcW w:w="2640" w:type="dxa"/>
            <w:vAlign w:val="bottom"/>
          </w:tcPr>
          <w:p>
            <w:pPr>
              <w:jc w:val="center"/>
              <w:ind w:left="23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150">
              <w:r>
                <w:rPr>
                  <w:rFonts w:ascii="Times New Roman" w:cs="Times New Roman" w:eastAsia="Times New Roman" w:hAnsi="Times New Roman"/>
                  <w:sz w:val="18"/>
                  <w:szCs w:val="18"/>
                  <w:color w:val="0000EE"/>
                  <w:w w:val="98"/>
                </w:rPr>
                <w:t>Officer pursuant to Exchange Act</w:t>
              </w:r>
            </w:hyperlink>
          </w:p>
        </w:tc>
        <w:tc>
          <w:tcPr>
            <w:tcW w:w="2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Rule 13a-14(a).</w:t>
              </w:r>
            </w:hyperlink>
          </w:p>
        </w:tc>
        <w:tc>
          <w:tcPr>
            <w:tcW w:w="26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151">
              <w:r>
                <w:rPr>
                  <w:rFonts w:ascii="Times New Roman" w:cs="Times New Roman" w:eastAsia="Times New Roman" w:hAnsi="Times New Roman"/>
                  <w:sz w:val="18"/>
                  <w:szCs w:val="18"/>
                  <w:color w:val="0000EE"/>
                  <w:w w:val="98"/>
                </w:rPr>
                <w:t>Certification of Principal</w:t>
              </w:r>
            </w:hyperlink>
          </w:p>
        </w:tc>
        <w:tc>
          <w:tcPr>
            <w:tcW w:w="3060" w:type="dxa"/>
            <w:vAlign w:val="bottom"/>
            <w:gridSpan w:val="9"/>
          </w:tcPr>
          <w:p>
            <w:pPr>
              <w:spacing w:after="0"/>
              <w:rPr>
                <w:sz w:val="17"/>
                <w:szCs w:val="17"/>
                <w:color w:val="auto"/>
              </w:rPr>
            </w:pPr>
          </w:p>
        </w:tc>
        <w:tc>
          <w:tcPr>
            <w:tcW w:w="2640" w:type="dxa"/>
            <w:vAlign w:val="bottom"/>
          </w:tcPr>
          <w:p>
            <w:pPr>
              <w:jc w:val="center"/>
              <w:ind w:left="237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960" w:type="dxa"/>
            <w:vAlign w:val="bottom"/>
          </w:tcPr>
          <w:p>
            <w:pPr>
              <w:spacing w:after="0"/>
              <w:rPr>
                <w:sz w:val="17"/>
                <w:szCs w:val="17"/>
                <w:color w:val="auto"/>
              </w:rPr>
            </w:pP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Executive Officer pursuant to 18</w:t>
              </w:r>
            </w:hyperlink>
          </w:p>
        </w:tc>
        <w:tc>
          <w:tcPr>
            <w:tcW w:w="2640" w:type="dxa"/>
            <w:vAlign w:val="bottom"/>
          </w:tcPr>
          <w:p>
            <w:pPr>
              <w:spacing w:after="0"/>
              <w:rPr>
                <w:sz w:val="17"/>
                <w:szCs w:val="17"/>
                <w:color w:val="auto"/>
              </w:rPr>
            </w:pPr>
          </w:p>
        </w:tc>
      </w:tr>
      <w:tr>
        <w:trPr>
          <w:trHeight w:val="218"/>
        </w:trPr>
        <w:tc>
          <w:tcPr>
            <w:tcW w:w="960" w:type="dxa"/>
            <w:vAlign w:val="bottom"/>
          </w:tcPr>
          <w:p>
            <w:pPr>
              <w:spacing w:after="0"/>
              <w:rPr>
                <w:sz w:val="18"/>
                <w:szCs w:val="18"/>
                <w:color w:val="auto"/>
              </w:rPr>
            </w:pPr>
          </w:p>
        </w:tc>
        <w:tc>
          <w:tcPr>
            <w:tcW w:w="2340" w:type="dxa"/>
            <w:vAlign w:val="bottom"/>
            <w:tcBorders>
              <w:top w:val="single" w:sz="8" w:color="0000EE"/>
            </w:tcBorders>
            <w:gridSpan w:val="14"/>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U.S.C. Section 1350.</w:t>
              </w:r>
            </w:hyperlink>
          </w:p>
        </w:tc>
        <w:tc>
          <w:tcPr>
            <w:tcW w:w="252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32.2#</w:t>
            </w:r>
          </w:p>
        </w:tc>
        <w:tc>
          <w:tcPr>
            <w:tcW w:w="226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w:anchor="page152">
              <w:r>
                <w:rPr>
                  <w:rFonts w:ascii="Times New Roman" w:cs="Times New Roman" w:eastAsia="Times New Roman" w:hAnsi="Times New Roman"/>
                  <w:sz w:val="18"/>
                  <w:szCs w:val="18"/>
                  <w:color w:val="0000EE"/>
                  <w:w w:val="98"/>
                </w:rPr>
                <w:t>Certification of Chief Financial</w:t>
              </w:r>
            </w:hyperlink>
          </w:p>
        </w:tc>
        <w:tc>
          <w:tcPr>
            <w:tcW w:w="2600" w:type="dxa"/>
            <w:vAlign w:val="bottom"/>
            <w:gridSpan w:val="4"/>
          </w:tcPr>
          <w:p>
            <w:pPr>
              <w:spacing w:after="0"/>
              <w:rPr>
                <w:sz w:val="16"/>
                <w:szCs w:val="16"/>
                <w:color w:val="auto"/>
              </w:rPr>
            </w:pPr>
          </w:p>
        </w:tc>
        <w:tc>
          <w:tcPr>
            <w:tcW w:w="2640" w:type="dxa"/>
            <w:vAlign w:val="bottom"/>
          </w:tcPr>
          <w:p>
            <w:pPr>
              <w:jc w:val="center"/>
              <w:ind w:left="2370"/>
              <w:spacing w:after="0" w:line="194"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960" w:type="dxa"/>
            <w:vAlign w:val="bottom"/>
          </w:tcPr>
          <w:p>
            <w:pPr>
              <w:spacing w:after="0"/>
              <w:rPr>
                <w:sz w:val="17"/>
                <w:szCs w:val="17"/>
                <w:color w:val="auto"/>
              </w:rPr>
            </w:pPr>
          </w:p>
        </w:tc>
        <w:tc>
          <w:tcPr>
            <w:tcW w:w="2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52">
              <w:r>
                <w:rPr>
                  <w:rFonts w:ascii="Times New Roman" w:cs="Times New Roman" w:eastAsia="Times New Roman" w:hAnsi="Times New Roman"/>
                  <w:sz w:val="18"/>
                  <w:szCs w:val="18"/>
                  <w:color w:val="0000EE"/>
                  <w:w w:val="98"/>
                </w:rPr>
                <w:t>Officer pursuant to 18 U.S.C.</w:t>
              </w:r>
            </w:hyperlink>
          </w:p>
        </w:tc>
        <w:tc>
          <w:tcPr>
            <w:tcW w:w="2740" w:type="dxa"/>
            <w:vAlign w:val="bottom"/>
            <w:gridSpan w:val="7"/>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860" w:type="dxa"/>
            <w:vAlign w:val="bottom"/>
            <w:gridSpan w:val="16"/>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Section 1350.</w:t>
              </w:r>
            </w:hyperlink>
          </w:p>
        </w:tc>
        <w:tc>
          <w:tcPr>
            <w:tcW w:w="26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580" w:type="dxa"/>
            <w:vAlign w:val="bottom"/>
            <w:gridSpan w:val="1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26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26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6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Label Linkbase Document</w:t>
            </w:r>
          </w:p>
        </w:tc>
        <w:tc>
          <w:tcPr>
            <w:tcW w:w="26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60" w:type="dxa"/>
            <w:vAlign w:val="bottom"/>
          </w:tcPr>
          <w:p>
            <w:pPr>
              <w:spacing w:after="0"/>
              <w:rPr>
                <w:sz w:val="20"/>
                <w:szCs w:val="20"/>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640" w:type="dxa"/>
            <w:vAlign w:val="bottom"/>
          </w:tcPr>
          <w:p>
            <w:pPr>
              <w:spacing w:after="0"/>
              <w:rPr>
                <w:sz w:val="20"/>
                <w:szCs w:val="20"/>
                <w:color w:val="auto"/>
              </w:rPr>
            </w:pPr>
          </w:p>
        </w:tc>
      </w:tr>
      <w:tr>
        <w:trPr>
          <w:trHeight w:val="128"/>
        </w:trPr>
        <w:tc>
          <w:tcPr>
            <w:tcW w:w="9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40" w:type="dxa"/>
            <w:vAlign w:val="bottom"/>
          </w:tcPr>
          <w:p>
            <w:pPr>
              <w:spacing w:after="0"/>
              <w:rPr>
                <w:sz w:val="11"/>
                <w:szCs w:val="11"/>
                <w:color w:val="auto"/>
              </w:rPr>
            </w:pPr>
          </w:p>
        </w:tc>
      </w:tr>
    </w:tbl>
    <w:p>
      <w:pPr>
        <w:spacing w:after="0" w:line="184" w:lineRule="exact"/>
        <w:rPr>
          <w:sz w:val="20"/>
          <w:szCs w:val="20"/>
          <w:color w:val="auto"/>
        </w:rPr>
      </w:pPr>
    </w:p>
    <w:p>
      <w:pPr>
        <w:ind w:left="460" w:hanging="410"/>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460" w:hanging="410"/>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460" w:hanging="410"/>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7" w:lineRule="exact"/>
        <w:rPr>
          <w:sz w:val="20"/>
          <w:szCs w:val="20"/>
          <w:color w:val="auto"/>
        </w:rPr>
      </w:pPr>
    </w:p>
    <w:p>
      <w:pPr>
        <w:ind w:left="460" w:right="119" w:hanging="410"/>
        <w:spacing w:after="0" w:line="266"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PROGYNY, INC.</w:t>
      </w:r>
    </w:p>
    <w:p>
      <w:pPr>
        <w:sectPr>
          <w:pgSz w:w="11900" w:h="16838" w:orient="portrait"/>
          <w:cols w:equalWidth="0" w:num="1">
            <w:col w:w="9019"/>
          </w:cols>
          <w:pgMar w:left="1440" w:top="513" w:right="1440" w:bottom="1440" w:gutter="0" w:footer="0" w:header="0"/>
        </w:sect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 March 1, 2021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7"/>
          <w:szCs w:val="17"/>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24765</wp:posOffset>
            </wp:positionV>
            <wp:extent cx="26314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3">
            <w:col w:w="3800" w:space="720"/>
            <w:col w:w="680" w:space="720"/>
            <w:col w:w="3099"/>
          </w:cols>
          <w:pgMar w:left="1440" w:top="513" w:right="1440" w:bottom="1440" w:gutter="0" w:footer="0" w:header="0"/>
          <w:type w:val="continuous"/>
        </w:sectPr>
      </w:pPr>
    </w:p>
    <w:p>
      <w:pPr>
        <w:jc w:val="center"/>
        <w:ind w:left="4720"/>
        <w:spacing w:after="0"/>
        <w:rPr>
          <w:sz w:val="20"/>
          <w:szCs w:val="20"/>
          <w:color w:val="auto"/>
        </w:rPr>
      </w:pPr>
      <w:r>
        <w:rPr>
          <w:rFonts w:ascii="Times New Roman" w:cs="Times New Roman" w:eastAsia="Times New Roman" w:hAnsi="Times New Roman"/>
          <w:sz w:val="18"/>
          <w:szCs w:val="18"/>
          <w:color w:val="auto"/>
        </w:rPr>
        <w:t>David Schlanger</w:t>
      </w:r>
    </w:p>
    <w:p>
      <w:pPr>
        <w:spacing w:after="0" w:line="27"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Schlanger and Mark Livingston,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1, 2021.</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2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/s/ DAVID SCHLANGER</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David Schlanger</w:t>
            </w:r>
          </w:p>
        </w:tc>
        <w:tc>
          <w:tcPr>
            <w:tcW w:w="48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MARK LIVINGSTON</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Mark Livingston</w:t>
            </w:r>
          </w:p>
        </w:tc>
        <w:tc>
          <w:tcPr>
            <w:tcW w:w="48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/s/ BETH SEIDENBERG</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Beth Seidenberg, M.D.</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MALISSIA CLINTON</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Malissia Clinton</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FRED COHEN</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Fred Cohen, M.D., D.Phil.</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KEVIN GORDON</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Kevin Gordon</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ROGER HOLSTEIN</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Roger Holstein</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/s/ JEFFREY PARK</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Jeffrey Park</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 xml:space="preserve">/s/ </w:t>
            </w:r>
            <w:r>
              <w:rPr>
                <w:rFonts w:ascii="Times New Roman" w:cs="Times New Roman" w:eastAsia="Times New Roman" w:hAnsi="Times New Roman"/>
                <w:sz w:val="18"/>
                <w:szCs w:val="18"/>
                <w:color w:val="auto"/>
                <w:w w:val="97"/>
              </w:rPr>
              <w:t>NORMAN PAYSON</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Norman Payson, M.D.</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0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CHERYL SCOTT</w:t>
            </w:r>
          </w:p>
        </w:tc>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20" w:type="dxa"/>
            <w:vAlign w:val="bottom"/>
          </w:tcPr>
          <w:p>
            <w:pPr>
              <w:spacing w:after="0"/>
              <w:rPr>
                <w:sz w:val="20"/>
                <w:szCs w:val="20"/>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Cheryl Scott</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85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8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NO.1 TO THE 2017 EQUITY INCENTIVE PLAN</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NO.1 TO THE 2017 EQUITY INCENTIVE PLAN</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approved and adopted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Board of Directors of Progyny,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of December 17, 2020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w:t>
      </w:r>
    </w:p>
    <w:p>
      <w:pPr>
        <w:spacing w:after="0" w:line="206" w:lineRule="exact"/>
        <w:rPr>
          <w:sz w:val="20"/>
          <w:szCs w:val="20"/>
          <w:color w:val="auto"/>
        </w:rPr>
      </w:pPr>
    </w:p>
    <w:p>
      <w:pPr>
        <w:jc w:val="both"/>
        <w:ind w:firstLine="656"/>
        <w:spacing w:after="0" w:line="244" w:lineRule="auto"/>
        <w:tabs>
          <w:tab w:leader="none" w:pos="15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made Awards to Participants under the Company’s 2017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herein without definition have the meanings specified in the Plan), which Plan governs the terms of such grants.</w:t>
      </w:r>
    </w:p>
    <w:p>
      <w:pPr>
        <w:spacing w:after="0" w:line="173" w:lineRule="exact"/>
        <w:rPr>
          <w:rFonts w:ascii="Times New Roman" w:cs="Times New Roman" w:eastAsia="Times New Roman" w:hAnsi="Times New Roman"/>
          <w:sz w:val="22"/>
          <w:szCs w:val="22"/>
          <w:color w:val="auto"/>
        </w:rPr>
      </w:pPr>
    </w:p>
    <w:p>
      <w:pPr>
        <w:jc w:val="both"/>
        <w:ind w:firstLine="656"/>
        <w:spacing w:after="0" w:line="244" w:lineRule="auto"/>
        <w:tabs>
          <w:tab w:leader="none" w:pos="133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considers it to be in the best interest of the Company to amend the Plan to provide for full and immediate vesting of outstanding Options granted to a Participant under the Plan in the event that such Participant’s Continuous Service ends as a result of such Participant’s death.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Plan is hereby amended as follows:</w:t>
      </w:r>
    </w:p>
    <w:p>
      <w:pPr>
        <w:spacing w:after="0" w:line="202"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TO THE PLAN</w:t>
      </w:r>
    </w:p>
    <w:p>
      <w:pPr>
        <w:spacing w:after="0" w:line="206"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Options and Stock Appreciation Rights: </w:t>
      </w:r>
      <w:r>
        <w:rPr>
          <w:rFonts w:ascii="Times New Roman" w:cs="Times New Roman" w:eastAsia="Times New Roman" w:hAnsi="Times New Roman"/>
          <w:sz w:val="22"/>
          <w:szCs w:val="22"/>
          <w:color w:val="auto"/>
        </w:rPr>
        <w:t>Section 5(f) of the Plan is hereby amended by inserting the</w:t>
      </w:r>
    </w:p>
    <w:p>
      <w:pPr>
        <w:spacing w:after="0" w:line="18" w:lineRule="exact"/>
        <w:rPr>
          <w:rFonts w:ascii="Times New Roman" w:cs="Times New Roman" w:eastAsia="Times New Roman" w:hAnsi="Times New Roman"/>
          <w:sz w:val="22"/>
          <w:szCs w:val="22"/>
          <w:b w:val="1"/>
          <w:bCs w:val="1"/>
          <w:color w:val="auto"/>
        </w:rPr>
      </w:pPr>
    </w:p>
    <w:p>
      <w:pPr>
        <w:jc w:val="both"/>
        <w:ind w:left="66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following at the end thereof: “Effective December 17, 2020, notwithstanding anything to the contrary contained in an Option Agreement, the vesting of an Option held by a Participant shall accelerate in full in the event that such Participant’s Continuous Service ends as a result of such Participant’s death”.</w:t>
      </w:r>
    </w:p>
    <w:p>
      <w:pPr>
        <w:spacing w:after="0" w:line="173"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b w:val="1"/>
          <w:bCs w:val="1"/>
          <w:color w:val="auto"/>
        </w:rPr>
        <w:t xml:space="preserve">Effectiveness. </w:t>
      </w:r>
      <w:r>
        <w:rPr>
          <w:rFonts w:ascii="Times New Roman" w:cs="Times New Roman" w:eastAsia="Times New Roman" w:hAnsi="Times New Roman"/>
          <w:sz w:val="22"/>
          <w:szCs w:val="22"/>
          <w:color w:val="auto"/>
        </w:rPr>
        <w:t>The amendment pursuant to this Amendment shall become effective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Relationship to and Effect on the Plan.</w:t>
      </w:r>
    </w:p>
    <w:p>
      <w:pPr>
        <w:spacing w:after="0" w:line="210" w:lineRule="exact"/>
        <w:rPr>
          <w:sz w:val="20"/>
          <w:szCs w:val="20"/>
          <w:color w:val="auto"/>
        </w:rPr>
      </w:pPr>
    </w:p>
    <w:p>
      <w:pPr>
        <w:ind w:left="1300" w:hanging="644"/>
        <w:spacing w:after="0" w:line="258" w:lineRule="auto"/>
        <w:tabs>
          <w:tab w:leader="none" w:pos="127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in all other respects, the terms and conditions of the Plan shall remain in full force and effect and are hereby ratified and confirmed.</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2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supplemental to, and shall be read as one with, the Plan. This Amendment may not be amended, changed or modified except in writing the Committee.</w:t>
      </w:r>
    </w:p>
    <w:p>
      <w:pPr>
        <w:spacing w:after="0" w:line="154" w:lineRule="exact"/>
        <w:rPr>
          <w:sz w:val="20"/>
          <w:szCs w:val="20"/>
          <w:color w:val="auto"/>
        </w:rPr>
      </w:pPr>
    </w:p>
    <w:p>
      <w:pPr>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Amendment shall be governed by, and construed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THE 2019 EQUITY INCENTIVE PLAN</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NO. 1 TO THE 2019 EQUITY INCENTIVE PLAN</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approved and adopted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Board of Directors of Progyny,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of December 17, 2020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w:t>
      </w:r>
    </w:p>
    <w:p>
      <w:pPr>
        <w:spacing w:after="0" w:line="206" w:lineRule="exact"/>
        <w:rPr>
          <w:sz w:val="20"/>
          <w:szCs w:val="20"/>
          <w:color w:val="auto"/>
        </w:rPr>
      </w:pPr>
    </w:p>
    <w:p>
      <w:pPr>
        <w:jc w:val="both"/>
        <w:ind w:firstLine="656"/>
        <w:spacing w:after="0" w:line="244" w:lineRule="auto"/>
        <w:tabs>
          <w:tab w:leader="none" w:pos="134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grants Awards to Participants under the Company’s 2019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herein without definition have the meanings specified in the Plan), which Plan governs the terms of such grants.</w:t>
      </w:r>
    </w:p>
    <w:p>
      <w:pPr>
        <w:spacing w:after="0" w:line="173" w:lineRule="exact"/>
        <w:rPr>
          <w:rFonts w:ascii="Times New Roman" w:cs="Times New Roman" w:eastAsia="Times New Roman" w:hAnsi="Times New Roman"/>
          <w:sz w:val="22"/>
          <w:szCs w:val="22"/>
          <w:color w:val="auto"/>
        </w:rPr>
      </w:pPr>
    </w:p>
    <w:p>
      <w:pPr>
        <w:jc w:val="both"/>
        <w:ind w:firstLine="656"/>
        <w:spacing w:after="0" w:line="239" w:lineRule="auto"/>
        <w:tabs>
          <w:tab w:leader="none" w:pos="133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considers it to be in the best interest of the Company to amend the Plan to provide for the acceleration of vesting of an Award (unless the vesting is contingent on the attainment of a performance condition) in the event of the termination of the applicable Participant’s Continuous Service as a result of the death of such Participant;.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Plan is hereby amended as follows:</w:t>
      </w:r>
    </w:p>
    <w:p>
      <w:pPr>
        <w:spacing w:after="0" w:line="202"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TO THE PLAN</w:t>
      </w:r>
    </w:p>
    <w:p>
      <w:pPr>
        <w:spacing w:after="0" w:line="206"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Options and Stock Appreciation Rights: </w:t>
      </w:r>
      <w:r>
        <w:rPr>
          <w:rFonts w:ascii="Times New Roman" w:cs="Times New Roman" w:eastAsia="Times New Roman" w:hAnsi="Times New Roman"/>
          <w:sz w:val="22"/>
          <w:szCs w:val="22"/>
          <w:color w:val="auto"/>
        </w:rPr>
        <w:t>Section 4(f) of the Plan is hereby amended by inserting the</w:t>
      </w:r>
    </w:p>
    <w:p>
      <w:pPr>
        <w:spacing w:after="0" w:line="18" w:lineRule="exact"/>
        <w:rPr>
          <w:rFonts w:ascii="Times New Roman" w:cs="Times New Roman" w:eastAsia="Times New Roman" w:hAnsi="Times New Roman"/>
          <w:sz w:val="22"/>
          <w:szCs w:val="22"/>
          <w:b w:val="1"/>
          <w:bCs w:val="1"/>
          <w:color w:val="auto"/>
        </w:rPr>
      </w:pPr>
    </w:p>
    <w:p>
      <w:pPr>
        <w:jc w:val="both"/>
        <w:ind w:left="66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following at the end thereof: “Effective December 17, 2020, the vesting of an Option or a SAR held by a Participant shall accelerate in full in the event that such Participant’s Continuous Service ends as a result of such Participant’s death (unless the vesting is contingent on the attainment of a performance condition).”.</w:t>
      </w:r>
    </w:p>
    <w:p>
      <w:pPr>
        <w:spacing w:after="0" w:line="173" w:lineRule="exact"/>
        <w:rPr>
          <w:rFonts w:ascii="Times New Roman" w:cs="Times New Roman" w:eastAsia="Times New Roman" w:hAnsi="Times New Roman"/>
          <w:sz w:val="22"/>
          <w:szCs w:val="22"/>
          <w:b w:val="1"/>
          <w:bCs w:val="1"/>
          <w:color w:val="auto"/>
        </w:rPr>
      </w:pPr>
    </w:p>
    <w:p>
      <w:pPr>
        <w:jc w:val="both"/>
        <w:ind w:left="66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Other than Options and Stock Appreciation Rights. </w:t>
      </w:r>
      <w:r>
        <w:rPr>
          <w:rFonts w:ascii="Times New Roman" w:cs="Times New Roman" w:eastAsia="Times New Roman" w:hAnsi="Times New Roman"/>
          <w:sz w:val="22"/>
          <w:szCs w:val="22"/>
          <w:color w:val="auto"/>
        </w:rPr>
        <w:t>Section 5(a)(iii) of the Plan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by inserting the following at the end thereof: “Effective December 17, 2020, the vesting of a Restricted Stock Award or RSU Award ((unless the vesting is contingent on the attainment of a performance condition) granted to a Participant shall accelerate in full in the event that a Participant’s Continuous Service ends as a result of such Participant’s death.”.</w:t>
      </w:r>
    </w:p>
    <w:p>
      <w:pPr>
        <w:spacing w:after="0" w:line="17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b w:val="1"/>
          <w:bCs w:val="1"/>
          <w:color w:val="auto"/>
        </w:rPr>
        <w:t xml:space="preserve">Effectiveness. </w:t>
      </w:r>
      <w:r>
        <w:rPr>
          <w:rFonts w:ascii="Times New Roman" w:cs="Times New Roman" w:eastAsia="Times New Roman" w:hAnsi="Times New Roman"/>
          <w:sz w:val="22"/>
          <w:szCs w:val="22"/>
          <w:color w:val="auto"/>
        </w:rPr>
        <w:t>The amendment pursuant to this Amendment shall become effective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Relationship to and Effect on the Plan.</w:t>
      </w:r>
    </w:p>
    <w:p>
      <w:pPr>
        <w:spacing w:after="0" w:line="210" w:lineRule="exact"/>
        <w:rPr>
          <w:sz w:val="20"/>
          <w:szCs w:val="20"/>
          <w:color w:val="auto"/>
        </w:rPr>
      </w:pPr>
    </w:p>
    <w:p>
      <w:pPr>
        <w:ind w:left="1300" w:hanging="644"/>
        <w:spacing w:after="0" w:line="258" w:lineRule="auto"/>
        <w:tabs>
          <w:tab w:leader="none" w:pos="127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in all other respects, the terms and conditions of the Plan shall remain in full force and effect and are hereby ratified and confirmed.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19" w:name="page120"/>
    <w:bookmarkEnd w:id="119"/>
    <w:p>
      <w:pPr>
        <w:ind w:left="1280" w:hanging="644"/>
        <w:spacing w:after="0" w:line="258" w:lineRule="auto"/>
        <w:tabs>
          <w:tab w:leader="none" w:pos="125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supplemental to, and shall be read as one with, the Plan. This Amendment may not be amended, changed or modified except in writing the Committee.</w:t>
      </w:r>
    </w:p>
    <w:p>
      <w:pPr>
        <w:spacing w:after="0" w:line="155" w:lineRule="exact"/>
        <w:rPr>
          <w:sz w:val="20"/>
          <w:szCs w:val="20"/>
          <w:color w:val="auto"/>
        </w:rPr>
      </w:pPr>
    </w:p>
    <w:p>
      <w:pPr>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Amendment shall be governed by, and construed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497205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11"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125095</wp:posOffset>
            </wp:positionV>
            <wp:extent cx="2099945" cy="822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
        <w:spacing w:after="0"/>
        <w:rPr>
          <w:sz w:val="20"/>
          <w:szCs w:val="20"/>
          <w:color w:val="auto"/>
        </w:rPr>
      </w:pPr>
      <w:r>
        <w:rPr>
          <w:rFonts w:ascii="Arial" w:cs="Arial" w:eastAsia="Arial" w:hAnsi="Arial"/>
          <w:sz w:val="20"/>
          <w:szCs w:val="20"/>
          <w:color w:val="auto"/>
        </w:rPr>
        <w:t>As of September 15, 2020</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0"/>
          <w:szCs w:val="20"/>
          <w:color w:val="auto"/>
        </w:rPr>
        <w:t>Mark Livingston</w:t>
      </w:r>
    </w:p>
    <w:p>
      <w:pPr>
        <w:spacing w:after="0" w:line="12" w:lineRule="exact"/>
        <w:rPr>
          <w:sz w:val="20"/>
          <w:szCs w:val="20"/>
          <w:color w:val="auto"/>
        </w:rPr>
      </w:pPr>
    </w:p>
    <w:p>
      <w:pPr>
        <w:ind w:left="4"/>
        <w:spacing w:after="0"/>
        <w:rPr>
          <w:sz w:val="20"/>
          <w:szCs w:val="20"/>
          <w:color w:val="auto"/>
        </w:rPr>
      </w:pPr>
      <w:r>
        <w:rPr>
          <w:rFonts w:ascii="Arial" w:cs="Arial" w:eastAsia="Arial" w:hAnsi="Arial"/>
          <w:sz w:val="20"/>
          <w:szCs w:val="20"/>
          <w:color w:val="auto"/>
        </w:rPr>
        <w:t>Via DocuSign</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20"/>
          <w:szCs w:val="20"/>
          <w:color w:val="auto"/>
        </w:rPr>
        <w:t>Dear Mark:</w:t>
      </w:r>
    </w:p>
    <w:p>
      <w:pPr>
        <w:spacing w:after="0" w:line="202" w:lineRule="exact"/>
        <w:rPr>
          <w:sz w:val="20"/>
          <w:szCs w:val="20"/>
          <w:color w:val="auto"/>
        </w:rPr>
      </w:pPr>
    </w:p>
    <w:p>
      <w:pPr>
        <w:jc w:val="both"/>
        <w:ind w:left="4" w:hanging="8"/>
        <w:spacing w:after="0" w:line="245" w:lineRule="auto"/>
        <w:rPr>
          <w:sz w:val="20"/>
          <w:szCs w:val="20"/>
          <w:color w:val="auto"/>
        </w:rPr>
      </w:pPr>
      <w:r>
        <w:rPr>
          <w:rFonts w:ascii="Arial" w:cs="Arial" w:eastAsia="Arial" w:hAnsi="Arial"/>
          <w:sz w:val="20"/>
          <w:szCs w:val="20"/>
          <w:color w:val="auto"/>
        </w:rPr>
        <w:t>This letter agreement (this “Agreement”) confirms the terms and conditions of your ongoing employment with Progyny, Inc. (“Progyny” or the “Company”) and replaces your previous employment letter dated May 24, 2019 (the “Prior Agreement”). This Agreement will be effective as of September 15, 2020 (the “Effective Date).</w:t>
      </w:r>
    </w:p>
    <w:p>
      <w:pPr>
        <w:spacing w:after="0" w:line="158"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b w:val="1"/>
          <w:bCs w:val="1"/>
          <w:color w:val="auto"/>
        </w:rPr>
        <w:t xml:space="preserve">1. </w:t>
      </w:r>
      <w:r>
        <w:rPr>
          <w:rFonts w:ascii="Arial" w:cs="Arial" w:eastAsia="Arial" w:hAnsi="Arial"/>
          <w:sz w:val="20"/>
          <w:szCs w:val="20"/>
          <w:b w:val="1"/>
          <w:bCs w:val="1"/>
          <w:u w:val="single" w:color="auto"/>
          <w:color w:val="auto"/>
        </w:rPr>
        <w:t>Position</w:t>
      </w:r>
      <w:r>
        <w:rPr>
          <w:rFonts w:ascii="Arial" w:cs="Arial" w:eastAsia="Arial" w:hAnsi="Arial"/>
          <w:sz w:val="20"/>
          <w:szCs w:val="20"/>
          <w:color w:val="auto"/>
        </w:rPr>
        <w:t>. You are being promoted to the position of</w:t>
      </w:r>
      <w:r>
        <w:rPr>
          <w:rFonts w:ascii="Arial" w:cs="Arial" w:eastAsia="Arial" w:hAnsi="Arial"/>
          <w:sz w:val="20"/>
          <w:szCs w:val="20"/>
          <w:b w:val="1"/>
          <w:bCs w:val="1"/>
          <w:color w:val="auto"/>
        </w:rPr>
        <w:t xml:space="preserve"> Chief Financial Officer</w:t>
      </w:r>
      <w:r>
        <w:rPr>
          <w:rFonts w:ascii="Arial" w:cs="Arial" w:eastAsia="Arial" w:hAnsi="Arial"/>
          <w:sz w:val="20"/>
          <w:szCs w:val="20"/>
          <w:color w:val="auto"/>
        </w:rPr>
        <w:t>, effective</w:t>
      </w:r>
      <w:r>
        <w:rPr>
          <w:rFonts w:ascii="Arial" w:cs="Arial" w:eastAsia="Arial" w:hAnsi="Arial"/>
          <w:sz w:val="20"/>
          <w:szCs w:val="20"/>
          <w:b w:val="1"/>
          <w:bCs w:val="1"/>
          <w:color w:val="auto"/>
        </w:rPr>
        <w:t xml:space="preserve"> Tuesday, September 15, 2020 </w:t>
      </w:r>
      <w:r>
        <w:rPr>
          <w:rFonts w:ascii="Arial" w:cs="Arial" w:eastAsia="Arial" w:hAnsi="Arial"/>
          <w:sz w:val="20"/>
          <w:szCs w:val="20"/>
          <w:color w:val="auto"/>
        </w:rPr>
        <w:t>and you will report to Pete Anevski, President &amp; COO or such other officer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by the Company. Your principal place of employment will be Progyny’s New York office.</w:t>
      </w:r>
    </w:p>
    <w:p>
      <w:pPr>
        <w:spacing w:after="0" w:line="156" w:lineRule="exact"/>
        <w:rPr>
          <w:sz w:val="20"/>
          <w:szCs w:val="20"/>
          <w:color w:val="auto"/>
        </w:rPr>
      </w:pPr>
    </w:p>
    <w:p>
      <w:pPr>
        <w:ind w:left="4" w:hanging="4"/>
        <w:spacing w:after="0" w:line="268" w:lineRule="auto"/>
        <w:tabs>
          <w:tab w:leader="none" w:pos="652"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and Benefits</w:t>
      </w:r>
      <w:r>
        <w:rPr>
          <w:rFonts w:ascii="Arial" w:cs="Arial" w:eastAsia="Arial" w:hAnsi="Arial"/>
          <w:sz w:val="20"/>
          <w:szCs w:val="20"/>
          <w:color w:val="auto"/>
        </w:rPr>
        <w:t>: As an employee of Progyny, you will receive the following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and benefits:</w:t>
      </w:r>
    </w:p>
    <w:p>
      <w:pPr>
        <w:spacing w:after="0" w:line="134" w:lineRule="exact"/>
        <w:rPr>
          <w:sz w:val="20"/>
          <w:szCs w:val="20"/>
          <w:color w:val="auto"/>
        </w:rPr>
      </w:pPr>
    </w:p>
    <w:p>
      <w:pPr>
        <w:jc w:val="both"/>
        <w:ind w:left="4" w:hanging="8"/>
        <w:spacing w:after="0" w:line="246" w:lineRule="auto"/>
        <w:rPr>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Your annual base salary will be</w:t>
      </w:r>
      <w:r>
        <w:rPr>
          <w:rFonts w:ascii="Arial" w:cs="Arial" w:eastAsia="Arial" w:hAnsi="Arial"/>
          <w:sz w:val="20"/>
          <w:szCs w:val="20"/>
          <w:b w:val="1"/>
          <w:bCs w:val="1"/>
          <w:color w:val="auto"/>
        </w:rPr>
        <w:t xml:space="preserve"> $425,000</w:t>
      </w:r>
      <w:r>
        <w:rPr>
          <w:rFonts w:ascii="Arial" w:cs="Arial" w:eastAsia="Arial" w:hAnsi="Arial"/>
          <w:sz w:val="20"/>
          <w:szCs w:val="20"/>
          <w:color w:val="auto"/>
        </w:rPr>
        <w:t>, less applicable deductions authorized by you and</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law, which will be paid in accordance with the Company’s normal payroll practices. The Company, in its sole judgement and discretion, may modify your salary upon periodic review.</w:t>
      </w:r>
    </w:p>
    <w:p>
      <w:pPr>
        <w:spacing w:after="0" w:line="157" w:lineRule="exact"/>
        <w:rPr>
          <w:sz w:val="20"/>
          <w:szCs w:val="20"/>
          <w:color w:val="auto"/>
        </w:rPr>
      </w:pPr>
    </w:p>
    <w:p>
      <w:pPr>
        <w:jc w:val="both"/>
        <w:ind w:left="4" w:hanging="8"/>
        <w:spacing w:after="0"/>
        <w:rPr>
          <w:sz w:val="20"/>
          <w:szCs w:val="20"/>
          <w:color w:val="auto"/>
        </w:rPr>
      </w:pPr>
      <w:r>
        <w:rPr>
          <w:rFonts w:ascii="Arial" w:cs="Arial" w:eastAsia="Arial" w:hAnsi="Arial"/>
          <w:sz w:val="20"/>
          <w:szCs w:val="20"/>
          <w:b w:val="1"/>
          <w:bCs w:val="1"/>
          <w:u w:val="single" w:color="auto"/>
          <w:color w:val="auto"/>
        </w:rPr>
        <w:t>Variable Compensation</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 xml:space="preserve">You are eligible for an annual discretionary bonus up to a maximum of </w:t>
      </w:r>
      <w:r>
        <w:rPr>
          <w:rFonts w:ascii="Arial" w:cs="Arial" w:eastAsia="Arial" w:hAnsi="Arial"/>
          <w:sz w:val="20"/>
          <w:szCs w:val="20"/>
          <w:b w:val="1"/>
          <w:bCs w:val="1"/>
          <w:color w:val="auto"/>
        </w:rPr>
        <w:t>60%</w:t>
      </w:r>
      <w:r>
        <w:rPr>
          <w:rFonts w:ascii="Arial" w:cs="Arial" w:eastAsia="Arial" w:hAnsi="Arial"/>
          <w:sz w:val="20"/>
          <w:szCs w:val="20"/>
          <w:color w:val="auto"/>
        </w:rPr>
        <w:t xml:space="preserve"> of your base salary (the “</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beginning with fiscal year 2021. For fiscal year 2020, your annual bonus will be calculated on a pro-rated basis based on an assessment of your two different roles (applying the applicable target bonus percentage for your period of service in each role). In order to receive the Target Bonus or any portion of the Target Bonus, you must achieve certain individual performance goals, Progyny must achieve certain performance targets, and you must be employed with the Company on the date the bonus is paid. The actual amount of your annual bonus will be determined by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in its sole discretion.</w:t>
      </w:r>
    </w:p>
    <w:p>
      <w:pPr>
        <w:spacing w:after="0" w:line="334" w:lineRule="exact"/>
        <w:rPr>
          <w:sz w:val="20"/>
          <w:szCs w:val="20"/>
          <w:color w:val="auto"/>
        </w:rPr>
      </w:pPr>
    </w:p>
    <w:p>
      <w:pPr>
        <w:jc w:val="both"/>
        <w:ind w:left="4" w:hanging="8"/>
        <w:spacing w:after="0" w:line="239" w:lineRule="auto"/>
        <w:rPr>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color w:val="auto"/>
        </w:rPr>
        <w:t>. You have previously been granted options to purchase shares of the Company’s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(such options together with any other stock options that may be granted to you in the future, shall collectively be referred to in this Agreement as “</w:t>
      </w:r>
      <w:r>
        <w:rPr>
          <w:rFonts w:ascii="Arial" w:cs="Arial" w:eastAsia="Arial" w:hAnsi="Arial"/>
          <w:sz w:val="20"/>
          <w:szCs w:val="20"/>
          <w:b w:val="1"/>
          <w:bCs w:val="1"/>
          <w:i w:val="1"/>
          <w:iCs w:val="1"/>
          <w:color w:val="auto"/>
        </w:rPr>
        <w:t>Options</w:t>
      </w:r>
      <w:r>
        <w:rPr>
          <w:rFonts w:ascii="Arial" w:cs="Arial" w:eastAsia="Arial" w:hAnsi="Arial"/>
          <w:sz w:val="20"/>
          <w:szCs w:val="20"/>
          <w:i w:val="1"/>
          <w:iCs w:val="1"/>
          <w:color w:val="auto"/>
        </w:rPr>
        <w:t>”</w:t>
      </w:r>
      <w:r>
        <w:rPr>
          <w:rFonts w:ascii="Arial" w:cs="Arial" w:eastAsia="Arial" w:hAnsi="Arial"/>
          <w:sz w:val="20"/>
          <w:szCs w:val="20"/>
          <w:color w:val="auto"/>
        </w:rPr>
        <w:t>) and shall continue in full force and effect in accordance with their respective terms and the terms of the applicable equity plan.</w:t>
      </w:r>
    </w:p>
    <w:p>
      <w:pPr>
        <w:spacing w:after="0" w:line="164" w:lineRule="exact"/>
        <w:rPr>
          <w:sz w:val="20"/>
          <w:szCs w:val="20"/>
          <w:color w:val="auto"/>
        </w:rPr>
      </w:pPr>
    </w:p>
    <w:p>
      <w:pPr>
        <w:jc w:val="both"/>
        <w:ind w:left="4" w:hanging="8"/>
        <w:spacing w:after="0" w:line="239" w:lineRule="auto"/>
        <w:rPr>
          <w:sz w:val="20"/>
          <w:szCs w:val="20"/>
          <w:color w:val="auto"/>
        </w:rPr>
      </w:pP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 You will continue to be eligible to participate in the Company’s employee benefit plans as</w:t>
      </w:r>
      <w:r>
        <w:rPr>
          <w:rFonts w:ascii="Arial" w:cs="Arial" w:eastAsia="Arial" w:hAnsi="Arial"/>
          <w:sz w:val="20"/>
          <w:szCs w:val="20"/>
          <w:b w:val="1"/>
          <w:bCs w:val="1"/>
          <w:color w:val="auto"/>
        </w:rPr>
        <w:t xml:space="preserve"> </w:t>
      </w:r>
      <w:r>
        <w:rPr>
          <w:rFonts w:ascii="Arial" w:cs="Arial" w:eastAsia="Arial" w:hAnsi="Arial"/>
          <w:sz w:val="20"/>
          <w:szCs w:val="20"/>
          <w:color w:val="auto"/>
        </w:rPr>
        <w:t>they may exist from time to time, subject to any eligibility requirements imposed by such plans, including its health and welfare and paid time off benefits. The Company reserves the right to modify or terminate its employee benefit plans, in whole or in part, at any time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467360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4"/>
          </w:cols>
          <w:pgMar w:left="976" w:top="114" w:right="99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 w:hanging="4"/>
        <w:spacing w:after="0" w:line="246" w:lineRule="auto"/>
        <w:tabs>
          <w:tab w:leader="none" w:pos="652"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Non-Disclosure and Non-Compete Agreement</w:t>
      </w:r>
      <w:r>
        <w:rPr>
          <w:rFonts w:ascii="Arial" w:cs="Arial" w:eastAsia="Arial" w:hAnsi="Arial"/>
          <w:sz w:val="20"/>
          <w:szCs w:val="20"/>
          <w:color w:val="auto"/>
        </w:rPr>
        <w:t>. As an employee of the Company, you will continue to</w:t>
      </w:r>
      <w:r>
        <w:rPr>
          <w:rFonts w:ascii="Arial" w:cs="Arial" w:eastAsia="Arial" w:hAnsi="Arial"/>
          <w:sz w:val="20"/>
          <w:szCs w:val="20"/>
          <w:b w:val="1"/>
          <w:bCs w:val="1"/>
          <w:color w:val="auto"/>
        </w:rPr>
        <w:t xml:space="preserve"> </w:t>
      </w:r>
      <w:r>
        <w:rPr>
          <w:rFonts w:ascii="Arial" w:cs="Arial" w:eastAsia="Arial" w:hAnsi="Arial"/>
          <w:sz w:val="20"/>
          <w:szCs w:val="20"/>
          <w:color w:val="auto"/>
        </w:rPr>
        <w:t>have access to certain confidential information of the Company and you may, during the course of your employment, develop certain information or inventions that will be the property of the Company.</w:t>
      </w:r>
    </w:p>
    <w:p>
      <w:pPr>
        <w:spacing w:after="0" w:line="159" w:lineRule="exact"/>
        <w:rPr>
          <w:sz w:val="20"/>
          <w:szCs w:val="20"/>
          <w:color w:val="auto"/>
        </w:rPr>
      </w:pPr>
    </w:p>
    <w:p>
      <w:pPr>
        <w:jc w:val="both"/>
        <w:ind w:left="4"/>
        <w:spacing w:after="0" w:line="239" w:lineRule="auto"/>
        <w:rPr>
          <w:sz w:val="20"/>
          <w:szCs w:val="20"/>
          <w:color w:val="auto"/>
        </w:rPr>
      </w:pPr>
      <w:r>
        <w:rPr>
          <w:rFonts w:ascii="Arial" w:cs="Arial" w:eastAsia="Arial" w:hAnsi="Arial"/>
          <w:sz w:val="20"/>
          <w:szCs w:val="20"/>
          <w:color w:val="auto"/>
        </w:rPr>
        <w:t xml:space="preserve">To protect the interests of the Company, you have previously signed the Company's standard “Non-Disclosure and Non-Compete Agreement, which signed agreement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incorporated herein by reference. By signing this Agreement, you hereby ratify the obligations in the Non-Disclosure and Non-Compete Agreement and agree to continue to abide by its terms.</w:t>
      </w:r>
    </w:p>
    <w:p>
      <w:pPr>
        <w:spacing w:after="0" w:line="162" w:lineRule="exact"/>
        <w:rPr>
          <w:sz w:val="20"/>
          <w:szCs w:val="20"/>
          <w:color w:val="auto"/>
        </w:rPr>
      </w:pPr>
    </w:p>
    <w:p>
      <w:pPr>
        <w:jc w:val="both"/>
        <w:ind w:left="4" w:hanging="4"/>
        <w:spacing w:after="0" w:line="231" w:lineRule="auto"/>
        <w:tabs>
          <w:tab w:leader="none" w:pos="65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Your employment with the Company continues to be “at will”, which means that it</w:t>
      </w:r>
      <w:r>
        <w:rPr>
          <w:rFonts w:ascii="Arial" w:cs="Arial" w:eastAsia="Arial" w:hAnsi="Arial"/>
          <w:sz w:val="20"/>
          <w:szCs w:val="20"/>
          <w:b w:val="1"/>
          <w:bCs w:val="1"/>
          <w:color w:val="auto"/>
        </w:rPr>
        <w:t xml:space="preserve"> </w:t>
      </w:r>
      <w:r>
        <w:rPr>
          <w:rFonts w:ascii="Arial" w:cs="Arial" w:eastAsia="Arial" w:hAnsi="Arial"/>
          <w:sz w:val="20"/>
          <w:szCs w:val="20"/>
          <w:color w:val="auto"/>
        </w:rPr>
        <w:t>is for no specified term or duration. You may terminate your employment with Company at any time and for any reason whatsoever simply by notifying the Company, subject to the notice provisions required to resign for Good Reason (as defined below). Likewise, the Company may terminate your employment at any time, with or without Cause (as defined below) or advance notice, subject to the consequences set forth in Section 5. Neither the vesting of the Options described in this Agreement (nor any other provision of this Agreement or any other agreement between you and the Company), nor your participation in any stock option, incentive bonus, or other benefit program in the future, is to be regarded as assuring you of continuing employment for any particular period of time. Your employment at-will status can only be modified in a written agreement signed by you and by an officer of Progyny.</w:t>
      </w:r>
    </w:p>
    <w:p>
      <w:pPr>
        <w:spacing w:after="0" w:line="162" w:lineRule="exact"/>
        <w:rPr>
          <w:rFonts w:ascii="Arial" w:cs="Arial" w:eastAsia="Arial" w:hAnsi="Arial"/>
          <w:sz w:val="20"/>
          <w:szCs w:val="20"/>
          <w:b w:val="1"/>
          <w:bCs w:val="1"/>
          <w:color w:val="auto"/>
        </w:rPr>
      </w:pPr>
    </w:p>
    <w:p>
      <w:pPr>
        <w:ind w:left="664" w:hanging="664"/>
        <w:spacing w:after="0"/>
        <w:tabs>
          <w:tab w:leader="none" w:pos="664"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 Severance</w:t>
      </w:r>
      <w:r>
        <w:rPr>
          <w:rFonts w:ascii="Arial" w:cs="Arial" w:eastAsia="Arial" w:hAnsi="Arial"/>
          <w:sz w:val="20"/>
          <w:szCs w:val="20"/>
          <w:u w:val="single" w:color="auto"/>
          <w:color w:val="auto"/>
        </w:rPr>
        <w:t>.</w:t>
      </w:r>
    </w:p>
    <w:p>
      <w:pPr>
        <w:spacing w:after="0" w:line="202" w:lineRule="exact"/>
        <w:rPr>
          <w:rFonts w:ascii="Arial" w:cs="Arial" w:eastAsia="Arial" w:hAnsi="Arial"/>
          <w:sz w:val="20"/>
          <w:szCs w:val="20"/>
          <w:b w:val="1"/>
          <w:bCs w:val="1"/>
          <w:color w:val="auto"/>
        </w:rPr>
      </w:pPr>
    </w:p>
    <w:p>
      <w:pPr>
        <w:jc w:val="both"/>
        <w:ind w:left="4" w:firstLine="324"/>
        <w:spacing w:after="0" w:line="233" w:lineRule="auto"/>
        <w:rPr>
          <w:rFonts w:ascii="Arial" w:cs="Arial" w:eastAsia="Arial" w:hAnsi="Arial"/>
          <w:sz w:val="20"/>
          <w:szCs w:val="20"/>
          <w:b w:val="1"/>
          <w:bCs w:val="1"/>
          <w:color w:val="auto"/>
        </w:rPr>
      </w:pPr>
      <w:r>
        <w:rPr>
          <w:rFonts w:ascii="Arial" w:cs="Arial" w:eastAsia="Arial" w:hAnsi="Arial"/>
          <w:sz w:val="20"/>
          <w:szCs w:val="20"/>
          <w:b w:val="1"/>
          <w:bCs w:val="1"/>
          <w:color w:val="000101"/>
        </w:rPr>
        <w:t xml:space="preserve">a. Termination Without Cause </w:t>
      </w:r>
      <w:r>
        <w:rPr>
          <w:rFonts w:ascii="Arial" w:cs="Arial" w:eastAsia="Arial" w:hAnsi="Arial"/>
          <w:sz w:val="20"/>
          <w:szCs w:val="20"/>
          <w:b w:val="1"/>
          <w:bCs w:val="1"/>
          <w:color w:val="000000"/>
        </w:rPr>
        <w:t>or Resignation for Good Reason</w:t>
      </w:r>
      <w:r>
        <w:rPr>
          <w:rFonts w:ascii="Arial" w:cs="Arial" w:eastAsia="Arial" w:hAnsi="Arial"/>
          <w:sz w:val="20"/>
          <w:szCs w:val="20"/>
          <w:color w:val="000101"/>
        </w:rPr>
        <w:t>.</w:t>
      </w:r>
      <w:r>
        <w:rPr>
          <w:rFonts w:ascii="Arial" w:cs="Arial" w:eastAsia="Arial" w:hAnsi="Arial"/>
          <w:sz w:val="20"/>
          <w:szCs w:val="20"/>
          <w:b w:val="1"/>
          <w:bCs w:val="1"/>
          <w:color w:val="000101"/>
        </w:rPr>
        <w:t xml:space="preserve"> </w:t>
      </w:r>
      <w:r>
        <w:rPr>
          <w:rFonts w:ascii="Arial" w:cs="Arial" w:eastAsia="Arial" w:hAnsi="Arial"/>
          <w:sz w:val="20"/>
          <w:szCs w:val="20"/>
          <w:color w:val="000000"/>
        </w:rPr>
        <w:t>In the event your employment with the</w:t>
      </w:r>
      <w:r>
        <w:rPr>
          <w:rFonts w:ascii="Arial" w:cs="Arial" w:eastAsia="Arial" w:hAnsi="Arial"/>
          <w:sz w:val="20"/>
          <w:szCs w:val="20"/>
          <w:b w:val="1"/>
          <w:bCs w:val="1"/>
          <w:color w:val="000101"/>
        </w:rPr>
        <w:t xml:space="preserve"> </w:t>
      </w:r>
      <w:r>
        <w:rPr>
          <w:rFonts w:ascii="Arial" w:cs="Arial" w:eastAsia="Arial" w:hAnsi="Arial"/>
          <w:sz w:val="20"/>
          <w:szCs w:val="20"/>
          <w:color w:val="000000"/>
        </w:rPr>
        <w:t xml:space="preserve">Company (or its subsidiaries) is terminated by the Company (or its subsidiaries) without Cause or you resign for Good Reason, then provided such termination constitutes a “separation from service” (as defined under Treasury Regulation Section 1.409A-1(h), without regard to any alternative definition thereunder, a </w:t>
      </w:r>
      <w:r>
        <w:rPr>
          <w:rFonts w:ascii="Arial" w:cs="Arial" w:eastAsia="Arial" w:hAnsi="Arial"/>
          <w:sz w:val="20"/>
          <w:szCs w:val="20"/>
          <w:color w:val="000101"/>
        </w:rPr>
        <w:t>“</w:t>
      </w:r>
      <w:r>
        <w:rPr>
          <w:rFonts w:ascii="Arial" w:cs="Arial" w:eastAsia="Arial" w:hAnsi="Arial"/>
          <w:sz w:val="20"/>
          <w:szCs w:val="20"/>
          <w:b w:val="1"/>
          <w:bCs w:val="1"/>
          <w:i w:val="1"/>
          <w:iCs w:val="1"/>
          <w:color w:val="000101"/>
        </w:rPr>
        <w:t>Separation from</w:t>
      </w:r>
      <w:r>
        <w:rPr>
          <w:rFonts w:ascii="Arial" w:cs="Arial" w:eastAsia="Arial" w:hAnsi="Arial"/>
          <w:sz w:val="20"/>
          <w:szCs w:val="20"/>
          <w:color w:val="000000"/>
        </w:rPr>
        <w:t xml:space="preserve"> </w:t>
      </w:r>
      <w:r>
        <w:rPr>
          <w:rFonts w:ascii="Arial" w:cs="Arial" w:eastAsia="Arial" w:hAnsi="Arial"/>
          <w:sz w:val="20"/>
          <w:szCs w:val="20"/>
          <w:b w:val="1"/>
          <w:bCs w:val="1"/>
          <w:i w:val="1"/>
          <w:iCs w:val="1"/>
          <w:color w:val="000101"/>
        </w:rPr>
        <w:t>Service</w:t>
      </w:r>
      <w:r>
        <w:rPr>
          <w:rFonts w:ascii="Arial" w:cs="Arial" w:eastAsia="Arial" w:hAnsi="Arial"/>
          <w:sz w:val="20"/>
          <w:szCs w:val="20"/>
          <w:color w:val="000101"/>
        </w:rPr>
        <w:t>”),</w:t>
      </w:r>
      <w:r>
        <w:rPr>
          <w:rFonts w:ascii="Arial" w:cs="Arial" w:eastAsia="Arial" w:hAnsi="Arial"/>
          <w:sz w:val="20"/>
          <w:szCs w:val="20"/>
          <w:b w:val="1"/>
          <w:bCs w:val="1"/>
          <w:i w:val="1"/>
          <w:iCs w:val="1"/>
          <w:color w:val="000101"/>
        </w:rPr>
        <w:t xml:space="preserve"> </w:t>
      </w:r>
      <w:r>
        <w:rPr>
          <w:rFonts w:ascii="Arial" w:cs="Arial" w:eastAsia="Arial" w:hAnsi="Arial"/>
          <w:sz w:val="20"/>
          <w:szCs w:val="20"/>
          <w:color w:val="000000"/>
        </w:rPr>
        <w:t>and provided that you remain in compliance with the terms of this Agreement (including, without</w:t>
      </w:r>
      <w:r>
        <w:rPr>
          <w:rFonts w:ascii="Arial" w:cs="Arial" w:eastAsia="Arial" w:hAnsi="Arial"/>
          <w:sz w:val="20"/>
          <w:szCs w:val="20"/>
          <w:b w:val="1"/>
          <w:bCs w:val="1"/>
          <w:i w:val="1"/>
          <w:iCs w:val="1"/>
          <w:color w:val="000101"/>
        </w:rPr>
        <w:t xml:space="preserve"> </w:t>
      </w:r>
      <w:r>
        <w:rPr>
          <w:rFonts w:ascii="Arial" w:cs="Arial" w:eastAsia="Arial" w:hAnsi="Arial"/>
          <w:sz w:val="20"/>
          <w:szCs w:val="20"/>
          <w:color w:val="000000"/>
        </w:rPr>
        <w:t>limitation, the Non-Disclosure and Non-Compete Agreement), the Company shall provide you with the following severance payments and benefits:</w:t>
      </w:r>
    </w:p>
    <w:p>
      <w:pPr>
        <w:spacing w:after="0" w:line="165" w:lineRule="exact"/>
        <w:rPr>
          <w:rFonts w:ascii="Arial" w:cs="Arial" w:eastAsia="Arial" w:hAnsi="Arial"/>
          <w:sz w:val="20"/>
          <w:szCs w:val="20"/>
          <w:b w:val="1"/>
          <w:bCs w:val="1"/>
          <w:color w:val="auto"/>
        </w:rPr>
      </w:pPr>
    </w:p>
    <w:p>
      <w:pPr>
        <w:jc w:val="both"/>
        <w:ind w:left="984" w:hanging="324"/>
        <w:spacing w:after="0" w:line="232" w:lineRule="auto"/>
        <w:tabs>
          <w:tab w:leader="none" w:pos="984" w:val="left"/>
        </w:tabs>
        <w:numPr>
          <w:ilvl w:val="2"/>
          <w:numId w:val="61"/>
        </w:numPr>
        <w:rPr>
          <w:rFonts w:ascii="Arial" w:cs="Arial" w:eastAsia="Arial" w:hAnsi="Arial"/>
          <w:sz w:val="20"/>
          <w:szCs w:val="20"/>
          <w:color w:val="000101"/>
        </w:rPr>
      </w:pPr>
      <w:r>
        <w:rPr>
          <w:rFonts w:ascii="Arial" w:cs="Arial" w:eastAsia="Arial" w:hAnsi="Arial"/>
          <w:sz w:val="20"/>
          <w:szCs w:val="20"/>
          <w:b w:val="1"/>
          <w:bCs w:val="1"/>
          <w:color w:val="000101"/>
        </w:rPr>
        <w:t xml:space="preserve">Severance Pay. </w:t>
      </w:r>
      <w:r>
        <w:rPr>
          <w:rFonts w:ascii="Arial" w:cs="Arial" w:eastAsia="Arial" w:hAnsi="Arial"/>
          <w:sz w:val="20"/>
          <w:szCs w:val="20"/>
          <w:color w:val="000101"/>
        </w:rPr>
        <w:t>The Company shall pay you, as severance, the equivalent of six (6) months of your</w:t>
      </w:r>
      <w:r>
        <w:rPr>
          <w:rFonts w:ascii="Arial" w:cs="Arial" w:eastAsia="Arial" w:hAnsi="Arial"/>
          <w:sz w:val="20"/>
          <w:szCs w:val="20"/>
          <w:b w:val="1"/>
          <w:bCs w:val="1"/>
          <w:color w:val="000101"/>
        </w:rPr>
        <w:t xml:space="preserve"> </w:t>
      </w:r>
      <w:r>
        <w:rPr>
          <w:rFonts w:ascii="Arial" w:cs="Arial" w:eastAsia="Arial" w:hAnsi="Arial"/>
          <w:sz w:val="20"/>
          <w:szCs w:val="20"/>
          <w:color w:val="000101"/>
        </w:rPr>
        <w:t>base salary in effect as of your employment termination date, subject to standard payroll deductions and withholdings. This severance amount will be paid in equal installments in the form of continuation of your base salary payments, paid on the Company’s ordinary payroll dates, commencing on the Company’s first regular payroll date that is 60 days following such termination of your employment (the “</w:t>
      </w:r>
      <w:r>
        <w:rPr>
          <w:rFonts w:ascii="Arial" w:cs="Arial" w:eastAsia="Arial" w:hAnsi="Arial"/>
          <w:sz w:val="20"/>
          <w:szCs w:val="20"/>
          <w:b w:val="1"/>
          <w:bCs w:val="1"/>
          <w:i w:val="1"/>
          <w:iCs w:val="1"/>
          <w:color w:val="000101"/>
        </w:rPr>
        <w:t>Starting Date</w:t>
      </w:r>
      <w:r>
        <w:rPr>
          <w:rFonts w:ascii="Arial" w:cs="Arial" w:eastAsia="Arial" w:hAnsi="Arial"/>
          <w:sz w:val="20"/>
          <w:szCs w:val="20"/>
          <w:color w:val="000101"/>
        </w:rPr>
        <w:t>”), with the first payment of severance to include any accrued base salary from the Starting Date until the first payment of severance. All salary continuation payments thereafter shall be made on the Company’s regular payroll dates.</w:t>
      </w:r>
    </w:p>
    <w:p>
      <w:pPr>
        <w:spacing w:after="0" w:line="165" w:lineRule="exact"/>
        <w:rPr>
          <w:rFonts w:ascii="Arial" w:cs="Arial" w:eastAsia="Arial" w:hAnsi="Arial"/>
          <w:sz w:val="20"/>
          <w:szCs w:val="20"/>
          <w:color w:val="000101"/>
        </w:rPr>
      </w:pPr>
    </w:p>
    <w:p>
      <w:pPr>
        <w:jc w:val="both"/>
        <w:ind w:left="984" w:hanging="324"/>
        <w:spacing w:after="0" w:line="236" w:lineRule="auto"/>
        <w:tabs>
          <w:tab w:leader="none" w:pos="984" w:val="left"/>
        </w:tabs>
        <w:numPr>
          <w:ilvl w:val="2"/>
          <w:numId w:val="61"/>
        </w:numPr>
        <w:rPr>
          <w:rFonts w:ascii="Arial" w:cs="Arial" w:eastAsia="Arial" w:hAnsi="Arial"/>
          <w:sz w:val="20"/>
          <w:szCs w:val="20"/>
          <w:color w:val="000101"/>
        </w:rPr>
      </w:pPr>
      <w:r>
        <w:rPr>
          <w:rFonts w:ascii="Arial" w:cs="Arial" w:eastAsia="Arial" w:hAnsi="Arial"/>
          <w:sz w:val="20"/>
          <w:szCs w:val="20"/>
          <w:b w:val="1"/>
          <w:bCs w:val="1"/>
          <w:color w:val="000101"/>
        </w:rPr>
        <w:t>Bonus</w:t>
      </w:r>
      <w:r>
        <w:rPr>
          <w:rFonts w:ascii="Arial" w:cs="Arial" w:eastAsia="Arial" w:hAnsi="Arial"/>
          <w:sz w:val="20"/>
          <w:szCs w:val="20"/>
          <w:color w:val="000101"/>
        </w:rPr>
        <w:t>. The Company shall pay you your Target Bonus for the year in which your termination occurs,</w:t>
      </w:r>
      <w:r>
        <w:rPr>
          <w:rFonts w:ascii="Arial" w:cs="Arial" w:eastAsia="Arial" w:hAnsi="Arial"/>
          <w:sz w:val="20"/>
          <w:szCs w:val="20"/>
          <w:b w:val="1"/>
          <w:bCs w:val="1"/>
          <w:color w:val="000101"/>
        </w:rPr>
        <w:t xml:space="preserve"> </w:t>
      </w:r>
      <w:r>
        <w:rPr>
          <w:rFonts w:ascii="Arial" w:cs="Arial" w:eastAsia="Arial" w:hAnsi="Arial"/>
          <w:sz w:val="20"/>
          <w:szCs w:val="20"/>
          <w:color w:val="000101"/>
        </w:rPr>
        <w:t>prorated (based on completed months of service) to the date of termination. Such amount will be paid on the Starting Date. For any annual bonus relating to the prior year that has not yet been paid, you will be eligible to receive such bonus calculated under the terms and conditions set forth in Section 2, as determined by the Board in its sole discretion,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4"/>
          </w:cols>
          <w:pgMar w:left="976" w:top="1440" w:right="99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8"/>
        <w:spacing w:after="0" w:line="266" w:lineRule="auto"/>
        <w:rPr>
          <w:sz w:val="20"/>
          <w:szCs w:val="20"/>
          <w:color w:val="auto"/>
        </w:rPr>
      </w:pPr>
      <w:r>
        <w:rPr>
          <w:rFonts w:ascii="Arial" w:cs="Arial" w:eastAsia="Arial" w:hAnsi="Arial"/>
          <w:sz w:val="20"/>
          <w:szCs w:val="20"/>
          <w:color w:val="000101"/>
        </w:rPr>
        <w:t>on the Starting Date, or if not yet determined, then within sixty (60) days following such Board determination.</w:t>
      </w:r>
    </w:p>
    <w:p>
      <w:pPr>
        <w:spacing w:after="0" w:line="136" w:lineRule="exact"/>
        <w:rPr>
          <w:sz w:val="20"/>
          <w:szCs w:val="20"/>
          <w:color w:val="auto"/>
        </w:rPr>
      </w:pPr>
    </w:p>
    <w:p>
      <w:pPr>
        <w:jc w:val="both"/>
        <w:ind w:left="648" w:hanging="324"/>
        <w:spacing w:after="0"/>
        <w:tabs>
          <w:tab w:leader="none" w:pos="648" w:val="left"/>
        </w:tabs>
        <w:numPr>
          <w:ilvl w:val="1"/>
          <w:numId w:val="62"/>
        </w:numPr>
        <w:rPr>
          <w:rFonts w:ascii="Arial" w:cs="Arial" w:eastAsia="Arial" w:hAnsi="Arial"/>
          <w:sz w:val="19"/>
          <w:szCs w:val="19"/>
          <w:color w:val="000101"/>
        </w:rPr>
      </w:pPr>
      <w:r>
        <w:rPr>
          <w:rFonts w:ascii="Arial" w:cs="Arial" w:eastAsia="Arial" w:hAnsi="Arial"/>
          <w:sz w:val="19"/>
          <w:szCs w:val="19"/>
          <w:b w:val="1"/>
          <w:bCs w:val="1"/>
          <w:color w:val="000101"/>
        </w:rPr>
        <w:t xml:space="preserve">Health Insurance. </w:t>
      </w:r>
      <w:r>
        <w:rPr>
          <w:rFonts w:ascii="Arial" w:cs="Arial" w:eastAsia="Arial" w:hAnsi="Arial"/>
          <w:sz w:val="19"/>
          <w:szCs w:val="19"/>
          <w:color w:val="000101"/>
        </w:rPr>
        <w:t>Provided that you timely elect continued coverage under COBRA, the Company</w:t>
      </w:r>
      <w:r>
        <w:rPr>
          <w:rFonts w:ascii="Arial" w:cs="Arial" w:eastAsia="Arial" w:hAnsi="Arial"/>
          <w:sz w:val="19"/>
          <w:szCs w:val="19"/>
          <w:b w:val="1"/>
          <w:bCs w:val="1"/>
          <w:color w:val="000101"/>
        </w:rPr>
        <w:t xml:space="preserve"> </w:t>
      </w:r>
      <w:r>
        <w:rPr>
          <w:rFonts w:ascii="Arial" w:cs="Arial" w:eastAsia="Arial" w:hAnsi="Arial"/>
          <w:sz w:val="19"/>
          <w:szCs w:val="19"/>
          <w:color w:val="000101"/>
        </w:rPr>
        <w:t>shall pay your COBRA premiums to continue your coverage (including coverage for eligible dependents, if applicable) (“</w:t>
      </w:r>
      <w:r>
        <w:rPr>
          <w:rFonts w:ascii="Arial" w:cs="Arial" w:eastAsia="Arial" w:hAnsi="Arial"/>
          <w:sz w:val="19"/>
          <w:szCs w:val="19"/>
          <w:b w:val="1"/>
          <w:bCs w:val="1"/>
          <w:i w:val="1"/>
          <w:iCs w:val="1"/>
          <w:color w:val="000101"/>
        </w:rPr>
        <w:t>COBRA Premiums</w:t>
      </w:r>
      <w:r>
        <w:rPr>
          <w:rFonts w:ascii="Arial" w:cs="Arial" w:eastAsia="Arial" w:hAnsi="Arial"/>
          <w:sz w:val="19"/>
          <w:szCs w:val="19"/>
          <w:color w:val="000101"/>
        </w:rPr>
        <w:t>”) through the period (the “</w:t>
      </w:r>
      <w:r>
        <w:rPr>
          <w:rFonts w:ascii="Arial" w:cs="Arial" w:eastAsia="Arial" w:hAnsi="Arial"/>
          <w:sz w:val="19"/>
          <w:szCs w:val="19"/>
          <w:b w:val="1"/>
          <w:bCs w:val="1"/>
          <w:i w:val="1"/>
          <w:iCs w:val="1"/>
          <w:color w:val="000101"/>
        </w:rPr>
        <w:t>COBRA Premium Period</w:t>
      </w:r>
      <w:r>
        <w:rPr>
          <w:rFonts w:ascii="Arial" w:cs="Arial" w:eastAsia="Arial" w:hAnsi="Arial"/>
          <w:sz w:val="19"/>
          <w:szCs w:val="19"/>
          <w:color w:val="000101"/>
        </w:rPr>
        <w:t>”) starting on the date of your termination of employment and ending on the earliest to occur of: (i) the duration of the salary continuation period set forth in Section 5(a)(i) above; (ii) the date you become eligible for group health insurance coverage through a new employer; and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9"/>
          <w:szCs w:val="19"/>
          <w:b w:val="1"/>
          <w:bCs w:val="1"/>
          <w:i w:val="1"/>
          <w:iCs w:val="1"/>
          <w:color w:val="000101"/>
        </w:rPr>
        <w:t>Special Cash Payment</w:t>
      </w:r>
      <w:r>
        <w:rPr>
          <w:rFonts w:ascii="Arial" w:cs="Arial" w:eastAsia="Arial" w:hAnsi="Arial"/>
          <w:sz w:val="19"/>
          <w:szCs w:val="19"/>
          <w:color w:val="000101"/>
        </w:rPr>
        <w:t>”), for the remainder of the COBRA Premium Period. You may, but are not obligated to, use such Special Cash Payments toward the cost of COBRA premiums. In the event the Company opts for the Special Cash Payments, then on the Starting Date, the Company will make the first payment to you under this paragraph, in a lump sum, equal to the aggregate Special Cash Payments that the Company would have paid to you through such date had the Special Cash Payments commenced on the first day of the first month following your termination date, with the balance of the Special Cash Payments paid thereafter on the schedule described above.</w:t>
      </w:r>
    </w:p>
    <w:p>
      <w:pPr>
        <w:spacing w:after="0" w:line="379" w:lineRule="exact"/>
        <w:rPr>
          <w:rFonts w:ascii="Arial" w:cs="Arial" w:eastAsia="Arial" w:hAnsi="Arial"/>
          <w:sz w:val="19"/>
          <w:szCs w:val="19"/>
          <w:color w:val="000101"/>
        </w:rPr>
      </w:pPr>
    </w:p>
    <w:p>
      <w:pPr>
        <w:ind w:left="648" w:hanging="324"/>
        <w:spacing w:after="0" w:line="231" w:lineRule="auto"/>
        <w:tabs>
          <w:tab w:leader="none" w:pos="648" w:val="left"/>
        </w:tabs>
        <w:numPr>
          <w:ilvl w:val="1"/>
          <w:numId w:val="62"/>
        </w:numPr>
        <w:rPr>
          <w:rFonts w:ascii="Arial" w:cs="Arial" w:eastAsia="Arial" w:hAnsi="Arial"/>
          <w:sz w:val="20"/>
          <w:szCs w:val="20"/>
          <w:color w:val="000101"/>
        </w:rPr>
      </w:pPr>
      <w:r>
        <w:rPr>
          <w:rFonts w:ascii="Arial" w:cs="Arial" w:eastAsia="Arial" w:hAnsi="Arial"/>
          <w:sz w:val="20"/>
          <w:szCs w:val="20"/>
          <w:b w:val="1"/>
          <w:bCs w:val="1"/>
          <w:color w:val="000101"/>
        </w:rPr>
        <w:t>Vesting Acceleration; Extension of time to Exercise</w:t>
      </w:r>
      <w:r>
        <w:rPr>
          <w:rFonts w:ascii="Arial" w:cs="Arial" w:eastAsia="Arial" w:hAnsi="Arial"/>
          <w:sz w:val="20"/>
          <w:szCs w:val="20"/>
          <w:color w:val="000101"/>
        </w:rPr>
        <w:t>. The vesting of any then-unvested shares</w:t>
      </w:r>
      <w:r>
        <w:rPr>
          <w:rFonts w:ascii="Arial" w:cs="Arial" w:eastAsia="Arial" w:hAnsi="Arial"/>
          <w:sz w:val="20"/>
          <w:szCs w:val="20"/>
          <w:b w:val="1"/>
          <w:bCs w:val="1"/>
          <w:color w:val="000101"/>
        </w:rPr>
        <w:t xml:space="preserve"> </w:t>
      </w:r>
      <w:r>
        <w:rPr>
          <w:rFonts w:ascii="Arial" w:cs="Arial" w:eastAsia="Arial" w:hAnsi="Arial"/>
          <w:sz w:val="20"/>
          <w:szCs w:val="20"/>
          <w:color w:val="000101"/>
        </w:rPr>
        <w:t>subject to the Options shall be accelerated in an amount equal to that portion that would have vested over the six (6) month period following the date of termination, such that the accelerated vested shares subject to the Options shall be deemed vested and exercisable as of the date of termination (subject to execution of the release referred to below). Additionally, the vested Options shall be exercisable for six (6) months following your last day of employment. In addition, if any other form of equity compensation is awarded to you during your employment (“Other Equity”), the vesting of any of the then-unvested equity that would have vested over the following six (6) months shall be accelerated and deemed vested on the date of termination and paid or delivered in accordance with the award agreement, subject to Section 6).</w:t>
      </w:r>
    </w:p>
    <w:p>
      <w:pPr>
        <w:spacing w:after="0" w:line="162" w:lineRule="exact"/>
        <w:rPr>
          <w:rFonts w:ascii="Arial" w:cs="Arial" w:eastAsia="Arial" w:hAnsi="Arial"/>
          <w:sz w:val="20"/>
          <w:szCs w:val="20"/>
          <w:color w:val="000101"/>
        </w:rPr>
      </w:pPr>
    </w:p>
    <w:p>
      <w:pPr>
        <w:jc w:val="both"/>
        <w:ind w:left="-332" w:firstLine="332"/>
        <w:spacing w:after="0" w:line="252" w:lineRule="auto"/>
        <w:tabs>
          <w:tab w:leader="none" w:pos="316" w:val="left"/>
        </w:tabs>
        <w:numPr>
          <w:ilvl w:val="0"/>
          <w:numId w:val="63"/>
        </w:numPr>
        <w:rPr>
          <w:rFonts w:ascii="Arial" w:cs="Arial" w:eastAsia="Arial" w:hAnsi="Arial"/>
          <w:sz w:val="20"/>
          <w:szCs w:val="20"/>
          <w:b w:val="1"/>
          <w:bCs w:val="1"/>
          <w:color w:val="000101"/>
        </w:rPr>
      </w:pPr>
      <w:r>
        <w:rPr>
          <w:rFonts w:ascii="Arial" w:cs="Arial" w:eastAsia="Arial" w:hAnsi="Arial"/>
          <w:sz w:val="20"/>
          <w:szCs w:val="20"/>
          <w:b w:val="1"/>
          <w:bCs w:val="1"/>
          <w:color w:val="000101"/>
        </w:rPr>
        <w:t xml:space="preserve">Termination Without Cause </w:t>
      </w:r>
      <w:r>
        <w:rPr>
          <w:rFonts w:ascii="Arial" w:cs="Arial" w:eastAsia="Arial" w:hAnsi="Arial"/>
          <w:sz w:val="20"/>
          <w:szCs w:val="20"/>
          <w:b w:val="1"/>
          <w:bCs w:val="1"/>
          <w:color w:val="000000"/>
        </w:rPr>
        <w:t>or Resignation for Good Reason in Connection with an Acquisition.</w:t>
      </w:r>
      <w:r>
        <w:rPr>
          <w:rFonts w:ascii="Arial" w:cs="Arial" w:eastAsia="Arial" w:hAnsi="Arial"/>
          <w:sz w:val="20"/>
          <w:szCs w:val="20"/>
          <w:b w:val="1"/>
          <w:bCs w:val="1"/>
          <w:color w:val="000101"/>
        </w:rPr>
        <w:t xml:space="preserve"> </w:t>
      </w:r>
      <w:r>
        <w:rPr>
          <w:rFonts w:ascii="Arial" w:cs="Arial" w:eastAsia="Arial" w:hAnsi="Arial"/>
          <w:sz w:val="20"/>
          <w:szCs w:val="20"/>
          <w:color w:val="000000"/>
        </w:rPr>
        <w:t>In</w:t>
      </w:r>
      <w:r>
        <w:rPr>
          <w:rFonts w:ascii="Arial" w:cs="Arial" w:eastAsia="Arial" w:hAnsi="Arial"/>
          <w:sz w:val="20"/>
          <w:szCs w:val="20"/>
          <w:b w:val="1"/>
          <w:bCs w:val="1"/>
          <w:color w:val="000101"/>
        </w:rPr>
        <w:t xml:space="preserve"> </w:t>
      </w:r>
      <w:r>
        <w:rPr>
          <w:rFonts w:ascii="Arial" w:cs="Arial" w:eastAsia="Arial" w:hAnsi="Arial"/>
          <w:sz w:val="20"/>
          <w:szCs w:val="20"/>
          <w:color w:val="000000"/>
        </w:rPr>
        <w:t>the event your employment with the Company (or its subsidiaries) is terminated by the Company (or its subsidiaries) without Cause or you resign for Good Reason, in either case during the period (the “</w:t>
      </w:r>
      <w:r>
        <w:rPr>
          <w:rFonts w:ascii="Arial" w:cs="Arial" w:eastAsia="Arial" w:hAnsi="Arial"/>
          <w:sz w:val="20"/>
          <w:szCs w:val="20"/>
          <w:b w:val="1"/>
          <w:bCs w:val="1"/>
          <w:i w:val="1"/>
          <w:iCs w:val="1"/>
          <w:color w:val="000000"/>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451485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i w:val="1"/>
          <w:iCs w:val="1"/>
          <w:color w:val="auto"/>
        </w:rPr>
        <w:t>of Control Severance Period</w:t>
      </w:r>
      <w:r>
        <w:rPr>
          <w:rFonts w:ascii="Arial" w:cs="Arial" w:eastAsia="Arial" w:hAnsi="Arial"/>
          <w:sz w:val="20"/>
          <w:szCs w:val="20"/>
          <w:color w:val="auto"/>
        </w:rPr>
        <w:t>”), (x) commencing with the date that is one (1) month prior to the execution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definitive agreement for a transaction that, if consummated, would result in an Acquisition (as defined below) and ending on the one (1) year anniversary of the closing of the same Acquisition; so long as such Acquisition closes within one year of the date of such definitive agreement, or (y) within one (1) year after the closing of any other Acquisition, then provided such termination constitutes a Separation from Service, and provided that you remain in compliance with the terms of this Agreement (including, without limitation, the Non-Disclosure and Non-Compete Agreement), the Company shall provide you with (i) severance payments and benefits set forth in Section 5(a) above;(ii) all of the </w:t>
      </w:r>
      <w:r>
        <w:rPr>
          <w:rFonts w:ascii="Arial" w:cs="Arial" w:eastAsia="Arial" w:hAnsi="Arial"/>
          <w:sz w:val="20"/>
          <w:szCs w:val="20"/>
          <w:color w:val="000101"/>
        </w:rPr>
        <w:t>unvested Options held by you as of the date of your termination shall be</w:t>
      </w:r>
      <w:r>
        <w:rPr>
          <w:rFonts w:ascii="Arial" w:cs="Arial" w:eastAsia="Arial" w:hAnsi="Arial"/>
          <w:sz w:val="20"/>
          <w:szCs w:val="20"/>
          <w:color w:val="auto"/>
        </w:rPr>
        <w:t xml:space="preserve"> </w:t>
      </w:r>
      <w:r>
        <w:rPr>
          <w:rFonts w:ascii="Arial" w:cs="Arial" w:eastAsia="Arial" w:hAnsi="Arial"/>
          <w:sz w:val="20"/>
          <w:szCs w:val="20"/>
          <w:color w:val="000101"/>
        </w:rPr>
        <w:t>accelerated such that 100% of the shares subject to the Options shall be deemed fully and immediately vested and shall be exercisable for six (6) months following your last day of employment; and (iii) any Other Equity shall be deemed 100% vested on the date of termination and paid or delivered in accordance with the applicable award agreement, subject to Section 6.</w:t>
      </w:r>
    </w:p>
    <w:p>
      <w:pPr>
        <w:spacing w:after="0" w:line="161" w:lineRule="exact"/>
        <w:rPr>
          <w:sz w:val="20"/>
          <w:szCs w:val="20"/>
          <w:color w:val="auto"/>
        </w:rPr>
      </w:pPr>
    </w:p>
    <w:p>
      <w:pPr>
        <w:jc w:val="both"/>
        <w:ind w:firstLine="332"/>
        <w:spacing w:after="0" w:line="232" w:lineRule="auto"/>
        <w:tabs>
          <w:tab w:leader="none" w:pos="648" w:val="left"/>
        </w:tabs>
        <w:numPr>
          <w:ilvl w:val="0"/>
          <w:numId w:val="64"/>
        </w:numPr>
        <w:rPr>
          <w:rFonts w:ascii="Arial" w:cs="Arial" w:eastAsia="Arial" w:hAnsi="Arial"/>
          <w:sz w:val="20"/>
          <w:szCs w:val="20"/>
          <w:b w:val="1"/>
          <w:bCs w:val="1"/>
          <w:color w:val="000101"/>
        </w:rPr>
      </w:pPr>
      <w:r>
        <w:rPr>
          <w:rFonts w:ascii="Arial" w:cs="Arial" w:eastAsia="Arial" w:hAnsi="Arial"/>
          <w:sz w:val="20"/>
          <w:szCs w:val="20"/>
          <w:b w:val="1"/>
          <w:bCs w:val="1"/>
          <w:color w:val="000101"/>
        </w:rPr>
        <w:t xml:space="preserve">Resignation without Good Reason; Termination for Cause; Death or Disability. </w:t>
      </w:r>
      <w:r>
        <w:rPr>
          <w:rFonts w:ascii="Arial" w:cs="Arial" w:eastAsia="Arial" w:hAnsi="Arial"/>
          <w:sz w:val="20"/>
          <w:szCs w:val="20"/>
          <w:color w:val="000101"/>
        </w:rPr>
        <w:t>If at any time the</w:t>
      </w:r>
      <w:r>
        <w:rPr>
          <w:rFonts w:ascii="Arial" w:cs="Arial" w:eastAsia="Arial" w:hAnsi="Arial"/>
          <w:sz w:val="20"/>
          <w:szCs w:val="20"/>
          <w:b w:val="1"/>
          <w:bCs w:val="1"/>
          <w:color w:val="000101"/>
        </w:rPr>
        <w:t xml:space="preserve"> </w:t>
      </w:r>
      <w:r>
        <w:rPr>
          <w:rFonts w:ascii="Arial" w:cs="Arial" w:eastAsia="Arial" w:hAnsi="Arial"/>
          <w:sz w:val="20"/>
          <w:szCs w:val="20"/>
          <w:color w:val="000101"/>
        </w:rPr>
        <w:t>Company terminates your employment for Cause, you resign your employment without Good Reason, or your employment terminates upon your death or disability, then (i) you will no longer vest in the Options referenced in Section 2 above, or any Other Equity , (ii) all payments of compensation by the Company to you hereunder will terminate immediately (except as to amounts already earned), and (iii) you will not be entitled to any severance benefits. In addition, you shall resign from all positions and terminate any relationships as an employee, advisor, officer or director with the Company and any of its affiliates (including without limitation any subsidiaries), each effective on the date of termination.</w:t>
      </w:r>
    </w:p>
    <w:p>
      <w:pPr>
        <w:spacing w:after="0" w:line="165" w:lineRule="exact"/>
        <w:rPr>
          <w:rFonts w:ascii="Arial" w:cs="Arial" w:eastAsia="Arial" w:hAnsi="Arial"/>
          <w:sz w:val="20"/>
          <w:szCs w:val="20"/>
          <w:b w:val="1"/>
          <w:bCs w:val="1"/>
          <w:color w:val="000101"/>
        </w:rPr>
      </w:pPr>
    </w:p>
    <w:p>
      <w:pPr>
        <w:jc w:val="both"/>
        <w:ind w:firstLine="332"/>
        <w:spacing w:after="0" w:line="231" w:lineRule="auto"/>
        <w:tabs>
          <w:tab w:leader="none" w:pos="648" w:val="left"/>
        </w:tabs>
        <w:numPr>
          <w:ilvl w:val="0"/>
          <w:numId w:val="64"/>
        </w:numPr>
        <w:rPr>
          <w:rFonts w:ascii="Arial" w:cs="Arial" w:eastAsia="Arial" w:hAnsi="Arial"/>
          <w:sz w:val="20"/>
          <w:szCs w:val="20"/>
          <w:b w:val="1"/>
          <w:bCs w:val="1"/>
          <w:color w:val="000101"/>
        </w:rPr>
      </w:pPr>
      <w:r>
        <w:rPr>
          <w:rFonts w:ascii="Arial" w:cs="Arial" w:eastAsia="Arial" w:hAnsi="Arial"/>
          <w:sz w:val="20"/>
          <w:szCs w:val="20"/>
          <w:b w:val="1"/>
          <w:bCs w:val="1"/>
          <w:color w:val="auto"/>
        </w:rPr>
        <w:t xml:space="preserve">Conditions to Receipt of Severance Benefits. </w:t>
      </w:r>
      <w:r>
        <w:rPr>
          <w:rFonts w:ascii="Arial" w:cs="Arial" w:eastAsia="Arial" w:hAnsi="Arial"/>
          <w:sz w:val="20"/>
          <w:szCs w:val="20"/>
          <w:color w:val="auto"/>
        </w:rPr>
        <w:t>The receipt of any severance benefits as described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Sections 5(a) or (b) above will be subject to and conditioned upon your signing (and not revoking, if such a right is afforded to you) a separation agreement and release of claims in a form reasonably satisfactory to the Company (the “</w:t>
      </w:r>
      <w:r>
        <w:rPr>
          <w:rFonts w:ascii="Arial" w:cs="Arial" w:eastAsia="Arial" w:hAnsi="Arial"/>
          <w:sz w:val="20"/>
          <w:szCs w:val="20"/>
          <w:b w:val="1"/>
          <w:bCs w:val="1"/>
          <w:i w:val="1"/>
          <w:iCs w:val="1"/>
          <w:color w:val="auto"/>
        </w:rPr>
        <w:t>Separation Agreement</w:t>
      </w:r>
      <w:r>
        <w:rPr>
          <w:rFonts w:ascii="Arial" w:cs="Arial" w:eastAsia="Arial" w:hAnsi="Arial"/>
          <w:sz w:val="20"/>
          <w:szCs w:val="20"/>
          <w:color w:val="auto"/>
        </w:rPr>
        <w:t>”) within the time period specified therein, but in any event no later than sixty (60) days following your termination date. No severance benefits of any kind will be paid or provided until the Separation Agreement becomes effective. Pursuant to or in connection with any termination of employment with the Company, you shall also resign from all positions and terminate any relationships as an employee, advisor, officer or director with the Company and any of its affiliates (including without limitation any subsidiaries), each effective on the date of termination.</w:t>
      </w:r>
    </w:p>
    <w:p>
      <w:pPr>
        <w:spacing w:after="0" w:line="167" w:lineRule="exact"/>
        <w:rPr>
          <w:rFonts w:ascii="Arial" w:cs="Arial" w:eastAsia="Arial" w:hAnsi="Arial"/>
          <w:sz w:val="20"/>
          <w:szCs w:val="20"/>
          <w:b w:val="1"/>
          <w:bCs w:val="1"/>
          <w:color w:val="000101"/>
        </w:rPr>
      </w:pPr>
    </w:p>
    <w:p>
      <w:pPr>
        <w:ind w:left="660" w:hanging="328"/>
        <w:spacing w:after="0"/>
        <w:tabs>
          <w:tab w:leader="none" w:pos="660" w:val="left"/>
        </w:tabs>
        <w:numPr>
          <w:ilvl w:val="0"/>
          <w:numId w:val="64"/>
        </w:numPr>
        <w:rPr>
          <w:rFonts w:ascii="Arial" w:cs="Arial" w:eastAsia="Arial" w:hAnsi="Arial"/>
          <w:sz w:val="20"/>
          <w:szCs w:val="20"/>
          <w:b w:val="1"/>
          <w:bCs w:val="1"/>
          <w:color w:val="000101"/>
        </w:rPr>
      </w:pPr>
      <w:r>
        <w:rPr>
          <w:rFonts w:ascii="Arial" w:cs="Arial" w:eastAsia="Arial" w:hAnsi="Arial"/>
          <w:sz w:val="20"/>
          <w:szCs w:val="20"/>
          <w:b w:val="1"/>
          <w:bCs w:val="1"/>
          <w:color w:val="000101"/>
        </w:rPr>
        <w:t xml:space="preserve">Definitions. </w:t>
      </w:r>
      <w:r>
        <w:rPr>
          <w:rFonts w:ascii="Arial" w:cs="Arial" w:eastAsia="Arial" w:hAnsi="Arial"/>
          <w:sz w:val="20"/>
          <w:szCs w:val="20"/>
          <w:color w:val="000101"/>
        </w:rPr>
        <w:t>For purposes of this Agreement:</w:t>
      </w:r>
    </w:p>
    <w:p>
      <w:pPr>
        <w:spacing w:after="0" w:line="202" w:lineRule="exact"/>
        <w:rPr>
          <w:rFonts w:ascii="Arial" w:cs="Arial" w:eastAsia="Arial" w:hAnsi="Arial"/>
          <w:sz w:val="20"/>
          <w:szCs w:val="20"/>
          <w:b w:val="1"/>
          <w:bCs w:val="1"/>
          <w:color w:val="000101"/>
        </w:rPr>
      </w:pPr>
    </w:p>
    <w:p>
      <w:pPr>
        <w:jc w:val="both"/>
        <w:ind w:left="980" w:hanging="324"/>
        <w:spacing w:after="0" w:line="236" w:lineRule="auto"/>
        <w:tabs>
          <w:tab w:leader="none" w:pos="980" w:val="left"/>
        </w:tabs>
        <w:numPr>
          <w:ilvl w:val="1"/>
          <w:numId w:val="64"/>
        </w:numPr>
        <w:rPr>
          <w:rFonts w:ascii="Arial" w:cs="Arial" w:eastAsia="Arial" w:hAnsi="Arial"/>
          <w:sz w:val="20"/>
          <w:szCs w:val="20"/>
          <w:color w:val="000101"/>
        </w:rPr>
      </w:pPr>
      <w:r>
        <w:rPr>
          <w:rFonts w:ascii="Arial" w:cs="Arial" w:eastAsia="Arial" w:hAnsi="Arial"/>
          <w:sz w:val="20"/>
          <w:szCs w:val="20"/>
          <w:color w:val="000101"/>
        </w:rPr>
        <w:t>“</w:t>
      </w:r>
      <w:r>
        <w:rPr>
          <w:rFonts w:ascii="Arial" w:cs="Arial" w:eastAsia="Arial" w:hAnsi="Arial"/>
          <w:sz w:val="20"/>
          <w:szCs w:val="20"/>
          <w:b w:val="1"/>
          <w:bCs w:val="1"/>
          <w:color w:val="000101"/>
        </w:rPr>
        <w:t>Acquisition</w:t>
      </w:r>
      <w:r>
        <w:rPr>
          <w:rFonts w:ascii="Arial" w:cs="Arial" w:eastAsia="Arial" w:hAnsi="Arial"/>
          <w:sz w:val="20"/>
          <w:szCs w:val="20"/>
          <w:color w:val="000101"/>
        </w:rPr>
        <w:t>” means either of the following transactions: (i) a Deemed Liquidation Event (as defined in the Company’s Restated Certificate of Incorporation currently in effect); or (ii) a sale by the Company’s stockholders of outstanding shares of the Company’s capital stock in one transaction, or a series of related transactions, representing a majority of voting power of the Company’s all then outstanding shares of capital stock.</w:t>
      </w:r>
    </w:p>
    <w:p>
      <w:pPr>
        <w:spacing w:after="0" w:line="165" w:lineRule="exact"/>
        <w:rPr>
          <w:rFonts w:ascii="Arial" w:cs="Arial" w:eastAsia="Arial" w:hAnsi="Arial"/>
          <w:sz w:val="20"/>
          <w:szCs w:val="20"/>
          <w:color w:val="000101"/>
        </w:rPr>
      </w:pPr>
    </w:p>
    <w:p>
      <w:pPr>
        <w:jc w:val="both"/>
        <w:ind w:left="980" w:hanging="324"/>
        <w:spacing w:after="0" w:line="246" w:lineRule="auto"/>
        <w:tabs>
          <w:tab w:leader="none" w:pos="980" w:val="left"/>
        </w:tabs>
        <w:numPr>
          <w:ilvl w:val="1"/>
          <w:numId w:val="64"/>
        </w:numPr>
        <w:rPr>
          <w:rFonts w:ascii="Arial" w:cs="Arial" w:eastAsia="Arial" w:hAnsi="Arial"/>
          <w:sz w:val="20"/>
          <w:szCs w:val="20"/>
          <w:color w:val="000101"/>
        </w:rPr>
      </w:pPr>
      <w:r>
        <w:rPr>
          <w:rFonts w:ascii="Arial" w:cs="Arial" w:eastAsia="Arial" w:hAnsi="Arial"/>
          <w:sz w:val="20"/>
          <w:szCs w:val="20"/>
          <w:color w:val="000101"/>
        </w:rPr>
        <w:t>“</w:t>
      </w:r>
      <w:r>
        <w:rPr>
          <w:rFonts w:ascii="Arial" w:cs="Arial" w:eastAsia="Arial" w:hAnsi="Arial"/>
          <w:sz w:val="20"/>
          <w:szCs w:val="20"/>
          <w:b w:val="1"/>
          <w:bCs w:val="1"/>
          <w:color w:val="000101"/>
        </w:rPr>
        <w:t>Cause</w:t>
      </w:r>
      <w:r>
        <w:rPr>
          <w:rFonts w:ascii="Arial" w:cs="Arial" w:eastAsia="Arial" w:hAnsi="Arial"/>
          <w:sz w:val="20"/>
          <w:szCs w:val="20"/>
          <w:color w:val="000101"/>
        </w:rPr>
        <w:t>” for your employment termination will be deemed to exist at any time after the occurrence of one of more of the following: (i) your commission of, conviction for, or guilty plea to, a felony or crime involving moral turpitude; (ii) a willful refusal by you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984"/>
        <w:spacing w:after="0" w:line="230" w:lineRule="auto"/>
        <w:rPr>
          <w:sz w:val="20"/>
          <w:szCs w:val="20"/>
          <w:color w:val="auto"/>
        </w:rPr>
      </w:pPr>
      <w:r>
        <w:rPr>
          <w:rFonts w:ascii="Arial" w:cs="Arial" w:eastAsia="Arial" w:hAnsi="Arial"/>
          <w:sz w:val="20"/>
          <w:szCs w:val="20"/>
          <w:color w:val="000101"/>
        </w:rPr>
        <w:t>the lawful, material and reasonable instructions of the Company (or its subsidiaries), or to otherwise materially perform your duties as lawfully and reasonably determined by the Company (or its subsidiaries), in each case that is not cured by you (if such refusal is of a type that is capable of being cured) within 15 days of written notice being given to you of such refusal; (iii) any willful act or acts of dishonesty undertaken by you and intended to result in your (or any other person’s) material gain or personal enrichment at the expense of the Company, its subsidiaries or any of its or their customers, partners, affiliates, or employees; (iv) any willful act of gross misconduct by you which is injurious to the Company or its subsidiaries; (v) any material breach by you of your obligations under any agreement between you and the Company or its subsidiaries, including without limitation this Agreement or your Non-Disclosure and Non-Compete Agreement, that is not cured by you (if such breach is of a type that is capable of being cured) within 15 days of written notice being given to you of such breach; (vi) or any material non-fulfillment of your primary role duties.</w:t>
      </w:r>
    </w:p>
    <w:p>
      <w:pPr>
        <w:spacing w:after="0" w:line="161" w:lineRule="exact"/>
        <w:rPr>
          <w:sz w:val="20"/>
          <w:szCs w:val="20"/>
          <w:color w:val="auto"/>
        </w:rPr>
      </w:pPr>
    </w:p>
    <w:p>
      <w:pPr>
        <w:jc w:val="both"/>
        <w:ind w:left="984" w:hanging="324"/>
        <w:spacing w:after="0" w:line="241" w:lineRule="auto"/>
        <w:tabs>
          <w:tab w:leader="none" w:pos="984" w:val="left"/>
        </w:tabs>
        <w:numPr>
          <w:ilvl w:val="1"/>
          <w:numId w:val="65"/>
        </w:numPr>
        <w:rPr>
          <w:rFonts w:ascii="Arial" w:cs="Arial" w:eastAsia="Arial" w:hAnsi="Arial"/>
          <w:sz w:val="19"/>
          <w:szCs w:val="19"/>
          <w:color w:val="000101"/>
        </w:rPr>
      </w:pPr>
      <w:r>
        <w:rPr>
          <w:rFonts w:ascii="Arial" w:cs="Arial" w:eastAsia="Arial" w:hAnsi="Arial"/>
          <w:sz w:val="19"/>
          <w:szCs w:val="19"/>
          <w:color w:val="000101"/>
        </w:rPr>
        <w:t>“</w:t>
      </w:r>
      <w:r>
        <w:rPr>
          <w:rFonts w:ascii="Arial" w:cs="Arial" w:eastAsia="Arial" w:hAnsi="Arial"/>
          <w:sz w:val="19"/>
          <w:szCs w:val="19"/>
          <w:b w:val="1"/>
          <w:bCs w:val="1"/>
          <w:color w:val="000101"/>
        </w:rPr>
        <w:t>Good Reason</w:t>
      </w:r>
      <w:r>
        <w:rPr>
          <w:rFonts w:ascii="Arial" w:cs="Arial" w:eastAsia="Arial" w:hAnsi="Arial"/>
          <w:sz w:val="19"/>
          <w:szCs w:val="19"/>
          <w:color w:val="000101"/>
        </w:rPr>
        <w:t>” means the occurrence of any of the following without your prior written consent: (i) a material reduction in your then-current annual base salary; except for a reduction (not to exceed 10%) that is part of a proportional reduction of the base salaries of all Company executives; (ii) relocation of your principal place of employment to a place that increases your one-way commute by more than thirty (30) miles as compared to your then-current principal place of employment immediately prior to such relocation; or (iii) a material and adverse change in your duties and responsibilities (it being agreed that a change in duties and responsibilities following an Acquisition that is inherent in the Company becoming part of a larger business organization shall not be an event of Good Reason); provided, however, that a resignation by you shall not be considered to be for a “Good Reason” under this Agreement unless: (1) you provide written notice to the Company of the occurrence of the event which you contend constitutes Good Reason within thirty (30) days after the date such event occurs, which notice states your intention to resign for a “Good Reason” under this Agreement as a result thereof, (2) the Company does not effect a cure with respect to such event within thirty (30) days after receipt of such written notice, and (3) you thereafter resign and cease to perform services as an employee of the Company within ten (10) days after the expiration of the Company’s cure period.</w:t>
      </w:r>
    </w:p>
    <w:p>
      <w:pPr>
        <w:spacing w:after="0" w:line="165" w:lineRule="exact"/>
        <w:rPr>
          <w:rFonts w:ascii="Arial" w:cs="Arial" w:eastAsia="Arial" w:hAnsi="Arial"/>
          <w:sz w:val="19"/>
          <w:szCs w:val="19"/>
          <w:color w:val="000101"/>
        </w:rPr>
      </w:pPr>
    </w:p>
    <w:p>
      <w:pPr>
        <w:jc w:val="both"/>
        <w:ind w:left="4" w:hanging="4"/>
        <w:spacing w:after="0" w:line="230" w:lineRule="auto"/>
        <w:tabs>
          <w:tab w:leader="none" w:pos="65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It is intended that all of the severance payments and benefits, and all other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under this Agreement, satisfy, to the greatest extent possible, the exemptions from the application of Code Section 409A provided under Treasury Regulations 1.409A-1(b)(4), 1.409A-1(b)(5) and 1.409A1(b)(9) (“collectively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your right to receive any installment payments under this letter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469265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4"/>
          </w:cols>
          <w:pgMar w:left="976" w:top="1440" w:right="99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4" w:hanging="11"/>
        <w:spacing w:after="0" w:line="228" w:lineRule="auto"/>
        <w:rPr>
          <w:sz w:val="20"/>
          <w:szCs w:val="20"/>
          <w:color w:val="auto"/>
        </w:rPr>
      </w:pPr>
      <w:r>
        <w:rPr>
          <w:rFonts w:ascii="Arial" w:cs="Arial" w:eastAsia="Arial" w:hAnsi="Arial"/>
          <w:sz w:val="20"/>
          <w:szCs w:val="20"/>
          <w:color w:val="auto"/>
        </w:rPr>
        <w:t>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The parties agree that this Agreement may be amended as may be necessary to fully comply with Section 409A in order to preserve the payments and benefits provided hereunder. Notwithstanding the foregoing, the Company makes no representation or warranty and will have no liability to you or to any other person if any of the provisions of this Agreement are determined to constitute deferred compensation subject to Section 409A, but does not satisfy an exemption from, or the conditions of, Section 409A.</w:t>
      </w:r>
    </w:p>
    <w:p>
      <w:pPr>
        <w:spacing w:after="0" w:line="174" w:lineRule="exact"/>
        <w:rPr>
          <w:sz w:val="20"/>
          <w:szCs w:val="20"/>
          <w:color w:val="auto"/>
        </w:rPr>
      </w:pPr>
    </w:p>
    <w:p>
      <w:pPr>
        <w:jc w:val="both"/>
        <w:ind w:left="4" w:hanging="4"/>
        <w:spacing w:after="0" w:line="227" w:lineRule="auto"/>
        <w:tabs>
          <w:tab w:leader="none" w:pos="652"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of your ongoing employment with the Company, you and the Company agree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submit to mandatory final, binding and confidential arbitration any and all disputes, claims or controversies arising out of, related to or connected with your employment with the Company, including, but not limited to, claims of discrimination, harassment, unpaid wages, breach of contract (express or implied), wrongful termination, torts, claims for stock or stock options, as well as claims based upon any federal, state or local ordinance, statute, regulation or constitutional provision, including, but not limited to, the Age Discrimination in Employment Act, 29 U.S.C. § 621,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Employee Retirement Income Security Act (ERISA), 29 U.S.C. § 1001,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Title VII of the Civil Rights Act of 1964, 42 U.S.C. § 2000e, </w:t>
      </w:r>
      <w:r>
        <w:rPr>
          <w:rFonts w:ascii="Arial" w:cs="Arial" w:eastAsia="Arial" w:hAnsi="Arial"/>
          <w:sz w:val="20"/>
          <w:szCs w:val="20"/>
          <w:i w:val="1"/>
          <w:iCs w:val="1"/>
          <w:color w:val="auto"/>
        </w:rPr>
        <w:t>et seq.</w:t>
      </w:r>
      <w:r>
        <w:rPr>
          <w:rFonts w:ascii="Arial" w:cs="Arial" w:eastAsia="Arial" w:hAnsi="Arial"/>
          <w:sz w:val="20"/>
          <w:szCs w:val="20"/>
          <w:color w:val="auto"/>
        </w:rPr>
        <w:t>, and 42 U.S.C. § 1981, and any and all state or local laws prohibiting discrimination or regulating any terms or conditions of employment “</w:t>
      </w:r>
      <w:r>
        <w:rPr>
          <w:rFonts w:ascii="Arial" w:cs="Arial" w:eastAsia="Arial" w:hAnsi="Arial"/>
          <w:sz w:val="20"/>
          <w:szCs w:val="20"/>
          <w:b w:val="1"/>
          <w:bCs w:val="1"/>
          <w:i w:val="1"/>
          <w:iCs w:val="1"/>
          <w:color w:val="auto"/>
        </w:rPr>
        <w:t>Arbitrable Claims</w:t>
      </w:r>
      <w:r>
        <w:rPr>
          <w:rFonts w:ascii="Arial" w:cs="Arial" w:eastAsia="Arial" w:hAnsi="Arial"/>
          <w:sz w:val="20"/>
          <w:szCs w:val="20"/>
          <w:color w:val="auto"/>
        </w:rPr>
        <w:t>”). Arbitration shall be the exclusive method by which to resolve all Arbitrable Claims and shall be final and binding upon the parties. BY AGREEING TO THIS ARBITRATION PROCEDURE, YOU AND THE COMPANY HEREBY WAIVE ANY RIGHTS EITHER MAY HAVE TO TRIAL BY JURY IN REGARD TO ARBITRABLE CLAIMS. The arbitration shall be conducted pursuant to the Federal Arbitration Act, 9 U.S.C. § 1-16, and to the fullest extent permitted by law, in New York, New York by a single arbitrator conducted by JAMS, Inc. (“</w:t>
      </w:r>
      <w:r>
        <w:rPr>
          <w:rFonts w:ascii="Arial" w:cs="Arial" w:eastAsia="Arial" w:hAnsi="Arial"/>
          <w:sz w:val="20"/>
          <w:szCs w:val="20"/>
          <w:b w:val="1"/>
          <w:bCs w:val="1"/>
          <w:i w:val="1"/>
          <w:iCs w:val="1"/>
          <w:color w:val="auto"/>
        </w:rPr>
        <w:t>JAMS</w:t>
      </w:r>
      <w:r>
        <w:rPr>
          <w:rFonts w:ascii="Arial" w:cs="Arial" w:eastAsia="Arial" w:hAnsi="Arial"/>
          <w:sz w:val="20"/>
          <w:szCs w:val="20"/>
          <w:color w:val="auto"/>
        </w:rPr>
        <w:t>”) under the then-applicable JAMS rules (which can be found at http://www.jamsadr.com/rulesclauses).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In any arbitration proceeding, you will have the right to be represented by legal counsel at your own expense (subject to applicable law requiring that the Company pay the fees and/or costs of your legal counsel).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4"/>
          </w:cols>
          <w:pgMar w:left="976" w:top="1440" w:right="99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4" w:hanging="11"/>
        <w:spacing w:after="0" w:line="230" w:lineRule="auto"/>
        <w:rPr>
          <w:sz w:val="20"/>
          <w:szCs w:val="20"/>
          <w:color w:val="auto"/>
        </w:rPr>
      </w:pPr>
      <w:r>
        <w:rPr>
          <w:rFonts w:ascii="Arial" w:cs="Arial" w:eastAsia="Arial" w:hAnsi="Arial"/>
          <w:sz w:val="20"/>
          <w:szCs w:val="20"/>
          <w:color w:val="auto"/>
        </w:rPr>
        <w:t>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proceedings. The Company shall pay all costs and fees in excess of the amount of court fees that you would be required to incur if the dispute were filed or decided in a court of law. Nothing in this Agreement is intended to prevent either you or the Company from obtaining injunctive relief in court to prevent irreparable harm pending the conclusion of any such arbitration.</w:t>
      </w:r>
    </w:p>
    <w:p>
      <w:pPr>
        <w:spacing w:after="0" w:line="170" w:lineRule="exact"/>
        <w:rPr>
          <w:sz w:val="20"/>
          <w:szCs w:val="20"/>
          <w:color w:val="auto"/>
        </w:rPr>
      </w:pPr>
    </w:p>
    <w:p>
      <w:pPr>
        <w:jc w:val="both"/>
        <w:ind w:left="4" w:hanging="4"/>
        <w:spacing w:after="0" w:line="230" w:lineRule="auto"/>
        <w:tabs>
          <w:tab w:leader="none" w:pos="65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Prior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We wish to impress upon you that we do not want you to, and we hereby direct you</w:t>
      </w:r>
      <w:r>
        <w:rPr>
          <w:rFonts w:ascii="Arial" w:cs="Arial" w:eastAsia="Arial" w:hAnsi="Arial"/>
          <w:sz w:val="20"/>
          <w:szCs w:val="20"/>
          <w:b w:val="1"/>
          <w:bCs w:val="1"/>
          <w:color w:val="auto"/>
        </w:rPr>
        <w:t xml:space="preserve"> </w:t>
      </w:r>
      <w:r>
        <w:rPr>
          <w:rFonts w:ascii="Arial" w:cs="Arial" w:eastAsia="Arial" w:hAnsi="Arial"/>
          <w:sz w:val="20"/>
          <w:szCs w:val="20"/>
          <w:color w:val="auto"/>
        </w:rPr>
        <w:t>not to, use or disclose any confidential or proprietary material of any current or former employer in your work for the Company, bring onto Company premises any unpublished documents or property belonging to any former employer or other person to whom you have an obligation of confidentiality, or violate any other obligations you may have to any current or former employer or other third party. You agree that during the period that you render services to the Company, you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 You represent that your signing of this Agreement and the Non-Disclosure and Non-Compete Agreement and your employment with the Company will not violate any agreement currently in place between you and any current or past employers, or between you and any other parties.</w:t>
      </w:r>
    </w:p>
    <w:p>
      <w:pPr>
        <w:spacing w:after="0" w:line="167" w:lineRule="exact"/>
        <w:rPr>
          <w:rFonts w:ascii="Arial" w:cs="Arial" w:eastAsia="Arial" w:hAnsi="Arial"/>
          <w:sz w:val="20"/>
          <w:szCs w:val="20"/>
          <w:b w:val="1"/>
          <w:bCs w:val="1"/>
          <w:color w:val="auto"/>
        </w:rPr>
      </w:pPr>
    </w:p>
    <w:p>
      <w:pPr>
        <w:jc w:val="both"/>
        <w:ind w:left="4" w:hanging="4"/>
        <w:spacing w:after="0" w:line="248" w:lineRule="auto"/>
        <w:tabs>
          <w:tab w:leader="none" w:pos="652"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Non-Disclosure and Non-Compete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agreements that you have already signed and the corresponding equity plans, will form the complete and exclusive statement of your ongoing employment agreement with the Company. It supersedes any other agreements or promises with respect to your employment made to you by anyone, whether oral or written, and other than those changes expressly reserved to the Company’s discretion in this Agreement. This Agreement can only be modified in a written agreement signed by you and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462915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4"/>
          </w:cols>
          <w:pgMar w:left="976" w:top="1440" w:right="99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w:t>
      </w:r>
    </w:p>
    <w:p>
      <w:pPr>
        <w:spacing w:after="0" w:line="204" w:lineRule="exact"/>
        <w:rPr>
          <w:sz w:val="20"/>
          <w:szCs w:val="20"/>
          <w:color w:val="auto"/>
        </w:rPr>
      </w:pPr>
    </w:p>
    <w:p>
      <w:pPr>
        <w:jc w:val="both"/>
        <w:ind w:hanging="8"/>
        <w:spacing w:after="0" w:line="245" w:lineRule="auto"/>
        <w:rPr>
          <w:sz w:val="20"/>
          <w:szCs w:val="20"/>
          <w:color w:val="auto"/>
        </w:rPr>
      </w:pPr>
      <w:r>
        <w:rPr>
          <w:rFonts w:ascii="Arial" w:cs="Arial" w:eastAsia="Arial" w:hAnsi="Arial"/>
          <w:sz w:val="20"/>
          <w:szCs w:val="20"/>
          <w:color w:val="auto"/>
        </w:rPr>
        <w:t>To indicate your acceptance of the Company’s offer, and we hope that you do, please sign and date this Agreement. The existing Non-Disclosure and Non-Compete Agreement will be appended as an exhibit to this Agreement.</w:t>
      </w:r>
    </w:p>
    <w:p>
      <w:pPr>
        <w:spacing w:after="0" w:line="173"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/s/ Pete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10160</wp:posOffset>
            </wp:positionV>
            <wp:extent cx="3077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b w:val="1"/>
          <w:bCs w:val="1"/>
          <w:color w:val="auto"/>
        </w:rPr>
        <w:t>Pete Anevski</w:t>
      </w:r>
    </w:p>
    <w:p>
      <w:pPr>
        <w:ind w:left="5080"/>
        <w:spacing w:after="0"/>
        <w:rPr>
          <w:sz w:val="20"/>
          <w:szCs w:val="20"/>
          <w:color w:val="auto"/>
        </w:rPr>
      </w:pPr>
      <w:r>
        <w:rPr>
          <w:rFonts w:ascii="Arial" w:cs="Arial" w:eastAsia="Arial" w:hAnsi="Arial"/>
          <w:sz w:val="20"/>
          <w:szCs w:val="20"/>
          <w:b w:val="1"/>
          <w:bCs w:val="1"/>
          <w:color w:val="auto"/>
        </w:rPr>
        <w:t>President &amp; Chief Operating Officer</w:t>
      </w:r>
    </w:p>
    <w:p>
      <w:pPr>
        <w:spacing w:after="0" w:line="17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Progyny, Inc.</w:t>
      </w:r>
    </w:p>
    <w:p>
      <w:pPr>
        <w:spacing w:after="0" w:line="189" w:lineRule="exact"/>
        <w:rPr>
          <w:sz w:val="20"/>
          <w:szCs w:val="20"/>
          <w:color w:val="auto"/>
        </w:rPr>
      </w:pPr>
    </w:p>
    <w:p>
      <w:pPr>
        <w:jc w:val="both"/>
        <w:ind w:hanging="8"/>
        <w:spacing w:after="0" w:line="266" w:lineRule="auto"/>
        <w:rPr>
          <w:sz w:val="20"/>
          <w:szCs w:val="20"/>
          <w:color w:val="auto"/>
        </w:rPr>
      </w:pPr>
      <w:r>
        <w:rPr>
          <w:rFonts w:ascii="Arial" w:cs="Arial" w:eastAsia="Arial" w:hAnsi="Arial"/>
          <w:sz w:val="20"/>
          <w:szCs w:val="20"/>
          <w:color w:val="auto"/>
        </w:rPr>
        <w:t>I have read and understood this Agreement and hereby acknowledge, accept and agree to the terms as set forth above.</w:t>
      </w:r>
    </w:p>
    <w:p>
      <w:pPr>
        <w:spacing w:after="0" w:line="152" w:lineRule="exact"/>
        <w:rPr>
          <w:sz w:val="20"/>
          <w:szCs w:val="20"/>
          <w:color w:val="auto"/>
        </w:rPr>
      </w:pPr>
    </w:p>
    <w:p>
      <w:pPr>
        <w:spacing w:after="0"/>
        <w:tabs>
          <w:tab w:leader="none" w:pos="5060" w:val="left"/>
        </w:tabs>
        <w:rPr>
          <w:sz w:val="20"/>
          <w:szCs w:val="20"/>
          <w:color w:val="auto"/>
        </w:rPr>
      </w:pPr>
      <w:r>
        <w:rPr>
          <w:rFonts w:ascii="Arial" w:cs="Arial" w:eastAsia="Arial" w:hAnsi="Arial"/>
          <w:sz w:val="20"/>
          <w:szCs w:val="20"/>
          <w:color w:val="auto"/>
        </w:rPr>
        <w:t>/s/ MARK LIVINGSTON</w:t>
      </w:r>
      <w:r>
        <w:rPr>
          <w:sz w:val="20"/>
          <w:szCs w:val="20"/>
          <w:color w:val="auto"/>
        </w:rPr>
        <w:tab/>
      </w:r>
      <w:r>
        <w:rPr>
          <w:rFonts w:ascii="Arial" w:cs="Arial" w:eastAsia="Arial" w:hAnsi="Arial"/>
          <w:sz w:val="19"/>
          <w:szCs w:val="19"/>
          <w:color w:val="auto"/>
        </w:rPr>
        <w:t>Date: September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957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SIGNED: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2099945" cy="8229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Jennifer Bealer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Via DocuSign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Dear Jen:</w:t>
      </w:r>
    </w:p>
    <w:p>
      <w:pPr>
        <w:spacing w:after="0" w:line="198" w:lineRule="exact"/>
        <w:rPr>
          <w:sz w:val="20"/>
          <w:szCs w:val="20"/>
          <w:color w:val="auto"/>
        </w:rPr>
      </w:pPr>
    </w:p>
    <w:p>
      <w:pPr>
        <w:jc w:val="both"/>
        <w:ind w:left="20" w:hanging="8"/>
        <w:spacing w:after="0" w:line="276" w:lineRule="auto"/>
        <w:rPr>
          <w:sz w:val="20"/>
          <w:szCs w:val="20"/>
          <w:color w:val="auto"/>
        </w:rPr>
      </w:pPr>
      <w:r>
        <w:rPr>
          <w:rFonts w:ascii="Arial" w:cs="Arial" w:eastAsia="Arial" w:hAnsi="Arial"/>
          <w:sz w:val="18"/>
          <w:szCs w:val="18"/>
          <w:color w:val="auto"/>
        </w:rPr>
        <w:t>Congratulations! You are joining a great team at Progyny, a leading fertility benefits company that combines service, science, technology and data to provide fertility solutions for self-insured employers.</w:t>
      </w:r>
    </w:p>
    <w:p>
      <w:pPr>
        <w:spacing w:after="0" w:line="129" w:lineRule="exact"/>
        <w:rPr>
          <w:sz w:val="20"/>
          <w:szCs w:val="20"/>
          <w:color w:val="auto"/>
        </w:rPr>
      </w:pPr>
    </w:p>
    <w:p>
      <w:pPr>
        <w:jc w:val="both"/>
        <w:ind w:left="20" w:hanging="8"/>
        <w:spacing w:after="0" w:line="249" w:lineRule="auto"/>
        <w:rPr>
          <w:sz w:val="20"/>
          <w:szCs w:val="20"/>
          <w:color w:val="auto"/>
        </w:rPr>
      </w:pPr>
      <w:r>
        <w:rPr>
          <w:rFonts w:ascii="Arial" w:cs="Arial" w:eastAsia="Arial" w:hAnsi="Arial"/>
          <w:sz w:val="18"/>
          <w:szCs w:val="18"/>
          <w:color w:val="auto"/>
        </w:rPr>
        <w:t xml:space="preserve">As part of that growth, it is my pleasure to offer you the position of </w:t>
      </w:r>
      <w:r>
        <w:rPr>
          <w:rFonts w:ascii="Arial" w:cs="Arial" w:eastAsia="Arial" w:hAnsi="Arial"/>
          <w:sz w:val="18"/>
          <w:szCs w:val="18"/>
          <w:b w:val="1"/>
          <w:bCs w:val="1"/>
          <w:color w:val="auto"/>
        </w:rPr>
        <w:t>Senior Vice President, General Counsel</w:t>
      </w:r>
      <w:r>
        <w:rPr>
          <w:rFonts w:ascii="Arial" w:cs="Arial" w:eastAsia="Arial" w:hAnsi="Arial"/>
          <w:sz w:val="18"/>
          <w:szCs w:val="18"/>
          <w:color w:val="auto"/>
        </w:rPr>
        <w:t xml:space="preserve">. If you accept, your anticipated start date will be </w:t>
      </w:r>
      <w:r>
        <w:rPr>
          <w:rFonts w:ascii="Arial" w:cs="Arial" w:eastAsia="Arial" w:hAnsi="Arial"/>
          <w:sz w:val="18"/>
          <w:szCs w:val="18"/>
          <w:b w:val="1"/>
          <w:bCs w:val="1"/>
          <w:color w:val="auto"/>
        </w:rPr>
        <w:t>Monday, October 30, 2017</w:t>
      </w:r>
      <w:r>
        <w:rPr>
          <w:rFonts w:ascii="Arial" w:cs="Arial" w:eastAsia="Arial" w:hAnsi="Arial"/>
          <w:sz w:val="18"/>
          <w:szCs w:val="18"/>
          <w:color w:val="auto"/>
        </w:rPr>
        <w:t xml:space="preserve"> and you will report to </w:t>
      </w:r>
      <w:r>
        <w:rPr>
          <w:rFonts w:ascii="Arial" w:cs="Arial" w:eastAsia="Arial" w:hAnsi="Arial"/>
          <w:sz w:val="18"/>
          <w:szCs w:val="18"/>
          <w:b w:val="1"/>
          <w:bCs w:val="1"/>
          <w:color w:val="auto"/>
        </w:rPr>
        <w:t>David Schlanger, Chief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w:t>
      </w:r>
      <w:r>
        <w:rPr>
          <w:rFonts w:ascii="Arial" w:cs="Arial" w:eastAsia="Arial" w:hAnsi="Arial"/>
          <w:sz w:val="18"/>
          <w:szCs w:val="18"/>
          <w:color w:val="auto"/>
        </w:rPr>
        <w:t>. Your principal place of employment will be Progyny’s New York office. This letter confirms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our offer of employment.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an employee of Progyny you will receive the following compensation and benefits:</w:t>
      </w:r>
    </w:p>
    <w:p>
      <w:pPr>
        <w:spacing w:after="0" w:line="196" w:lineRule="exact"/>
        <w:rPr>
          <w:sz w:val="20"/>
          <w:szCs w:val="20"/>
          <w:color w:val="auto"/>
        </w:rPr>
      </w:pPr>
    </w:p>
    <w:p>
      <w:pPr>
        <w:jc w:val="both"/>
        <w:ind w:left="20" w:hanging="8"/>
        <w:spacing w:after="0" w:line="256" w:lineRule="auto"/>
        <w:rPr>
          <w:sz w:val="20"/>
          <w:szCs w:val="20"/>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annual salary will be</w:t>
      </w:r>
      <w:r>
        <w:rPr>
          <w:rFonts w:ascii="Arial" w:cs="Arial" w:eastAsia="Arial" w:hAnsi="Arial"/>
          <w:sz w:val="18"/>
          <w:szCs w:val="18"/>
          <w:b w:val="1"/>
          <w:bCs w:val="1"/>
          <w:color w:val="auto"/>
        </w:rPr>
        <w:t xml:space="preserve"> $240,000</w:t>
      </w:r>
      <w:r>
        <w:rPr>
          <w:rFonts w:ascii="Arial" w:cs="Arial" w:eastAsia="Arial" w:hAnsi="Arial"/>
          <w:sz w:val="18"/>
          <w:szCs w:val="18"/>
          <w:color w:val="auto"/>
        </w:rPr>
        <w:t>, less applicable deductions authorized by you and required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paid in accordance with the Company’s normal payroll practices. The Company, in its sole judgement and discretion, modify your salary upon periodic review.</w:t>
      </w:r>
    </w:p>
    <w:p>
      <w:pPr>
        <w:spacing w:after="0" w:line="148" w:lineRule="exact"/>
        <w:rPr>
          <w:sz w:val="20"/>
          <w:szCs w:val="20"/>
          <w:color w:val="auto"/>
        </w:rPr>
      </w:pPr>
    </w:p>
    <w:p>
      <w:pPr>
        <w:jc w:val="both"/>
        <w:ind w:left="20" w:hanging="8"/>
        <w:spacing w:after="0" w:line="249" w:lineRule="auto"/>
        <w:rPr>
          <w:sz w:val="20"/>
          <w:szCs w:val="20"/>
          <w:color w:val="auto"/>
        </w:rPr>
      </w:pPr>
      <w:r>
        <w:rPr>
          <w:rFonts w:ascii="Arial" w:cs="Arial" w:eastAsia="Arial" w:hAnsi="Arial"/>
          <w:sz w:val="18"/>
          <w:szCs w:val="18"/>
          <w:b w:val="1"/>
          <w:bCs w:val="1"/>
          <w:u w:val="single" w:color="auto"/>
          <w:color w:val="auto"/>
        </w:rPr>
        <w:t>Bonus</w:t>
      </w:r>
      <w:r>
        <w:rPr>
          <w:rFonts w:ascii="Arial" w:cs="Arial" w:eastAsia="Arial" w:hAnsi="Arial"/>
          <w:sz w:val="18"/>
          <w:szCs w:val="18"/>
          <w:b w:val="1"/>
          <w:bCs w:val="1"/>
          <w:color w:val="auto"/>
        </w:rPr>
        <w:t xml:space="preserve">. </w:t>
      </w:r>
      <w:r>
        <w:rPr>
          <w:rFonts w:ascii="Arial" w:cs="Arial" w:eastAsia="Arial" w:hAnsi="Arial"/>
          <w:sz w:val="18"/>
          <w:szCs w:val="18"/>
          <w:color w:val="auto"/>
        </w:rPr>
        <w:t>You are eligible for an annual target bonus up to</w:t>
      </w:r>
      <w:r>
        <w:rPr>
          <w:rFonts w:ascii="Arial" w:cs="Arial" w:eastAsia="Arial" w:hAnsi="Arial"/>
          <w:sz w:val="18"/>
          <w:szCs w:val="18"/>
          <w:b w:val="1"/>
          <w:bCs w:val="1"/>
          <w:color w:val="auto"/>
        </w:rPr>
        <w:t xml:space="preserve"> 25% </w:t>
      </w:r>
      <w:r>
        <w:rPr>
          <w:rFonts w:ascii="Arial" w:cs="Arial" w:eastAsia="Arial" w:hAnsi="Arial"/>
          <w:sz w:val="18"/>
          <w:szCs w:val="18"/>
          <w:color w:val="auto"/>
        </w:rPr>
        <w:t>of your base salary prorated for 2017, to be paid in 2018.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receive the Target Bonus or any portion of the Target Bonus, you must achieve certain individual performance goals, Progyny must achieve certain performance targets, and you must be employed with the Company on the date the bonus is paid.</w:t>
      </w:r>
    </w:p>
    <w:p>
      <w:pPr>
        <w:spacing w:after="0" w:line="154" w:lineRule="exact"/>
        <w:rPr>
          <w:sz w:val="20"/>
          <w:szCs w:val="20"/>
          <w:color w:val="auto"/>
        </w:rPr>
      </w:pPr>
    </w:p>
    <w:p>
      <w:pPr>
        <w:jc w:val="both"/>
        <w:ind w:left="20" w:hanging="8"/>
        <w:spacing w:after="0" w:line="242" w:lineRule="auto"/>
        <w:rPr>
          <w:sz w:val="20"/>
          <w:szCs w:val="20"/>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Upon joining the Company, pending approval by the Progyny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granted an option to purchase </w:t>
      </w:r>
      <w:r>
        <w:rPr>
          <w:rFonts w:ascii="Arial" w:cs="Arial" w:eastAsia="Arial" w:hAnsi="Arial"/>
          <w:sz w:val="18"/>
          <w:szCs w:val="18"/>
          <w:b w:val="1"/>
          <w:bCs w:val="1"/>
          <w:color w:val="auto"/>
        </w:rPr>
        <w:t>500,000</w:t>
      </w:r>
      <w:r>
        <w:rPr>
          <w:rFonts w:ascii="Arial" w:cs="Arial" w:eastAsia="Arial" w:hAnsi="Arial"/>
          <w:sz w:val="18"/>
          <w:szCs w:val="18"/>
          <w:color w:val="auto"/>
        </w:rPr>
        <w:t xml:space="preserve"> of the Company’s Common Stock at an exercise price per share to be determined by the Board at its first meeting after you become an employee as representing the fair market value of the Common Stock. Subject to your continuing to be an employee, this option will vest over the four-year period following your employment start date, with 25% vesting on the twelve (12) month anniversary of your start date and the remainder vesting monthly over the following 36 months, and will be subject to your grant agreement and the Company’s standard terms and conditions under its option plan.</w:t>
      </w:r>
    </w:p>
    <w:p>
      <w:pPr>
        <w:spacing w:after="0" w:line="159" w:lineRule="exact"/>
        <w:rPr>
          <w:sz w:val="20"/>
          <w:szCs w:val="20"/>
          <w:color w:val="auto"/>
        </w:rPr>
      </w:pPr>
    </w:p>
    <w:p>
      <w:pPr>
        <w:jc w:val="both"/>
        <w:ind w:left="20" w:hanging="8"/>
        <w:spacing w:after="0" w:line="245"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Company’s employee benefit plans of general application as they may exist</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subject to any eligibility requirements imposed by such plans. As a Company employee, you will accrue PTO pursuant to the Company’s policies and procedures. The Company reserves the right to change or otherwise modify, in its sole discretion, the benefits offered to employees to conform to the Company’s general policies as they may be changed from time to time.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Arial" w:cs="Arial" w:eastAsia="Arial" w:hAnsi="Arial"/>
                <w:sz w:val="18"/>
                <w:szCs w:val="18"/>
                <w:b w:val="1"/>
                <w:bCs w:val="1"/>
                <w:color w:val="auto"/>
              </w:rPr>
              <w:t xml:space="preserve">progyny.com </w:t>
            </w:r>
            <w:r>
              <w:rPr>
                <w:rFonts w:ascii="Arial" w:cs="Arial" w:eastAsia="Arial" w:hAnsi="Arial"/>
                <w:sz w:val="18"/>
                <w:szCs w:val="18"/>
                <w:color w:val="auto"/>
              </w:rPr>
              <w:t>info@progyny.com</w:t>
            </w:r>
          </w:p>
        </w:tc>
        <w:tc>
          <w:tcPr>
            <w:tcW w:w="5000" w:type="dxa"/>
            <w:vAlign w:val="bottom"/>
          </w:tcPr>
          <w:p>
            <w:pPr>
              <w:jc w:val="right"/>
              <w:spacing w:after="0"/>
              <w:rPr>
                <w:sz w:val="20"/>
                <w:szCs w:val="20"/>
                <w:color w:val="auto"/>
              </w:rPr>
            </w:pPr>
            <w:r>
              <w:rPr>
                <w:rFonts w:ascii="Arial" w:cs="Arial" w:eastAsia="Arial" w:hAnsi="Arial"/>
                <w:sz w:val="18"/>
                <w:szCs w:val="18"/>
                <w:color w:val="auto"/>
              </w:rPr>
              <w:t>99 Hudson Street, 7th Floor, New York, NY 10013</w:t>
            </w:r>
          </w:p>
        </w:tc>
        <w:tc>
          <w:tcPr>
            <w:tcW w:w="1240" w:type="dxa"/>
            <w:vAlign w:val="bottom"/>
          </w:tcPr>
          <w:p>
            <w:pPr>
              <w:jc w:val="right"/>
              <w:spacing w:after="0"/>
              <w:rPr>
                <w:sz w:val="20"/>
                <w:szCs w:val="20"/>
                <w:color w:val="auto"/>
              </w:rPr>
            </w:pPr>
            <w:r>
              <w:rPr>
                <w:rFonts w:ascii="Arial" w:cs="Arial" w:eastAsia="Arial" w:hAnsi="Arial"/>
                <w:sz w:val="18"/>
                <w:szCs w:val="18"/>
                <w:color w:val="auto"/>
              </w:rPr>
              <w:t>| 212-888-3124</w:t>
            </w:r>
          </w:p>
        </w:tc>
      </w:tr>
      <w:tr>
        <w:trPr>
          <w:trHeight w:val="243"/>
        </w:trPr>
        <w:tc>
          <w:tcPr>
            <w:tcW w:w="3680" w:type="dxa"/>
            <w:vAlign w:val="bottom"/>
          </w:tcPr>
          <w:p>
            <w:pPr>
              <w:spacing w:after="0"/>
              <w:rPr>
                <w:sz w:val="21"/>
                <w:szCs w:val="21"/>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2 Embarcadero Center, San Francisco, CA 94111</w:t>
            </w:r>
          </w:p>
        </w:tc>
        <w:tc>
          <w:tcPr>
            <w:tcW w:w="1240" w:type="dxa"/>
            <w:vAlign w:val="bottom"/>
          </w:tcPr>
          <w:p>
            <w:pPr>
              <w:jc w:val="right"/>
              <w:spacing w:after="0"/>
              <w:rPr>
                <w:sz w:val="20"/>
                <w:szCs w:val="20"/>
                <w:color w:val="auto"/>
              </w:rPr>
            </w:pPr>
            <w:r>
              <w:rPr>
                <w:rFonts w:ascii="Arial" w:cs="Arial" w:eastAsia="Arial" w:hAnsi="Arial"/>
                <w:sz w:val="18"/>
                <w:szCs w:val="18"/>
                <w:color w:val="auto"/>
              </w:rPr>
              <w:t>| 650-641-2429</w:t>
            </w:r>
          </w:p>
        </w:tc>
      </w:tr>
      <w:tr>
        <w:trPr>
          <w:trHeight w:val="745"/>
        </w:trPr>
        <w:tc>
          <w:tcPr>
            <w:tcW w:w="36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your offer:</w:t>
      </w:r>
    </w:p>
    <w:p>
      <w:pPr>
        <w:spacing w:after="0" w:line="200" w:lineRule="exact"/>
        <w:rPr>
          <w:sz w:val="20"/>
          <w:szCs w:val="20"/>
          <w:color w:val="auto"/>
        </w:rPr>
      </w:pPr>
    </w:p>
    <w:p>
      <w:pPr>
        <w:jc w:val="both"/>
        <w:ind w:left="20" w:hanging="8"/>
        <w:spacing w:after="0" w:line="247" w:lineRule="auto"/>
        <w:rPr>
          <w:sz w:val="20"/>
          <w:szCs w:val="20"/>
          <w:color w:val="auto"/>
        </w:rPr>
      </w:pPr>
      <w:r>
        <w:rPr>
          <w:rFonts w:ascii="Arial" w:cs="Arial" w:eastAsia="Arial" w:hAnsi="Arial"/>
          <w:sz w:val="18"/>
          <w:szCs w:val="18"/>
          <w:color w:val="auto"/>
        </w:rPr>
        <w:t xml:space="preserve">We are very pleased to extend this offer of employment and look forward to growing Progyny together. Please understand, however, that this offer is conditioned upon your satisfaction of all of the Company’s pre-employment requirements including, but not limited to, references, background check, your presentation of acceptable documents establishing your identity and employability as required by the Immigration and Control Act of 1986 and signing of the Non-Solicitation / Non-Competition Agreement, attached as </w:t>
      </w:r>
      <w:r>
        <w:rPr>
          <w:rFonts w:ascii="Arial" w:cs="Arial" w:eastAsia="Arial" w:hAnsi="Arial"/>
          <w:sz w:val="18"/>
          <w:szCs w:val="18"/>
          <w:b w:val="1"/>
          <w:bCs w:val="1"/>
          <w:color w:val="auto"/>
        </w:rPr>
        <w:t>Exhibit A.</w:t>
      </w:r>
    </w:p>
    <w:p>
      <w:pPr>
        <w:spacing w:after="0" w:line="148" w:lineRule="exact"/>
        <w:rPr>
          <w:sz w:val="20"/>
          <w:szCs w:val="20"/>
          <w:color w:val="auto"/>
        </w:rPr>
      </w:pPr>
    </w:p>
    <w:p>
      <w:pPr>
        <w:jc w:val="both"/>
        <w:ind w:left="20" w:hanging="8"/>
        <w:spacing w:after="0" w:line="237"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you will have access to certain confidential information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you may, during the course of your employment, develop certain information or inventions that will be the property of the Company. To protect the interests of the Company, you will need to sign the Company's standard “Proprietary Information, Inventions and Non-Solicitation/NonCompetition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 condition of your employment. We wish to impress upon you that we do not want you to, and we hereby direct you not to, use or disclose any confidential or proprietary material of any former employer in your work for the Company, bring onto Company premises any unpublished documents or property belonging to any former employer or other person to whom you have an obligation of confidentiality, or violate any other obligations you may have to any former employer or other third party. You agree that you have not, and during the period that you render services to the Company,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 You are advised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you understand that in the event that disclosure of Company trade secrets was not done in good faith pursuant to the above, you will be subject to substantial damages, including punitive damages and attorneys’ fees. You represent that your signing of this letter agreement and the Proprietary Information, Inventions and Non-Solicitation/ Non-Competition Agreement and your continuation of employment with the Company will not violate any agreement currently in place between you and any current or past employers, or between you and any other parties.</w:t>
      </w:r>
    </w:p>
    <w:p>
      <w:pPr>
        <w:spacing w:after="0" w:line="163" w:lineRule="exact"/>
        <w:rPr>
          <w:sz w:val="20"/>
          <w:szCs w:val="20"/>
          <w:color w:val="auto"/>
        </w:rPr>
      </w:pPr>
    </w:p>
    <w:p>
      <w:pPr>
        <w:jc w:val="both"/>
        <w:ind w:left="20" w:hanging="8"/>
        <w:spacing w:after="0" w:line="241" w:lineRule="auto"/>
        <w:rPr>
          <w:sz w:val="20"/>
          <w:szCs w:val="20"/>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the Company will be “at will” for no specified term.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Company at any time and for any reason whatsoever simply by notifying the Company. Likewise, the Company may terminate your employment at any time, with or without cause or advance notice. Neither you, nor the Company, will have any liability to the other party for terminating the relationship. Neither the vesting of any option described in this letter agreement (nor any other provision of this letter agreement or any other agreement between you and the Company), nor your participation in any stock option, incentive bonus, or other benefit program in the future, is to be regarded as assuring you of continuing employment for any particular period of time. Your employment at-will status can only be modified in a written agreement signed by you and by an officer of Progyny.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Arial" w:cs="Arial" w:eastAsia="Arial" w:hAnsi="Arial"/>
                <w:sz w:val="18"/>
                <w:szCs w:val="18"/>
                <w:b w:val="1"/>
                <w:bCs w:val="1"/>
                <w:color w:val="auto"/>
              </w:rPr>
              <w:t xml:space="preserve">progyny.com </w:t>
            </w:r>
            <w:r>
              <w:rPr>
                <w:rFonts w:ascii="Arial" w:cs="Arial" w:eastAsia="Arial" w:hAnsi="Arial"/>
                <w:sz w:val="18"/>
                <w:szCs w:val="18"/>
                <w:color w:val="auto"/>
              </w:rPr>
              <w:t>info@progyny.com</w:t>
            </w:r>
          </w:p>
        </w:tc>
        <w:tc>
          <w:tcPr>
            <w:tcW w:w="5000" w:type="dxa"/>
            <w:vAlign w:val="bottom"/>
          </w:tcPr>
          <w:p>
            <w:pPr>
              <w:jc w:val="right"/>
              <w:spacing w:after="0"/>
              <w:rPr>
                <w:sz w:val="20"/>
                <w:szCs w:val="20"/>
                <w:color w:val="auto"/>
              </w:rPr>
            </w:pPr>
            <w:r>
              <w:rPr>
                <w:rFonts w:ascii="Arial" w:cs="Arial" w:eastAsia="Arial" w:hAnsi="Arial"/>
                <w:sz w:val="18"/>
                <w:szCs w:val="18"/>
                <w:color w:val="auto"/>
              </w:rPr>
              <w:t>99 Hudson Street, 7th Floor, New York, NY 10013</w:t>
            </w:r>
          </w:p>
        </w:tc>
        <w:tc>
          <w:tcPr>
            <w:tcW w:w="1240" w:type="dxa"/>
            <w:vAlign w:val="bottom"/>
          </w:tcPr>
          <w:p>
            <w:pPr>
              <w:jc w:val="right"/>
              <w:spacing w:after="0"/>
              <w:rPr>
                <w:sz w:val="20"/>
                <w:szCs w:val="20"/>
                <w:color w:val="auto"/>
              </w:rPr>
            </w:pPr>
            <w:r>
              <w:rPr>
                <w:rFonts w:ascii="Arial" w:cs="Arial" w:eastAsia="Arial" w:hAnsi="Arial"/>
                <w:sz w:val="18"/>
                <w:szCs w:val="18"/>
                <w:color w:val="auto"/>
              </w:rPr>
              <w:t>| 212-888-3124</w:t>
            </w:r>
          </w:p>
        </w:tc>
      </w:tr>
      <w:tr>
        <w:trPr>
          <w:trHeight w:val="243"/>
        </w:trPr>
        <w:tc>
          <w:tcPr>
            <w:tcW w:w="3680" w:type="dxa"/>
            <w:vAlign w:val="bottom"/>
          </w:tcPr>
          <w:p>
            <w:pPr>
              <w:spacing w:after="0"/>
              <w:rPr>
                <w:sz w:val="21"/>
                <w:szCs w:val="21"/>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2 Embarcadero Center, San Francisco, CA 94111</w:t>
            </w:r>
          </w:p>
        </w:tc>
        <w:tc>
          <w:tcPr>
            <w:tcW w:w="1240" w:type="dxa"/>
            <w:vAlign w:val="bottom"/>
          </w:tcPr>
          <w:p>
            <w:pPr>
              <w:jc w:val="right"/>
              <w:spacing w:after="0"/>
              <w:rPr>
                <w:sz w:val="20"/>
                <w:szCs w:val="20"/>
                <w:color w:val="auto"/>
              </w:rPr>
            </w:pPr>
            <w:r>
              <w:rPr>
                <w:rFonts w:ascii="Arial" w:cs="Arial" w:eastAsia="Arial" w:hAnsi="Arial"/>
                <w:sz w:val="18"/>
                <w:szCs w:val="18"/>
                <w:color w:val="auto"/>
              </w:rPr>
              <w:t>| 650-641-2429</w:t>
            </w:r>
          </w:p>
        </w:tc>
      </w:tr>
      <w:tr>
        <w:trPr>
          <w:trHeight w:val="745"/>
        </w:trPr>
        <w:tc>
          <w:tcPr>
            <w:tcW w:w="36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200" w:lineRule="exact"/>
        <w:rPr>
          <w:sz w:val="20"/>
          <w:szCs w:val="20"/>
          <w:color w:val="auto"/>
        </w:rPr>
      </w:pPr>
    </w:p>
    <w:p>
      <w:pPr>
        <w:jc w:val="both"/>
        <w:ind w:left="20" w:hanging="8"/>
        <w:spacing w:after="0" w:line="255" w:lineRule="auto"/>
        <w:rPr>
          <w:sz w:val="20"/>
          <w:szCs w:val="20"/>
          <w:color w:val="auto"/>
        </w:rPr>
      </w:pPr>
      <w:r>
        <w:rPr>
          <w:rFonts w:ascii="Arial" w:cs="Arial" w:eastAsia="Arial" w:hAnsi="Arial"/>
          <w:sz w:val="18"/>
          <w:szCs w:val="18"/>
          <w:color w:val="auto"/>
        </w:rPr>
        <w:t>To indicate your acceptance of the Company’s offer, and we hope that you do, please sign and date this letter and sign and date the Non-Solicitation / Non-Competition Agreement and return the signed copies of these documents to me, by no later than Friday, September 22, 2017.</w:t>
      </w:r>
    </w:p>
    <w:p>
      <w:pPr>
        <w:spacing w:after="0" w:line="150" w:lineRule="exact"/>
        <w:rPr>
          <w:sz w:val="20"/>
          <w:szCs w:val="20"/>
          <w:color w:val="auto"/>
        </w:rPr>
      </w:pPr>
    </w:p>
    <w:p>
      <w:pPr>
        <w:jc w:val="both"/>
        <w:ind w:left="20" w:hanging="8"/>
        <w:spacing w:after="0" w:line="255" w:lineRule="auto"/>
        <w:rPr>
          <w:sz w:val="20"/>
          <w:szCs w:val="20"/>
          <w:color w:val="auto"/>
        </w:rPr>
      </w:pPr>
      <w:r>
        <w:rPr>
          <w:rFonts w:ascii="Arial" w:cs="Arial" w:eastAsia="Arial" w:hAnsi="Arial"/>
          <w:sz w:val="18"/>
          <w:szCs w:val="18"/>
          <w:color w:val="auto"/>
        </w:rPr>
        <w:t>This letter, along with the Non-Solicitation / Non-Competition Agreement, sets forth the terms of your employment with the company and may not be modified or amended except by a written agreement, signed by an officer of the Company and by you.</w:t>
      </w:r>
    </w:p>
    <w:p>
      <w:pPr>
        <w:spacing w:after="0" w:line="150" w:lineRule="exact"/>
        <w:rPr>
          <w:sz w:val="20"/>
          <w:szCs w:val="20"/>
          <w:color w:val="auto"/>
        </w:rPr>
      </w:pPr>
    </w:p>
    <w:p>
      <w:pPr>
        <w:jc w:val="both"/>
        <w:ind w:left="20" w:hanging="8"/>
        <w:spacing w:after="0" w:line="276" w:lineRule="auto"/>
        <w:rPr>
          <w:sz w:val="20"/>
          <w:szCs w:val="20"/>
          <w:color w:val="auto"/>
        </w:rPr>
      </w:pPr>
      <w:r>
        <w:rPr>
          <w:rFonts w:ascii="Arial" w:cs="Arial" w:eastAsia="Arial" w:hAnsi="Arial"/>
          <w:sz w:val="18"/>
          <w:szCs w:val="18"/>
          <w:color w:val="auto"/>
        </w:rPr>
        <w:t>We are extremely pleased to make this offer to you, Jennifer, and we are confident you will make a significant contribution to Progyny’s success in your new role!</w:t>
      </w:r>
    </w:p>
    <w:p>
      <w:pPr>
        <w:spacing w:after="0" w:line="13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Very truly yours,</w:t>
      </w:r>
    </w:p>
    <w:p>
      <w:pPr>
        <w:spacing w:after="0" w:line="1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12700</wp:posOffset>
            </wp:positionV>
            <wp:extent cx="3145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David Schlanger</w:t>
      </w:r>
    </w:p>
    <w:p>
      <w:pPr>
        <w:ind w:left="4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Progyny,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this offer letter and hereby acknowledge, accept and agree to the terms as set forth 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/s/ Jennifer Bealer</w:t>
            </w:r>
          </w:p>
        </w:tc>
        <w:tc>
          <w:tcPr>
            <w:tcW w:w="5000" w:type="dxa"/>
            <w:vAlign w:val="bottom"/>
            <w:gridSpan w:val="3"/>
          </w:tcPr>
          <w:p>
            <w:pPr>
              <w:ind w:left="1420"/>
              <w:spacing w:after="0"/>
              <w:rPr>
                <w:sz w:val="20"/>
                <w:szCs w:val="20"/>
                <w:color w:val="auto"/>
              </w:rPr>
            </w:pPr>
            <w:r>
              <w:rPr>
                <w:rFonts w:ascii="Arial" w:cs="Arial" w:eastAsia="Arial" w:hAnsi="Arial"/>
                <w:sz w:val="18"/>
                <w:szCs w:val="18"/>
                <w:color w:val="auto"/>
              </w:rPr>
              <w:t>9/10/2017</w:t>
            </w:r>
          </w:p>
        </w:tc>
        <w:tc>
          <w:tcPr>
            <w:tcW w:w="12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SIGNED:</w:t>
            </w:r>
          </w:p>
        </w:tc>
        <w:tc>
          <w:tcPr>
            <w:tcW w:w="12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240" w:type="dxa"/>
            <w:vAlign w:val="bottom"/>
            <w:tcBorders>
              <w:top w:val="single" w:sz="8" w:color="auto"/>
            </w:tcBorders>
          </w:tcPr>
          <w:p>
            <w:pPr>
              <w:spacing w:after="0"/>
              <w:rPr>
                <w:sz w:val="21"/>
                <w:szCs w:val="21"/>
                <w:color w:val="auto"/>
              </w:rPr>
            </w:pPr>
          </w:p>
        </w:tc>
      </w:tr>
      <w:tr>
        <w:trPr>
          <w:trHeight w:val="77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progyny.com </w:t>
            </w:r>
            <w:r>
              <w:rPr>
                <w:rFonts w:ascii="Arial" w:cs="Arial" w:eastAsia="Arial" w:hAnsi="Arial"/>
                <w:sz w:val="18"/>
                <w:szCs w:val="18"/>
                <w:color w:val="auto"/>
              </w:rPr>
              <w:t>info@progyny.com</w:t>
            </w:r>
          </w:p>
        </w:tc>
        <w:tc>
          <w:tcPr>
            <w:tcW w:w="5000" w:type="dxa"/>
            <w:vAlign w:val="bottom"/>
            <w:gridSpan w:val="3"/>
          </w:tcPr>
          <w:p>
            <w:pPr>
              <w:jc w:val="right"/>
              <w:spacing w:after="0"/>
              <w:rPr>
                <w:sz w:val="20"/>
                <w:szCs w:val="20"/>
                <w:color w:val="auto"/>
              </w:rPr>
            </w:pPr>
            <w:r>
              <w:rPr>
                <w:rFonts w:ascii="Arial" w:cs="Arial" w:eastAsia="Arial" w:hAnsi="Arial"/>
                <w:sz w:val="18"/>
                <w:szCs w:val="18"/>
                <w:color w:val="auto"/>
              </w:rPr>
              <w:t>99 Hudson Street, 7th Floor, New York, NY 10013</w:t>
            </w:r>
          </w:p>
        </w:tc>
        <w:tc>
          <w:tcPr>
            <w:tcW w:w="1240" w:type="dxa"/>
            <w:vAlign w:val="bottom"/>
          </w:tcPr>
          <w:p>
            <w:pPr>
              <w:jc w:val="right"/>
              <w:spacing w:after="0"/>
              <w:rPr>
                <w:sz w:val="20"/>
                <w:szCs w:val="20"/>
                <w:color w:val="auto"/>
              </w:rPr>
            </w:pPr>
            <w:r>
              <w:rPr>
                <w:rFonts w:ascii="Arial" w:cs="Arial" w:eastAsia="Arial" w:hAnsi="Arial"/>
                <w:sz w:val="18"/>
                <w:szCs w:val="18"/>
                <w:color w:val="auto"/>
              </w:rPr>
              <w:t>| 212-888-3124</w:t>
            </w:r>
          </w:p>
        </w:tc>
      </w:tr>
      <w:tr>
        <w:trPr>
          <w:trHeight w:val="243"/>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00" w:type="dxa"/>
            <w:vAlign w:val="bottom"/>
            <w:gridSpan w:val="3"/>
          </w:tcPr>
          <w:p>
            <w:pPr>
              <w:jc w:val="right"/>
              <w:spacing w:after="0"/>
              <w:rPr>
                <w:sz w:val="20"/>
                <w:szCs w:val="20"/>
                <w:color w:val="auto"/>
              </w:rPr>
            </w:pPr>
            <w:r>
              <w:rPr>
                <w:rFonts w:ascii="Arial" w:cs="Arial" w:eastAsia="Arial" w:hAnsi="Arial"/>
                <w:sz w:val="18"/>
                <w:szCs w:val="18"/>
                <w:color w:val="auto"/>
              </w:rPr>
              <w:t>2 Embarcadero Center, San Francisco, CA 94111</w:t>
            </w:r>
          </w:p>
        </w:tc>
        <w:tc>
          <w:tcPr>
            <w:tcW w:w="1240" w:type="dxa"/>
            <w:vAlign w:val="bottom"/>
          </w:tcPr>
          <w:p>
            <w:pPr>
              <w:jc w:val="right"/>
              <w:spacing w:after="0"/>
              <w:rPr>
                <w:sz w:val="20"/>
                <w:szCs w:val="20"/>
                <w:color w:val="auto"/>
              </w:rPr>
            </w:pPr>
            <w:r>
              <w:rPr>
                <w:rFonts w:ascii="Arial" w:cs="Arial" w:eastAsia="Arial" w:hAnsi="Arial"/>
                <w:sz w:val="18"/>
                <w:szCs w:val="18"/>
                <w:color w:val="auto"/>
              </w:rPr>
              <w:t>| 650-641-2429</w:t>
            </w:r>
          </w:p>
        </w:tc>
      </w:tr>
      <w:tr>
        <w:trPr>
          <w:trHeight w:val="746"/>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PROPRIETARY INFORMATION, INVENTIONS AND NON-SOLICITATION/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726440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PROPRIETARY INFORMATION, INVENTIONS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NON-SOLICITATION/NON-COMPETITION AGREEMENT</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 xml:space="preserve">In consideration of my employment or continued employment by </w:t>
      </w:r>
      <w:r>
        <w:rPr>
          <w:rFonts w:ascii="Arial" w:cs="Arial" w:eastAsia="Arial" w:hAnsi="Arial"/>
          <w:sz w:val="18"/>
          <w:szCs w:val="18"/>
          <w:b w:val="1"/>
          <w:bCs w:val="1"/>
          <w:color w:val="auto"/>
        </w:rPr>
        <w:t>Progyny, Inc.</w:t>
      </w:r>
      <w:r>
        <w:rPr>
          <w:rFonts w:ascii="Arial" w:cs="Arial" w:eastAsia="Arial" w:hAnsi="Arial"/>
          <w:sz w:val="18"/>
          <w:szCs w:val="18"/>
          <w:color w:val="auto"/>
        </w:rPr>
        <w:t>, its subsidiaries, parents, affiliates, predecessors, successors and assigns (together, the “</w:t>
      </w:r>
      <w:r>
        <w:rPr>
          <w:rFonts w:ascii="Arial" w:cs="Arial" w:eastAsia="Arial" w:hAnsi="Arial"/>
          <w:sz w:val="18"/>
          <w:szCs w:val="18"/>
          <w:b w:val="1"/>
          <w:bCs w:val="1"/>
          <w:color w:val="auto"/>
        </w:rPr>
        <w:t>Company</w:t>
      </w:r>
      <w:r>
        <w:rPr>
          <w:rFonts w:ascii="Arial" w:cs="Arial" w:eastAsia="Arial" w:hAnsi="Arial"/>
          <w:sz w:val="18"/>
          <w:szCs w:val="18"/>
          <w:color w:val="auto"/>
        </w:rPr>
        <w:t>”) and the compensation now and hereafter paid to me, I hereby enter into this Proprietary Information, Inventions and Non-Solicitation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and agree as follows:</w:t>
      </w:r>
    </w:p>
    <w:p>
      <w:pPr>
        <w:spacing w:after="0" w:line="154"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w:t>
      </w:r>
      <w:r>
        <w:rPr>
          <w:rFonts w:ascii="Arial" w:cs="Arial" w:eastAsia="Arial" w:hAnsi="Arial"/>
          <w:sz w:val="18"/>
          <w:szCs w:val="18"/>
          <w:color w:val="auto"/>
        </w:rPr>
        <w:t>.</w:t>
      </w:r>
    </w:p>
    <w:p>
      <w:pPr>
        <w:spacing w:after="0" w:line="19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b w:val="1"/>
          <w:bCs w:val="1"/>
          <w:color w:val="auto"/>
        </w:rPr>
        <w:t xml:space="preserve">1.1 Recognition of Company's Rights; Nondisclosure. </w:t>
      </w:r>
      <w:r>
        <w:rPr>
          <w:rFonts w:ascii="Arial" w:cs="Arial" w:eastAsia="Arial" w:hAnsi="Arial"/>
          <w:sz w:val="18"/>
          <w:szCs w:val="18"/>
          <w:color w:val="auto"/>
        </w:rPr>
        <w:t>I understand and acknowledge that my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creates a relationship of confidence and trust with respect to the Company’s Proprietary Information (defined below) and that the Company has a protectable interest therein. At all times during my employment and thereafter, I will hold in strictest confidence and will not disclose, use, lecture upon or publish any of the Company's Proprietary Information, except as such disclosure, use or publication may be required in connection with my work for the Company, or unless an officer of the Company expressly authorizes such in writing. I will obtain the Company's written approval before publishing or submitting for publication any material (written, verbal, or otherwise) that relates to my work at the Company and/or incorporates any Proprietary Information. I hereby assign to the Company any rights I may have or acquire in such Proprietary Information and recognize that all Proprietary Information shall be the sole property of the Company and its assigns. I will take all reasonable precautions to prevent the inadvertent or accidental disclosure of Proprietary Information.</w:t>
      </w:r>
    </w:p>
    <w:p>
      <w:pPr>
        <w:spacing w:after="0" w:line="16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b w:val="1"/>
          <w:bCs w:val="1"/>
          <w:color w:val="auto"/>
        </w:rPr>
        <w:t xml:space="preserve">1.2 Proprietary Information. </w:t>
      </w:r>
      <w:r>
        <w:rPr>
          <w:rFonts w:ascii="Arial" w:cs="Arial" w:eastAsia="Arial" w:hAnsi="Arial"/>
          <w:sz w:val="18"/>
          <w:szCs w:val="18"/>
          <w:color w:val="auto"/>
        </w:rPr>
        <w:t>The term “</w:t>
      </w:r>
      <w:r>
        <w:rPr>
          <w:rFonts w:ascii="Arial" w:cs="Arial" w:eastAsia="Arial" w:hAnsi="Arial"/>
          <w:sz w:val="18"/>
          <w:szCs w:val="18"/>
          <w:b w:val="1"/>
          <w:bCs w:val="1"/>
          <w:color w:val="auto"/>
        </w:rPr>
        <w:t>Proprietary Information</w:t>
      </w:r>
      <w:r>
        <w:rPr>
          <w:rFonts w:ascii="Arial" w:cs="Arial" w:eastAsia="Arial" w:hAnsi="Arial"/>
          <w:sz w:val="18"/>
          <w:szCs w:val="18"/>
          <w:color w:val="auto"/>
        </w:rPr>
        <w:t>” shall mean any and all confidential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knowledge, data or information of the Company, its affiliates, parents and subsidiaries, whether having existed, now existing, or to be developed during my employment. By way of illustration but not limitation, “</w:t>
      </w:r>
      <w:r>
        <w:rPr>
          <w:rFonts w:ascii="Arial" w:cs="Arial" w:eastAsia="Arial" w:hAnsi="Arial"/>
          <w:sz w:val="18"/>
          <w:szCs w:val="18"/>
          <w:b w:val="1"/>
          <w:bCs w:val="1"/>
          <w:color w:val="auto"/>
        </w:rPr>
        <w:t>Proprietary Information</w:t>
      </w:r>
      <w:r>
        <w:rPr>
          <w:rFonts w:ascii="Arial" w:cs="Arial" w:eastAsia="Arial" w:hAnsi="Arial"/>
          <w:sz w:val="18"/>
          <w:szCs w:val="18"/>
          <w:color w:val="auto"/>
        </w:rPr>
        <w:t>” includes (a) trade secrets, inventions, mask works, ideas, processes, formulas, source and object codes, data, programs, other works of authorship, know-how, improvements, discoveries, developments, designs and techniques and any other proprietary technology and all Proprietary Rights therein (hereinafter collectively referred to as “</w:t>
      </w:r>
      <w:r>
        <w:rPr>
          <w:rFonts w:ascii="Arial" w:cs="Arial" w:eastAsia="Arial" w:hAnsi="Arial"/>
          <w:sz w:val="18"/>
          <w:szCs w:val="18"/>
          <w:b w:val="1"/>
          <w:bCs w:val="1"/>
          <w:color w:val="auto"/>
        </w:rPr>
        <w:t>Inventions</w:t>
      </w:r>
      <w:r>
        <w:rPr>
          <w:rFonts w:ascii="Arial" w:cs="Arial" w:eastAsia="Arial" w:hAnsi="Arial"/>
          <w:sz w:val="18"/>
          <w:szCs w:val="18"/>
          <w:color w:val="auto"/>
        </w:rPr>
        <w:t>”); (b) information regarding research, development, new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methods of conducting Company business, suppliers and supplier information, and purchasing; (c) information regarding customers and potential customers of the Company, including customer lists, names, representatives, their needs or desires with respect to the types of products or services offered by the Company, proposals, bids, contracts and their contents and parties, the type and quantity of products and services provided or sought to be provided to customers and potential customers of the Company and other non-public information relating to customers and potential customers; (d) information regarding any of the Company’s business partners and their services, including names; representatives, proposals, bids, contracts and their contents and parties, the type and quantity of products and services received by the Company, and other non-public information relating to business partners; (e) information regarding personnel, employee 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compensation, and employee skills; and (f) any other non-public information which a competitor of the Company could use to the competitive disadvantage of the Company. Notwithstanding the foregoing, it is understood that, at all such times, I am free to use information which is generally known in the trade or industry through no breach of this agreement or other act or omission by me, and I am free to discuss the terms and conditions of my employment with others to the extent permitted by law.</w:t>
      </w:r>
    </w:p>
    <w:p>
      <w:pPr>
        <w:spacing w:after="0" w:line="15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b w:val="1"/>
          <w:bCs w:val="1"/>
          <w:color w:val="auto"/>
        </w:rPr>
        <w:t xml:space="preserve">1.3 Third Party Information. </w:t>
      </w:r>
      <w:r>
        <w:rPr>
          <w:rFonts w:ascii="Arial" w:cs="Arial" w:eastAsia="Arial" w:hAnsi="Arial"/>
          <w:sz w:val="18"/>
          <w:szCs w:val="18"/>
          <w:color w:val="auto"/>
        </w:rPr>
        <w:t>I understand, in addition, that the Company has received and in the future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third parties their confidential and/or proprietary knowledge, data, or information (“</w:t>
      </w:r>
      <w:r>
        <w:rPr>
          <w:rFonts w:ascii="Arial" w:cs="Arial" w:eastAsia="Arial" w:hAnsi="Arial"/>
          <w:sz w:val="18"/>
          <w:szCs w:val="18"/>
          <w:b w:val="1"/>
          <w:bCs w:val="1"/>
          <w:color w:val="auto"/>
        </w:rPr>
        <w:t>Third Party Information</w:t>
      </w:r>
      <w:r>
        <w:rPr>
          <w:rFonts w:ascii="Arial" w:cs="Arial" w:eastAsia="Arial" w:hAnsi="Arial"/>
          <w:sz w:val="18"/>
          <w:szCs w:val="18"/>
          <w:color w:val="auto"/>
        </w:rPr>
        <w:t>”). During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13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b w:val="1"/>
          <w:bCs w:val="1"/>
          <w:color w:val="auto"/>
        </w:rPr>
        <w:t xml:space="preserve">1.4 Term of Nondisclosure Restrictions. </w:t>
      </w:r>
      <w:r>
        <w:rPr>
          <w:rFonts w:ascii="Arial" w:cs="Arial" w:eastAsia="Arial" w:hAnsi="Arial"/>
          <w:sz w:val="18"/>
          <w:szCs w:val="18"/>
          <w:color w:val="auto"/>
        </w:rPr>
        <w:t>I understand that Proprietary Information and Third Party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never to be used or disclosed by me, as provided in this Section 1. If, however, a court decides that this Section 1 or any of its provisions is unenforceable for lack of reasonable temporal limitation and the Agreement or its restriction(s) cannot otherwise be enforced, I agree and the Company agrees that the two (2) year period after the date my employment ends shall be the temporal limitation relevant to the contested restriction, provided, however, that this sentence shall not apply to trade secrets protected without temporal limitation under applicable law.</w:t>
      </w:r>
    </w:p>
    <w:p>
      <w:pPr>
        <w:spacing w:after="0" w:line="14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1.5 No Improper Use of Information of Prior Employers and Others. </w:t>
      </w:r>
      <w:r>
        <w:rPr>
          <w:rFonts w:ascii="Arial" w:cs="Arial" w:eastAsia="Arial" w:hAnsi="Arial"/>
          <w:sz w:val="18"/>
          <w:szCs w:val="18"/>
          <w:color w:val="auto"/>
        </w:rPr>
        <w:t>During my employment by the Company I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w:t>
      </w:r>
    </w:p>
    <w:p>
      <w:pPr>
        <w:spacing w:after="0" w:line="132"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INVENTIONS.</w:t>
      </w:r>
    </w:p>
    <w:p>
      <w:pPr>
        <w:spacing w:after="0" w:line="17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color w:val="auto"/>
        </w:rPr>
        <w:t xml:space="preserve">2.1 Proprietary Rights. </w:t>
      </w:r>
      <w:r>
        <w:rPr>
          <w:rFonts w:ascii="Arial" w:cs="Arial" w:eastAsia="Arial" w:hAnsi="Arial"/>
          <w:sz w:val="18"/>
          <w:szCs w:val="18"/>
          <w:color w:val="auto"/>
        </w:rPr>
        <w:t>The term“</w:t>
      </w:r>
      <w:r>
        <w:rPr>
          <w:rFonts w:ascii="Arial" w:cs="Arial" w:eastAsia="Arial" w:hAnsi="Arial"/>
          <w:sz w:val="18"/>
          <w:szCs w:val="18"/>
          <w:b w:val="1"/>
          <w:bCs w:val="1"/>
          <w:color w:val="auto"/>
        </w:rPr>
        <w:t>Proprietary Rights</w:t>
      </w:r>
      <w:r>
        <w:rPr>
          <w:rFonts w:ascii="Arial" w:cs="Arial" w:eastAsia="Arial" w:hAnsi="Arial"/>
          <w:sz w:val="18"/>
          <w:szCs w:val="18"/>
          <w:color w:val="auto"/>
        </w:rPr>
        <w:t>” shall mean all trade secrets, patents, copyrights, trade marks,</w:t>
      </w:r>
      <w:r>
        <w:rPr>
          <w:rFonts w:ascii="Arial" w:cs="Arial" w:eastAsia="Arial" w:hAnsi="Arial"/>
          <w:sz w:val="18"/>
          <w:szCs w:val="18"/>
          <w:b w:val="1"/>
          <w:bCs w:val="1"/>
          <w:color w:val="auto"/>
        </w:rPr>
        <w:t xml:space="preserve"> </w:t>
      </w:r>
      <w:r>
        <w:rPr>
          <w:rFonts w:ascii="Arial" w:cs="Arial" w:eastAsia="Arial" w:hAnsi="Arial"/>
          <w:sz w:val="18"/>
          <w:szCs w:val="18"/>
          <w:color w:val="auto"/>
        </w:rPr>
        <w:t>mask works and other intellectual property rights throughout the world.</w:t>
      </w:r>
    </w:p>
    <w:p>
      <w:pPr>
        <w:spacing w:after="0" w:line="10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b w:val="1"/>
          <w:bCs w:val="1"/>
          <w:color w:val="auto"/>
        </w:rPr>
        <w:t xml:space="preserve">2.2 Prior Inventions. </w:t>
      </w:r>
      <w:r>
        <w:rPr>
          <w:rFonts w:ascii="Arial" w:cs="Arial" w:eastAsia="Arial" w:hAnsi="Arial"/>
          <w:sz w:val="18"/>
          <w:szCs w:val="18"/>
          <w:color w:val="auto"/>
        </w:rPr>
        <w:t>Inventions, if any, patented or unpatented, which I made prior to the commencement of my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are excluded from the scope of this Agreement. To preclude any possible uncertainty, I have set forth on </w:t>
      </w:r>
      <w:r>
        <w:rPr>
          <w:rFonts w:ascii="Arial" w:cs="Arial" w:eastAsia="Arial" w:hAnsi="Arial"/>
          <w:sz w:val="18"/>
          <w:szCs w:val="18"/>
          <w:i w:val="1"/>
          <w:iCs w:val="1"/>
          <w:color w:val="auto"/>
        </w:rPr>
        <w:t>Exhibit 1</w:t>
      </w:r>
      <w:r>
        <w:rPr>
          <w:rFonts w:ascii="Arial" w:cs="Arial" w:eastAsia="Arial" w:hAnsi="Arial"/>
          <w:sz w:val="18"/>
          <w:szCs w:val="18"/>
          <w:color w:val="auto"/>
        </w:rPr>
        <w:t xml:space="preserve"> (Previous Inventions) attached hereto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referred to as “</w:t>
      </w:r>
      <w:r>
        <w:rPr>
          <w:rFonts w:ascii="Arial" w:cs="Arial" w:eastAsia="Arial" w:hAnsi="Arial"/>
          <w:sz w:val="18"/>
          <w:szCs w:val="18"/>
          <w:b w:val="1"/>
          <w:bCs w:val="1"/>
          <w:color w:val="auto"/>
        </w:rPr>
        <w:t>Prior Inventions</w:t>
      </w:r>
      <w:r>
        <w:rPr>
          <w:rFonts w:ascii="Arial" w:cs="Arial" w:eastAsia="Arial" w:hAnsi="Arial"/>
          <w:sz w:val="18"/>
          <w:szCs w:val="18"/>
          <w:color w:val="auto"/>
        </w:rPr>
        <w:t xml:space="preserve">”). If disclosure of any such Prior Invention would cause me to violate any prior confidentiality agreement, I understand that I am not to list such Prior Inventions in </w:t>
      </w:r>
      <w:r>
        <w:rPr>
          <w:rFonts w:ascii="Arial" w:cs="Arial" w:eastAsia="Arial" w:hAnsi="Arial"/>
          <w:sz w:val="18"/>
          <w:szCs w:val="18"/>
          <w:i w:val="1"/>
          <w:iCs w:val="1"/>
          <w:color w:val="auto"/>
        </w:rPr>
        <w:t>Exhibit 1</w:t>
      </w:r>
      <w:r>
        <w:rPr>
          <w:rFonts w:ascii="Arial" w:cs="Arial" w:eastAsia="Arial" w:hAnsi="Arial"/>
          <w:sz w:val="18"/>
          <w:szCs w:val="18"/>
          <w:color w:val="auto"/>
        </w:rPr>
        <w:t xml:space="preserve"> but am only to disclose a cursory name for each such invention, a listing of the party(ies) to whom it belongs and the fact that full disclosure as to such inventions has not been made for that reason. A space is provided on </w:t>
      </w:r>
      <w:r>
        <w:rPr>
          <w:rFonts w:ascii="Arial" w:cs="Arial" w:eastAsia="Arial" w:hAnsi="Arial"/>
          <w:sz w:val="18"/>
          <w:szCs w:val="18"/>
          <w:i w:val="1"/>
          <w:iCs w:val="1"/>
          <w:color w:val="auto"/>
        </w:rPr>
        <w:t>Exhibit 1</w:t>
      </w:r>
      <w:r>
        <w:rPr>
          <w:rFonts w:ascii="Arial" w:cs="Arial" w:eastAsia="Arial" w:hAnsi="Arial"/>
          <w:sz w:val="18"/>
          <w:szCs w:val="18"/>
          <w:color w:val="auto"/>
        </w:rPr>
        <w:t xml:space="preserve"> for such purpose. If no such disclosure is attached, I represent that there are no Prior Inventions. If, in the course of my employment with the Company, I incorporate a Prior Invention into a Company product, process or machine, the Company is hereby granted and shall have a nonexclusive, royalty-free, irrevocable, perpetual, fully-paid, worldwide license (with rights to sublicense through multiple tiers of sublicensees) to make, have made, modify, make derivative works of, publicly perform, publicly perform, use, sell, import, and exercise any and all present and future rights in such Prior Invention. Notwithstanding the foregoing, I agree that I will not incorporate, or permit to be incorporated, Prior Inventions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Company Inventions without the Company's prior written consent.</w:t>
      </w:r>
    </w:p>
    <w:p>
      <w:pPr>
        <w:spacing w:after="0" w:line="16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b w:val="1"/>
          <w:bCs w:val="1"/>
          <w:color w:val="auto"/>
        </w:rPr>
        <w:t xml:space="preserve">2.3 Assignment of Inventions. </w:t>
      </w:r>
      <w:r>
        <w:rPr>
          <w:rFonts w:ascii="Arial" w:cs="Arial" w:eastAsia="Arial" w:hAnsi="Arial"/>
          <w:sz w:val="18"/>
          <w:szCs w:val="18"/>
          <w:color w:val="auto"/>
        </w:rPr>
        <w:t>Subject to Subsections 2.4 and 2.6, I hereby assign and agree to assign in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such Inventions or Proprietary Rights are first reduced to practice or first fixed in a tangible medium, as applicable) to the Company all my right, title and interest in and to any and all Inventions (and all Proprietary Rights with respect thereto) whether or not patentable or registrable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w:t>
      </w:r>
      <w:r>
        <w:rPr>
          <w:rFonts w:ascii="Arial" w:cs="Arial" w:eastAsia="Arial" w:hAnsi="Arial"/>
          <w:sz w:val="18"/>
          <w:szCs w:val="18"/>
          <w:b w:val="1"/>
          <w:bCs w:val="1"/>
          <w:color w:val="auto"/>
        </w:rPr>
        <w:t>Company Inventions</w:t>
      </w:r>
      <w:r>
        <w:rPr>
          <w:rFonts w:ascii="Arial" w:cs="Arial" w:eastAsia="Arial" w:hAnsi="Arial"/>
          <w:sz w:val="18"/>
          <w:szCs w:val="18"/>
          <w:color w:val="auto"/>
        </w:rPr>
        <w:t>.”</w:t>
      </w:r>
    </w:p>
    <w:p>
      <w:pPr>
        <w:spacing w:after="0" w:line="13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2.4 Unassigned or Nonassignable Inventions. </w:t>
      </w:r>
      <w:r>
        <w:rPr>
          <w:rFonts w:ascii="Arial" w:cs="Arial" w:eastAsia="Arial" w:hAnsi="Arial"/>
          <w:sz w:val="18"/>
          <w:szCs w:val="18"/>
          <w:color w:val="auto"/>
        </w:rPr>
        <w:t>I recognize that this Agreement will not be deemed to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any Invention that I developed entirely on my own time without using the Company’s equipment, supplies, facilities, trade secrets, or Proprietary Information, except for those Inventions that either (i) relate to the Company’s actual or anticipated business, research or development, or (ii) result from or are connected with work performed by me for the Company. In addition, this Agreement does not apply to any Invention which qualifies fully for protection from assignment to the Company under any specifically applicable state law, regulation, rule, or public policy (“</w:t>
      </w:r>
      <w:r>
        <w:rPr>
          <w:rFonts w:ascii="Arial" w:cs="Arial" w:eastAsia="Arial" w:hAnsi="Arial"/>
          <w:sz w:val="18"/>
          <w:szCs w:val="18"/>
          <w:b w:val="1"/>
          <w:bCs w:val="1"/>
          <w:color w:val="auto"/>
        </w:rPr>
        <w:t>Specific Inventions Law</w:t>
      </w:r>
      <w:r>
        <w:rPr>
          <w:rFonts w:ascii="Arial" w:cs="Arial" w:eastAsia="Arial" w:hAnsi="Arial"/>
          <w:sz w:val="18"/>
          <w:szCs w:val="18"/>
          <w:color w:val="auto"/>
        </w:rPr>
        <w:t>”).</w:t>
      </w:r>
    </w:p>
    <w:p>
      <w:pPr>
        <w:spacing w:after="0" w:line="12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b w:val="1"/>
          <w:bCs w:val="1"/>
          <w:color w:val="auto"/>
        </w:rPr>
        <w:t xml:space="preserve">2.5 Obligation to Keep Company Informed. </w:t>
      </w:r>
      <w:r>
        <w:rPr>
          <w:rFonts w:ascii="Arial" w:cs="Arial" w:eastAsia="Arial" w:hAnsi="Arial"/>
          <w:sz w:val="18"/>
          <w:szCs w:val="18"/>
          <w:color w:val="auto"/>
        </w:rPr>
        <w:t>During the period of my employment and for six (6) months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At the time of each such disclosure, I will advise the Company in writing of any Inventions that I believe fully qualify for protection under the provisions of a Specific Inventions Law; and I will at that time provide to the Company in writing all evidence necessary to substantiate that belief. The Company will keep in confidence and will not use for any purpose or disclose to third parties without my consent any confidential information disclosed in writing to the Company pursuant to this Agreement relating to Inventions that qualify fully for protection under a Specific Inventions Law. I will preserve the confidentiality of any Invention that does not fully qualify for protection under a Specific Inventions Law.</w:t>
      </w:r>
    </w:p>
    <w:p>
      <w:pPr>
        <w:spacing w:after="0" w:line="13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color w:val="auto"/>
        </w:rPr>
        <w:t xml:space="preserve">2.6 Government or Third Party. </w:t>
      </w:r>
      <w:r>
        <w:rPr>
          <w:rFonts w:ascii="Arial" w:cs="Arial" w:eastAsia="Arial" w:hAnsi="Arial"/>
          <w:sz w:val="18"/>
          <w:szCs w:val="18"/>
          <w:color w:val="auto"/>
        </w:rPr>
        <w:t>I also agree to assign all my right, title and interest in and to any particular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 to a third party, including without limitation the United States, as directed by the Company.</w:t>
      </w:r>
    </w:p>
    <w:p>
      <w:pPr>
        <w:spacing w:after="0" w:line="11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2.7 Works for Hire. </w:t>
      </w:r>
      <w:r>
        <w:rPr>
          <w:rFonts w:ascii="Arial" w:cs="Arial" w:eastAsia="Arial" w:hAnsi="Arial"/>
          <w:sz w:val="18"/>
          <w:szCs w:val="18"/>
          <w:color w:val="auto"/>
        </w:rPr>
        <w:t>I acknowledge that all original works of authorship which are made by me (solely or jointly with</w:t>
      </w:r>
      <w:r>
        <w:rPr>
          <w:rFonts w:ascii="Arial" w:cs="Arial" w:eastAsia="Arial" w:hAnsi="Arial"/>
          <w:sz w:val="18"/>
          <w:szCs w:val="18"/>
          <w:b w:val="1"/>
          <w:bCs w:val="1"/>
          <w:color w:val="auto"/>
        </w:rPr>
        <w:t xml:space="preserve"> </w:t>
      </w:r>
      <w:r>
        <w:rPr>
          <w:rFonts w:ascii="Arial" w:cs="Arial" w:eastAsia="Arial" w:hAnsi="Arial"/>
          <w:sz w:val="18"/>
          <w:szCs w:val="18"/>
          <w:color w:val="auto"/>
        </w:rPr>
        <w:t>others) within the scope of my employment and which are protectable by copyright are “works made for hire,” pursuant to United States Copyright Act (17 U.S.C., Section 101).</w:t>
      </w:r>
    </w:p>
    <w:p>
      <w:pPr>
        <w:spacing w:after="0" w:line="12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b w:val="1"/>
          <w:bCs w:val="1"/>
          <w:color w:val="auto"/>
        </w:rPr>
        <w:t xml:space="preserve">2.8 Enforcement of Proprietary Rights. </w:t>
      </w:r>
      <w:r>
        <w:rPr>
          <w:rFonts w:ascii="Arial" w:cs="Arial" w:eastAsia="Arial" w:hAnsi="Arial"/>
          <w:sz w:val="18"/>
          <w:szCs w:val="18"/>
          <w:color w:val="auto"/>
        </w:rPr>
        <w:t>I will assist the Company in every proper way to obtain,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 In the event the Company is unable for any reason, after reasonable effort, to secure my signature on any document needed in connection with the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704215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w:t>
      </w:r>
    </w:p>
    <w:p>
      <w:pPr>
        <w:spacing w:after="0" w:line="131" w:lineRule="exact"/>
        <w:rPr>
          <w:sz w:val="20"/>
          <w:szCs w:val="20"/>
          <w:color w:val="auto"/>
        </w:rPr>
      </w:pPr>
    </w:p>
    <w:p>
      <w:pPr>
        <w:jc w:val="both"/>
        <w:ind w:firstLine="8"/>
        <w:spacing w:after="0" w:line="249" w:lineRule="auto"/>
        <w:tabs>
          <w:tab w:leader="none" w:pos="64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in any other form that 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40" w:lineRule="exact"/>
        <w:rPr>
          <w:rFonts w:ascii="Arial" w:cs="Arial" w:eastAsia="Arial" w:hAnsi="Arial"/>
          <w:sz w:val="18"/>
          <w:szCs w:val="18"/>
          <w:b w:val="1"/>
          <w:bCs w:val="1"/>
          <w:color w:val="auto"/>
        </w:rPr>
      </w:pPr>
    </w:p>
    <w:p>
      <w:pPr>
        <w:jc w:val="both"/>
        <w:ind w:firstLine="8"/>
        <w:spacing w:after="0" w:line="256" w:lineRule="auto"/>
        <w:tabs>
          <w:tab w:leader="none" w:pos="64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DUTY OF LOYALTY DURING EMPLOYMENT. </w:t>
      </w:r>
      <w:r>
        <w:rPr>
          <w:rFonts w:ascii="Arial" w:cs="Arial" w:eastAsia="Arial" w:hAnsi="Arial"/>
          <w:sz w:val="18"/>
          <w:szCs w:val="18"/>
          <w:color w:val="auto"/>
        </w:rPr>
        <w:t>I agree that during the period of my employment by the Company I</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without the Company's express written consent, directly or indirectly engage in any employment or business activity which is directly or indirectly competitive with, or would otherwise conflict with, my employment by the Company.</w:t>
      </w:r>
    </w:p>
    <w:p>
      <w:pPr>
        <w:spacing w:after="0" w:line="120" w:lineRule="exact"/>
        <w:rPr>
          <w:rFonts w:ascii="Arial" w:cs="Arial" w:eastAsia="Arial" w:hAnsi="Arial"/>
          <w:sz w:val="18"/>
          <w:szCs w:val="18"/>
          <w:b w:val="1"/>
          <w:bCs w:val="1"/>
          <w:color w:val="auto"/>
        </w:rPr>
      </w:pPr>
    </w:p>
    <w:p>
      <w:pPr>
        <w:jc w:val="both"/>
        <w:ind w:firstLine="8"/>
        <w:spacing w:after="0" w:line="245" w:lineRule="auto"/>
        <w:tabs>
          <w:tab w:leader="none" w:pos="64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SOLICITATION OF EMPLOYEES, CONSULTANTS, CONTRACTORS, OR CUSTOMERS OR POTENTIAL CUSTOMERS. </w:t>
      </w:r>
      <w:r>
        <w:rPr>
          <w:rFonts w:ascii="Arial" w:cs="Arial" w:eastAsia="Arial" w:hAnsi="Arial"/>
          <w:sz w:val="18"/>
          <w:szCs w:val="18"/>
          <w:color w:val="auto"/>
        </w:rPr>
        <w:t>I agree that during the period of my employment and for the one (1) year period after the date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ends for any reason, including but not limited to voluntary termination by me or involuntary termination by the Company, I will not, as an officer, director, employee, consultant, owner, partner, or in any other capacity, either directly or through others, except on behalf of the Company:</w:t>
      </w:r>
    </w:p>
    <w:p>
      <w:pPr>
        <w:spacing w:after="0" w:line="13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solicit, induce, encourage, or participate in soliciting, inducing, or encouraging any employee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his or her relationship with the Company;</w:t>
      </w:r>
    </w:p>
    <w:p>
      <w:pPr>
        <w:spacing w:after="0" w:line="11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hire, employ, or engage in business with or attempt to hire, employ, or engage in business with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the Company or who has left the employment of the Company within the preceding three (3) months or discuss any potential employment or business association with such person, even if I did not initiate the discussion or seek out the contact; or</w:t>
      </w:r>
    </w:p>
    <w:p>
      <w:pPr>
        <w:spacing w:after="0" w:line="12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solicit, induce or attempt to induce any Customer or Potential Customer, or any consultant or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with whom I had direct or indirect contact or whose identity I learned as a result of my employment with the Company, to terminate, diminish, or materially alter in a manner harmful to the Company its relationship with the Company. The parties agree that for purposes of this Agreement, a “</w:t>
      </w:r>
      <w:r>
        <w:rPr>
          <w:rFonts w:ascii="Arial" w:cs="Arial" w:eastAsia="Arial" w:hAnsi="Arial"/>
          <w:sz w:val="18"/>
          <w:szCs w:val="18"/>
          <w:b w:val="1"/>
          <w:bCs w:val="1"/>
          <w:i w:val="1"/>
          <w:iCs w:val="1"/>
          <w:color w:val="auto"/>
        </w:rPr>
        <w:t>Customer or Potential Customer</w:t>
      </w:r>
      <w:r>
        <w:rPr>
          <w:rFonts w:ascii="Arial" w:cs="Arial" w:eastAsia="Arial" w:hAnsi="Arial"/>
          <w:sz w:val="18"/>
          <w:szCs w:val="18"/>
          <w:color w:val="auto"/>
        </w:rPr>
        <w:t>” is any person or entity who or which, at any time during the one (1) year prior to the date my employment with the Company ends, (i) contracted for, was billed for, or received from the Company any product, service or process with which I worked directly or indirectly during my employment by the Company or about which I acquired Proprietary Information; or (ii) was in contact with me or in contact with any other employee, owner, or agent of the Company, of which contact I was or should have been aware, concerning any product, service or process with which I worked directly or indirectly during my employment with the Company or about which I acquired Proprietary Information; or (iii) was solicited by the Company in an effort in which I was involved or of which I was or should have been aware.</w:t>
      </w:r>
    </w:p>
    <w:p>
      <w:pPr>
        <w:spacing w:after="0" w:line="136" w:lineRule="exact"/>
        <w:rPr>
          <w:sz w:val="20"/>
          <w:szCs w:val="20"/>
          <w:color w:val="auto"/>
        </w:rPr>
      </w:pPr>
    </w:p>
    <w:p>
      <w:pPr>
        <w:jc w:val="both"/>
        <w:ind w:firstLine="8"/>
        <w:spacing w:after="0" w:line="243" w:lineRule="auto"/>
        <w:tabs>
          <w:tab w:leader="none" w:pos="64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NON-COMPETE PROVISION</w:t>
      </w:r>
      <w:r>
        <w:rPr>
          <w:rFonts w:ascii="Arial" w:cs="Arial" w:eastAsia="Arial" w:hAnsi="Arial"/>
          <w:sz w:val="18"/>
          <w:szCs w:val="18"/>
          <w:color w:val="auto"/>
        </w:rPr>
        <w:t>. I agree that during the period of my employment and for the one (1) year period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my employment ends for any reason, including but not limited to voluntary termination by me or involuntary termination by the Company, I will not within the United States or any other geographic region in which the Company conducts its business, and in any capacity, whether individually or as an employee, consultant, director, officer, agent, advisor or otherwise for or on behalf of any entity (a “</w:t>
      </w:r>
      <w:r>
        <w:rPr>
          <w:rFonts w:ascii="Arial" w:cs="Arial" w:eastAsia="Arial" w:hAnsi="Arial"/>
          <w:sz w:val="18"/>
          <w:szCs w:val="18"/>
          <w:b w:val="1"/>
          <w:bCs w:val="1"/>
          <w:i w:val="1"/>
          <w:iCs w:val="1"/>
          <w:color w:val="auto"/>
        </w:rPr>
        <w:t>Competing Organization</w:t>
      </w:r>
      <w:r>
        <w:rPr>
          <w:rFonts w:ascii="Arial" w:cs="Arial" w:eastAsia="Arial" w:hAnsi="Arial"/>
          <w:sz w:val="18"/>
          <w:szCs w:val="18"/>
          <w:color w:val="auto"/>
        </w:rPr>
        <w:t>”) engage in any business activities that are competitive with the products or services offered or being provided by the Company or being actively developed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588645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Company during my employment. Notwithstanding the foregoing, this restriction under Section 6 shall not apply if my duties at such Competing Organization do not relate to the development, marketing or sale (or related strategies) of any product or service offered or provided by the Company or being actively developed by the Company; provided that I have delivered to the Company a written statement, confirmed by my prospective employer or consulting client, as the case may be, describing my duties and stating that such duties are consistent with my obligations under this Agreement. If any court of competent jurisdiction shall at any time deem the duration or the geographic scope of any of the provisions of this Section 6 unenforceable, the other provisions of this Section 6 shall nevertheless stand, and the duration and/or geographic scope set forth herein shall be deemed to be the longest period and/or greatest size permissible by law under the circumstances, and the parties hereto agree that such court shall reduce the time period and/or geographic scope to permissible duration or size.</w:t>
      </w:r>
    </w:p>
    <w:p>
      <w:pPr>
        <w:spacing w:after="0" w:line="13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REASONABLENESS OF RESTRICTIONS.</w:t>
      </w:r>
    </w:p>
    <w:p>
      <w:pPr>
        <w:spacing w:after="0" w:line="18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I agree that I have read this entire Agreement and understand it. I agree that this Agreement does not prevent me</w:t>
      </w:r>
      <w:r>
        <w:rPr>
          <w:rFonts w:ascii="Arial" w:cs="Arial" w:eastAsia="Arial" w:hAnsi="Arial"/>
          <w:sz w:val="18"/>
          <w:szCs w:val="18"/>
          <w:b w:val="1"/>
          <w:bCs w:val="1"/>
          <w:color w:val="auto"/>
        </w:rPr>
        <w:t xml:space="preserve"> </w:t>
      </w:r>
      <w:r>
        <w:rPr>
          <w:rFonts w:ascii="Arial" w:cs="Arial" w:eastAsia="Arial" w:hAnsi="Arial"/>
          <w:sz w:val="18"/>
          <w:szCs w:val="18"/>
          <w:color w:val="auto"/>
        </w:rPr>
        <w:t>from earning a living or pursuing my career. I agree that the restrictions contained in this Agreement are reasonable, proper, and necessitated by the Company’s legitimate business interests. I represent and agree that I am entering into this Agreement freely and with knowledge of its contents with the intent to be bound by the Agreement and the restrictions contained in it.</w:t>
      </w:r>
    </w:p>
    <w:p>
      <w:pPr>
        <w:spacing w:after="0" w:line="13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In the event that a court finds this Agreement, or any of its restrictions, to be ambiguous, unenforceable, or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I and the Company agree that the court shall read the Agreement as a whole and interpret the restriction(s) at issue to be enforceable and valid to the maximum extent allowed by law.</w:t>
      </w:r>
    </w:p>
    <w:p>
      <w:pPr>
        <w:spacing w:after="0" w:line="121" w:lineRule="exact"/>
        <w:rPr>
          <w:sz w:val="20"/>
          <w:szCs w:val="20"/>
          <w:color w:val="auto"/>
        </w:rPr>
      </w:pPr>
    </w:p>
    <w:p>
      <w:pPr>
        <w:ind w:right="160" w:firstLine="8"/>
        <w:spacing w:after="0" w:line="249" w:lineRule="auto"/>
        <w:tabs>
          <w:tab w:leader="none" w:pos="648"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CONFLICTING AGREEMENT OR OBLIGATION. </w:t>
      </w:r>
      <w:r>
        <w:rPr>
          <w:rFonts w:ascii="Arial" w:cs="Arial" w:eastAsia="Arial" w:hAnsi="Arial"/>
          <w:sz w:val="18"/>
          <w:szCs w:val="18"/>
          <w:color w:val="auto"/>
        </w:rPr>
        <w:t>I represent that my performance of all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w:t>
      </w:r>
    </w:p>
    <w:p>
      <w:pPr>
        <w:spacing w:after="0" w:line="140" w:lineRule="exact"/>
        <w:rPr>
          <w:rFonts w:ascii="Arial" w:cs="Arial" w:eastAsia="Arial" w:hAnsi="Arial"/>
          <w:sz w:val="18"/>
          <w:szCs w:val="18"/>
          <w:b w:val="1"/>
          <w:bCs w:val="1"/>
          <w:color w:val="auto"/>
        </w:rPr>
      </w:pPr>
    </w:p>
    <w:p>
      <w:pPr>
        <w:jc w:val="both"/>
        <w:ind w:firstLine="8"/>
        <w:spacing w:after="0" w:line="242" w:lineRule="auto"/>
        <w:tabs>
          <w:tab w:leader="none" w:pos="648"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COMPANY PROPERTY. </w:t>
      </w:r>
      <w:r>
        <w:rPr>
          <w:rFonts w:ascii="Arial" w:cs="Arial" w:eastAsia="Arial" w:hAnsi="Arial"/>
          <w:sz w:val="18"/>
          <w:szCs w:val="18"/>
          <w:color w:val="auto"/>
        </w:rPr>
        <w:t>When I leave the employ of the Company, I will deliver to the Company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 if requested to do so by the Company.</w:t>
      </w:r>
    </w:p>
    <w:p>
      <w:pPr>
        <w:spacing w:after="0" w:line="132" w:lineRule="exact"/>
        <w:rPr>
          <w:rFonts w:ascii="Arial" w:cs="Arial" w:eastAsia="Arial" w:hAnsi="Arial"/>
          <w:sz w:val="18"/>
          <w:szCs w:val="18"/>
          <w:b w:val="1"/>
          <w:bCs w:val="1"/>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LEGAL AND EQUITABLE REMEDIES.</w:t>
      </w:r>
    </w:p>
    <w:p>
      <w:pPr>
        <w:spacing w:after="0" w:line="171"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I agree that it may be impossible to assess the damages caused by my violation of this Agreement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I agree that any threatened or actual violation of this Agreement or any of its terms will constitute immediate and irreparable injury to the Company and the Company shall have the right to enforce this Agreement and any of its provisions by injunction, specific performance or other equitable relief, without bond and without prejudice to any other rights and remedies that the Company may have for a breach or threatened breach of this Agreement.</w:t>
      </w:r>
    </w:p>
    <w:p>
      <w:pPr>
        <w:spacing w:after="0" w:line="14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 agree that if the Company is successful in whole or in part in any legal or equitable action against me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shall be entitled to payment of all costs, including reasonable attorney’s fees, from me.</w:t>
      </w:r>
    </w:p>
    <w:p>
      <w:pPr>
        <w:spacing w:after="0" w:line="101" w:lineRule="exact"/>
        <w:rPr>
          <w:sz w:val="20"/>
          <w:szCs w:val="20"/>
          <w:color w:val="auto"/>
        </w:rPr>
      </w:pPr>
    </w:p>
    <w:p>
      <w:pPr>
        <w:jc w:val="both"/>
        <w:ind w:right="20" w:firstLine="324"/>
        <w:spacing w:after="0" w:line="278"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In the event the Company enforces this Agreement through a court order, I agree that the restrictions of 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and 6 shall remain in effect for a period of twelve (12) months from the effective date of the Order enforcing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680085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6" w:lineRule="auto"/>
        <w:tabs>
          <w:tab w:leader="none" w:pos="64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required or permitted hereunder shall be given to the appropriate party at the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below or at such other address as the party shall specify in writing. Such notice shall be deemed given upon personal delivery to the appropriate address or if sent by certified or registered mail, three (3) days after the date of mailing.</w:t>
      </w:r>
    </w:p>
    <w:p>
      <w:pPr>
        <w:spacing w:after="0" w:line="120" w:lineRule="exact"/>
        <w:rPr>
          <w:rFonts w:ascii="Arial" w:cs="Arial" w:eastAsia="Arial" w:hAnsi="Arial"/>
          <w:sz w:val="18"/>
          <w:szCs w:val="18"/>
          <w:b w:val="1"/>
          <w:bCs w:val="1"/>
          <w:color w:val="auto"/>
        </w:rPr>
      </w:pPr>
    </w:p>
    <w:p>
      <w:pPr>
        <w:ind w:right="520" w:firstLine="8"/>
        <w:spacing w:after="0" w:line="287" w:lineRule="auto"/>
        <w:tabs>
          <w:tab w:leader="none" w:pos="64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PUBLICATION OF THIS AGREEMENT TO SUBSEQUENT EMPLOYERS OR BUSINESS ASSOCIATES OF EMPLOYEE.</w:t>
      </w:r>
    </w:p>
    <w:p>
      <w:pPr>
        <w:spacing w:after="0" w:line="9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If I am offered employment or the opportunity to enter into any business venture as owner, partner, consultant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capacity while the restrictions described in Section 5 and 6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spacing w:after="0" w:line="13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I agree to inform the Company of all employment and business ventures which I enter into while the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5 and 6 of this Agreement are in effect and I also authorize the Company to provide copies of this Agreement to my employer, partner, co-owner and/or others involved in managing the business with which I am employed or associated and to make such persons aware of my obligations under this Agreement.</w:t>
      </w:r>
    </w:p>
    <w:p>
      <w:pPr>
        <w:spacing w:after="0" w:line="127"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8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13.1 Governing Law; Consent to Personal Jurisdiction. </w:t>
      </w:r>
      <w:r>
        <w:rPr>
          <w:rFonts w:ascii="Arial" w:cs="Arial" w:eastAsia="Arial" w:hAnsi="Arial"/>
          <w:sz w:val="18"/>
          <w:szCs w:val="18"/>
          <w:color w:val="auto"/>
        </w:rPr>
        <w:t>This Agreement will be governed by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laws of the State of New York as such laws are applied to agreements entered into and to be performed entirely within New York between New York residents. I hereby expressly consent to the personal jurisdiction and venue of the state and federal courts located in the State of New York for any lawsuit filed there against me by Company arising from or related to this Agreement.</w:t>
      </w:r>
    </w:p>
    <w:p>
      <w:pPr>
        <w:spacing w:after="0" w:line="13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b w:val="1"/>
          <w:bCs w:val="1"/>
          <w:color w:val="auto"/>
        </w:rPr>
        <w:t xml:space="preserve">13.2 Severability. </w:t>
      </w:r>
      <w:r>
        <w:rPr>
          <w:rFonts w:ascii="Arial" w:cs="Arial" w:eastAsia="Arial" w:hAnsi="Arial"/>
          <w:sz w:val="18"/>
          <w:szCs w:val="18"/>
          <w:color w:val="auto"/>
        </w:rPr>
        <w:t>In case any one or more of the provisions, subsections, or sentences contained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3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13.3 Successors and Assigns. </w:t>
      </w:r>
      <w:r>
        <w:rPr>
          <w:rFonts w:ascii="Arial" w:cs="Arial" w:eastAsia="Arial" w:hAnsi="Arial"/>
          <w:sz w:val="18"/>
          <w:szCs w:val="18"/>
          <w:color w:val="auto"/>
        </w:rPr>
        <w:t>This Agreement is for my benefit and the benefit of the Company, its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parent corporations, subsidiaries, affiliates, and purchasers, and will be binding upon my heirs, executors, administrators and other legal representatives.</w:t>
      </w:r>
    </w:p>
    <w:p>
      <w:pPr>
        <w:spacing w:after="0" w:line="13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b w:val="1"/>
          <w:bCs w:val="1"/>
          <w:color w:val="auto"/>
        </w:rPr>
        <w:t xml:space="preserve">13.4 Survival. </w:t>
      </w:r>
      <w:r>
        <w:rPr>
          <w:rFonts w:ascii="Arial" w:cs="Arial" w:eastAsia="Arial" w:hAnsi="Arial"/>
          <w:sz w:val="18"/>
          <w:szCs w:val="18"/>
          <w:color w:val="auto"/>
        </w:rPr>
        <w:t>The provisions of this Agreement shall survive the termination of my employment, regardless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reason, and the assignment of this Agreement by the Company to any successor in interest or other assignee.</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13.5 Employment At-Will. </w:t>
      </w:r>
      <w:r>
        <w:rPr>
          <w:rFonts w:ascii="Arial" w:cs="Arial" w:eastAsia="Arial" w:hAnsi="Arial"/>
          <w:sz w:val="18"/>
          <w:szCs w:val="18"/>
          <w:color w:val="auto"/>
        </w:rPr>
        <w:t>I agree and understand that nothing in this Agreement shall change my at-will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status or confer any right with respect to continuation of employment by the Company, nor shall it interfere in any way with my right or the Company's right to terminate my employment at any time, with or without cause or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692785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13.6 Waiver. </w:t>
      </w:r>
      <w:r>
        <w:rPr>
          <w:rFonts w:ascii="Arial" w:cs="Arial" w:eastAsia="Arial" w:hAnsi="Arial"/>
          <w:sz w:val="18"/>
          <w:szCs w:val="18"/>
          <w:color w:val="auto"/>
        </w:rPr>
        <w:t>No waiver by the Company of any breach of this Agreement shall be a waiver of any preceding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breach. No waiver by the Company of any right under this Agreement shall be construed as a waiver of any other right. The Company shall not be required to give notice to enforce strict adherence to all terms of this Agreement.</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color w:val="auto"/>
        </w:rPr>
        <w:t>13.7 Advice of Counsel.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w:t>
      </w:r>
    </w:p>
    <w:p>
      <w:pPr>
        <w:spacing w:after="0" w:line="13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b w:val="1"/>
          <w:bCs w:val="1"/>
          <w:color w:val="auto"/>
        </w:rPr>
        <w:t xml:space="preserve">13.8 Entire Agreement. </w:t>
      </w:r>
      <w:r>
        <w:rPr>
          <w:rFonts w:ascii="Arial" w:cs="Arial" w:eastAsia="Arial" w:hAnsi="Arial"/>
          <w:sz w:val="18"/>
          <w:szCs w:val="18"/>
          <w:color w:val="auto"/>
        </w:rPr>
        <w:t>The obligations pursuant to Sections 1 and 2 (except Subsection 2.7)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any time during which I was previously engaged, or am in the future engaged, by the Company as a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699770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431800</wp:posOffset>
            </wp:positionV>
            <wp:extent cx="1097280" cy="8229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effective as of the first day of my provision of services to the Company.</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I HAVE READ THIS AGREEMENT CAREFULLY AND UNDERSTAND ITS TERMS. I HAVE COMPLETELY FILLED OUT EXHIBIT 1 TO THIS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Jennifer Bealer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31375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rPr>
          <w:sz w:val="20"/>
          <w:szCs w:val="20"/>
          <w:color w:val="auto"/>
        </w:rPr>
      </w:pPr>
      <w:r>
        <w:rPr>
          <w:rFonts w:ascii="Arial" w:cs="Arial" w:eastAsia="Arial" w:hAnsi="Arial"/>
          <w:sz w:val="18"/>
          <w:szCs w:val="18"/>
          <w:color w:val="auto"/>
        </w:rPr>
        <w:t>Jennifer Bealer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31375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9/10/2017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98"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b w:val="1"/>
          <w:bCs w:val="1"/>
          <w:color w:val="auto"/>
        </w:rPr>
        <w:t>ACCEPTED AND AGREED TO AS OF</w:t>
      </w:r>
      <w:r>
        <w:rPr>
          <w:sz w:val="20"/>
          <w:szCs w:val="20"/>
          <w:color w:val="auto"/>
        </w:rPr>
        <w:tab/>
      </w:r>
      <w:r>
        <w:rPr>
          <w:rFonts w:ascii="Arial" w:cs="Arial" w:eastAsia="Arial" w:hAnsi="Arial"/>
          <w:sz w:val="17"/>
          <w:szCs w:val="17"/>
          <w:color w:val="auto"/>
        </w:rPr>
        <w:t>9/8/2017</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12700</wp:posOffset>
            </wp:positionV>
            <wp:extent cx="9944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PROGYNY, INC.</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Cassandra Pratt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11430</wp:posOffset>
            </wp:positionV>
            <wp:extent cx="27686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Name: Cassandra Pratt</w:t>
      </w:r>
    </w:p>
    <w:p>
      <w:pPr>
        <w:spacing w:after="0" w:line="1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Director,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1440" w:right="127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928495" cy="7543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19284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April 19,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Lisa Greenbaum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Via DocuSign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Dear Lisa:</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Congratulations! You are joining a great team at Progyny, a leading fertility benefits company that combines service, science, technology and data to provide fertility solutions for self-insured employers.</w:t>
      </w:r>
    </w:p>
    <w:p>
      <w:pPr>
        <w:spacing w:after="0" w:line="143" w:lineRule="exact"/>
        <w:rPr>
          <w:sz w:val="20"/>
          <w:szCs w:val="20"/>
          <w:color w:val="auto"/>
        </w:rPr>
      </w:pPr>
    </w:p>
    <w:p>
      <w:pPr>
        <w:jc w:val="both"/>
        <w:ind w:left="20" w:hanging="11"/>
        <w:spacing w:after="0" w:line="249" w:lineRule="auto"/>
        <w:rPr>
          <w:sz w:val="20"/>
          <w:szCs w:val="20"/>
          <w:color w:val="auto"/>
        </w:rPr>
      </w:pPr>
      <w:r>
        <w:rPr>
          <w:rFonts w:ascii="Arial" w:cs="Arial" w:eastAsia="Arial" w:hAnsi="Arial"/>
          <w:sz w:val="18"/>
          <w:szCs w:val="18"/>
          <w:color w:val="auto"/>
        </w:rPr>
        <w:t xml:space="preserve">As part of that growth, it is my pleasure to offer you the position of </w:t>
      </w:r>
      <w:r>
        <w:rPr>
          <w:rFonts w:ascii="Arial" w:cs="Arial" w:eastAsia="Arial" w:hAnsi="Arial"/>
          <w:sz w:val="18"/>
          <w:szCs w:val="18"/>
          <w:b w:val="1"/>
          <w:bCs w:val="1"/>
          <w:color w:val="auto"/>
        </w:rPr>
        <w:t>Executive Vice President, Chief Client Officer</w:t>
      </w:r>
      <w:r>
        <w:rPr>
          <w:rFonts w:ascii="Arial" w:cs="Arial" w:eastAsia="Arial" w:hAnsi="Arial"/>
          <w:sz w:val="18"/>
          <w:szCs w:val="18"/>
          <w:color w:val="auto"/>
        </w:rPr>
        <w:t xml:space="preserve">. If you accept, your anticipated start date will be </w:t>
      </w:r>
      <w:r>
        <w:rPr>
          <w:rFonts w:ascii="Arial" w:cs="Arial" w:eastAsia="Arial" w:hAnsi="Arial"/>
          <w:sz w:val="18"/>
          <w:szCs w:val="18"/>
          <w:b w:val="1"/>
          <w:bCs w:val="1"/>
          <w:color w:val="auto"/>
        </w:rPr>
        <w:t>Monday, June 10, 2019</w:t>
      </w:r>
      <w:r>
        <w:rPr>
          <w:rFonts w:ascii="Arial" w:cs="Arial" w:eastAsia="Arial" w:hAnsi="Arial"/>
          <w:sz w:val="18"/>
          <w:szCs w:val="18"/>
          <w:color w:val="auto"/>
        </w:rPr>
        <w:t xml:space="preserve"> and you will report to </w:t>
      </w:r>
      <w:r>
        <w:rPr>
          <w:rFonts w:ascii="Arial" w:cs="Arial" w:eastAsia="Arial" w:hAnsi="Arial"/>
          <w:sz w:val="18"/>
          <w:szCs w:val="18"/>
          <w:b w:val="1"/>
          <w:bCs w:val="1"/>
          <w:color w:val="auto"/>
        </w:rPr>
        <w:t>David Schlanger, Chief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w:t>
      </w:r>
      <w:r>
        <w:rPr>
          <w:rFonts w:ascii="Arial" w:cs="Arial" w:eastAsia="Arial" w:hAnsi="Arial"/>
          <w:sz w:val="18"/>
          <w:szCs w:val="18"/>
          <w:color w:val="auto"/>
        </w:rPr>
        <w:t>. Your principal place of employment will be Progyny’s New York office. This letter confirms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our offer of employment.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an employee of Progyny you will receive the following compensation and benefits: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Base Compensation</w:t>
      </w:r>
      <w:r>
        <w:rPr>
          <w:rFonts w:ascii="Arial" w:cs="Arial" w:eastAsia="Arial" w:hAnsi="Arial"/>
          <w:sz w:val="18"/>
          <w:szCs w:val="18"/>
          <w:color w:val="auto"/>
        </w:rPr>
        <w:t>. Your annual salary will be</w:t>
      </w:r>
      <w:r>
        <w:rPr>
          <w:rFonts w:ascii="Arial" w:cs="Arial" w:eastAsia="Arial" w:hAnsi="Arial"/>
          <w:sz w:val="18"/>
          <w:szCs w:val="18"/>
          <w:b w:val="1"/>
          <w:bCs w:val="1"/>
          <w:color w:val="auto"/>
        </w:rPr>
        <w:t xml:space="preserve"> $325,000</w:t>
      </w:r>
      <w:r>
        <w:rPr>
          <w:rFonts w:ascii="Arial" w:cs="Arial" w:eastAsia="Arial" w:hAnsi="Arial"/>
          <w:sz w:val="18"/>
          <w:szCs w:val="18"/>
          <w:color w:val="auto"/>
        </w:rPr>
        <w:t>, less applicable deductions authorized by you and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which will be paid in accordance with the Company’s normal payroll practices. The Company, in its sole judgement and discretion, modify your salary upon periodic review.</w:t>
      </w:r>
    </w:p>
    <w:p>
      <w:pPr>
        <w:spacing w:after="0" w:line="16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You will receive a sign-on bonus of </w:t>
      </w:r>
      <w:r>
        <w:rPr>
          <w:rFonts w:ascii="Arial" w:cs="Arial" w:eastAsia="Arial" w:hAnsi="Arial"/>
          <w:sz w:val="18"/>
          <w:szCs w:val="18"/>
          <w:b w:val="1"/>
          <w:bCs w:val="1"/>
          <w:color w:val="auto"/>
        </w:rPr>
        <w:t>$30,000</w:t>
      </w:r>
      <w:r>
        <w:rPr>
          <w:rFonts w:ascii="Arial" w:cs="Arial" w:eastAsia="Arial" w:hAnsi="Arial"/>
          <w:sz w:val="18"/>
          <w:szCs w:val="18"/>
          <w:color w:val="auto"/>
        </w:rPr>
        <w:t>, payable in the pay period after your start date. If you leave the company within one (1) year of your start date, irrespective of cause, you agree to repay the sign-on bonus in full.</w:t>
      </w:r>
    </w:p>
    <w:p>
      <w:pPr>
        <w:spacing w:after="0" w:line="14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u w:val="single" w:color="auto"/>
          <w:color w:val="auto"/>
        </w:rPr>
        <w:t>Variable Compensation</w:t>
      </w:r>
      <w:r>
        <w:rPr>
          <w:rFonts w:ascii="Arial" w:cs="Arial" w:eastAsia="Arial" w:hAnsi="Arial"/>
          <w:sz w:val="18"/>
          <w:szCs w:val="18"/>
          <w:color w:val="auto"/>
        </w:rPr>
        <w:t>. In addition, you will be eligible to receive annual variable incentive compensation that, if you</w:t>
      </w:r>
      <w:r>
        <w:rPr>
          <w:rFonts w:ascii="Arial" w:cs="Arial" w:eastAsia="Arial" w:hAnsi="Arial"/>
          <w:sz w:val="18"/>
          <w:szCs w:val="18"/>
          <w:b w:val="1"/>
          <w:bCs w:val="1"/>
          <w:color w:val="auto"/>
        </w:rPr>
        <w:t xml:space="preserve"> </w:t>
      </w:r>
      <w:r>
        <w:rPr>
          <w:rFonts w:ascii="Arial" w:cs="Arial" w:eastAsia="Arial" w:hAnsi="Arial"/>
          <w:sz w:val="18"/>
          <w:szCs w:val="18"/>
          <w:color w:val="auto"/>
        </w:rPr>
        <w:t>achieve your sales goal, will pay you 100% of your annual base compensation, subject to payroll deductions and applicable withholdings. The formula for determining your incentive compensation will be based on Progyny’s overall goals for new revenue attainment and the specifics (including the timing of payments throughout the course of the year) will be determined by Progyny’s CEO and CFO. You must remain an active employee through the date of scheduled future payments of any such variable compensation in order to earn and receive that payment. You will not be eligible for, and will not earn, any such payments (including a prorated amount) if your employment terminates for any reason before the applicable bonus payment date.</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Upon joining the Company, pending approval by the Progyny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granted an option to purchase </w:t>
      </w:r>
      <w:r>
        <w:rPr>
          <w:rFonts w:ascii="Arial" w:cs="Arial" w:eastAsia="Arial" w:hAnsi="Arial"/>
          <w:sz w:val="18"/>
          <w:szCs w:val="18"/>
          <w:b w:val="1"/>
          <w:bCs w:val="1"/>
          <w:color w:val="auto"/>
        </w:rPr>
        <w:t>1,000,000</w:t>
      </w:r>
      <w:r>
        <w:rPr>
          <w:rFonts w:ascii="Arial" w:cs="Arial" w:eastAsia="Arial" w:hAnsi="Arial"/>
          <w:sz w:val="18"/>
          <w:szCs w:val="18"/>
          <w:color w:val="auto"/>
        </w:rPr>
        <w:t xml:space="preserve"> shares of the Company’s Common Stock at an exercise price per share to be determined by the Board at its first meeting after you become an employee as representing the fair market value of the Common Stock. Subject to your continuing to be an employee, this option will vest over the four-year period following your employment start date, with 25% vesting on the twelve (12) month anniversary of your start date and the remainder vesting monthly over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 info@progyny.com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36 months, and will be subject to your grant agreement and the Company’s standard terms and conditions under its option plan.</w:t>
      </w:r>
    </w:p>
    <w:p>
      <w:pPr>
        <w:spacing w:after="0" w:line="143" w:lineRule="exact"/>
        <w:rPr>
          <w:sz w:val="20"/>
          <w:szCs w:val="20"/>
          <w:color w:val="auto"/>
        </w:rPr>
      </w:pPr>
    </w:p>
    <w:p>
      <w:pPr>
        <w:jc w:val="both"/>
        <w:ind w:left="20" w:hanging="11"/>
        <w:spacing w:after="0" w:line="245"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Company’s employee benefit plans of general application as they may</w:t>
      </w:r>
      <w:r>
        <w:rPr>
          <w:rFonts w:ascii="Arial" w:cs="Arial" w:eastAsia="Arial" w:hAnsi="Arial"/>
          <w:sz w:val="18"/>
          <w:szCs w:val="18"/>
          <w:b w:val="1"/>
          <w:bCs w:val="1"/>
          <w:color w:val="auto"/>
        </w:rPr>
        <w:t xml:space="preserve"> </w:t>
      </w:r>
      <w:r>
        <w:rPr>
          <w:rFonts w:ascii="Arial" w:cs="Arial" w:eastAsia="Arial" w:hAnsi="Arial"/>
          <w:sz w:val="18"/>
          <w:szCs w:val="18"/>
          <w:color w:val="auto"/>
        </w:rPr>
        <w:t>exist from time to time, subject to any eligibility requirements imposed by such plans. As a Company employee, you will accrue PTO pursuant to the Company’s policies and procedures. The Company reserves the right to change or otherwise modify, in its sole discretion, the benefits offered to employees to conform to the Company’s general policies as they may be changed from time to time.</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during your employment with the Company, the Company will provide you with a monthly housing allowance in the amount of $4,000. The Company will withhold income and employment taxes from each such payment as required by applicable law. Any payments provided under this paragraph will be paid on or near the first of each respective month of your employment, commencing on September 1, 2019. It is understood that prior to September 1, 2019, you will submit for reimbursement (consistent with the Company’s standard expense reimbursement policies) any reasonable hotel charges you incur in New York City in the performance of your duties 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your offer:</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are very pleased to extend this offer of employment and look forward to growing Progyny together. Please understand, however, that this offer is conditioned upon your satisfaction of all of the Company’s pre-employment requirements including, but not limited to, references, background check, your presentation of acceptable documents establishing your identity and employability as required by the Immigration and Control Act of 1986 and signing of the Non-Solicitation / Non-Competition Agreement, attached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61" w:lineRule="exact"/>
        <w:rPr>
          <w:sz w:val="20"/>
          <w:szCs w:val="20"/>
          <w:color w:val="auto"/>
        </w:rPr>
      </w:pPr>
    </w:p>
    <w:p>
      <w:pPr>
        <w:jc w:val="both"/>
        <w:ind w:left="20" w:hanging="11"/>
        <w:spacing w:after="0" w:line="237"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of the Company, you will have access to certain confidential information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you may, during the course of your employment, develop certain information or inventions that will be the property of the Company. To protect the interests of the Company, you will need to sign the Company's standard “Non-Solicitation/Non-Competition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 condition of your employment. We wish to impress upon you that we do not want you to, and we hereby direct you not to, use or disclose any confidential or proprietary material of any former employer in your work for the Company, bring onto Company premises any unpublished documents or property belonging to any former employer or other person to whom you have an obligation of confidentiality, or violate any other obligations you may have to any former employer or other third party. You agree that you have not, and during the period that you render services to the Company,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 You are advised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 info@progyny.com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20" w:hanging="11"/>
        <w:spacing w:after="0" w:line="245" w:lineRule="auto"/>
        <w:rPr>
          <w:sz w:val="20"/>
          <w:szCs w:val="20"/>
          <w:color w:val="auto"/>
        </w:rPr>
      </w:pPr>
      <w:r>
        <w:rPr>
          <w:rFonts w:ascii="Arial" w:cs="Arial" w:eastAsia="Arial" w:hAnsi="Arial"/>
          <w:sz w:val="18"/>
          <w:szCs w:val="18"/>
          <w:color w:val="auto"/>
        </w:rPr>
        <w:t>seal.</w:t>
      </w:r>
      <w:r>
        <w:rPr>
          <w:sz w:val="20"/>
          <w:szCs w:val="20"/>
          <w:color w:val="auto"/>
        </w:rPr>
        <w:t xml:space="preserve"> </w:t>
      </w:r>
      <w:r>
        <w:rPr>
          <w:rFonts w:ascii="Arial" w:cs="Arial" w:eastAsia="Arial" w:hAnsi="Arial"/>
          <w:sz w:val="18"/>
          <w:szCs w:val="18"/>
          <w:color w:val="auto"/>
        </w:rPr>
        <w:t>Further, you understand that in the event that disclosure of Company trade secrets was not done in good faith pursuant to the above, you will be subject to substantial damages, including punitive damages and attorneys’ fees. You represent that your signing of this letter agreement and the Non-Solicitation/ Non-Competition Agreement and your continuation of employment with the Company will not violate any agreement currently in place between you and any current or past employers, or between you and any other parties.</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the Company will be “at will” for no specified term.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Company at any time and for any reason whatsoever simply by notifying the Company. Likewise, the Company may terminate your employment at any time, with or without cause or advance notice. Neither you, nor the Company, will have any liability to the other party for terminating the relationship. Neither the vesting of any option described in this letter agreement (nor any other provision of this letter agreement or any other agreement between you and the Company), nor your participation in any stock option, incentive bonus, or other benefit program in the future, is to be regarded as assuring you of continuing employment for any particular period of time. Your employment at-will status can only be modified in a written agreement signed by you and by an officer of Progyny.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w:t>
      </w:r>
    </w:p>
    <w:p>
      <w:pPr>
        <w:spacing w:after="0" w:line="212" w:lineRule="exact"/>
        <w:rPr>
          <w:sz w:val="20"/>
          <w:szCs w:val="20"/>
          <w:color w:val="auto"/>
        </w:rPr>
      </w:pPr>
    </w:p>
    <w:p>
      <w:pPr>
        <w:jc w:val="both"/>
        <w:ind w:left="340" w:hanging="332"/>
        <w:spacing w:after="0" w:line="242" w:lineRule="auto"/>
        <w:tabs>
          <w:tab w:leader="none" w:pos="340" w:val="left"/>
        </w:tabs>
        <w:numPr>
          <w:ilvl w:val="0"/>
          <w:numId w:val="77"/>
        </w:numPr>
        <w:rPr>
          <w:rFonts w:ascii="Arial" w:cs="Arial" w:eastAsia="Arial" w:hAnsi="Arial"/>
          <w:sz w:val="18"/>
          <w:szCs w:val="18"/>
          <w:b w:val="1"/>
          <w:bCs w:val="1"/>
          <w:color w:val="000101"/>
        </w:rPr>
      </w:pPr>
      <w:r>
        <w:rPr>
          <w:rFonts w:ascii="Arial" w:cs="Arial" w:eastAsia="Arial" w:hAnsi="Arial"/>
          <w:sz w:val="18"/>
          <w:szCs w:val="18"/>
          <w:b w:val="1"/>
          <w:bCs w:val="1"/>
          <w:color w:val="000101"/>
        </w:rPr>
        <w:t xml:space="preserve">Termination Without Cause </w:t>
      </w:r>
      <w:r>
        <w:rPr>
          <w:rFonts w:ascii="Arial" w:cs="Arial" w:eastAsia="Arial" w:hAnsi="Arial"/>
          <w:sz w:val="18"/>
          <w:szCs w:val="18"/>
          <w:b w:val="1"/>
          <w:bCs w:val="1"/>
          <w:color w:val="000000"/>
        </w:rPr>
        <w:t>or Resignation for Good Reason</w:t>
      </w:r>
      <w:r>
        <w:rPr>
          <w:rFonts w:ascii="Arial" w:cs="Arial" w:eastAsia="Arial" w:hAnsi="Arial"/>
          <w:sz w:val="18"/>
          <w:szCs w:val="18"/>
          <w:b w:val="1"/>
          <w:bCs w:val="1"/>
          <w:color w:val="000101"/>
        </w:rPr>
        <w:t xml:space="preserve">. </w:t>
      </w:r>
      <w:r>
        <w:rPr>
          <w:rFonts w:ascii="Arial" w:cs="Arial" w:eastAsia="Arial" w:hAnsi="Arial"/>
          <w:sz w:val="18"/>
          <w:szCs w:val="18"/>
          <w:color w:val="000000"/>
        </w:rPr>
        <w:t>In the event your employment with the Company (or</w:t>
      </w:r>
      <w:r>
        <w:rPr>
          <w:rFonts w:ascii="Arial" w:cs="Arial" w:eastAsia="Arial" w:hAnsi="Arial"/>
          <w:sz w:val="18"/>
          <w:szCs w:val="18"/>
          <w:b w:val="1"/>
          <w:bCs w:val="1"/>
          <w:color w:val="000101"/>
        </w:rPr>
        <w:t xml:space="preserve"> </w:t>
      </w:r>
      <w:r>
        <w:rPr>
          <w:rFonts w:ascii="Arial" w:cs="Arial" w:eastAsia="Arial" w:hAnsi="Arial"/>
          <w:sz w:val="18"/>
          <w:szCs w:val="18"/>
          <w:color w:val="000000"/>
        </w:rPr>
        <w:t xml:space="preserve">its subsidiaries) is terminated by the Company (or its subsidiaries) without Cause or you resign for Good Reason (as defined below), in each case other than during the Change of Control Severance Period (as defined below), then provided such termination constitutes a “separation from service” (as defined under Treasury Regulation Section 1.409A-1(h), without regard to any alternative definition thereunder, a </w:t>
      </w:r>
      <w:r>
        <w:rPr>
          <w:rFonts w:ascii="Arial" w:cs="Arial" w:eastAsia="Arial" w:hAnsi="Arial"/>
          <w:sz w:val="18"/>
          <w:szCs w:val="18"/>
          <w:color w:val="000101"/>
        </w:rPr>
        <w:t>“</w:t>
      </w:r>
      <w:r>
        <w:rPr>
          <w:rFonts w:ascii="Arial" w:cs="Arial" w:eastAsia="Arial" w:hAnsi="Arial"/>
          <w:sz w:val="18"/>
          <w:szCs w:val="18"/>
          <w:b w:val="1"/>
          <w:bCs w:val="1"/>
          <w:i w:val="1"/>
          <w:iCs w:val="1"/>
          <w:color w:val="000101"/>
        </w:rPr>
        <w:t>Separation from Service</w:t>
      </w:r>
      <w:r>
        <w:rPr>
          <w:rFonts w:ascii="Arial" w:cs="Arial" w:eastAsia="Arial" w:hAnsi="Arial"/>
          <w:sz w:val="18"/>
          <w:szCs w:val="18"/>
          <w:color w:val="000101"/>
        </w:rPr>
        <w:t>”),</w:t>
      </w:r>
      <w:r>
        <w:rPr>
          <w:rFonts w:ascii="Arial" w:cs="Arial" w:eastAsia="Arial" w:hAnsi="Arial"/>
          <w:sz w:val="18"/>
          <w:szCs w:val="18"/>
          <w:color w:val="000000"/>
        </w:rPr>
        <w:t xml:space="preserve"> and provided that you remain in compliance with the terms of this letter agreement, the Company shall provide you with the following severance benefits:</w:t>
      </w:r>
    </w:p>
    <w:p>
      <w:pPr>
        <w:spacing w:after="0" w:line="172" w:lineRule="exact"/>
        <w:rPr>
          <w:rFonts w:ascii="Arial" w:cs="Arial" w:eastAsia="Arial" w:hAnsi="Arial"/>
          <w:sz w:val="18"/>
          <w:szCs w:val="18"/>
          <w:b w:val="1"/>
          <w:bCs w:val="1"/>
          <w:color w:val="000101"/>
        </w:rPr>
      </w:pPr>
    </w:p>
    <w:p>
      <w:pPr>
        <w:jc w:val="both"/>
        <w:ind w:left="980" w:hanging="324"/>
        <w:spacing w:after="0" w:line="229" w:lineRule="auto"/>
        <w:tabs>
          <w:tab w:leader="none" w:pos="980" w:val="left"/>
        </w:tabs>
        <w:numPr>
          <w:ilvl w:val="1"/>
          <w:numId w:val="77"/>
        </w:numPr>
        <w:rPr>
          <w:rFonts w:ascii="Arial" w:cs="Arial" w:eastAsia="Arial" w:hAnsi="Arial"/>
          <w:sz w:val="18"/>
          <w:szCs w:val="18"/>
          <w:color w:val="000101"/>
        </w:rPr>
      </w:pPr>
      <w:r>
        <w:rPr>
          <w:rFonts w:ascii="Arial" w:cs="Arial" w:eastAsia="Arial" w:hAnsi="Arial"/>
          <w:sz w:val="18"/>
          <w:szCs w:val="18"/>
          <w:b w:val="1"/>
          <w:bCs w:val="1"/>
          <w:color w:val="000101"/>
        </w:rPr>
        <w:t xml:space="preserve">Severance Pay. </w:t>
      </w:r>
      <w:r>
        <w:rPr>
          <w:rFonts w:ascii="Arial" w:cs="Arial" w:eastAsia="Arial" w:hAnsi="Arial"/>
          <w:sz w:val="18"/>
          <w:szCs w:val="18"/>
          <w:color w:val="000101"/>
        </w:rPr>
        <w:t>The Company shall pay you, as severance, the equivalent of six (6) months of your base</w:t>
      </w:r>
      <w:r>
        <w:rPr>
          <w:rFonts w:ascii="Arial" w:cs="Arial" w:eastAsia="Arial" w:hAnsi="Arial"/>
          <w:sz w:val="18"/>
          <w:szCs w:val="18"/>
          <w:b w:val="1"/>
          <w:bCs w:val="1"/>
          <w:color w:val="000101"/>
        </w:rPr>
        <w:t xml:space="preserve"> </w:t>
      </w:r>
      <w:r>
        <w:rPr>
          <w:rFonts w:ascii="Arial" w:cs="Arial" w:eastAsia="Arial" w:hAnsi="Arial"/>
          <w:sz w:val="18"/>
          <w:szCs w:val="18"/>
          <w:color w:val="000101"/>
        </w:rPr>
        <w:t>salary in effect as of your employment termination date, subject to standard payroll deductions and withholdings; provided, however, that if the date of termination is after (a) the first anniversary of your employment start date, the severance period shall be increased to nine (9) months, or (b) the second anniversary of your employment start date, the severance period shall be increased to twelve (12) months. This severance amount will be paid in installments in the form of continuation of your base salary payments, paid on the Company’s ordinary payroll dates, commencing on the Company’s first regular payroll date that is more than 60 days following such termination of your employment, and shall be for any accrued base salary for the 60-day period plus the period from the 60</w:t>
      </w:r>
      <w:r>
        <w:rPr>
          <w:rFonts w:ascii="Arial" w:cs="Arial" w:eastAsia="Arial" w:hAnsi="Arial"/>
          <w:sz w:val="26"/>
          <w:szCs w:val="26"/>
          <w:color w:val="000101"/>
          <w:vertAlign w:val="superscript"/>
        </w:rPr>
        <w:t>th</w:t>
      </w:r>
      <w:r>
        <w:rPr>
          <w:rFonts w:ascii="Arial" w:cs="Arial" w:eastAsia="Arial" w:hAnsi="Arial"/>
          <w:sz w:val="18"/>
          <w:szCs w:val="18"/>
          <w:color w:val="000101"/>
        </w:rPr>
        <w:t xml:space="preserve"> day until the regular payroll pay date, if applicable, and all salary continuation payments thereafter, if any, shall be made on the Company’s regular payroll dates.</w:t>
      </w:r>
    </w:p>
    <w:p>
      <w:pPr>
        <w:spacing w:after="0" w:line="178" w:lineRule="exact"/>
        <w:rPr>
          <w:rFonts w:ascii="Arial" w:cs="Arial" w:eastAsia="Arial" w:hAnsi="Arial"/>
          <w:sz w:val="18"/>
          <w:szCs w:val="18"/>
          <w:color w:val="000101"/>
        </w:rPr>
      </w:pPr>
    </w:p>
    <w:p>
      <w:pPr>
        <w:jc w:val="both"/>
        <w:ind w:left="980" w:hanging="324"/>
        <w:spacing w:after="0" w:line="243" w:lineRule="auto"/>
        <w:tabs>
          <w:tab w:leader="none" w:pos="980" w:val="left"/>
        </w:tabs>
        <w:numPr>
          <w:ilvl w:val="1"/>
          <w:numId w:val="77"/>
        </w:numPr>
        <w:rPr>
          <w:rFonts w:ascii="Arial" w:cs="Arial" w:eastAsia="Arial" w:hAnsi="Arial"/>
          <w:sz w:val="18"/>
          <w:szCs w:val="18"/>
          <w:color w:val="000101"/>
        </w:rPr>
      </w:pPr>
      <w:r>
        <w:rPr>
          <w:rFonts w:ascii="Arial" w:cs="Arial" w:eastAsia="Arial" w:hAnsi="Arial"/>
          <w:sz w:val="18"/>
          <w:szCs w:val="18"/>
          <w:b w:val="1"/>
          <w:bCs w:val="1"/>
          <w:color w:val="000101"/>
        </w:rPr>
        <w:t xml:space="preserve">Health Insurance. </w:t>
      </w:r>
      <w:r>
        <w:rPr>
          <w:rFonts w:ascii="Arial" w:cs="Arial" w:eastAsia="Arial" w:hAnsi="Arial"/>
          <w:sz w:val="18"/>
          <w:szCs w:val="18"/>
          <w:color w:val="000101"/>
        </w:rPr>
        <w:t>Provided that you timely elect continued coverage under COBRA, the Company shall pay</w:t>
      </w:r>
      <w:r>
        <w:rPr>
          <w:rFonts w:ascii="Arial" w:cs="Arial" w:eastAsia="Arial" w:hAnsi="Arial"/>
          <w:sz w:val="18"/>
          <w:szCs w:val="18"/>
          <w:b w:val="1"/>
          <w:bCs w:val="1"/>
          <w:color w:val="000101"/>
        </w:rPr>
        <w:t xml:space="preserve"> </w:t>
      </w:r>
      <w:r>
        <w:rPr>
          <w:rFonts w:ascii="Arial" w:cs="Arial" w:eastAsia="Arial" w:hAnsi="Arial"/>
          <w:sz w:val="18"/>
          <w:szCs w:val="18"/>
          <w:color w:val="000101"/>
        </w:rPr>
        <w:t>your COBRA premiums to continue your coverage (including coverage for eligible dependents, if applicable) (“</w:t>
      </w:r>
      <w:r>
        <w:rPr>
          <w:rFonts w:ascii="Arial" w:cs="Arial" w:eastAsia="Arial" w:hAnsi="Arial"/>
          <w:sz w:val="18"/>
          <w:szCs w:val="18"/>
          <w:b w:val="1"/>
          <w:bCs w:val="1"/>
          <w:i w:val="1"/>
          <w:iCs w:val="1"/>
          <w:color w:val="000101"/>
        </w:rPr>
        <w:t>COBRA Premiums</w:t>
      </w:r>
      <w:r>
        <w:rPr>
          <w:rFonts w:ascii="Arial" w:cs="Arial" w:eastAsia="Arial" w:hAnsi="Arial"/>
          <w:sz w:val="18"/>
          <w:szCs w:val="18"/>
          <w:color w:val="000101"/>
        </w:rPr>
        <w:t>”) through the period (the “</w:t>
      </w:r>
      <w:r>
        <w:rPr>
          <w:rFonts w:ascii="Arial" w:cs="Arial" w:eastAsia="Arial" w:hAnsi="Arial"/>
          <w:sz w:val="18"/>
          <w:szCs w:val="18"/>
          <w:b w:val="1"/>
          <w:bCs w:val="1"/>
          <w:i w:val="1"/>
          <w:iCs w:val="1"/>
          <w:color w:val="000101"/>
        </w:rPr>
        <w:t>COBRA Premium Period</w:t>
      </w:r>
      <w:r>
        <w:rPr>
          <w:rFonts w:ascii="Arial" w:cs="Arial" w:eastAsia="Arial" w:hAnsi="Arial"/>
          <w:sz w:val="18"/>
          <w:szCs w:val="18"/>
          <w:color w:val="000101"/>
        </w:rPr>
        <w:t>”) starting on the date of your Separation from Service and ending on the earliest to occur of: (i) the duration of the salary continuation period set forth in Section (b)(i) above; (ii) the date you become eligible for group health insurance coverage through a new</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 info@progyny.com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980"/>
        <w:spacing w:after="0" w:line="231" w:lineRule="auto"/>
        <w:rPr>
          <w:sz w:val="20"/>
          <w:szCs w:val="20"/>
          <w:color w:val="auto"/>
        </w:rPr>
      </w:pPr>
      <w:r>
        <w:rPr>
          <w:rFonts w:ascii="Arial" w:cs="Arial" w:eastAsia="Arial" w:hAnsi="Arial"/>
          <w:sz w:val="18"/>
          <w:szCs w:val="18"/>
          <w:color w:val="000101"/>
        </w:rPr>
        <w:t>employer; and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8"/>
          <w:szCs w:val="18"/>
          <w:b w:val="1"/>
          <w:bCs w:val="1"/>
          <w:i w:val="1"/>
          <w:iCs w:val="1"/>
          <w:color w:val="000101"/>
        </w:rPr>
        <w:t>Special Cash Payment</w:t>
      </w:r>
      <w:r>
        <w:rPr>
          <w:rFonts w:ascii="Arial" w:cs="Arial" w:eastAsia="Arial" w:hAnsi="Arial"/>
          <w:sz w:val="18"/>
          <w:szCs w:val="18"/>
          <w:color w:val="000101"/>
        </w:rPr>
        <w:t>”), for the remainder of the COBRA Premium Period. You may, but are not obligated to, use such Special Cash Payments toward the cost of COBRA premiums. In the event the Company opts for the Special Cash Payments, then on the thirtieth (30th) day following your Separation from Service, the Company will make the first payment to you under this paragraph, in a lump sum, equal to the aggregate Special Cash Payments that the Company would have paid to you through such date had the Special Cash Payments commenced on the first day of the first month following the Separation from Service through such thirtieth (30</w:t>
      </w:r>
      <w:r>
        <w:rPr>
          <w:rFonts w:ascii="Arial" w:cs="Arial" w:eastAsia="Arial" w:hAnsi="Arial"/>
          <w:sz w:val="26"/>
          <w:szCs w:val="26"/>
          <w:color w:val="000101"/>
          <w:vertAlign w:val="superscript"/>
        </w:rPr>
        <w:t>th</w:t>
      </w:r>
      <w:r>
        <w:rPr>
          <w:rFonts w:ascii="Arial" w:cs="Arial" w:eastAsia="Arial" w:hAnsi="Arial"/>
          <w:sz w:val="18"/>
          <w:szCs w:val="18"/>
          <w:color w:val="000101"/>
        </w:rPr>
        <w:t>) day, with the balance of the Special Cash Payments paid thereafter on the schedule described above.</w:t>
      </w:r>
    </w:p>
    <w:p>
      <w:pPr>
        <w:spacing w:after="0" w:line="178" w:lineRule="exact"/>
        <w:rPr>
          <w:sz w:val="20"/>
          <w:szCs w:val="20"/>
          <w:color w:val="auto"/>
        </w:rPr>
      </w:pPr>
    </w:p>
    <w:p>
      <w:pPr>
        <w:jc w:val="both"/>
        <w:ind w:left="340" w:hanging="332"/>
        <w:spacing w:after="0" w:line="241" w:lineRule="auto"/>
        <w:tabs>
          <w:tab w:leader="none" w:pos="340" w:val="left"/>
        </w:tabs>
        <w:numPr>
          <w:ilvl w:val="0"/>
          <w:numId w:val="78"/>
        </w:numPr>
        <w:rPr>
          <w:rFonts w:ascii="Arial" w:cs="Arial" w:eastAsia="Arial" w:hAnsi="Arial"/>
          <w:sz w:val="18"/>
          <w:szCs w:val="18"/>
          <w:b w:val="1"/>
          <w:bCs w:val="1"/>
          <w:color w:val="000101"/>
        </w:rPr>
      </w:pPr>
      <w:r>
        <w:rPr>
          <w:rFonts w:ascii="Arial" w:cs="Arial" w:eastAsia="Arial" w:hAnsi="Arial"/>
          <w:sz w:val="18"/>
          <w:szCs w:val="18"/>
          <w:b w:val="1"/>
          <w:bCs w:val="1"/>
          <w:color w:val="000101"/>
        </w:rPr>
        <w:t xml:space="preserve">Resignation without Good Reason; Termination for Cause; Death or Disability. </w:t>
      </w:r>
      <w:r>
        <w:rPr>
          <w:rFonts w:ascii="Arial" w:cs="Arial" w:eastAsia="Arial" w:hAnsi="Arial"/>
          <w:sz w:val="18"/>
          <w:szCs w:val="18"/>
          <w:color w:val="000101"/>
        </w:rPr>
        <w:t>If at any time the Company</w:t>
      </w:r>
      <w:r>
        <w:rPr>
          <w:rFonts w:ascii="Arial" w:cs="Arial" w:eastAsia="Arial" w:hAnsi="Arial"/>
          <w:sz w:val="18"/>
          <w:szCs w:val="18"/>
          <w:b w:val="1"/>
          <w:bCs w:val="1"/>
          <w:color w:val="000101"/>
        </w:rPr>
        <w:t xml:space="preserve"> </w:t>
      </w:r>
      <w:r>
        <w:rPr>
          <w:rFonts w:ascii="Arial" w:cs="Arial" w:eastAsia="Arial" w:hAnsi="Arial"/>
          <w:sz w:val="18"/>
          <w:szCs w:val="18"/>
          <w:color w:val="000101"/>
        </w:rPr>
        <w:t>terminates your employment for Cause, you resign your employment without Good Reason, or your employment terminates upon your death or disability, then (i) you will no longer vest in the Option or any other stock option or other equity incentive otherwise held by you, (ii) all payments of compensation by the Company to you hereunder will terminate immediately (except as to amounts already earned), and (iii) you will not be entitled to any severance benefits. In addition, you shall resign from all positions and terminate any relationships as an employee, advisor, officer or director with the Company and any of its affiliates (including without limitation any subsidiaries), each effective on the date of termination.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Conditions to Receipt of Severance Benefits. </w:t>
      </w:r>
      <w:r>
        <w:rPr>
          <w:rFonts w:ascii="Arial" w:cs="Arial" w:eastAsia="Arial" w:hAnsi="Arial"/>
          <w:sz w:val="18"/>
          <w:szCs w:val="18"/>
          <w:color w:val="auto"/>
        </w:rPr>
        <w:t>The receipt of any severance benefits as described in Section a. above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and conditioned upon your signing and not revoking a separation agreement and release of claims in a form reasonably satisfactory to the Company (the “</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within the time period specified therein, but in any event no later than sixty (60) days following your Separation from Service date. No severance benefits of any kind will be paid or provided until the Separation Agreement becomes effective. Pursuant to or in connection with any termination of service to the Company, you shall also resign from all positions and terminate any relationships as an employee, advisor, officer or director with the Company and any of its affiliates (including without limitation any subsidiaries), each effective on the date of termination. For avoidance of doubt, under no circumstances will you receive severance benefits under both Sections 5(b) and 5(c)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0101"/>
        </w:rPr>
        <w:t>Definitions</w:t>
      </w:r>
      <w:r>
        <w:rPr>
          <w:rFonts w:ascii="Arial" w:cs="Arial" w:eastAsia="Arial" w:hAnsi="Arial"/>
          <w:sz w:val="18"/>
          <w:szCs w:val="18"/>
          <w:color w:val="000101"/>
        </w:rPr>
        <w:t>. For purposes of this letter agreement:</w:t>
      </w:r>
    </w:p>
    <w:p>
      <w:pPr>
        <w:spacing w:after="0" w:line="21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color w:val="000101"/>
        </w:rPr>
        <w:t xml:space="preserve">a. </w:t>
      </w:r>
      <w:r>
        <w:rPr>
          <w:rFonts w:ascii="Arial" w:cs="Arial" w:eastAsia="Arial" w:hAnsi="Arial"/>
          <w:sz w:val="18"/>
          <w:szCs w:val="18"/>
          <w:b w:val="1"/>
          <w:bCs w:val="1"/>
          <w:i w:val="1"/>
          <w:iCs w:val="1"/>
          <w:color w:val="000101"/>
        </w:rPr>
        <w:t>“Cause”</w:t>
      </w:r>
      <w:r>
        <w:rPr>
          <w:rFonts w:ascii="Arial" w:cs="Arial" w:eastAsia="Arial" w:hAnsi="Arial"/>
          <w:sz w:val="18"/>
          <w:szCs w:val="18"/>
          <w:b w:val="1"/>
          <w:bCs w:val="1"/>
          <w:color w:val="000101"/>
        </w:rPr>
        <w:t xml:space="preserve"> </w:t>
      </w:r>
      <w:r>
        <w:rPr>
          <w:rFonts w:ascii="Arial" w:cs="Arial" w:eastAsia="Arial" w:hAnsi="Arial"/>
          <w:sz w:val="18"/>
          <w:szCs w:val="18"/>
          <w:color w:val="000101"/>
        </w:rPr>
        <w:t>for your employment termination will be deemed to exist at any time after the occurrence of one of more of the</w:t>
      </w:r>
      <w:r>
        <w:rPr>
          <w:rFonts w:ascii="Arial" w:cs="Arial" w:eastAsia="Arial" w:hAnsi="Arial"/>
          <w:sz w:val="18"/>
          <w:szCs w:val="18"/>
          <w:b w:val="1"/>
          <w:bCs w:val="1"/>
          <w:color w:val="000101"/>
        </w:rPr>
        <w:t xml:space="preserve"> </w:t>
      </w:r>
      <w:r>
        <w:rPr>
          <w:rFonts w:ascii="Arial" w:cs="Arial" w:eastAsia="Arial" w:hAnsi="Arial"/>
          <w:sz w:val="18"/>
          <w:szCs w:val="18"/>
          <w:color w:val="000101"/>
        </w:rPr>
        <w:t>following: (i) your commission of, conviction for, or guilty plea to, a felony or crime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 info@progyny.com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000101"/>
        </w:rPr>
        <w:t xml:space="preserve">involving moral turpitude; (ii) a willful refusal by you to comply with the lawful, material and reasonable instructions of the Company (or its subsidiaries), or to otherwise materially perform your duties as lawfully and reasonably determined by the Company (or its subsidiaries), in each case that is not cured by you (if such refusal is of a type that is capable of being cured) within 15 days of written notice being given to you of such refusal; (iii) any willful act or acts of dishonesty undertaken by you and intended to result in your (or any other person’s) material gain or personal enrichment at the expense of the Company, its subsidiaries or any of its or their customers, partners, affiliates, or employees; (iv) any willful act of gross misconduct by you which is injurious to the Company or its subsidiaries; (v) any material breach by you of your obligations under any agreement between you and the Company or its subsidiaries, including without limitation this offer letter agreement or your </w:t>
      </w:r>
      <w:r>
        <w:rPr>
          <w:rFonts w:ascii="Arial" w:cs="Arial" w:eastAsia="Arial" w:hAnsi="Arial"/>
          <w:sz w:val="18"/>
          <w:szCs w:val="18"/>
          <w:color w:val="000000"/>
        </w:rPr>
        <w:t>Non-Solicitation/Non-Competition Agreement</w:t>
      </w:r>
      <w:r>
        <w:rPr>
          <w:rFonts w:ascii="Arial" w:cs="Arial" w:eastAsia="Arial" w:hAnsi="Arial"/>
          <w:sz w:val="18"/>
          <w:szCs w:val="18"/>
          <w:color w:val="000101"/>
        </w:rPr>
        <w:t xml:space="preserve">, that is not cured by you (if such breach is of a type that is capable of being cured) within 15 days of written notice being given to you of such breach; (vi) or any material non-fulfillment of your primary role duties. </w:t>
      </w:r>
      <w:r>
        <w:rPr>
          <w:rFonts w:ascii="Arial" w:cs="Arial" w:eastAsia="Arial" w:hAnsi="Arial"/>
          <w:sz w:val="18"/>
          <w:szCs w:val="18"/>
          <w:b w:val="1"/>
          <w:bCs w:val="1"/>
          <w:color w:val="000101"/>
        </w:rPr>
        <w:t>c.</w:t>
      </w:r>
      <w:r>
        <w:rPr>
          <w:rFonts w:ascii="Arial" w:cs="Arial" w:eastAsia="Arial" w:hAnsi="Arial"/>
          <w:sz w:val="18"/>
          <w:szCs w:val="18"/>
          <w:color w:val="000101"/>
        </w:rPr>
        <w:t xml:space="preserve"> </w:t>
      </w:r>
      <w:r>
        <w:rPr>
          <w:rFonts w:ascii="Arial" w:cs="Arial" w:eastAsia="Arial" w:hAnsi="Arial"/>
          <w:sz w:val="18"/>
          <w:szCs w:val="18"/>
          <w:b w:val="1"/>
          <w:bCs w:val="1"/>
          <w:i w:val="1"/>
          <w:iCs w:val="1"/>
          <w:color w:val="000101"/>
        </w:rPr>
        <w:t>“Good Reason”</w:t>
      </w:r>
      <w:r>
        <w:rPr>
          <w:rFonts w:ascii="Arial" w:cs="Arial" w:eastAsia="Arial" w:hAnsi="Arial"/>
          <w:sz w:val="18"/>
          <w:szCs w:val="18"/>
          <w:color w:val="000101"/>
        </w:rPr>
        <w:t xml:space="preserve"> means the occurrence of any of the following without your prior written consent: (i) a material reduction in your then-current annual base salary; except for a reduction (not to exceed 10%) that is part of a proportional reduction of the base salaries of all Company executives; (ii) relocation of your principal place of employment to a place that increases your one-way commute by more than thirty (30) miles as compared to your then-current principal place of employment immediately prior to such relocation; or (iii) a material and adverse change in your duties and responsibilities (it being agreed that a change in duties and responsibilities following an Acquisition that is inherent in the Company becoming a part of a larger business organization shall not constitute a material adverse change); provided, however, that a resignation by you shall not be considered to be for a “Good Reason” under this agreement unless</w:t>
      </w:r>
    </w:p>
    <w:p>
      <w:pPr>
        <w:spacing w:after="0" w:line="3" w:lineRule="exact"/>
        <w:rPr>
          <w:sz w:val="20"/>
          <w:szCs w:val="20"/>
          <w:color w:val="auto"/>
        </w:rPr>
      </w:pPr>
    </w:p>
    <w:p>
      <w:pPr>
        <w:jc w:val="both"/>
        <w:ind w:firstLine="8"/>
        <w:spacing w:after="0" w:line="239" w:lineRule="auto"/>
        <w:tabs>
          <w:tab w:leader="none" w:pos="213" w:val="left"/>
        </w:tabs>
        <w:numPr>
          <w:ilvl w:val="0"/>
          <w:numId w:val="79"/>
        </w:numPr>
        <w:rPr>
          <w:rFonts w:ascii="Arial" w:cs="Arial" w:eastAsia="Arial" w:hAnsi="Arial"/>
          <w:sz w:val="18"/>
          <w:szCs w:val="18"/>
          <w:color w:val="000101"/>
        </w:rPr>
      </w:pPr>
      <w:r>
        <w:rPr>
          <w:rFonts w:ascii="Arial" w:cs="Arial" w:eastAsia="Arial" w:hAnsi="Arial"/>
          <w:sz w:val="18"/>
          <w:szCs w:val="18"/>
          <w:color w:val="000101"/>
        </w:rPr>
        <w:t>you provide written notice to the Board of the occurrence of the event which you contend constitutes Good Reason within thirty (30) days after the date such event occurs, which notice states your intention to resign for a “Good Reason” under this Agreement as a result thereof, (ii) the Company does not effect a cure with respect to such event within thirty (30) days after receipt of such written notice, and (iii) you thereafter resign and cease to perform services as an employee of the Company within ten (10) days after the expiration of the Company’s cure period.</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 your employment with Company, you and the Company agree to submit to mandatory final,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binding and confidential arbitration any and all disputes, claims or controversies arising out of, related to or connected with your employment with the Company, including, but not limited to, claims of discrimination, harassment, unpaid wages, breach of contract (express or implied), wrongful termination, torts, claims for stock or stock options, as well as claims based upon any federal, state or local ordinance, statute, regulation or constitutional provision, including, but not limited to, the Age Discrimination in Employment Act, 29 U.S.C. § 621,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Employee Retirement Income Security Act (ERISA), 29 U.S.C. § 1001,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Title VII of the Civil Rights Act of 1964, 42 U.S.C. § 2000e, </w:t>
      </w:r>
      <w:r>
        <w:rPr>
          <w:rFonts w:ascii="Arial" w:cs="Arial" w:eastAsia="Arial" w:hAnsi="Arial"/>
          <w:sz w:val="18"/>
          <w:szCs w:val="18"/>
          <w:i w:val="1"/>
          <w:iCs w:val="1"/>
          <w:color w:val="auto"/>
        </w:rPr>
        <w:t>et seq.</w:t>
      </w:r>
      <w:r>
        <w:rPr>
          <w:rFonts w:ascii="Arial" w:cs="Arial" w:eastAsia="Arial" w:hAnsi="Arial"/>
          <w:sz w:val="18"/>
          <w:szCs w:val="18"/>
          <w:color w:val="auto"/>
        </w:rPr>
        <w:t>, and 42 U.S.C. § 1981, and any and all state or local laws prohibiting discrimination or regulating any terms or conditions of employment “</w:t>
      </w:r>
      <w:r>
        <w:rPr>
          <w:rFonts w:ascii="Arial" w:cs="Arial" w:eastAsia="Arial" w:hAnsi="Arial"/>
          <w:sz w:val="18"/>
          <w:szCs w:val="18"/>
          <w:b w:val="1"/>
          <w:bCs w:val="1"/>
          <w:i w:val="1"/>
          <w:iCs w:val="1"/>
          <w:color w:val="auto"/>
        </w:rPr>
        <w:t>Arbitrable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Arbitration shall be the exclusive method by which to resolve all Arbitrable Claims and shall be final and binding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parties. BY AGREEING TO THIS ARBITRATION PROCEDURE, YOU AND THE COMPANY HEREBY WAIVE ANY RIGHTS EITHER MAY HAVE TO TRIAL BY JURY IN REGARD TO ARBITRABLE CLAIMS. The arbitration shall be conducted pursuant to the Federal Arbitration Act, 9 U.S.C. § 1-16, and to the fullest extent permitted by law, in New York, New York by a single arbitrator conducted by JAMS,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under the then-applicable JAMS rules (which can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 info@progyny.com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 found at http://www.jamsadr.com/rulesclauses).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In any arbitration proceeding, you will have the right to be represented by legal counsel at your own expense (subject to applicable law requiring that the Company pay the fees and/or costs of your legal counsel). The arbitrator shall: (a) have the authority to compel adequate discovery for the resolution of the dispute and to award such relief as would otherwise be available under applicable law in a court proceeding; and 140241466 v1 (b)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proceedings. The Company shall pay all costs and fees in excess of the amount of court fees that you would be required to incur if the dispute were filed or decided in a court of law. Nothing in this Agreement is intended to prevent either you or the Company from obtaining injunctive relief in court to prevent irreparable harm pending the conclusion of any such arbitration.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indicate your acceptance of the Company’s offer, and we hope that you do, please sign and date this letter and sign and date the Non-Solicitation / Non-Competition Agreement and return the signed copies of these documents to me, by no later than Monday, April 22, 2019.</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letter, along with the Non-Solicitation / Non-Competition Agreement, sets forth the terms of your employment with the company and may not be modified or amended except by a written agreement, signed by an officer of the Company and by you.</w:t>
      </w:r>
    </w:p>
    <w:p>
      <w:pPr>
        <w:spacing w:after="0" w:line="164" w:lineRule="exact"/>
        <w:rPr>
          <w:sz w:val="20"/>
          <w:szCs w:val="20"/>
          <w:color w:val="auto"/>
        </w:rPr>
      </w:pPr>
    </w:p>
    <w:p>
      <w:pPr>
        <w:jc w:val="both"/>
        <w:ind w:left="20" w:hanging="11"/>
        <w:spacing w:after="0" w:line="276" w:lineRule="auto"/>
        <w:rPr>
          <w:sz w:val="20"/>
          <w:szCs w:val="20"/>
          <w:color w:val="auto"/>
        </w:rPr>
      </w:pPr>
      <w:r>
        <w:rPr>
          <w:rFonts w:ascii="Arial" w:cs="Arial" w:eastAsia="Arial" w:hAnsi="Arial"/>
          <w:sz w:val="18"/>
          <w:szCs w:val="18"/>
          <w:color w:val="auto"/>
        </w:rPr>
        <w:t>We are extremely pleased to make this offer to you, Lisa, and we are confident you will make a significant contribution to Progyny’s success in your new role!</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11430</wp:posOffset>
            </wp:positionV>
            <wp:extent cx="31457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David Schlanger</w:t>
      </w:r>
    </w:p>
    <w:p>
      <w:pPr>
        <w:ind w:left="4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Progyny,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 info@progyny.com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2099945" cy="8229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2099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this offer letter and hereby acknowledge, accept and agree to the terms as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gridSpan w:val="2"/>
          </w:tcPr>
          <w:p>
            <w:pPr>
              <w:spacing w:after="0"/>
              <w:rPr>
                <w:sz w:val="20"/>
                <w:szCs w:val="20"/>
                <w:color w:val="auto"/>
              </w:rPr>
            </w:pPr>
            <w:r>
              <w:rPr>
                <w:rFonts w:ascii="Arial" w:cs="Arial" w:eastAsia="Arial" w:hAnsi="Arial"/>
                <w:sz w:val="18"/>
                <w:szCs w:val="18"/>
                <w:color w:val="auto"/>
              </w:rPr>
              <w:t>/s/ Lisa T. Greenbaum</w:t>
            </w: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April 18, 2019</w:t>
            </w:r>
          </w:p>
        </w:tc>
      </w:tr>
      <w:tr>
        <w:trPr>
          <w:trHeight w:val="246"/>
        </w:trPr>
        <w:tc>
          <w:tcPr>
            <w:tcW w:w="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SIGNED:</w:t>
            </w:r>
          </w:p>
        </w:tc>
        <w:tc>
          <w:tcPr>
            <w:tcW w:w="220" w:type="dxa"/>
            <w:vAlign w:val="bottom"/>
          </w:tcPr>
          <w:p>
            <w:pPr>
              <w:spacing w:after="0"/>
              <w:rPr>
                <w:sz w:val="21"/>
                <w:szCs w:val="21"/>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793"/>
        </w:trPr>
        <w:tc>
          <w:tcPr>
            <w:tcW w:w="20" w:type="dxa"/>
            <w:vAlign w:val="bottom"/>
          </w:tcPr>
          <w:p>
            <w:pPr>
              <w:spacing w:after="0"/>
              <w:rPr>
                <w:sz w:val="24"/>
                <w:szCs w:val="24"/>
                <w:color w:val="auto"/>
              </w:rPr>
            </w:pPr>
          </w:p>
        </w:tc>
        <w:tc>
          <w:tcPr>
            <w:tcW w:w="4840" w:type="dxa"/>
            <w:vAlign w:val="bottom"/>
          </w:tcPr>
          <w:p>
            <w:pPr>
              <w:ind w:left="3660"/>
              <w:spacing w:after="0"/>
              <w:rPr>
                <w:sz w:val="20"/>
                <w:szCs w:val="20"/>
                <w:color w:val="auto"/>
              </w:rPr>
            </w:pPr>
            <w:r>
              <w:rPr>
                <w:rFonts w:ascii="Arial" w:cs="Arial" w:eastAsia="Arial" w:hAnsi="Arial"/>
                <w:sz w:val="16"/>
                <w:szCs w:val="16"/>
                <w:b w:val="1"/>
                <w:bCs w:val="1"/>
                <w:color w:val="auto"/>
              </w:rPr>
              <w:t xml:space="preserve">progyny.com </w:t>
            </w:r>
            <w:r>
              <w:rPr>
                <w:rFonts w:ascii="Arial" w:cs="Arial" w:eastAsia="Arial" w:hAnsi="Arial"/>
                <w:sz w:val="16"/>
                <w:szCs w:val="16"/>
                <w:color w:val="auto"/>
              </w:rPr>
              <w:t>|</w:t>
            </w:r>
          </w:p>
        </w:tc>
        <w:tc>
          <w:tcPr>
            <w:tcW w:w="5060" w:type="dxa"/>
            <w:vAlign w:val="bottom"/>
            <w:gridSpan w:val="2"/>
          </w:tcPr>
          <w:p>
            <w:pPr>
              <w:ind w:left="40"/>
              <w:spacing w:after="0"/>
              <w:rPr>
                <w:sz w:val="20"/>
                <w:szCs w:val="20"/>
                <w:color w:val="auto"/>
              </w:rPr>
            </w:pPr>
            <w:r>
              <w:rPr>
                <w:rFonts w:ascii="Arial" w:cs="Arial" w:eastAsia="Arial" w:hAnsi="Arial"/>
                <w:sz w:val="16"/>
                <w:szCs w:val="16"/>
                <w:color w:val="auto"/>
              </w:rPr>
              <w:t>info@progyny.com</w:t>
            </w:r>
          </w:p>
        </w:tc>
      </w:tr>
      <w:tr>
        <w:trPr>
          <w:trHeight w:val="541"/>
        </w:trPr>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147" w:name="page148"/>
    <w:bookmarkEnd w:id="14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16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148" w:lineRule="exact"/>
        <w:rPr>
          <w:sz w:val="20"/>
          <w:szCs w:val="20"/>
          <w:color w:val="auto"/>
        </w:rPr>
      </w:pPr>
    </w:p>
    <w:p>
      <w:pPr>
        <w:ind w:left="860" w:hanging="327"/>
        <w:spacing w:after="0"/>
        <w:tabs>
          <w:tab w:leader="none" w:pos="8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333-237072) pertaining to the following plans:</w:t>
      </w:r>
    </w:p>
    <w:p>
      <w:pPr>
        <w:spacing w:after="0" w:line="215" w:lineRule="exact"/>
        <w:rPr>
          <w:rFonts w:ascii="Times New Roman" w:cs="Times New Roman" w:eastAsia="Times New Roman" w:hAnsi="Times New Roman"/>
          <w:sz w:val="20"/>
          <w:szCs w:val="20"/>
          <w:color w:val="auto"/>
        </w:rPr>
      </w:pPr>
    </w:p>
    <w:p>
      <w:pPr>
        <w:ind w:left="1500" w:hanging="31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2019 Equity Incentive Plan</w:t>
      </w:r>
    </w:p>
    <w:p>
      <w:pPr>
        <w:spacing w:after="0" w:line="256"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333-234342) pertaining to the following plans:</w:t>
      </w:r>
    </w:p>
    <w:p>
      <w:pPr>
        <w:spacing w:after="0" w:line="148" w:lineRule="exact"/>
        <w:rPr>
          <w:rFonts w:ascii="Times New Roman" w:cs="Times New Roman" w:eastAsia="Times New Roman" w:hAnsi="Times New Roman"/>
          <w:sz w:val="20"/>
          <w:szCs w:val="20"/>
          <w:color w:val="auto"/>
        </w:rPr>
      </w:pPr>
    </w:p>
    <w:p>
      <w:pPr>
        <w:ind w:left="1500" w:hanging="31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2019 Equity Incentive Plan</w:t>
      </w:r>
    </w:p>
    <w:p>
      <w:pPr>
        <w:spacing w:after="0" w:line="21" w:lineRule="exact"/>
        <w:rPr>
          <w:rFonts w:ascii="Times New Roman" w:cs="Times New Roman" w:eastAsia="Times New Roman" w:hAnsi="Times New Roman"/>
          <w:sz w:val="20"/>
          <w:szCs w:val="20"/>
          <w:color w:val="auto"/>
        </w:rPr>
      </w:pPr>
    </w:p>
    <w:p>
      <w:pPr>
        <w:ind w:left="1500" w:hanging="31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2019 Employee Stock Purchase Plan</w:t>
      </w:r>
    </w:p>
    <w:p>
      <w:pPr>
        <w:ind w:left="1500" w:hanging="31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2017 Equity Incentive Plan</w:t>
      </w:r>
    </w:p>
    <w:p>
      <w:pPr>
        <w:ind w:left="1500" w:hanging="31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2008 Stock Plan</w:t>
      </w:r>
    </w:p>
    <w:p>
      <w:pPr>
        <w:spacing w:after="0" w:line="207" w:lineRule="exact"/>
        <w:rPr>
          <w:sz w:val="20"/>
          <w:szCs w:val="20"/>
          <w:color w:val="auto"/>
        </w:rPr>
      </w:pPr>
    </w:p>
    <w:p>
      <w:pPr>
        <w:ind w:left="200" w:right="319"/>
        <w:spacing w:after="0" w:line="268" w:lineRule="auto"/>
        <w:rPr>
          <w:sz w:val="20"/>
          <w:szCs w:val="20"/>
          <w:color w:val="auto"/>
        </w:rPr>
      </w:pPr>
      <w:r>
        <w:rPr>
          <w:rFonts w:ascii="Times New Roman" w:cs="Times New Roman" w:eastAsia="Times New Roman" w:hAnsi="Times New Roman"/>
          <w:sz w:val="20"/>
          <w:szCs w:val="20"/>
          <w:color w:val="auto"/>
        </w:rPr>
        <w:t>of our reports dated March 1, 2021, with respect to the consolidated financial statements and schedule of Progyny, Inc. and the effectiveness of internal controls over financial reporting of Progyny, Inc. included in this Annual Report (Form 10-K) of Progyny, Inc. for the year ended December 31, 2020.</w:t>
      </w:r>
    </w:p>
    <w:p>
      <w:pPr>
        <w:spacing w:after="0" w:line="3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8" w:name="page149"/>
    <w:bookmarkEnd w:id="14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David Schlanger, certify that:</w:t>
      </w:r>
    </w:p>
    <w:p>
      <w:pPr>
        <w:spacing w:after="0" w:line="185" w:lineRule="exact"/>
        <w:rPr>
          <w:sz w:val="20"/>
          <w:szCs w:val="20"/>
          <w:color w:val="auto"/>
        </w:rPr>
      </w:pPr>
    </w:p>
    <w:p>
      <w:pPr>
        <w:ind w:left="860" w:hanging="327"/>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71" w:lineRule="exact"/>
        <w:rPr>
          <w:rFonts w:ascii="Times New Roman" w:cs="Times New Roman" w:eastAsia="Times New Roman" w:hAnsi="Times New Roman"/>
          <w:sz w:val="18"/>
          <w:szCs w:val="18"/>
          <w:color w:val="auto"/>
        </w:rPr>
      </w:pPr>
    </w:p>
    <w:p>
      <w:pPr>
        <w:ind w:left="860" w:right="279" w:hanging="327"/>
        <w:spacing w:after="0" w:line="250" w:lineRule="auto"/>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860" w:right="599" w:hanging="327"/>
        <w:spacing w:after="0" w:line="250" w:lineRule="auto"/>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ind w:left="860" w:right="479" w:hanging="327"/>
        <w:spacing w:after="0" w:line="245" w:lineRule="auto"/>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18"/>
          <w:szCs w:val="18"/>
          <w:color w:val="auto"/>
        </w:rPr>
      </w:pPr>
    </w:p>
    <w:p>
      <w:pPr>
        <w:ind w:left="1300" w:right="259" w:hanging="443"/>
        <w:spacing w:after="0" w:line="245"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8"/>
          <w:szCs w:val="18"/>
          <w:color w:val="auto"/>
        </w:rPr>
      </w:pPr>
    </w:p>
    <w:p>
      <w:pPr>
        <w:ind w:left="1300" w:right="239" w:hanging="443"/>
        <w:spacing w:after="0" w:line="245"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8"/>
          <w:szCs w:val="18"/>
          <w:color w:val="auto"/>
        </w:rPr>
      </w:pPr>
    </w:p>
    <w:p>
      <w:pPr>
        <w:jc w:val="both"/>
        <w:ind w:left="1300" w:right="379" w:hanging="443"/>
        <w:spacing w:after="0" w:line="250"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left="1300" w:right="499" w:hanging="443"/>
        <w:spacing w:after="0" w:line="245"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8"/>
          <w:szCs w:val="18"/>
          <w:color w:val="auto"/>
        </w:rPr>
      </w:pPr>
    </w:p>
    <w:p>
      <w:pPr>
        <w:ind w:left="860" w:right="259" w:hanging="327"/>
        <w:spacing w:after="0" w:line="250" w:lineRule="auto"/>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ind w:left="1300" w:right="359" w:hanging="443"/>
        <w:spacing w:after="0" w:line="250"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1300" w:right="939" w:hanging="443"/>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20"/>
        <w:spacing w:after="0"/>
        <w:tabs>
          <w:tab w:leader="none" w:pos="4680" w:val="left"/>
          <w:tab w:leader="none" w:pos="6160" w:val="left"/>
        </w:tabs>
        <w:rPr>
          <w:sz w:val="20"/>
          <w:szCs w:val="20"/>
          <w:color w:val="auto"/>
        </w:rPr>
      </w:pPr>
      <w:r>
        <w:rPr>
          <w:rFonts w:ascii="Times New Roman" w:cs="Times New Roman" w:eastAsia="Times New Roman" w:hAnsi="Times New Roman"/>
          <w:sz w:val="18"/>
          <w:szCs w:val="18"/>
          <w:color w:val="auto"/>
        </w:rPr>
        <w:t>Date: March 01,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8890</wp:posOffset>
            </wp:positionV>
            <wp:extent cx="24174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David Schlanger</w:t>
      </w:r>
    </w:p>
    <w:p>
      <w:pPr>
        <w:spacing w:after="0" w:line="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Executive Officer</w:t>
      </w:r>
    </w:p>
    <w:p>
      <w:pPr>
        <w:ind w:left="58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49" w:name="page150"/>
    <w:bookmarkEnd w:id="14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171" w:lineRule="exact"/>
        <w:rPr>
          <w:sz w:val="20"/>
          <w:szCs w:val="20"/>
          <w:color w:val="auto"/>
        </w:rPr>
      </w:pPr>
    </w:p>
    <w:p>
      <w:pPr>
        <w:ind w:left="860" w:hanging="327"/>
        <w:spacing w:after="0"/>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71" w:lineRule="exact"/>
        <w:rPr>
          <w:rFonts w:ascii="Times New Roman" w:cs="Times New Roman" w:eastAsia="Times New Roman" w:hAnsi="Times New Roman"/>
          <w:sz w:val="18"/>
          <w:szCs w:val="18"/>
          <w:color w:val="auto"/>
        </w:rPr>
      </w:pPr>
    </w:p>
    <w:p>
      <w:pPr>
        <w:ind w:left="860" w:right="279" w:hanging="327"/>
        <w:spacing w:after="0" w:line="250" w:lineRule="auto"/>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860" w:right="599" w:hanging="327"/>
        <w:spacing w:after="0" w:line="250" w:lineRule="auto"/>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ind w:left="860" w:right="479" w:hanging="327"/>
        <w:spacing w:after="0" w:line="245" w:lineRule="auto"/>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18"/>
          <w:szCs w:val="18"/>
          <w:color w:val="auto"/>
        </w:rPr>
      </w:pPr>
    </w:p>
    <w:p>
      <w:pPr>
        <w:ind w:left="1280" w:right="259" w:hanging="423"/>
        <w:spacing w:after="0" w:line="245" w:lineRule="auto"/>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8"/>
          <w:szCs w:val="18"/>
          <w:color w:val="auto"/>
        </w:rPr>
      </w:pPr>
    </w:p>
    <w:p>
      <w:pPr>
        <w:ind w:left="1280" w:right="239" w:hanging="423"/>
        <w:spacing w:after="0" w:line="245" w:lineRule="auto"/>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8"/>
          <w:szCs w:val="18"/>
          <w:color w:val="auto"/>
        </w:rPr>
      </w:pPr>
    </w:p>
    <w:p>
      <w:pPr>
        <w:ind w:left="1280" w:right="239" w:hanging="423"/>
        <w:spacing w:after="0" w:line="250" w:lineRule="auto"/>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left="1280" w:right="519" w:hanging="423"/>
        <w:spacing w:after="0" w:line="245" w:lineRule="auto"/>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8"/>
          <w:szCs w:val="18"/>
          <w:color w:val="auto"/>
        </w:rPr>
      </w:pPr>
    </w:p>
    <w:p>
      <w:pPr>
        <w:ind w:left="860" w:right="259" w:hanging="327"/>
        <w:spacing w:after="0" w:line="250" w:lineRule="auto"/>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ind w:left="1280" w:right="379" w:hanging="423"/>
        <w:spacing w:after="0" w:line="250" w:lineRule="auto"/>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1280" w:right="959" w:hanging="423"/>
        <w:spacing w:after="0" w:line="266" w:lineRule="auto"/>
        <w:tabs>
          <w:tab w:leader="none" w:pos="12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20"/>
        <w:spacing w:after="0"/>
        <w:tabs>
          <w:tab w:leader="none" w:pos="4660" w:val="left"/>
          <w:tab w:leader="none" w:pos="614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24345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ind w:left="5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0" w:name="page151"/>
    <w:bookmarkEnd w:id="15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160" w:right="2179" w:firstLine="62"/>
        <w:spacing w:after="0" w:line="243"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2" w:lineRule="exact"/>
        <w:rPr>
          <w:sz w:val="20"/>
          <w:szCs w:val="20"/>
          <w:color w:val="auto"/>
        </w:rPr>
      </w:pPr>
    </w:p>
    <w:p>
      <w:pPr>
        <w:ind w:left="200" w:right="259" w:firstLine="441"/>
        <w:spacing w:after="0" w:line="272" w:lineRule="auto"/>
        <w:rPr>
          <w:sz w:val="20"/>
          <w:szCs w:val="20"/>
          <w:color w:val="auto"/>
        </w:rPr>
      </w:pPr>
      <w:r>
        <w:rPr>
          <w:rFonts w:ascii="Times New Roman" w:cs="Times New Roman" w:eastAsia="Times New Roman" w:hAnsi="Times New Roman"/>
          <w:sz w:val="17"/>
          <w:szCs w:val="17"/>
          <w:color w:val="auto"/>
        </w:rPr>
        <w:t>In connection with the Annual Report on Form 10-K of Progyny, Inc. (the “Company”) for the period ended December 31, 2020 as filed with the Securities and Exchange Commission on the date hereof (the “Report”), I certify, pursuant to 18 U.S.C. § 1350, as adopted pursuant to § 906 of the Sarbanes-Oxley Act of 2002, that, to my knowledge:</w:t>
      </w:r>
    </w:p>
    <w:p>
      <w:pPr>
        <w:spacing w:after="0" w:line="159" w:lineRule="exact"/>
        <w:rPr>
          <w:sz w:val="20"/>
          <w:szCs w:val="20"/>
          <w:color w:val="auto"/>
        </w:rPr>
      </w:pPr>
    </w:p>
    <w:p>
      <w:pPr>
        <w:ind w:left="1080" w:right="359" w:hanging="439"/>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080" w:right="239" w:hanging="439"/>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20"/>
        <w:spacing w:after="0"/>
        <w:tabs>
          <w:tab w:leader="none" w:pos="4300" w:val="left"/>
          <w:tab w:leader="none" w:pos="596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8890</wp:posOffset>
            </wp:positionV>
            <wp:extent cx="26574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Schlanger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1" w:name="page152"/>
    <w:bookmarkEnd w:id="15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160" w:right="2179" w:firstLine="62"/>
        <w:spacing w:after="0" w:line="243"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2" w:lineRule="exact"/>
        <w:rPr>
          <w:sz w:val="20"/>
          <w:szCs w:val="20"/>
          <w:color w:val="auto"/>
        </w:rPr>
      </w:pPr>
    </w:p>
    <w:p>
      <w:pPr>
        <w:ind w:left="200" w:right="259" w:firstLine="441"/>
        <w:spacing w:after="0" w:line="272" w:lineRule="auto"/>
        <w:rPr>
          <w:sz w:val="20"/>
          <w:szCs w:val="20"/>
          <w:color w:val="auto"/>
        </w:rPr>
      </w:pPr>
      <w:r>
        <w:rPr>
          <w:rFonts w:ascii="Times New Roman" w:cs="Times New Roman" w:eastAsia="Times New Roman" w:hAnsi="Times New Roman"/>
          <w:sz w:val="17"/>
          <w:szCs w:val="17"/>
          <w:color w:val="auto"/>
        </w:rPr>
        <w:t>In connection with the Annual Report on Form 10-K of Progyny, Inc. (the “Company”) for the period ended December 31, 2020 as filed with the Securities and Exchange Commission on the date hereof (the “Report”), I certify, pursuant to 18 U.S.C. § 1350, as adopted pursuant to § 906 of the Sarbanes-Oxley Act of 2002, that, to my knowledge:</w:t>
      </w:r>
    </w:p>
    <w:p>
      <w:pPr>
        <w:spacing w:after="0" w:line="159" w:lineRule="exact"/>
        <w:rPr>
          <w:sz w:val="20"/>
          <w:szCs w:val="20"/>
          <w:color w:val="auto"/>
        </w:rPr>
      </w:pPr>
    </w:p>
    <w:p>
      <w:pPr>
        <w:ind w:left="1080" w:right="359" w:hanging="439"/>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080" w:right="239" w:hanging="439"/>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20"/>
        <w:spacing w:after="0"/>
        <w:tabs>
          <w:tab w:leader="none" w:pos="4300" w:val="left"/>
          <w:tab w:leader="none" w:pos="596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8890</wp:posOffset>
            </wp:positionV>
            <wp:extent cx="26574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Mark Livingston</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3"/>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decimal"/>
      <w:start w:val="11"/>
    </w:lvl>
  </w:abstractNum>
  <w:abstractNum w:abstractNumId="44">
    <w:nsid w:val="5FF87E05"/>
    <w:multiLevelType w:val="hybridMultilevel"/>
    <w:lvl w:ilvl="0">
      <w:lvlJc w:val="left"/>
      <w:lvlText w:val="%1."/>
      <w:numFmt w:val="decimal"/>
      <w:start w:val="15"/>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upperLetter"/>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upperLetter"/>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2"/>
    </w:lvl>
  </w:abstractNum>
  <w:abstractNum w:abstractNumId="58">
    <w:nsid w:val="6B94764"/>
    <w:multiLevelType w:val="hybridMultilevel"/>
    <w:lvl w:ilvl="0">
      <w:lvlJc w:val="left"/>
      <w:lvlText w:val="%1."/>
      <w:numFmt w:val="decimal"/>
      <w:start w:val="2"/>
    </w:lvl>
  </w:abstractNum>
  <w:abstractNum w:abstractNumId="59">
    <w:nsid w:val="42C296BD"/>
    <w:multiLevelType w:val="hybridMultilevel"/>
    <w:lvl w:ilvl="0">
      <w:lvlJc w:val="left"/>
      <w:lvlText w:val="%1."/>
      <w:numFmt w:val="decimal"/>
      <w:start w:val="3"/>
    </w:lvl>
  </w:abstractNum>
  <w:abstractNum w:abstractNumId="60">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1">
    <w:nsid w:val="1EBA5D23"/>
    <w:multiLevelType w:val="hybridMultilevel"/>
    <w:lvl w:ilvl="0">
      <w:lvlJc w:val="left"/>
      <w:lvlText w:val="%1"/>
      <w:numFmt w:val="lowerLetter"/>
      <w:start w:val="1"/>
    </w:lvl>
    <w:lvl w:ilvl="1">
      <w:lvlJc w:val="left"/>
      <w:lvlText w:val="%2."/>
      <w:numFmt w:val="lowerRoman"/>
      <w:start w:val="3"/>
    </w:lvl>
  </w:abstractNum>
  <w:abstractNum w:abstractNumId="62">
    <w:nsid w:val="661E3F1E"/>
    <w:multiLevelType w:val="hybridMultilevel"/>
    <w:lvl w:ilvl="0">
      <w:lvlJc w:val="left"/>
      <w:lvlText w:val="%1."/>
      <w:numFmt w:val="lowerLetter"/>
      <w:start w:val="2"/>
    </w:lvl>
    <w:lvl w:ilvl="1">
      <w:lvlJc w:val="left"/>
      <w:lvlText w:val="%2"/>
      <w:numFmt w:val="lowerRoman"/>
      <w:start w:val="1"/>
    </w:lvl>
  </w:abstractNum>
  <w:abstractNum w:abstractNumId="63">
    <w:nsid w:val="5DC79EA8"/>
    <w:multiLevelType w:val="hybridMultilevel"/>
    <w:lvl w:ilvl="0">
      <w:lvlJc w:val="left"/>
      <w:lvlText w:val="%1."/>
      <w:numFmt w:val="lowerLetter"/>
      <w:start w:val="3"/>
    </w:lvl>
    <w:lvl w:ilvl="1">
      <w:lvlJc w:val="left"/>
      <w:lvlText w:val="%2."/>
      <w:numFmt w:val="lowerRoman"/>
      <w:start w:val="1"/>
    </w:lvl>
  </w:abstractNum>
  <w:abstractNum w:abstractNumId="64">
    <w:nsid w:val="540A471C"/>
    <w:multiLevelType w:val="hybridMultilevel"/>
    <w:lvl w:ilvl="0">
      <w:lvlJc w:val="left"/>
      <w:lvlText w:val="%1"/>
      <w:numFmt w:val="decimal"/>
      <w:start w:val="1"/>
    </w:lvl>
    <w:lvl w:ilvl="1">
      <w:lvlJc w:val="left"/>
      <w:lvlText w:val="%2."/>
      <w:numFmt w:val="lowerRoman"/>
      <w:start w:val="3"/>
    </w:lvl>
  </w:abstractNum>
  <w:abstractNum w:abstractNumId="65">
    <w:nsid w:val="7BD3EE7B"/>
    <w:multiLevelType w:val="hybridMultilevel"/>
    <w:lvl w:ilvl="0">
      <w:lvlJc w:val="left"/>
      <w:lvlText w:val="%1."/>
      <w:numFmt w:val="decimal"/>
      <w:start w:val="6"/>
    </w:lvl>
    <w:lvl w:ilvl="1">
      <w:lvlJc w:val="left"/>
      <w:lvlText w:val="%2"/>
      <w:numFmt w:val="lowerRoman"/>
      <w:start w:val="1"/>
    </w:lvl>
  </w:abstractNum>
  <w:abstractNum w:abstractNumId="66">
    <w:nsid w:val="51D9C564"/>
    <w:multiLevelType w:val="hybridMultilevel"/>
    <w:lvl w:ilvl="0">
      <w:lvlJc w:val="left"/>
      <w:lvlText w:val="%1."/>
      <w:numFmt w:val="decimal"/>
      <w:start w:val="7"/>
    </w:lvl>
  </w:abstractNum>
  <w:abstractNum w:abstractNumId="67">
    <w:nsid w:val="613EFDC5"/>
    <w:multiLevelType w:val="hybridMultilevel"/>
    <w:lvl w:ilvl="0">
      <w:lvlJc w:val="left"/>
      <w:lvlText w:val="%1."/>
      <w:numFmt w:val="decimal"/>
      <w:start w:val="8"/>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decimal"/>
      <w:start w:val="2"/>
    </w:lvl>
  </w:abstractNum>
  <w:abstractNum w:abstractNumId="70">
    <w:nsid w:val="42963E5A"/>
    <w:multiLevelType w:val="hybridMultilevel"/>
    <w:lvl w:ilvl="0">
      <w:lvlJc w:val="left"/>
      <w:lvlText w:val="%1."/>
      <w:numFmt w:val="decimal"/>
      <w:start w:val="3"/>
    </w:lvl>
  </w:abstractNum>
  <w:abstractNum w:abstractNumId="71">
    <w:nsid w:val="A0382C5"/>
    <w:multiLevelType w:val="hybridMultilevel"/>
    <w:lvl w:ilvl="0">
      <w:lvlJc w:val="left"/>
      <w:lvlText w:val="%1."/>
      <w:numFmt w:val="decimal"/>
      <w:start w:val="6"/>
    </w:lvl>
  </w:abstractNum>
  <w:abstractNum w:abstractNumId="72">
    <w:nsid w:val="8F2B15E"/>
    <w:multiLevelType w:val="hybridMultilevel"/>
    <w:lvl w:ilvl="0">
      <w:lvlJc w:val="left"/>
      <w:lvlText w:val="%1."/>
      <w:numFmt w:val="decimal"/>
      <w:start w:val="7"/>
    </w:lvl>
  </w:abstractNum>
  <w:abstractNum w:abstractNumId="73">
    <w:nsid w:val="1A32234B"/>
    <w:multiLevelType w:val="hybridMultilevel"/>
    <w:lvl w:ilvl="0">
      <w:lvlJc w:val="left"/>
      <w:lvlText w:val="%1."/>
      <w:numFmt w:val="decimal"/>
      <w:start w:val="8"/>
    </w:lvl>
  </w:abstractNum>
  <w:abstractNum w:abstractNumId="74">
    <w:nsid w:val="3B0FD379"/>
    <w:multiLevelType w:val="hybridMultilevel"/>
    <w:lvl w:ilvl="0">
      <w:lvlJc w:val="left"/>
      <w:lvlText w:val="%1."/>
      <w:numFmt w:val="decimal"/>
      <w:start w:val="11"/>
    </w:lvl>
  </w:abstractNum>
  <w:abstractNum w:abstractNumId="75">
    <w:nsid w:val="68EB2F63"/>
    <w:multiLevelType w:val="hybridMultilevel"/>
    <w:lvl w:ilvl="0">
      <w:lvlJc w:val="left"/>
      <w:lvlText w:val="%1."/>
      <w:numFmt w:val="decimal"/>
      <w:start w:val="13"/>
    </w:lvl>
  </w:abstractNum>
  <w:abstractNum w:abstractNumId="76">
    <w:nsid w:val="4962813B"/>
    <w:multiLevelType w:val="hybridMultilevel"/>
    <w:lvl w:ilvl="0">
      <w:lvlJc w:val="left"/>
      <w:lvlText w:val="%1."/>
      <w:numFmt w:val="lowerLetter"/>
      <w:start w:val="1"/>
    </w:lvl>
    <w:lvl w:ilvl="1">
      <w:lvlJc w:val="left"/>
      <w:lvlText w:val="%2."/>
      <w:numFmt w:val="lowerRoman"/>
      <w:start w:val="1"/>
    </w:lvl>
  </w:abstractNum>
  <w:abstractNum w:abstractNumId="77">
    <w:nsid w:val="60B6DF70"/>
    <w:multiLevelType w:val="hybridMultilevel"/>
    <w:lvl w:ilvl="0">
      <w:lvlJc w:val="left"/>
      <w:lvlText w:val="%1."/>
      <w:numFmt w:val="lowerLetter"/>
      <w:start w:val="2"/>
    </w:lvl>
  </w:abstractNum>
  <w:abstractNum w:abstractNumId="78">
    <w:nsid w:val="6A5EE64"/>
    <w:multiLevelType w:val="hybridMultilevel"/>
    <w:lvl w:ilvl="0">
      <w:lvlJc w:val="left"/>
      <w:lvlText w:val="(%1)"/>
      <w:numFmt w:val="lowerRoman"/>
      <w:start w:val="1"/>
    </w:lvl>
  </w:abstractNum>
  <w:abstractNum w:abstractNumId="79">
    <w:nsid w:val="14330624"/>
    <w:multiLevelType w:val="hybridMultilevel"/>
    <w:lvl w:ilvl="0">
      <w:lvlJc w:val="left"/>
      <w:lvlText w:val="(%1)"/>
      <w:numFmt w:val="decimal"/>
      <w:start w:val="1"/>
    </w:lvl>
    <w:lvl w:ilvl="1">
      <w:lvlJc w:val="left"/>
      <w:lvlText w:val="●"/>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41"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jpeg"/><Relationship Id="rId159" Type="http://schemas.openxmlformats.org/officeDocument/2006/relationships/image" Target="media/image133.png"/><Relationship Id="rId160" Type="http://schemas.openxmlformats.org/officeDocument/2006/relationships/image" Target="media/image134.jpeg"/><Relationship Id="rId161" Type="http://schemas.openxmlformats.org/officeDocument/2006/relationships/image" Target="media/image135.png"/><Relationship Id="rId162" Type="http://schemas.openxmlformats.org/officeDocument/2006/relationships/image" Target="media/image136.jpeg"/><Relationship Id="rId163" Type="http://schemas.openxmlformats.org/officeDocument/2006/relationships/image" Target="media/image137.png"/><Relationship Id="rId164" Type="http://schemas.openxmlformats.org/officeDocument/2006/relationships/image" Target="media/image138.jpeg"/><Relationship Id="rId165" Type="http://schemas.openxmlformats.org/officeDocument/2006/relationships/image" Target="media/image139.png"/><Relationship Id="rId166" Type="http://schemas.openxmlformats.org/officeDocument/2006/relationships/image" Target="media/image140.jpeg"/><Relationship Id="rId167" Type="http://schemas.openxmlformats.org/officeDocument/2006/relationships/image" Target="media/image141.png"/><Relationship Id="rId168" Type="http://schemas.openxmlformats.org/officeDocument/2006/relationships/image" Target="media/image142.jpeg"/><Relationship Id="rId169" Type="http://schemas.openxmlformats.org/officeDocument/2006/relationships/image" Target="media/image143.png"/><Relationship Id="rId170" Type="http://schemas.openxmlformats.org/officeDocument/2006/relationships/image" Target="media/image144.jpeg"/><Relationship Id="rId171" Type="http://schemas.openxmlformats.org/officeDocument/2006/relationships/image" Target="media/image145.png"/><Relationship Id="rId172" Type="http://schemas.openxmlformats.org/officeDocument/2006/relationships/image" Target="media/image146.jpe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jpeg"/><Relationship Id="rId177" Type="http://schemas.openxmlformats.org/officeDocument/2006/relationships/image" Target="media/image151.jpeg"/><Relationship Id="rId178" Type="http://schemas.openxmlformats.org/officeDocument/2006/relationships/image" Target="media/image152.jpeg"/><Relationship Id="rId179" Type="http://schemas.openxmlformats.org/officeDocument/2006/relationships/image" Target="media/image153.png"/><Relationship Id="rId180" Type="http://schemas.openxmlformats.org/officeDocument/2006/relationships/image" Target="media/image154.jpeg"/><Relationship Id="rId181" Type="http://schemas.openxmlformats.org/officeDocument/2006/relationships/image" Target="media/image155.png"/><Relationship Id="rId182" Type="http://schemas.openxmlformats.org/officeDocument/2006/relationships/image" Target="media/image156.jpeg"/><Relationship Id="rId183" Type="http://schemas.openxmlformats.org/officeDocument/2006/relationships/image" Target="media/image157.png"/><Relationship Id="rId184" Type="http://schemas.openxmlformats.org/officeDocument/2006/relationships/image" Target="media/image158.jpeg"/><Relationship Id="rId185" Type="http://schemas.openxmlformats.org/officeDocument/2006/relationships/image" Target="media/image159.png"/><Relationship Id="rId186" Type="http://schemas.openxmlformats.org/officeDocument/2006/relationships/image" Target="media/image160.jpeg"/><Relationship Id="rId187" Type="http://schemas.openxmlformats.org/officeDocument/2006/relationships/image" Target="media/image161.png"/><Relationship Id="rId188" Type="http://schemas.openxmlformats.org/officeDocument/2006/relationships/image" Target="media/image162.jpeg"/><Relationship Id="rId189" Type="http://schemas.openxmlformats.org/officeDocument/2006/relationships/image" Target="media/image163.png"/><Relationship Id="rId190" Type="http://schemas.openxmlformats.org/officeDocument/2006/relationships/image" Target="media/image164.jpeg"/><Relationship Id="rId191" Type="http://schemas.openxmlformats.org/officeDocument/2006/relationships/image" Target="media/image165.png"/><Relationship Id="rId192" Type="http://schemas.openxmlformats.org/officeDocument/2006/relationships/image" Target="media/image166.jpeg"/><Relationship Id="rId193" Type="http://schemas.openxmlformats.org/officeDocument/2006/relationships/image" Target="media/image167.png"/><Relationship Id="rId194" Type="http://schemas.openxmlformats.org/officeDocument/2006/relationships/image" Target="media/image168.jpeg"/><Relationship Id="rId195" Type="http://schemas.openxmlformats.org/officeDocument/2006/relationships/image" Target="media/image169.png"/><Relationship Id="rId196" Type="http://schemas.openxmlformats.org/officeDocument/2006/relationships/image" Target="media/image170.jpe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jpeg"/><Relationship Id="rId203" Type="http://schemas.openxmlformats.org/officeDocument/2006/relationships/image" Target="media/image177.png"/><Relationship Id="rId204" Type="http://schemas.openxmlformats.org/officeDocument/2006/relationships/image" Target="media/image178.jpeg"/><Relationship Id="rId205" Type="http://schemas.openxmlformats.org/officeDocument/2006/relationships/image" Target="media/image179.png"/><Relationship Id="rId206" Type="http://schemas.openxmlformats.org/officeDocument/2006/relationships/image" Target="media/image180.jpeg"/><Relationship Id="rId207" Type="http://schemas.openxmlformats.org/officeDocument/2006/relationships/image" Target="media/image181.png"/><Relationship Id="rId208" Type="http://schemas.openxmlformats.org/officeDocument/2006/relationships/image" Target="media/image182.jpeg"/><Relationship Id="rId209" Type="http://schemas.openxmlformats.org/officeDocument/2006/relationships/image" Target="media/image183.png"/><Relationship Id="rId210" Type="http://schemas.openxmlformats.org/officeDocument/2006/relationships/image" Target="media/image184.jpeg"/><Relationship Id="rId211" Type="http://schemas.openxmlformats.org/officeDocument/2006/relationships/image" Target="media/image185.png"/><Relationship Id="rId212" Type="http://schemas.openxmlformats.org/officeDocument/2006/relationships/image" Target="media/image186.jpe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jpe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77" Type="http://schemas.openxmlformats.org/officeDocument/2006/relationships/hyperlink" Target="https://www.sec.gov/Archives/edgar/data/1551306/000155837020002258/pgny-20191231x10k.htm" TargetMode="External"/><Relationship Id="rId132" Type="http://schemas.openxmlformats.org/officeDocument/2006/relationships/hyperlink" Target="http://www.sec.gov/Archives/edgar/data/1551306/000104746919005487/a2239750zex-3_2.htm" TargetMode="External"/><Relationship Id="rId133" Type="http://schemas.openxmlformats.org/officeDocument/2006/relationships/hyperlink" Target="http://www.sec.gov/Archives/edgar/data/1551306/000104746919005487/a2239750zex-3_4.htm" TargetMode="External"/><Relationship Id="rId134" Type="http://schemas.openxmlformats.org/officeDocument/2006/relationships/hyperlink" Target="http://www.sec.gov/Archives/edgar/data/1551306/000104746919005727/a2239825zex-4_1.htm" TargetMode="External"/><Relationship Id="rId135" Type="http://schemas.openxmlformats.org/officeDocument/2006/relationships/hyperlink" Target="http://www.sec.gov/Archives/edgar/data/1551306/000104746919005727/a2239825zex-4_2.htm" TargetMode="External"/><Relationship Id="rId136" Type="http://schemas.openxmlformats.org/officeDocument/2006/relationships/hyperlink" Target="http://www.sec.gov/Archives/edgar/data/1551306/000104746919005727/a2239825zex-4_3.htm" TargetMode="External"/><Relationship Id="rId137" Type="http://schemas.openxmlformats.org/officeDocument/2006/relationships/hyperlink" Target="http://www.sec.gov/Archives/edgar/data/1551306/000104746919005727/a2239825zex-4_4.htm" TargetMode="External"/><Relationship Id="rId138" Type="http://schemas.openxmlformats.org/officeDocument/2006/relationships/hyperlink" Target="http://www.sec.gov/Archives/edgar/data/1551306/000104746919005727/a2239825zex-4_5.htm" TargetMode="External"/><Relationship Id="rId139" Type="http://schemas.openxmlformats.org/officeDocument/2006/relationships/hyperlink" Target="https://www.sec.gov/Archives/edgar/data/1551306/000155837020002258/pgny-20191231ex463bdd89d.htm" TargetMode="External"/><Relationship Id="rId140" Type="http://schemas.openxmlformats.org/officeDocument/2006/relationships/hyperlink" Target="http://www.sec.gov/Archives/edgar/data/1551306/000104746919005487/a2239750zex-10_1.htm" TargetMode="External"/><Relationship Id="rId142" Type="http://schemas.openxmlformats.org/officeDocument/2006/relationships/hyperlink" Target="http://www.sec.gov/Archives/edgar/data/1551306/000104746919005487/a2239750zex-10_2.htm" TargetMode="External"/><Relationship Id="rId143" Type="http://schemas.openxmlformats.org/officeDocument/2006/relationships/hyperlink" Target="http://www.sec.gov/Archives/edgar/data/1551306/000110465919056592/a19-11098_10ex99d2.htm" TargetMode="External"/><Relationship Id="rId144" Type="http://schemas.openxmlformats.org/officeDocument/2006/relationships/hyperlink" Target="http://www.sec.gov/Archives/edgar/data/1551306/000104746919005727/a2239825zex-10_4.htm" TargetMode="External"/><Relationship Id="rId145" Type="http://schemas.openxmlformats.org/officeDocument/2006/relationships/hyperlink" Target="http://www.sec.gov/Archives/edgar/data/1551306/000104746919005727/a2239825zex-10_5.htm" TargetMode="External"/><Relationship Id="rId146" Type="http://schemas.openxmlformats.org/officeDocument/2006/relationships/hyperlink" Target="http://www.sec.gov/Archives/edgar/data/1551306/000104746919005487/a2239750zex-10_6.htm" TargetMode="External"/><Relationship Id="rId147" Type="http://schemas.openxmlformats.org/officeDocument/2006/relationships/hyperlink" Target="http://www.sec.gov/Archives/edgar/data/1551306/000104746919005487/a2239750zex-10_7.htm" TargetMode="External"/><Relationship Id="rId148" Type="http://schemas.openxmlformats.org/officeDocument/2006/relationships/hyperlink" Target="http://www.sec.gov/Archives/edgar/data/1551306/000104746919005487/a2239750zex-10_8.htm" TargetMode="External"/><Relationship Id="rId149" Type="http://schemas.openxmlformats.org/officeDocument/2006/relationships/hyperlink" Target="http://www.sec.gov/Archives/edgar/data/1551306/000104746919005487/a2239750zex-10_11.htm" TargetMode="External"/><Relationship Id="rId150" Type="http://schemas.openxmlformats.org/officeDocument/2006/relationships/hyperlink" Target="http://www.sec.gov/Archives/edgar/data/1551306/000104746919005487/a2239750zex-10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2021-03-01T07:59:31Z</dcterms:created>
  <dcterms:modified xsi:type="dcterms:W3CDTF">2021-03-01T07:59:31Z</dcterms:modified>
</cp:coreProperties>
</file>