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7" w:lineRule="exact"/>
        <w:rPr>
          <w:sz w:val="24"/>
          <w:szCs w:val="24"/>
          <w:color w:val="auto"/>
        </w:rPr>
      </w:pPr>
    </w:p>
    <w:p>
      <w:pPr>
        <w:ind w:left="640" w:hanging="614"/>
        <w:spacing w:after="0"/>
        <w:tabs>
          <w:tab w:leader="none" w:pos="64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7" w:lineRule="exact"/>
        <w:rPr>
          <w:sz w:val="24"/>
          <w:szCs w:val="24"/>
          <w:color w:val="auto"/>
        </w:rPr>
      </w:pPr>
    </w:p>
    <w:p>
      <w:pPr>
        <w:ind w:left="640" w:hanging="614"/>
        <w:spacing w:after="0"/>
        <w:tabs>
          <w:tab w:leader="none" w:pos="64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72"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86"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4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89"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86"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28625"/>
                    </a:xfrm>
                    <a:prstGeom prst="rect">
                      <a:avLst/>
                    </a:prstGeom>
                    <a:noFill/>
                  </pic:spPr>
                </pic:pic>
              </a:graphicData>
            </a:graphic>
          </wp:anchor>
        </w:drawing>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89"/>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166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2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7" w:lineRule="exact"/>
        <w:rPr>
          <w:sz w:val="24"/>
          <w:szCs w:val="24"/>
          <w:color w:val="auto"/>
        </w:rPr>
      </w:pPr>
    </w:p>
    <w:p>
      <w:pPr>
        <w:ind w:left="660" w:right="326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October 31, 2026, the registrant had 73,647,334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640" w:type="dxa"/>
            <w:vAlign w:val="bottom"/>
            <w:gridSpan w:val="10"/>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tcBorders>
              <w:bottom w:val="single" w:sz="8" w:color="0000FF"/>
            </w:tcBorders>
            <w:gridSpan w:val="3"/>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400" w:type="dxa"/>
            <w:vAlign w:val="bottom"/>
            <w:tcBorders>
              <w:bottom w:val="single" w:sz="8" w:color="0000FF"/>
            </w:tcBorders>
            <w:gridSpan w:val="9"/>
            <w:vMerge w:val="continue"/>
          </w:tcPr>
          <w:p>
            <w:pPr>
              <w:spacing w:after="0"/>
              <w:rPr>
                <w:sz w:val="17"/>
                <w:szCs w:val="17"/>
                <w:color w:val="auto"/>
              </w:rPr>
            </w:pPr>
          </w:p>
        </w:tc>
        <w:tc>
          <w:tcPr>
            <w:tcW w:w="6640" w:type="dxa"/>
            <w:vAlign w:val="bottom"/>
            <w:gridSpan w:val="10"/>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8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62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2026 and December 31, 2025</w:t>
            </w:r>
          </w:p>
        </w:tc>
        <w:tc>
          <w:tcPr>
            <w:tcW w:w="314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Nine Months Ended September 30, 2026 and 2025</w:t>
            </w:r>
          </w:p>
        </w:tc>
        <w:tc>
          <w:tcPr>
            <w:tcW w:w="10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2026 and 2025</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and Nine Months Ended September 30, 2026</w:t>
            </w:r>
          </w:p>
        </w:tc>
        <w:tc>
          <w:tcPr>
            <w:tcW w:w="4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vMerge w:val="restart"/>
          </w:tcPr>
          <w:p>
            <w:pPr>
              <w:spacing w:after="0"/>
              <w:rPr>
                <w:sz w:val="21"/>
                <w:szCs w:val="21"/>
                <w:color w:val="auto"/>
              </w:rPr>
            </w:pPr>
          </w:p>
        </w:tc>
        <w:tc>
          <w:tcPr>
            <w:tcW w:w="100" w:type="dxa"/>
            <w:vAlign w:val="bottom"/>
            <w:tcBorders>
              <w:top w:val="single" w:sz="8" w:color="0000FF"/>
              <w:bottom w:val="single" w:sz="8" w:color="0000FF"/>
            </w:tcBorders>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vMerge w:val="restart"/>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80" w:type="dxa"/>
            <w:vAlign w:val="bottom"/>
            <w:gridSpan w:val="18"/>
            <w:vMerge w:val="restart"/>
          </w:tcPr>
          <w:p>
            <w:pPr>
              <w:spacing w:after="0" w:line="182" w:lineRule="exact"/>
              <w:rPr>
                <w:sz w:val="20"/>
                <w:szCs w:val="20"/>
                <w:color w:val="auto"/>
              </w:rPr>
            </w:pPr>
            <w:r>
              <w:rPr>
                <w:rFonts w:ascii="Times New Roman" w:cs="Times New Roman" w:eastAsia="Times New Roman" w:hAnsi="Times New Roman"/>
                <w:sz w:val="18"/>
                <w:szCs w:val="18"/>
                <w:color w:val="0000FF"/>
              </w:rPr>
              <w:t>and 2025</w:t>
            </w:r>
          </w:p>
        </w:tc>
        <w:tc>
          <w:tcPr>
            <w:tcW w:w="360" w:type="dxa"/>
            <w:vAlign w:val="bottom"/>
            <w:vMerge w:val="continue"/>
          </w:tcPr>
          <w:p>
            <w:pPr>
              <w:spacing w:after="0"/>
              <w:rPr>
                <w:sz w:val="6"/>
                <w:szCs w:val="6"/>
                <w:color w:val="auto"/>
              </w:rPr>
            </w:pPr>
          </w:p>
        </w:tc>
        <w:tc>
          <w:tcPr>
            <w:tcW w:w="100" w:type="dxa"/>
            <w:vAlign w:val="bottom"/>
            <w:tcBorders>
              <w:bottom w:val="single" w:sz="8" w:color="0000FF"/>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80" w:type="dxa"/>
            <w:vAlign w:val="bottom"/>
            <w:gridSpan w:val="18"/>
            <w:vMerge w:val="continue"/>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2026 and 2025</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920" w:type="dxa"/>
            <w:vAlign w:val="bottom"/>
            <w:tcBorders>
              <w:top w:val="single" w:sz="8" w:color="0000FF"/>
            </w:tcBorders>
            <w:gridSpan w:val="4"/>
          </w:tcPr>
          <w:p>
            <w:pPr>
              <w:spacing w:after="0"/>
              <w:rPr>
                <w:sz w:val="21"/>
                <w:szCs w:val="21"/>
                <w:color w:val="auto"/>
              </w:rPr>
            </w:pPr>
          </w:p>
        </w:tc>
        <w:tc>
          <w:tcPr>
            <w:tcW w:w="180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2"/>
              </w:rPr>
              <w:t>11</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6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80" w:type="dxa"/>
            <w:vAlign w:val="bottom"/>
            <w:gridSpan w:val="5"/>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25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2"/>
          </w:tcPr>
          <w:p>
            <w:pPr>
              <w:spacing w:after="0"/>
              <w:rPr>
                <w:sz w:val="21"/>
                <w:szCs w:val="21"/>
                <w:color w:val="auto"/>
              </w:rPr>
            </w:pPr>
          </w:p>
        </w:tc>
        <w:tc>
          <w:tcPr>
            <w:tcW w:w="2580" w:type="dxa"/>
            <w:vAlign w:val="bottom"/>
            <w:gridSpan w:val="5"/>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700" w:type="dxa"/>
            <w:vAlign w:val="bottom"/>
            <w:tcBorders>
              <w:left w:val="single" w:sz="8" w:color="0000FF"/>
            </w:tcBorders>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60" w:type="dxa"/>
            <w:vAlign w:val="bottom"/>
            <w:gridSpan w:val="6"/>
          </w:tcPr>
          <w:p>
            <w:pPr>
              <w:spacing w:after="0"/>
              <w:rPr>
                <w:sz w:val="21"/>
                <w:szCs w:val="21"/>
                <w:color w:val="auto"/>
              </w:rPr>
            </w:pPr>
          </w:p>
        </w:tc>
        <w:tc>
          <w:tcPr>
            <w:tcW w:w="4700" w:type="dxa"/>
            <w:vAlign w:val="bottom"/>
            <w:gridSpan w:val="7"/>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60" w:type="dxa"/>
            <w:vAlign w:val="bottom"/>
          </w:tcPr>
          <w:p>
            <w:pPr>
              <w:spacing w:after="0"/>
              <w:rPr>
                <w:sz w:val="24"/>
                <w:szCs w:val="24"/>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Borders>
              <w:top w:val="single" w:sz="8" w:color="0000FF"/>
            </w:tcBorders>
            <w:gridSpan w:val="2"/>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0" w:type="dxa"/>
            <w:vAlign w:val="bottom"/>
            <w:tcBorders>
              <w:top w:val="single" w:sz="8" w:color="0000FF"/>
            </w:tcBorders>
            <w:gridSpan w:val="2"/>
          </w:tcPr>
          <w:p>
            <w:pPr>
              <w:spacing w:after="0"/>
              <w:rPr>
                <w:sz w:val="24"/>
                <w:szCs w:val="24"/>
                <w:color w:val="auto"/>
              </w:rPr>
            </w:pPr>
          </w:p>
        </w:tc>
        <w:tc>
          <w:tcPr>
            <w:tcW w:w="7020" w:type="dxa"/>
            <w:vAlign w:val="bottom"/>
            <w:gridSpan w:val="12"/>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600" w:type="dxa"/>
            <w:vAlign w:val="bottom"/>
            <w:gridSpan w:val="20"/>
          </w:tcPr>
          <w:p>
            <w:pPr>
              <w:ind w:left="560"/>
              <w:spacing w:after="0"/>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00" w:type="dxa"/>
            <w:vAlign w:val="bottom"/>
            <w:gridSpan w:val="7"/>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720" w:type="dxa"/>
            <w:vAlign w:val="bottom"/>
            <w:gridSpan w:val="11"/>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6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2"/>
          </w:tcPr>
          <w:p>
            <w:pPr>
              <w:spacing w:after="0"/>
              <w:rPr>
                <w:sz w:val="21"/>
                <w:szCs w:val="21"/>
                <w:color w:val="auto"/>
              </w:rPr>
            </w:pPr>
          </w:p>
        </w:tc>
        <w:tc>
          <w:tcPr>
            <w:tcW w:w="6720" w:type="dxa"/>
            <w:vAlign w:val="bottom"/>
            <w:gridSpan w:val="11"/>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60" w:type="dxa"/>
            <w:vAlign w:val="bottom"/>
            <w:gridSpan w:val="13"/>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6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tcPr>
          <w:p>
            <w:pPr>
              <w:spacing w:after="0"/>
              <w:rPr>
                <w:sz w:val="21"/>
                <w:szCs w:val="21"/>
                <w:color w:val="auto"/>
              </w:rPr>
            </w:pPr>
          </w:p>
        </w:tc>
        <w:tc>
          <w:tcPr>
            <w:tcW w:w="7260" w:type="dxa"/>
            <w:vAlign w:val="bottom"/>
            <w:gridSpan w:val="13"/>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720" w:type="dxa"/>
            <w:vAlign w:val="bottom"/>
            <w:gridSpan w:val="1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20" w:type="dxa"/>
            <w:vAlign w:val="bottom"/>
            <w:gridSpan w:val="14"/>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20" w:type="dxa"/>
            <w:vAlign w:val="bottom"/>
            <w:gridSpan w:val="1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Borders>
              <w:top w:val="single" w:sz="8" w:color="0000FF"/>
            </w:tcBorders>
            <w:gridSpan w:val="3"/>
          </w:tcPr>
          <w:p>
            <w:pPr>
              <w:spacing w:after="0"/>
              <w:rPr>
                <w:sz w:val="24"/>
                <w:szCs w:val="24"/>
                <w:color w:val="auto"/>
              </w:rPr>
            </w:pPr>
          </w:p>
        </w:tc>
        <w:tc>
          <w:tcPr>
            <w:tcW w:w="5080" w:type="dxa"/>
            <w:vAlign w:val="bottom"/>
            <w:gridSpan w:val="10"/>
          </w:tcPr>
          <w:p>
            <w:pPr>
              <w:jc w:val="right"/>
              <w:ind w:right="15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highly competitive, and, if we do not continue to compete effectively, our business, financial condition and results of operations could be harmed.</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In addition, a significant number of our clients are in the technology industry, and we generate a significant portion of our revenue from these clients. The loss of one or more of these clients, changes to pricing terms with these clients or changes within the technology industry could negatively impact our business, financial condition and results of operations.</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utilization of our solutions, including the consumption rate or the mix of utilization, could have an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may subject us to new or heightened legal, regulatory, ethical, operational or other challenges.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6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and vendors as well as insurance carriers.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broader healthcare industry and subject to increasing scrutiny, business requirements and regulation within our business, including with respect to Progyny Rx’s PBM operations, which may adversely affect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 and its wholly 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112,238</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197,858</w:t>
            </w:r>
          </w:p>
        </w:tc>
      </w:tr>
      <w:tr>
        <w:trPr>
          <w:trHeight w:val="23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$54,156 and $55,659 of allowances at September 30, 2026 and December 31,</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220,287</w:t>
            </w: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21,392</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551,775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29,927</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93,013</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675,793</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742,435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124,071</w:t>
            </w:r>
          </w:p>
        </w:tc>
      </w:tr>
      <w:tr>
        <w:trPr>
          <w:trHeight w:val="264"/>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78,320</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202,391</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7)</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03"/>
        </w:trPr>
        <w:tc>
          <w:tcPr>
            <w:tcW w:w="81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September 30, 2026 and</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162"/>
        </w:trPr>
        <w:tc>
          <w:tcPr>
            <w:tcW w:w="818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December 31, 2025, respectively; 100,087,996 and 99,049,485 shares issued; 74,723,072 and 83,365,696</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2026 and December 31, 2025, respectively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700,785</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25,980,904 and 16,299,769 shares at September 30, 2026 and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(388,075)</w:t>
            </w: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202,827</w:t>
            </w:r>
          </w:p>
        </w:tc>
      </w:tr>
      <w:tr>
        <w:trPr>
          <w:trHeight w:val="264"/>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414,028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516,044</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675,793</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742,435</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341,254</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1,020,269</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257,514</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764,157</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742,655</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83,740</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72,835</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256,112</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227,603</w:t>
            </w:r>
          </w:p>
        </w:tc>
        <w:tc>
          <w:tcPr>
            <w:tcW w:w="0" w:type="dxa"/>
            <w:vAlign w:val="bottom"/>
          </w:tcPr>
          <w:p>
            <w:pPr>
              <w:spacing w:after="0"/>
              <w:rPr>
                <w:sz w:val="1"/>
                <w:szCs w:val="1"/>
                <w:color w:val="auto"/>
              </w:rPr>
            </w:pPr>
          </w:p>
        </w:tc>
      </w:tr>
      <w:tr>
        <w:trPr>
          <w:trHeight w:val="26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92,527</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103,422</w:t>
            </w:r>
          </w:p>
        </w:tc>
        <w:tc>
          <w:tcPr>
            <w:tcW w:w="0" w:type="dxa"/>
            <w:vAlign w:val="bottom"/>
          </w:tcPr>
          <w:p>
            <w:pPr>
              <w:spacing w:after="0"/>
              <w:rPr>
                <w:sz w:val="1"/>
                <w:szCs w:val="1"/>
                <w:color w:val="auto"/>
              </w:rPr>
            </w:pPr>
          </w:p>
        </w:tc>
      </w:tr>
      <w:tr>
        <w:trPr>
          <w:trHeight w:val="26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48,558</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51,308</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145,548</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157,548</w:t>
            </w:r>
          </w:p>
        </w:tc>
        <w:tc>
          <w:tcPr>
            <w:tcW w:w="0" w:type="dxa"/>
            <w:vAlign w:val="bottom"/>
          </w:tcPr>
          <w:p>
            <w:pPr>
              <w:spacing w:after="0"/>
              <w:rPr>
                <w:sz w:val="1"/>
                <w:szCs w:val="1"/>
                <w:color w:val="auto"/>
              </w:rPr>
            </w:pPr>
          </w:p>
        </w:tc>
      </w:tr>
      <w:tr>
        <w:trPr>
          <w:trHeight w:val="26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35,182</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110,564</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8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6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114,436</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77,578</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8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8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0" w:type="dxa"/>
            <w:vAlign w:val="bottom"/>
          </w:tcPr>
          <w:p>
            <w:pPr>
              <w:spacing w:after="0"/>
              <w:rPr>
                <w:sz w:val="1"/>
                <w:szCs w:val="1"/>
                <w:color w:val="auto"/>
              </w:rPr>
            </w:pPr>
          </w:p>
        </w:tc>
      </w:tr>
      <w:tr>
        <w:trPr>
          <w:trHeight w:val="27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80" w:type="dxa"/>
            <w:vAlign w:val="bottom"/>
          </w:tcPr>
          <w:p>
            <w:pPr>
              <w:spacing w:after="0"/>
              <w:rPr>
                <w:sz w:val="23"/>
                <w:szCs w:val="23"/>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tcPr>
          <w:p>
            <w:pPr>
              <w:spacing w:after="0"/>
              <w:rPr>
                <w:sz w:val="23"/>
                <w:szCs w:val="23"/>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78,536</w:t>
            </w:r>
          </w:p>
        </w:tc>
        <w:tc>
          <w:tcPr>
            <w:tcW w:w="80" w:type="dxa"/>
            <w:vAlign w:val="bottom"/>
          </w:tcPr>
          <w:p>
            <w:pPr>
              <w:spacing w:after="0"/>
              <w:rPr>
                <w:sz w:val="23"/>
                <w:szCs w:val="23"/>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95"/>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76,226,839</w:t>
            </w:r>
          </w:p>
        </w:tc>
        <w:tc>
          <w:tcPr>
            <w:tcW w:w="8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86,017,342</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78,400,741</w:t>
            </w:r>
          </w:p>
        </w:tc>
        <w:tc>
          <w:tcPr>
            <w:tcW w:w="8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85,780,156</w:t>
            </w:r>
          </w:p>
        </w:tc>
        <w:tc>
          <w:tcPr>
            <w:tcW w:w="0" w:type="dxa"/>
            <w:vAlign w:val="bottom"/>
          </w:tcPr>
          <w:p>
            <w:pPr>
              <w:spacing w:after="0"/>
              <w:rPr>
                <w:sz w:val="1"/>
                <w:szCs w:val="1"/>
                <w:color w:val="auto"/>
              </w:rPr>
            </w:pPr>
          </w:p>
        </w:tc>
      </w:tr>
      <w:tr>
        <w:trPr>
          <w:trHeight w:val="26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81,172,296</w:t>
            </w:r>
          </w:p>
        </w:tc>
        <w:tc>
          <w:tcPr>
            <w:tcW w:w="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90,226,278</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82,726,064</w:t>
            </w:r>
          </w:p>
        </w:tc>
        <w:tc>
          <w:tcPr>
            <w:tcW w:w="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89,884,421</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5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1"/>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gain on marketable securities before</w:t>
            </w: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8"/>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gains on the sale of marketable securities into</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change on unrealized (loss) gain on marketable securities</w:t>
            </w:r>
          </w:p>
        </w:tc>
        <w:tc>
          <w:tcPr>
            <w:tcW w:w="9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9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100" w:type="dxa"/>
            <w:vAlign w:val="bottom"/>
          </w:tcPr>
          <w:p>
            <w:pPr>
              <w:spacing w:after="0"/>
              <w:rPr>
                <w:sz w:val="23"/>
                <w:szCs w:val="23"/>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78,211</w:t>
            </w: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46,415</w:t>
            </w:r>
          </w:p>
        </w:tc>
      </w:tr>
      <w:tr>
        <w:trPr>
          <w:trHeight w:val="21"/>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14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9"/>
                <w:szCs w:val="9"/>
                <w:color w:val="auto"/>
              </w:rPr>
            </w:pPr>
          </w:p>
        </w:tc>
        <w:tc>
          <w:tcPr>
            <w:tcW w:w="90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00" w:type="dxa"/>
            <w:vAlign w:val="bottom"/>
          </w:tcPr>
          <w:p>
            <w:pPr>
              <w:spacing w:after="0"/>
              <w:rPr>
                <w:sz w:val="9"/>
                <w:szCs w:val="9"/>
                <w:color w:val="auto"/>
              </w:rPr>
            </w:pPr>
          </w:p>
        </w:tc>
        <w:tc>
          <w:tcPr>
            <w:tcW w:w="106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4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77,390,288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(537,525)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735,417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255,111</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453,257</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21,788</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(2,980,798)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(83,516)</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26,252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26,252</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74,723,072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(621,041)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753,524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281,363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414,028</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85,927,511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176,478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515,022</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33,019</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13,864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13,864</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86,147,212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673,123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190,342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560,004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83,365,696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(388,075)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202,827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516,044</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1,038,511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(10,580)</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63,319</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(232,966)</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78,536</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74,723,072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281,363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414,028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85,310,698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581,596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144,307</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422,062</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836,514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99,104</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46,035</w:t>
            </w: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86,147,212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190,342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5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46,035</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206"/>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6"/>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97,068</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Bad debt expense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15,345</w:t>
            </w:r>
          </w:p>
        </w:tc>
      </w:tr>
      <w:tr>
        <w:trPr>
          <w:trHeight w:val="206"/>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accretion of discounts on marketable securities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(32,155)</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(14,859)</w:t>
            </w:r>
          </w:p>
        </w:tc>
      </w:tr>
      <w:tr>
        <w:trPr>
          <w:trHeight w:val="20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27,660</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13,317</w:t>
            </w:r>
          </w:p>
        </w:tc>
      </w:tr>
      <w:tr>
        <w:trPr>
          <w:trHeight w:val="20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152,979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155,989</w:t>
            </w:r>
          </w:p>
        </w:tc>
      </w:tr>
      <w:tr>
        <w:trPr>
          <w:trHeight w:val="108"/>
        </w:trPr>
        <w:tc>
          <w:tcPr>
            <w:tcW w:w="8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net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(12,796)</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(311,513)</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marketable securities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166,380</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8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r>
      <w:tr>
        <w:trPr>
          <w:trHeight w:val="20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95,129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(167,269)</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08"/>
        </w:trPr>
        <w:tc>
          <w:tcPr>
            <w:tcW w:w="8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excise tax from repurchase of common stock</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 on credit facility</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equity awards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contributions to employee stock purchase plan</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(243,408)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(22,334)</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162,314</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139,980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133,982</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within prepaid expenses and other current assets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included within other noncurrent assets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39,898</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of property and equipment, net included in accounts payable and accrued expenses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 recorded in accrued expenses and other current liabilities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payable on common stock included in accrued expenses and other current liabilities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equity awards included in accrued expenses and other current liabilities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w:t>
      </w:r>
    </w:p>
    <w:p>
      <w:pPr>
        <w:spacing w:after="0" w:line="1" w:lineRule="exact"/>
        <w:rPr>
          <w:sz w:val="20"/>
          <w:szCs w:val="20"/>
          <w:color w:val="auto"/>
        </w:rPr>
      </w:pPr>
    </w:p>
    <w:p>
      <w:pPr>
        <w:jc w:val="both"/>
        <w:ind w:firstLine="8"/>
        <w:spacing w:after="0" w:line="255"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Progyny Care Advocates (“PCAs”) (collectively, the “care management services”).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Progyny Rx is the integrated pharmacy benefits solution that is available as an add-on service by the Company's members to the fertility benefits solution.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recently expanded its offerings to include pregnancy and postpartum, menopause and midlife, benefit and leave navigation, and parent and child wellbeing solutions (collectively referred to as the "Other solutions"). The Other solutions are not material to the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under which certain footnote disclosures included within the annual financial statements are condensed or omitted. These interim consolidated financial statements have been prepared on a basis consistent with the annual consolidated financial statements and, in the opinion of management, include all adjustments necessary to fairly state the Company's financial position as of September 30, 2026, the results of the Company's operations for the three and nine months ended September 30, 2026 and 2025 and the results of the Company's cash flows for the nine months ended September 30, 2026 and 2025. Therefore, these unaudited consolidated financial statements should be read in conjunction with the audited consolidated financial statements and related footnotes included in the Company’s Annual Report on Form 10-K for the fiscal year ended December 31, 2025, filed with the SEC on February 27, 2026 (the “Annual Report on Form 10-K”).</w:t>
      </w:r>
    </w:p>
    <w:p>
      <w:pPr>
        <w:spacing w:after="0" w:line="22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2026 are not necessarily indicative of the operating results expected for the year ending December 31, 2026 or any other future period. The Company will continue to assess these potential impacts to its business and will make adjustments to its operations as necessary.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estimated using the expected value method and is allocated between the fertility benefits solution and the pharmacy benefits solution based on standalone selling price, estimated using an expected cost-plus margin method. The fixed rate per Smart Cycle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fertility benefits services provided. As a result, the fixed rate per Smart Cycle is included in the transaction price for the fertility benefits solution.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In addition, certain client contracts include service level agreement refunds related to financial metrics for a full plan year. The Company estimates the variable consideration for service level agreement refunds using the expected value method and recognizes the amounts allocated to the fertility benefits solution ratably over the contract term. Progyny’s estimates of service level agreement refunds have not historically resulted in significant adjustments to the transaction price. There is no constraint on variable consideration within Progyny’s fertility benefits contracts.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its fertility benefit solution in the period in which the Smart Cycle services are provided to the member. The services provided in a reporting period are based on actual claims received from the provider clinic and an estimate of services provided but for which a claim has not been received at the end of the reporting period, which we refer to as accrued receivables, and is discussed in further detail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and estimated refunds related to service level agreements are allocated to the pharmacy benefits solution and recognized ratably over the contract term. The fixed fee per fertility drug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 There is no constraint on variable consideration within Progyny’s pharmacy benefits contracts.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September 30, 2026 and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accrued receivables were $67.0 million and $54.9 million, respectively. Accrued receivables are included within accounts receivable, net in the consolidated balance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$39.9 million and $30.0 million as of September 30, 2026 and December 31, 2025,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unbilled receivables, which represent claims received and approved but unbilled at the end of the reporting period, were $32.7 million and $33.9 million, respectively. Unbilled receivables are typically billed to clients within 30 days of the approved claim based on the contractual billing schedule agreed upon with the client. Unbilled receivables are included in accounts receivable, net in the consolidated balance sheet.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of losses, and current economic conditions in order to develop loss rates for each of its receivable pools. An allowance for credit losses is applied at the time the asset is recognized, including to current or not yet due amounts, based on the Company’s estimated loss rates which consider the migration of receivables from current to aged and collection rates associated with receivables that are delinquent. Expected credit losses are recorded as general and administrative expenses in the consolidated statements of operations. The Company records write-offs, as a deduction from the allowance for doubtful accounts, in the period in which its receivables are deemed uncollectible, which is when all efforts of collection have been exhausted or it is no longer pursuing collection of the receivable, and can take up to several years from the initial billing based on the nature of the Company’s receivables, which consist of a high volume of low dollar balances, particularly on the member receivable pool. The following table provides a summary of the activity in this allowance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54,156</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costs consist primarily of personnel and related expenses, including salaries, bonuses, benefits, and stock-based compensation expense for employees engaged in research and development activities as well as third-party vendor costs. All such costs are expensed as incurred and are included within general and administrative expense in the consolidated statement of operations. The Company focuses its research and development efforts on activities related to the design, development, testing and enhancement of its product offerings and technology platforms. For the three months ended September 30, 2026 and 2025, research and development costs were $3.1 million and $2.6 million, respectively. For the nine months ended September 30, 2026 and 2025, research and development costs were $9.2 million and $6.4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transparency and decision usefulness of income tax disclosures primarily through changes to the rate reconciliation and income taxes paid information. The Company adopted this standard prospectively in the annual period beginning January 1, 2025. The adoption of this standard did not have a material impact on the Company's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The amendment in ASU 2025-05 provides entities with a practical expedient to simplify the estimation of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by assuming that the current conditions as of the balance sheet date will not change for the remaining life of the asset. The Company adopted this standard prospectively in the annual period beginning January 1, 2026, and elected the practical expedient. The adoption of this standard did not have a material impact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provide enhanced transparency into the nature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requires more detailed information on specific expense categories (purchases 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Targeted Improvements to the Accounting for Internal-Use Software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amendments in this update are intended to improve the operability of the guidance by removing all references to software development project stages so that the guidance is neutral to different software development methods, including methods that entities may use to develop software in the future. The amendments in this update will be effective for the Company for the fiscal year, including interim periods, beginning January 1, 2028. Early adoption is permitted. The Company is currently evaluating the impact of the new standard on its consolidated financial statements.</w:t>
      </w:r>
    </w:p>
    <w:p>
      <w:pPr>
        <w:spacing w:after="0" w:line="22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provides clarity on the current interim reporting requirements by improving the navigability of the required interim disclosures, clarifying when that guidance is applicable, and applying Topic 270 to disclose events since the end of the last annual reporting period that have a material impact on the entity. The amendment will be effective for the Company for the fiscal year, including interim periods, beginning January 1, 2028. Early adoption is permitted. The Company is currently evaluating the impact of the new standard on its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6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5"/>
        </w:trPr>
        <w:tc>
          <w:tcPr>
            <w:tcW w:w="16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7"/>
                <w:szCs w:val="17"/>
                <w:color w:val="auto"/>
              </w:rPr>
            </w:pPr>
          </w:p>
        </w:tc>
        <w:tc>
          <w:tcPr>
            <w:tcW w:w="22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1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r>
      <w:tr>
        <w:trPr>
          <w:trHeight w:val="23"/>
        </w:trPr>
        <w:tc>
          <w:tcPr>
            <w:tcW w:w="1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9"/>
        </w:trPr>
        <w:tc>
          <w:tcPr>
            <w:tcW w:w="16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Fertility benefits services revenue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223,374</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622,294</w:t>
            </w:r>
          </w:p>
        </w:tc>
      </w:tr>
      <w:tr>
        <w:trPr>
          <w:trHeight w:val="263"/>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117,880</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357,252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347,964</w:t>
            </w:r>
          </w:p>
        </w:tc>
      </w:tr>
      <w:tr>
        <w:trPr>
          <w:trHeight w:val="295"/>
        </w:trPr>
        <w:tc>
          <w:tcPr>
            <w:tcW w:w="160" w:type="dxa"/>
            <w:vAlign w:val="bottom"/>
            <w:tcBorders>
              <w:bottom w:val="single" w:sz="8" w:color="CCEEFF"/>
            </w:tcBorders>
            <w:shd w:val="clear" w:color="auto" w:fill="CCEEFF"/>
          </w:tcPr>
          <w:p>
            <w:pPr>
              <w:spacing w:after="0"/>
              <w:rPr>
                <w:sz w:val="24"/>
                <w:szCs w:val="24"/>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341,254</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1,020,269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5540" w:right="3960" w:hanging="5532"/>
        <w:spacing w:after="0" w:line="488" w:lineRule="auto"/>
        <w:tabs>
          <w:tab w:leader="none" w:pos="179"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 from the Other solutions, which is not significant in any of the periods presented.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 The carrying amounts of certain of the Company’s financial instruments, including cash equivalents, marketable securities, accounts receivable and accounts payable approximates fair value due to their short maturities.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$119.6 million and $112.5 million, respectively, in financial assets held in money market accounts and $79.1 million and $197.9 million, respectively, held in marketable securities, including U.S. treasury bills. The Company measures these assets at fair value and all were classified as Level 1 in the fair value hierarchy. The Company classified these assets as Level 1 because the values of these assets are determined using unadjusted quoted prices in active markets for identical assets. For the three months ended September 30, 2026 and 2025, interest income on cash, cash equivalents, restricted cash, and marketable securities, including the accretion of discounts on investments, was $1.5 million and $2.8 million, respectively. For the nine months ended September 30, 2026 and 2025, interest income on cash, cash equivalents, restricted cash, and marketable securities, including the accretion of discounts on investments, was $4.9 million and $7.5 million, respectively.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had no significant gross realized gains or losses related to marketable securities included within earnings.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Unrealized gains and losses on marketable securities are excluded from earnings and reported as a component of other comprehensive income (loss). As of September 30, 2026, the unrealized losses, net of tax, on marketable securities were $0.1 million and the unrealized gains, net of tax, on marketable securities were not significant, and, as such, the amortized cost of these securities approximates fair value.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maintain any assets or liabilities classified as Level 2 or Level 3 in the fair value hierarchy.</w:t>
      </w:r>
    </w:p>
    <w:p>
      <w:pPr>
        <w:spacing w:after="0" w:line="15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sublease agreement for a 25,212 square foot office in its corporate headquarters in New York, NY commenced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(entered into in February 2022) commenced in New York, NY and expires in April 2036. Pursuant to the lease, the Company is obligated to pay the base rent of approximately $1.4 million per annum through the end of the fifth lease year and approximately $1.5 million per annum thereafter through the expiration date.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In March 2025, the Company's lease agreement for the additional 21,262 square foot office in its corporate offices (entered into in February 2022) commenced in New York, NY and expires in April 2036. In accordance with ASC 842, the Company recorded a right-of-use asset and a lease liability of</w:t>
      </w:r>
    </w:p>
    <w:p>
      <w:pPr>
        <w:spacing w:after="0" w:line="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$10.1 million and $10.0 million, respectively. Pursuant to the lease, the Company is obligated to pay the base rent of approximately $1.3 million per annum through the end of the fifth lease year and approximately $1.4 million per annum thereafter through the expiration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Company's operating lease for the three months ended September 30, 2026 and 2025 was $1.0 million and $1.1 million, respectively. For the nine months ended September 30, 2026 and 2025, lease expense was $3.1 million and $2.9 million, respectively.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nine months ended September 30, 2026 and 2025 was $2.8 million and $2.3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406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8.5 years</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years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Future facility lease payments as of September 30, 2026 are as follows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6"/>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Operating Lease Payments as of September 30,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0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4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above, the Company commenced its lease for the 24,099 square foot and 21,262 square foot offices in its corporate offices in New York, NY in February 2023 and March 2025, respectively, pursuant to a lease agreement entered into by the Company in February 2022. The lease agreement also provides for continued occupancy of the 25,212 square foot office after the expiration of the current sublease. For the 25,212 square foot office, the Company is obligated to pay the base rent of approximately $1.6 million per year beginning in June 2029, which is the lease commencement, through April 2036, the expiration date.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 2025, the Company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to the Company a maximum aggregate amount of $200 million, subject to customary borrowing conditions, until maturity on July 1, 2030. Interest on the borrowings under the Credit Agreement accrues, at a variable rate, based on, at the Company’s option (i) adjusted Secured Overnight Financing Rate, or (ii) the alternate base rate, plus, in each case, an applicable margin. The applicable margin is determined by reference to the Company’s total leverage ratio, as specified in the Credit Agreement. Interest is payable on each Interest Payment Date, as specified in the Credit Agreement. Borrowings under the Credit Agreement may be repaid or reborrowed at any time.</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Credit Agreement contains customary events of default, representations and warranties and covenants, including, among other things, covenants that restrict or limit the ability of the Company to incur certain additional indebtedness; create liens; engage in mergers or consolidations; make certain payments or distributions in respect of junior and unsecured indebtedness, dividends or equity interest; make certain investments; dispose of certain assets; engage in sale and lease-back transactions; engage in certain affiliate transactions; make certain modifications to the terms of junior and unsecured indebtedness, as well as negative pledge provisions, subject to customary exceptions, and customary financial covenants, including a total leverage ratio covenant and an interest coverage ratio covenant. The Company was in compliance with all financial covenants under the Credit Agreement as of September 30, 2026.</w:t>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In connection with entering into the Facility in 2025, the Company capitalized issuance costs of $3.1 million related to the Facility, which were included within other noncurrent assets in the consolidated balance sheet and are amortized over the life of the Credit Agreement. For the three months</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ended September 30, 2026, and 2025</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interest expense, including amortization of issuance costs, was $0.3 million, respectively. For the nine months ended September 30, 2026, and 2025</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interest expense, including amortization of issuance costs, were $0.9 million and $0.3 million, respectively. As of the date of this filing, no amounts were drawn under the Facility.</w:t>
      </w:r>
    </w:p>
    <w:p>
      <w:pPr>
        <w:spacing w:after="0" w:line="18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ind w:right="8960" w:firstLine="8"/>
        <w:spacing w:after="0" w:line="503" w:lineRule="auto"/>
        <w:tabs>
          <w:tab w:leader="none" w:pos="648"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b w:val="1"/>
          <w:bCs w:val="1"/>
          <w:color w:val="auto"/>
        </w:rPr>
        <w:t>Stockholders’ Equity Share Repurchase Programs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2025, the Company’s Board of Directors authorized a share repurchase program of up to $200 million in shares of common stock (the “November 2025 share repurchase program”). In May 2026, the Company's Board of Directors authorized an additional share repurchase program of up to $200 million in shares of common stock (the “May 2026 share repurchase program"), and together with the November 2025 share repurchase program, (the "share repurchase programs").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Repurchases under the May 2026 share repurchase program may be made in the form of open market repurchases, including through plans complying with Rule 10b5-1 under the Exchange Act, depending on stock price, market conditions, and other factors, as determined by the Company. There can be no assurance as to the total number of shares that will be repurchased by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a total of 9,681,135 shares of common stock under the share repurchase programs at an average price per share of $23.83 and a total cost of $230.9 million, inclusive of $0.2 million in trading fees. In addition, the Company recognized $2.1 million of excise taxes related to the share repurchases. As of September 30, 2026, $85.8 million remained available for purchases under the May 2026 share repurchase program.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November 2025 share repurchase program was completed in March 2026, and no amounts remained available for repurchase under the program. As of the date of this filing, the Company repurchased a total of 5,439,259 shares of common stock under the May 2026 share repurchase program for a total cost of $149.6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18,935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24,015</w:t>
            </w: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15,016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25,673</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w:t>
            </w:r>
          </w:p>
        </w:tc>
      </w:tr>
      <w:tr>
        <w:trPr>
          <w:trHeight w:val="27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32,173</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61,305</w:t>
            </w: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97,068</w:t>
            </w:r>
          </w:p>
        </w:tc>
      </w:tr>
      <w:tr>
        <w:trPr>
          <w:trHeight w:val="21"/>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1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10"/>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24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40" w:type="dxa"/>
            <w:vAlign w:val="bottom"/>
          </w:tcPr>
          <w:p>
            <w:pPr>
              <w:spacing w:after="0"/>
              <w:rPr>
                <w:sz w:val="12"/>
                <w:szCs w:val="12"/>
                <w:color w:val="auto"/>
              </w:rPr>
            </w:pPr>
          </w:p>
        </w:tc>
        <w:tc>
          <w:tcPr>
            <w:tcW w:w="12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 losses on</w:t>
            </w:r>
          </w:p>
        </w:tc>
        <w:tc>
          <w:tcPr>
            <w:tcW w:w="12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losses on</w:t>
            </w:r>
          </w:p>
        </w:tc>
        <w:tc>
          <w:tcPr>
            <w:tcW w:w="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6"/>
                <w:szCs w:val="16"/>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 net of tax</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3"/>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income, net of tax</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92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62"/>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gridSpan w:val="1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20" w:type="dxa"/>
            <w:vAlign w:val="bottom"/>
            <w:gridSpan w:val="10"/>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80" w:type="dxa"/>
            <w:vAlign w:val="bottom"/>
          </w:tcPr>
          <w:p>
            <w:pPr>
              <w:spacing w:after="0"/>
              <w:rPr>
                <w:sz w:val="12"/>
                <w:szCs w:val="12"/>
                <w:color w:val="auto"/>
              </w:rPr>
            </w:pPr>
          </w:p>
        </w:tc>
        <w:tc>
          <w:tcPr>
            <w:tcW w:w="11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4"/>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40" w:type="dxa"/>
            <w:vAlign w:val="bottom"/>
          </w:tcPr>
          <w:p>
            <w:pPr>
              <w:spacing w:after="0"/>
              <w:rPr>
                <w:sz w:val="12"/>
                <w:szCs w:val="12"/>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 losses on</w:t>
            </w: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losses on</w:t>
            </w:r>
          </w:p>
        </w:tc>
        <w:tc>
          <w:tcPr>
            <w:tcW w:w="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reclassifications, net of tax</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3"/>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comprehensive income, net of tax</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92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20" w:firstLine="8"/>
        <w:spacing w:after="0" w:line="233"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unrealized losses of $0.0 million, net of tax benefit of $0.0 million, for the three months ended September 30, 2026 and unrealized gains of $0.2 million, net of tax expense of $0.1 million, for the three months ended September 30, 2025.</w:t>
      </w:r>
    </w:p>
    <w:p>
      <w:pPr>
        <w:spacing w:after="0" w:line="1" w:lineRule="exact"/>
        <w:rPr>
          <w:rFonts w:ascii="Times New Roman" w:cs="Times New Roman" w:eastAsia="Times New Roman" w:hAnsi="Times New Roman"/>
          <w:sz w:val="22"/>
          <w:szCs w:val="22"/>
          <w:color w:val="auto"/>
          <w:vertAlign w:val="superscript"/>
        </w:rPr>
      </w:pPr>
    </w:p>
    <w:p>
      <w:pPr>
        <w:ind w:right="260" w:firstLine="8"/>
        <w:spacing w:after="0" w:line="231"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unrealized losses of $0.2 million, net of tax benefit of $0.1 million, for the nine months ended September 30, 2026 and unrealized gains of $0.1 million, net of tax expense of $0.0 million, for the nine months ended September 30, 2025</w:t>
      </w:r>
      <w:r>
        <w:rPr>
          <w:rFonts w:ascii="Times New Roman" w:cs="Times New Roman" w:eastAsia="Times New Roman" w:hAnsi="Times New Roman"/>
          <w:sz w:val="22"/>
          <w:szCs w:val="22"/>
          <w:color w:val="auto"/>
          <w:vertAlign w:val="superscript"/>
        </w:rPr>
        <w:t>.</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effects on net income of amounts reclassified from accumulated other comprehensive income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w:t>
            </w:r>
          </w:p>
        </w:tc>
        <w:tc>
          <w:tcPr>
            <w:tcW w:w="220" w:type="dxa"/>
            <w:vAlign w:val="bottom"/>
          </w:tcPr>
          <w:p>
            <w:pPr>
              <w:spacing w:after="0"/>
              <w:rPr>
                <w:sz w:val="16"/>
                <w:szCs w:val="16"/>
                <w:color w:val="auto"/>
              </w:rPr>
            </w:pP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4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980" w:type="dxa"/>
            <w:vAlign w:val="bottom"/>
            <w:gridSpan w:val="2"/>
            <w:vMerge w:val="continue"/>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Affected Line Item in Statement of Operations</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Component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marketable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Interest and other income, net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Income before income taxes</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Provision for income taxes</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Net income</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and 2025, the Company calculated its interim provision for income taxes by applying the estimated annual effective tax rate to year-to-date income before income taxes and adjusting for discrete tax items. The Company updates its estimate of the annual effective tax rate at the end of each reporting period based on its forecast of annual income before income taxes and the anticipated impact of significant permanent tax items. During the nine months ended September 30, 2026 and 2025, the Company recorded a provision for income taxes of $35.9 million and $31.5 million, respectively, primarily attributable to operating profit and tax deficiencies related to stock-based compensation, recognized as a discrete tax item.</w:t>
      </w:r>
    </w:p>
    <w:p>
      <w:pPr>
        <w:spacing w:after="0" w:line="183" w:lineRule="exact"/>
        <w:rPr>
          <w:sz w:val="20"/>
          <w:szCs w:val="20"/>
          <w:color w:val="auto"/>
        </w:rPr>
      </w:pPr>
    </w:p>
    <w:p>
      <w:pPr>
        <w:ind w:left="700" w:hanging="692"/>
        <w:spacing w:after="0"/>
        <w:tabs>
          <w:tab w:leader="none" w:pos="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transaction was accounted for using the acquisition method resulting in tangible and intangible assets acquired and liabilities assumed,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88"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net income and the number of shares in the calculation of basic and diluted net income per share is as follows (in thousands, except share and per share amounts):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78,536</w:t>
            </w:r>
          </w:p>
        </w:tc>
        <w:tc>
          <w:tcPr>
            <w:tcW w:w="10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76,226,839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86,017,342</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78,400,741</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85,780,156</w:t>
            </w:r>
          </w:p>
        </w:tc>
        <w:tc>
          <w:tcPr>
            <w:tcW w:w="0" w:type="dxa"/>
            <w:vAlign w:val="bottom"/>
          </w:tcPr>
          <w:p>
            <w:pPr>
              <w:spacing w:after="0"/>
              <w:rPr>
                <w:sz w:val="1"/>
                <w:szCs w:val="1"/>
                <w:color w:val="auto"/>
              </w:rPr>
            </w:pPr>
          </w:p>
        </w:tc>
      </w:tr>
      <w:tr>
        <w:trPr>
          <w:trHeight w:val="27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78,536</w:t>
            </w:r>
          </w:p>
        </w:tc>
        <w:tc>
          <w:tcPr>
            <w:tcW w:w="10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76,226,839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86,017,342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78,400,741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85,780,156</w:t>
            </w:r>
          </w:p>
        </w:tc>
        <w:tc>
          <w:tcPr>
            <w:tcW w:w="0" w:type="dxa"/>
            <w:vAlign w:val="bottom"/>
          </w:tcPr>
          <w:p>
            <w:pPr>
              <w:spacing w:after="0"/>
              <w:rPr>
                <w:sz w:val="1"/>
                <w:szCs w:val="1"/>
                <w:color w:val="auto"/>
              </w:rPr>
            </w:pPr>
          </w:p>
        </w:tc>
      </w:tr>
      <w:tr>
        <w:trPr>
          <w:trHeight w:val="26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3,530,106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3,180,162</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3,199,228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3,173,480</w:t>
            </w:r>
          </w:p>
        </w:tc>
        <w:tc>
          <w:tcPr>
            <w:tcW w:w="0" w:type="dxa"/>
            <w:vAlign w:val="bottom"/>
          </w:tcPr>
          <w:p>
            <w:pPr>
              <w:spacing w:after="0"/>
              <w:rPr>
                <w:sz w:val="1"/>
                <w:szCs w:val="1"/>
                <w:color w:val="auto"/>
              </w:rPr>
            </w:pPr>
          </w:p>
        </w:tc>
      </w:tr>
      <w:tr>
        <w:trPr>
          <w:trHeight w:val="263"/>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1,408,684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1,027,311</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1,125,012</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929,553</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effect of dilutive securities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4,945,457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4,208,936</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4,325,323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4,104,265</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81,172,296</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90,226,278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82,726,064</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89,884,421</w:t>
            </w:r>
          </w:p>
        </w:tc>
        <w:tc>
          <w:tcPr>
            <w:tcW w:w="0" w:type="dxa"/>
            <w:vAlign w:val="bottom"/>
          </w:tcPr>
          <w:p>
            <w:pPr>
              <w:spacing w:after="0"/>
              <w:rPr>
                <w:sz w:val="1"/>
                <w:szCs w:val="1"/>
                <w:color w:val="auto"/>
              </w:rPr>
            </w:pPr>
          </w:p>
        </w:tc>
      </w:tr>
      <w:tr>
        <w:trPr>
          <w:trHeight w:val="27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net income per share for the periods presented because including them would have been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2080" w:type="dxa"/>
            <w:vAlign w:val="bottom"/>
            <w:gridSpan w:val="3"/>
          </w:tcPr>
          <w:p>
            <w:pPr>
              <w:jc w:val="center"/>
              <w:ind w:left="8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20" w:type="dxa"/>
            <w:vAlign w:val="bottom"/>
          </w:tcPr>
          <w:p>
            <w:pPr>
              <w:spacing w:after="0"/>
              <w:rPr>
                <w:sz w:val="17"/>
                <w:szCs w:val="17"/>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13,082,763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15,082,135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15,201,770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14,961,035</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20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495,753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1,488,223</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594,202</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1,558,517</w:t>
            </w:r>
          </w:p>
        </w:tc>
      </w:tr>
      <w:tr>
        <w:trPr>
          <w:trHeight w:val="27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13,578,516</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16,571,437</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15,796,959</w:t>
            </w:r>
          </w:p>
        </w:tc>
        <w:tc>
          <w:tcPr>
            <w:tcW w:w="10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16,522,800</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11"/>
        </w:trPr>
        <w:tc>
          <w:tcPr>
            <w:tcW w:w="5020" w:type="dxa"/>
            <w:vAlign w:val="bottom"/>
          </w:tcPr>
          <w:p>
            <w:pPr>
              <w:spacing w:after="0"/>
              <w:rPr>
                <w:sz w:val="24"/>
                <w:szCs w:val="24"/>
                <w:color w:val="auto"/>
              </w:rPr>
            </w:pPr>
          </w:p>
        </w:tc>
        <w:tc>
          <w:tcPr>
            <w:tcW w:w="14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Substantially all of the Company's revenues and assets are attributable to the United States.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Company determined it has one operating segment and one reportable segment, as the CODM manages the business and evaluates performance at the consolidated level.</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CODM uses net income to allocate resources (including personnel, technology, and capital resources) for the single segment to make decisions regarding the annual budget, ongoing operations, and strategic investments to drive the Company's strategy and mission.</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4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04"/>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4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1,020,269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764,157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742,655</w:t>
            </w:r>
          </w:p>
        </w:tc>
      </w:tr>
      <w:tr>
        <w:trPr>
          <w:trHeight w:val="263"/>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54,126</w:t>
            </w:r>
          </w:p>
        </w:tc>
      </w:tr>
      <w:tr>
        <w:trPr>
          <w:trHeight w:val="277"/>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103,422</w:t>
            </w:r>
          </w:p>
        </w:tc>
      </w:tr>
      <w:tr>
        <w:trPr>
          <w:trHeight w:val="263"/>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r>
      <w:tr>
        <w:trPr>
          <w:trHeight w:val="270"/>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r>
      <w:tr>
        <w:trPr>
          <w:trHeight w:val="270"/>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78,536</w:t>
            </w: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46,035</w:t>
            </w:r>
          </w:p>
        </w:tc>
      </w:tr>
      <w:tr>
        <w:trPr>
          <w:trHeight w:val="21"/>
        </w:trPr>
        <w:tc>
          <w:tcPr>
            <w:tcW w:w="4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840" w:hanging="184"/>
        <w:spacing w:after="0"/>
        <w:tabs>
          <w:tab w:leader="none" w:pos="8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footnote 3 for disaggregated revenue by service.</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6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80" w:type="dxa"/>
            <w:vAlign w:val="bottom"/>
          </w:tcPr>
          <w:p>
            <w:pPr>
              <w:spacing w:after="0"/>
              <w:rPr>
                <w:sz w:val="16"/>
                <w:szCs w:val="16"/>
                <w:color w:val="auto"/>
              </w:rPr>
            </w:pPr>
          </w:p>
        </w:tc>
      </w:tr>
      <w:tr>
        <w:trPr>
          <w:trHeight w:val="23"/>
        </w:trPr>
        <w:tc>
          <w:tcPr>
            <w:tcW w:w="4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186"/>
        </w:trPr>
        <w:tc>
          <w:tcPr>
            <w:tcW w:w="4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20" w:type="dxa"/>
            <w:vAlign w:val="bottom"/>
          </w:tcPr>
          <w:p>
            <w:pPr>
              <w:spacing w:after="0"/>
              <w:rPr>
                <w:sz w:val="16"/>
                <w:szCs w:val="16"/>
                <w:color w:val="auto"/>
              </w:rPr>
            </w:pPr>
          </w:p>
        </w:tc>
        <w:tc>
          <w:tcPr>
            <w:tcW w:w="2480" w:type="dxa"/>
            <w:vAlign w:val="bottom"/>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675,793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2025, filed with the SEC on February 27, 2026.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Progyny is a global leader in women’s health and family building solutions. 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specialists and achieve optimal outcomes.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launched our fertility benefits solution in 2016 with five employer clients and have since expanded our platform to include solutions in pregnancy and postpartum, menopause and midlife, benefit and leave navigation and parent and child wellbeing in order to address the continuum of women’s health. Today, we have grown our current base of clients to more than 605 with at least 1,000 covered lives. Our clients include many of the nation’s most prominent employers across a broad array of industries. We currently have contracts to provide coverage to approximately 7.2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+81 for our fertility benefits solution and +79 for Progyny Rx, our integrated pharmacy benefits solution, as of December 31, 2025. Our members experience healthier pregnancies and superior rates of pregnancy and live births, as well as reduced rates of miscarriages and multiple births, saving valuable time and money and limiting personal and professional disruption.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National Averages for All</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Provider Clinics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 Members Only</w:t>
            </w:r>
            <w:r>
              <w:rPr>
                <w:rFonts w:ascii="Times New Roman" w:cs="Times New Roman" w:eastAsia="Times New Roman" w:hAnsi="Times New Roman"/>
                <w:sz w:val="7"/>
                <w:szCs w:val="7"/>
                <w:b w:val="1"/>
                <w:bCs w:val="1"/>
                <w:color w:val="auto"/>
              </w:rPr>
              <w:t>(3)</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6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96.6 %</w:t>
            </w:r>
          </w:p>
        </w:tc>
      </w:tr>
      <w:tr>
        <w:trPr>
          <w:trHeight w:val="277"/>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8"/>
                <w:szCs w:val="8"/>
                <w:color w:val="auto"/>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r>
      <w:tr>
        <w:trPr>
          <w:trHeight w:val="26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77"/>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r>
      <w:tr>
        <w:trPr>
          <w:trHeight w:val="257"/>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8"/>
                <w:szCs w:val="8"/>
                <w:color w:val="auto"/>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343"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based on the Society for Assisted Reproductive Technology, or SART, 2021 National Summary Report, finalized in 2024.</w:t>
      </w:r>
    </w:p>
    <w:p>
      <w:pPr>
        <w:spacing w:after="0" w:line="55"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based on CDC, 2022 National Summary and Clinic Data Sets, published in 2024</w:t>
      </w:r>
    </w:p>
    <w:p>
      <w:pPr>
        <w:spacing w:after="0" w:line="56"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based on the 12-month period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preimplantation genetic testing, in the case of in vitro fertilization, or IVF).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Progyny Care Advocates, or PCAs, can choose their preferred provider clinics within our network and utilize the specific Smart Cycle treatment bundles necessary for the treatment pathway they determine throughout their fertility journey.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Progyny Rx can only be purchased by clients that purchase our fertility benefits solution. Progyny Rx provides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605 employers with at least 1,000 covered lives in the United States across more than 40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technology, consumer retail, e-commerce, industrial, healthcare, media, insurance, legal, food and beverage, financial services, life sciences, professional services, government services, union, energy, manufacturing, logistics, transportation, aerospace, real estate, nonprofit and hospitality sectors. Our current clients, who are industry leaders across both high-growth and mature industries and who range in size from approximately 1,000 to 300,000 employees, represent approximately 7.2 million covered lives.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members with access to our PCAs for fertility and family building education and guidance and other digital tools to all of our members, regardless of whether they ultimately pursue fertility treatment. PEPM fees represented 1% of our total revenue for the nine months ended September 30, 2026 and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and Progyny Rx solutions.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1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expand our women's health and family building solutions to include pregnancy and postpartum, menopause and midlife, benefit and leave navigation, and parent and child wellbeing solutions. While these offerings represent strategic areas of investment, they were not a significant portion of our revenue for the nine months ended September 30,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9,000 employers in the United States who have a minimum of 1,000 employees, who together with Taft-Hartley labor populations and federal government populations, represent approximately 106 million potential covered lives in total. Our current member base of approximately 7.2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September 30, 2026 and December 31, 2025, we served 607 and 555 clients, representing 7,155,000 and 6,689,000 members,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7.2 million members as of September 30,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20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5020" w:type="dxa"/>
            <w:vAlign w:val="bottom"/>
          </w:tcPr>
          <w:p>
            <w:pPr>
              <w:spacing w:after="0"/>
              <w:rPr>
                <w:sz w:val="17"/>
                <w:szCs w:val="17"/>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49,079</w:t>
            </w:r>
          </w:p>
        </w:tc>
      </w:tr>
      <w:tr>
        <w:trPr>
          <w:trHeight w:val="27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3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Average Members </w:t>
            </w:r>
            <w:r>
              <w:rPr>
                <w:rFonts w:ascii="Times New Roman" w:cs="Times New Roman" w:eastAsia="Times New Roman" w:hAnsi="Times New Roman"/>
                <w:sz w:val="23"/>
                <w:szCs w:val="23"/>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7,176,000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6,757,000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7,166,000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6,730,000</w:t>
            </w:r>
          </w:p>
        </w:tc>
      </w:tr>
    </w:tbl>
    <w:p>
      <w:pPr>
        <w:spacing w:after="0" w:line="304" w:lineRule="exact"/>
        <w:rPr>
          <w:sz w:val="20"/>
          <w:szCs w:val="20"/>
          <w:color w:val="auto"/>
        </w:rPr>
      </w:pPr>
    </w:p>
    <w:p>
      <w:pPr>
        <w:ind w:left="180" w:right="120" w:hanging="172"/>
        <w:spacing w:after="0" w:line="235" w:lineRule="auto"/>
        <w:tabs>
          <w:tab w:leader="none" w:pos="213"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 Includes ART cycles performed in the first half of 2025 under the extended transition of care agreement with the large client who did not renew its service agreement.</w:t>
      </w:r>
    </w:p>
    <w:p>
      <w:pPr>
        <w:spacing w:after="0" w:line="37" w:lineRule="exact"/>
        <w:rPr>
          <w:rFonts w:ascii="Times New Roman" w:cs="Times New Roman" w:eastAsia="Times New Roman" w:hAnsi="Times New Roman"/>
          <w:sz w:val="23"/>
          <w:szCs w:val="23"/>
          <w:color w:val="auto"/>
          <w:vertAlign w:val="superscript"/>
        </w:rPr>
      </w:pPr>
    </w:p>
    <w:p>
      <w:pPr>
        <w:ind w:left="180" w:right="60" w:hanging="172"/>
        <w:spacing w:after="0" w:line="244" w:lineRule="auto"/>
        <w:tabs>
          <w:tab w:leader="none" w:pos="213"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purposes of calculating utilization rates in any given period, the results reflect the number of unique members utilizing the benefit for that period. Individual periods cannot be combined as member treatments may span multiple periods. Utilization for the nine month period in 2025 excludes activity under the extended transition of care agreement that ended June 30, 2025 with the large client who did not renew its service agreement, as only members meeting certain criteria were eligible to use the benefit.</w:t>
      </w:r>
    </w:p>
    <w:p>
      <w:pPr>
        <w:spacing w:after="0" w:line="34" w:lineRule="exact"/>
        <w:rPr>
          <w:rFonts w:ascii="Times New Roman" w:cs="Times New Roman" w:eastAsia="Times New Roman" w:hAnsi="Times New Roman"/>
          <w:sz w:val="23"/>
          <w:szCs w:val="23"/>
          <w:color w:val="auto"/>
          <w:vertAlign w:val="superscript"/>
        </w:rPr>
      </w:pPr>
    </w:p>
    <w:p>
      <w:pPr>
        <w:jc w:val="both"/>
        <w:ind w:left="180" w:right="200" w:hanging="172"/>
        <w:spacing w:after="0" w:line="279" w:lineRule="auto"/>
        <w:tabs>
          <w:tab w:leader="none" w:pos="168"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approximately 300,000 members from a single client who are not reflected in utilization as a result of the client's chosen benefit design. 2025 excludes the limited number of members who were eligible to use the benefit under the extended transition of care agreement that ended June 30, 2025 with the large client who did not renew its service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as well as research and development activities. These expenses also include third-party consulting services, facilities costs, and bad debt expense. We anticipate that we will incur additional general and administrative expenses on an ongoing basis to support the growth of our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other income, net includes interest income and expense as well as investment income and losses.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r>
      <w:tr>
        <w:trPr>
          <w:trHeight w:val="28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341,254</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1,020,269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r>
      <w:tr>
        <w:trPr>
          <w:trHeight w:val="27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257,514</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764,157</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742,655</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83,740</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227,603</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r>
      <w:tr>
        <w:trPr>
          <w:trHeight w:val="27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92,527</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103,422</w:t>
            </w: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48,558</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157,548</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70,055</w:t>
            </w: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77,578</w:t>
            </w: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78,536</w:t>
            </w:r>
          </w:p>
        </w:tc>
        <w:tc>
          <w:tcPr>
            <w:tcW w:w="100" w:type="dxa"/>
            <w:vAlign w:val="bottom"/>
          </w:tcPr>
          <w:p>
            <w:pPr>
              <w:spacing w:after="0"/>
              <w:rPr>
                <w:sz w:val="23"/>
                <w:szCs w:val="23"/>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46,035</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18,935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24,015</w:t>
            </w: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8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15,016</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25,673</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w:t>
            </w:r>
          </w:p>
        </w:tc>
      </w:tr>
      <w:tr>
        <w:trPr>
          <w:trHeight w:val="264"/>
        </w:trPr>
        <w:tc>
          <w:tcPr>
            <w:tcW w:w="50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21,106</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32,173</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61,305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97,068</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
        <w:spacing w:after="0" w:line="275" w:lineRule="auto"/>
        <w:tabs>
          <w:tab w:leader="none" w:pos="179"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Results of Operations – Non-GAAP Financial Measure – Adjusted EBITDA" below for a reconciliation of Adjusted EBITDA to net income, the most directly comparable measure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4"/>
                <w:szCs w:val="14"/>
                <w:color w:val="auto"/>
              </w:rPr>
            </w:pPr>
          </w:p>
        </w:tc>
      </w:tr>
      <w:tr>
        <w:trPr>
          <w:trHeight w:val="190"/>
        </w:trPr>
        <w:tc>
          <w:tcPr>
            <w:tcW w:w="4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0"/>
        </w:trPr>
        <w:tc>
          <w:tcPr>
            <w:tcW w:w="5680" w:type="dxa"/>
            <w:vAlign w:val="bottom"/>
            <w:gridSpan w:val="2"/>
          </w:tcPr>
          <w:p>
            <w:pPr>
              <w:ind w:left="538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1"/>
        </w:trPr>
        <w:tc>
          <w:tcPr>
            <w:tcW w:w="56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6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5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3"/>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6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6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6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50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26,252</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46,035</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70"/>
        </w:trPr>
        <w:tc>
          <w:tcPr>
            <w:tcW w:w="50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21,106</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32,173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97,068</w:t>
            </w:r>
          </w:p>
        </w:tc>
      </w:tr>
      <w:tr>
        <w:trPr>
          <w:trHeight w:val="27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(1,234)</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r>
      <w:tr>
        <w:trPr>
          <w:trHeight w:val="263"/>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10,164</w:t>
            </w: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31,543</w:t>
            </w:r>
          </w:p>
        </w:tc>
      </w:tr>
      <w:tr>
        <w:trPr>
          <w:trHeight w:val="29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58,439</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54,968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0"/>
        </w:trPr>
        <w:tc>
          <w:tcPr>
            <w:tcW w:w="648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1"/>
        </w:trPr>
        <w:tc>
          <w:tcPr>
            <w:tcW w:w="648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$341,254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$27.9 million, or 9%, for the three months ended September 30, 2026 compared to the three months ended September 30, 2025. This increase is primarily due to a $21.4 million, or 11%, increase in revenue from our fertility benefits solution and a $6.5 million, or 6%, increase in revenue from our Progyny Rx solution. The increase in revenue from our fertility benefits solution and Progyny Rx solution was primarily due to the increase in the number of clients and covered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0"/>
        </w:trPr>
        <w:tc>
          <w:tcPr>
            <w:tcW w:w="648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1"/>
        </w:trPr>
        <w:tc>
          <w:tcPr>
            <w:tcW w:w="648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$257,514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services increased by $17.0 million, or 7%, for the three months ended September 30, 2026 compared to the three months ended September 30, 2025. This increase was primarily due to an increase in the medical treatment and pharmacy prescription costs associated with fertility treatments delivered. The increase in cost of services was also due to an increase in other related costs of services and was partially offset by a decrease in personnel-related costs. The decrease in personnel-related costs was due to a $2.7 million decrease in stock-based compensation expense, partially offset by higher costs attributable to incremental head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9"/>
        </w:trPr>
        <w:tc>
          <w:tcPr>
            <w:tcW w:w="6280" w:type="dxa"/>
            <w:vAlign w:val="bottom"/>
          </w:tcPr>
          <w:p>
            <w:pPr>
              <w:spacing w:after="0"/>
              <w:rPr>
                <w:sz w:val="17"/>
                <w:szCs w:val="17"/>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16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1"/>
        </w:trPr>
        <w:tc>
          <w:tcPr>
            <w:tcW w:w="6280" w:type="dxa"/>
            <w:vAlign w:val="bottom"/>
          </w:tcPr>
          <w:p>
            <w:pPr>
              <w:spacing w:after="0"/>
              <w:rPr>
                <w:sz w:val="24"/>
                <w:szCs w:val="2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$83,740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$72,835</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by $10.9 million, or 15%, for the three months ended September 30, 2026 compared to the three months ended September 30, 2025.</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increased 130 basis points for the three months ended September 30, 2026 compared to the three months ended September 30, 2025, primarily due to ongoing efficiencies realized in the delivery of our care management services as well as a decrease in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9"/>
        </w:trPr>
        <w:tc>
          <w:tcPr>
            <w:tcW w:w="648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1"/>
        </w:trPr>
        <w:tc>
          <w:tcPr>
            <w:tcW w:w="648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$18,063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$0.1 million, or 1%, for the three months ended September 30, 2026 compared to the three months ended September 30, 2025. This increase was primarily due to a $1.2 million increase in other related sales and marketing expenses, largely offset by a $1.1 million decrease in personnel-related costs. The decrease in personnel-related costs was due to a $2.4 million decrease in stock-based compensation expense, partially offset by higher costs attributable to incremental head 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4"/>
                <w:szCs w:val="14"/>
                <w:color w:val="auto"/>
              </w:rPr>
            </w:pPr>
          </w:p>
        </w:tc>
      </w:tr>
      <w:tr>
        <w:trPr>
          <w:trHeight w:val="190"/>
        </w:trPr>
        <w:tc>
          <w:tcPr>
            <w:tcW w:w="6460" w:type="dxa"/>
            <w:vAlign w:val="bottom"/>
          </w:tcPr>
          <w:p>
            <w:pPr>
              <w:spacing w:after="0"/>
              <w:rPr>
                <w:sz w:val="16"/>
                <w:szCs w:val="16"/>
                <w:color w:val="auto"/>
              </w:rPr>
            </w:pPr>
          </w:p>
        </w:tc>
        <w:tc>
          <w:tcPr>
            <w:tcW w:w="2040" w:type="dxa"/>
            <w:vAlign w:val="bottom"/>
            <w:gridSpan w:val="3"/>
          </w:tcPr>
          <w:p>
            <w:pPr>
              <w:jc w:val="center"/>
              <w:ind w:left="9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0"/>
        </w:trPr>
        <w:tc>
          <w:tcPr>
            <w:tcW w:w="6460" w:type="dxa"/>
            <w:vAlign w:val="bottom"/>
          </w:tcPr>
          <w:p>
            <w:pPr>
              <w:spacing w:after="0"/>
              <w:rPr>
                <w:sz w:val="17"/>
                <w:szCs w:val="17"/>
                <w:color w:val="auto"/>
              </w:rPr>
            </w:pP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0"/>
        </w:trPr>
        <w:tc>
          <w:tcPr>
            <w:tcW w:w="6460" w:type="dxa"/>
            <w:vAlign w:val="bottom"/>
          </w:tcPr>
          <w:p>
            <w:pPr>
              <w:spacing w:after="0"/>
              <w:rPr>
                <w:sz w:val="24"/>
                <w:szCs w:val="24"/>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Pr>
          <w:p>
            <w:pPr>
              <w:spacing w:after="0"/>
              <w:rPr>
                <w:sz w:val="24"/>
                <w:szCs w:val="24"/>
                <w:color w:val="auto"/>
              </w:rPr>
            </w:pPr>
          </w:p>
        </w:tc>
      </w:tr>
      <w:tr>
        <w:trPr>
          <w:trHeight w:val="23"/>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$30,495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decreased by $2.9 million, or 9%, for the three months ended September 30, 2026 compared to the three months ended September 30, 2025. This decrease was primarily due to a $6.0 million decrease in personnel-related costs and a $1.3 million decrease in bad debt expense, partially offset by a $4.4 million increase in other related general and administrative expenses. The decrease in personnel-related costs was due to a $6.0 million decrease in stock-based compensation expense, partially offset by higher costs attributable to incremental head count. The decrease in stock-based compensation expense was driven by the November 2021 retention equity grant which became fully vested in late 2025 and therefore is no longer contributing to the expense in 2026.</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44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0"/>
        </w:trPr>
        <w:tc>
          <w:tcPr>
            <w:tcW w:w="6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6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9"/>
        </w:trPr>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1"/>
        </w:trPr>
        <w:tc>
          <w:tcPr>
            <w:tcW w:w="6460" w:type="dxa"/>
            <w:vAlign w:val="bottom"/>
          </w:tcPr>
          <w:p>
            <w:pPr>
              <w:spacing w:after="0"/>
              <w:rPr>
                <w:sz w:val="24"/>
                <w:szCs w:val="24"/>
                <w:color w:val="auto"/>
              </w:rPr>
            </w:pPr>
          </w:p>
        </w:tc>
        <w:tc>
          <w:tcPr>
            <w:tcW w:w="244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340" w:type="dxa"/>
            <w:vAlign w:val="bottom"/>
            <w:gridSpan w:val="2"/>
            <w:shd w:val="clear" w:color="auto" w:fill="CCEEFF"/>
          </w:tcPr>
          <w:p>
            <w:pPr>
              <w:jc w:val="right"/>
              <w:ind w:right="5108"/>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$1,234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net decreased by $1.2 million, or 49% for the three months ended September 30, 2026 compared to the three months ended September 30, 2025. This decrease was primarily due to a decrease in interest income and an increase in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0"/>
        </w:trPr>
        <w:tc>
          <w:tcPr>
            <w:tcW w:w="648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1"/>
        </w:trPr>
        <w:tc>
          <w:tcPr>
            <w:tcW w:w="648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by $0.1 million, or 1%, for the three months ended September 30, 2026 compared to the three months ended September 30, 2025. This increase was primarily due to higher operating profit, partially offset by a decrease in tax deficiencies related to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6"/>
        </w:trPr>
        <w:tc>
          <w:tcPr>
            <w:tcW w:w="648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6"/>
        </w:trPr>
        <w:tc>
          <w:tcPr>
            <w:tcW w:w="6480" w:type="dxa"/>
            <w:vAlign w:val="bottom"/>
          </w:tcPr>
          <w:p>
            <w:pPr>
              <w:spacing w:after="0"/>
              <w:rPr>
                <w:sz w:val="17"/>
                <w:szCs w:val="17"/>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0"/>
        </w:trPr>
        <w:tc>
          <w:tcPr>
            <w:tcW w:w="648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$1,020,269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$970,258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increased by $50.0 million, or 5%, for the nine months ended September 30, 2026 compared to the nine months ended September 30, 2025. This increase is primarily due to a $40.7 million, or 7%, increase in revenue from our fertility benefits solution and a $9.3 million, or 3%, increase in revenue from our Progyny Rx solution. The increase in revenue from our fertility benefits solution and Progyny Rx solution was primarily due to the increase in the number of clients and covered lives, partially offset by the impact of the previously disclosed large client who did not renew its services for 2025 but provided an extended transition period over the first half of 2025 for members meeting certain criteria.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6"/>
        </w:trPr>
        <w:tc>
          <w:tcPr>
            <w:tcW w:w="648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6"/>
        </w:trPr>
        <w:tc>
          <w:tcPr>
            <w:tcW w:w="648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1"/>
        </w:trPr>
        <w:tc>
          <w:tcPr>
            <w:tcW w:w="648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$764,157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$742,655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services increased by $21.5 million, or 3%, for the nine months ended September 30, 2026 compared to the nine months ended September 30, 2025. This increase was primarily due to an increase in the medical treatment and pharmacy prescription costs associated with fertility treatments delivered. The increase in cost of services was also due to an increase in other related costs of services and was partially offset by a decrease in personnel-related costs and the impact of the previously disclosed large client who did not renew its services for 2025 but provided an extended transition period over the first half of 2025 for members meeting certain criteria. The decrease in personnel-related costs was due to a $9.2 million decrease in stock-based compensation expense, partially offset by higher costs attributable to incremental head count.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32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96"/>
        </w:trPr>
        <w:tc>
          <w:tcPr>
            <w:tcW w:w="6280" w:type="dxa"/>
            <w:vAlign w:val="bottom"/>
          </w:tcPr>
          <w:p>
            <w:pPr>
              <w:spacing w:after="0"/>
              <w:rPr>
                <w:sz w:val="17"/>
                <w:szCs w:val="17"/>
                <w:color w:val="auto"/>
              </w:rPr>
            </w:pPr>
          </w:p>
        </w:tc>
        <w:tc>
          <w:tcPr>
            <w:tcW w:w="2320" w:type="dxa"/>
            <w:vAlign w:val="bottom"/>
            <w:tcBorders>
              <w:bottom w:val="single" w:sz="8" w:color="auto"/>
            </w:tcBorders>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80" w:type="dxa"/>
            <w:vAlign w:val="bottom"/>
          </w:tcPr>
          <w:p>
            <w:pPr>
              <w:spacing w:after="0"/>
              <w:rPr>
                <w:sz w:val="17"/>
                <w:szCs w:val="17"/>
                <w:color w:val="auto"/>
              </w:rPr>
            </w:pPr>
          </w:p>
        </w:tc>
        <w:tc>
          <w:tcPr>
            <w:tcW w:w="2320" w:type="dxa"/>
            <w:vAlign w:val="bottom"/>
          </w:tcPr>
          <w:p>
            <w:pPr>
              <w:jc w:val="right"/>
              <w:ind w:right="13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16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2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1"/>
        </w:trPr>
        <w:tc>
          <w:tcPr>
            <w:tcW w:w="6280" w:type="dxa"/>
            <w:vAlign w:val="bottom"/>
          </w:tcPr>
          <w:p>
            <w:pPr>
              <w:spacing w:after="0"/>
              <w:rPr>
                <w:sz w:val="24"/>
                <w:szCs w:val="24"/>
                <w:color w:val="auto"/>
              </w:rPr>
            </w:pPr>
          </w:p>
        </w:tc>
        <w:tc>
          <w:tcPr>
            <w:tcW w:w="232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
        </w:trPr>
        <w:tc>
          <w:tcPr>
            <w:tcW w:w="6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2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$256,112</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$227,603</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32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rPr>
              <w:t>25.1%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by $28.5 million, or 13%, for the nine months ended September 30, 2026 compared to the nine months ended September 30, 2025.</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increased 160 basis points for the nine months ended September 30, 2026 compared to the nine months ended September 30, 2025, primarily due to ongoing efficiencies realized in the delivery of our care management services as well as a decrease in stock-based compensation expense.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5"/>
        </w:trPr>
        <w:tc>
          <w:tcPr>
            <w:tcW w:w="644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4"/>
        </w:trPr>
        <w:tc>
          <w:tcPr>
            <w:tcW w:w="644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1"/>
        </w:trPr>
        <w:tc>
          <w:tcPr>
            <w:tcW w:w="644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Pr>
          <w:p>
            <w:pPr>
              <w:spacing w:after="0"/>
              <w:rPr>
                <w:sz w:val="24"/>
                <w:szCs w:val="24"/>
                <w:color w:val="auto"/>
              </w:rPr>
            </w:pPr>
          </w:p>
        </w:tc>
      </w:tr>
      <w:tr>
        <w:trPr>
          <w:trHeight w:val="23"/>
        </w:trPr>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$53,021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decreased by $1.1 million, or 2%, for the nine months ended September 30, 2026 compared to the nine months ended September 30, 2025. This decrease was primarily due to a $4.0 million decrease in personnel-related costs, partially offset by a $2.9 million increase in other related sales and marketing expenses. The decrease in personnel-related costs was due to a $7.3 million decrease in stock-based compensation expense, partially offset by higher costs attributable to incremental head count.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14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6"/>
        </w:trPr>
        <w:tc>
          <w:tcPr>
            <w:tcW w:w="6460" w:type="dxa"/>
            <w:vAlign w:val="bottom"/>
          </w:tcPr>
          <w:p>
            <w:pPr>
              <w:spacing w:after="0"/>
              <w:rPr>
                <w:sz w:val="17"/>
                <w:szCs w:val="17"/>
                <w:color w:val="auto"/>
              </w:rPr>
            </w:pPr>
          </w:p>
        </w:tc>
        <w:tc>
          <w:tcPr>
            <w:tcW w:w="2140" w:type="dxa"/>
            <w:vAlign w:val="bottom"/>
            <w:tcBorders>
              <w:bottom w:val="single" w:sz="8" w:color="auto"/>
            </w:tcBorders>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6"/>
        </w:trPr>
        <w:tc>
          <w:tcPr>
            <w:tcW w:w="6460" w:type="dxa"/>
            <w:vAlign w:val="bottom"/>
          </w:tcPr>
          <w:p>
            <w:pPr>
              <w:spacing w:after="0"/>
              <w:rPr>
                <w:sz w:val="17"/>
                <w:szCs w:val="17"/>
                <w:color w:val="auto"/>
              </w:rPr>
            </w:pP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1"/>
        </w:trPr>
        <w:tc>
          <w:tcPr>
            <w:tcW w:w="6460" w:type="dxa"/>
            <w:vAlign w:val="bottom"/>
          </w:tcPr>
          <w:p>
            <w:pPr>
              <w:spacing w:after="0"/>
              <w:rPr>
                <w:sz w:val="24"/>
                <w:szCs w:val="24"/>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Pr>
          <w:p>
            <w:pPr>
              <w:spacing w:after="0"/>
              <w:rPr>
                <w:sz w:val="24"/>
                <w:szCs w:val="24"/>
                <w:color w:val="auto"/>
              </w:rPr>
            </w:pPr>
          </w:p>
        </w:tc>
      </w:tr>
      <w:tr>
        <w:trPr>
          <w:trHeight w:val="23"/>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$92,527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$103,422</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decreased by $10.9 million, or 11%, for the nine months ended September 30, 2026 compared to the nine months ended September 30, 2025. This decrease was primarily due to a $15.8 million decrease in personnel-related costs and a $2.1 million decrease in bad debt expense, partially offset by a $7.0 million increase in other related general and administrative expenses. The decrease in personnel-related costs was due to a $19.2 million decrease in stock-based compensation expense, partially offset by higher costs attributable to incremental head count. The decrease in stock-based compensation expense was driven by the November 2021 retention equity grant which became fully vested in late 2025 and therefore is no longer contributing to the expense in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6"/>
        </w:trPr>
        <w:tc>
          <w:tcPr>
            <w:tcW w:w="64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6"/>
        </w:trPr>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0"/>
        </w:trPr>
        <w:tc>
          <w:tcPr>
            <w:tcW w:w="6460" w:type="dxa"/>
            <w:vAlign w:val="bottom"/>
          </w:tcPr>
          <w:p>
            <w:pPr>
              <w:spacing w:after="0"/>
              <w:rPr>
                <w:sz w:val="24"/>
                <w:szCs w:val="24"/>
                <w:color w:val="auto"/>
              </w:rPr>
            </w:pPr>
          </w:p>
        </w:tc>
        <w:tc>
          <w:tcPr>
            <w:tcW w:w="244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340" w:type="dxa"/>
            <w:vAlign w:val="bottom"/>
            <w:gridSpan w:val="2"/>
            <w:shd w:val="clear" w:color="auto" w:fill="CCEEFF"/>
          </w:tcPr>
          <w:p>
            <w:pPr>
              <w:jc w:val="right"/>
              <w:ind w:right="5108"/>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6"/>
              </w:rPr>
              <w:t>$3,872</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net decreased by $3.7 million, or 49%, for the nine months ended September 30, 2026 compared to the nine months ended September 30, 2025. This decrease was primarily due to a decrease in interest income and an increase in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96"/>
        </w:trPr>
        <w:tc>
          <w:tcPr>
            <w:tcW w:w="6480" w:type="dxa"/>
            <w:vAlign w:val="bottom"/>
          </w:tcPr>
          <w:p>
            <w:pPr>
              <w:spacing w:after="0"/>
              <w:rPr>
                <w:sz w:val="17"/>
                <w:szCs w:val="17"/>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6"/>
        </w:trPr>
        <w:tc>
          <w:tcPr>
            <w:tcW w:w="6480" w:type="dxa"/>
            <w:vAlign w:val="bottom"/>
          </w:tcPr>
          <w:p>
            <w:pPr>
              <w:spacing w:after="0"/>
              <w:rPr>
                <w:sz w:val="17"/>
                <w:szCs w:val="17"/>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1"/>
        </w:trPr>
        <w:tc>
          <w:tcPr>
            <w:tcW w:w="6480" w:type="dxa"/>
            <w:vAlign w:val="bottom"/>
          </w:tcPr>
          <w:p>
            <w:pPr>
              <w:spacing w:after="0"/>
              <w:rPr>
                <w:sz w:val="24"/>
                <w:szCs w:val="2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3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by $4.4 million, or 14%, for the nine months ended September 30, 2026 compared to the nine months ended September 30, 2025. This increase was primarily due to higher operating profit, partially offset by a decrease in tax deficiencies related to stock-based compensation.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of September 30, 2026, we had $116.8 million of cash and cash equivalents and $78.8 million of marketable securities. We have financed our operations primarily through cash generated from the sales of our solutions.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 2025, we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a maximum aggregate amount of $200 million, subject to customary borrowing conditions, until its maturity on July 1, 2030. We are in compliance with all financial covenants under the Credit Agreement as of September 30, 2026. As of the date of this filing, no amounts were drawn under the Facility. Refer to Note 6 to the Consolidated Financial Statements included in this Quarterly Report on Form 10-Q for additional information.</w:t>
      </w:r>
    </w:p>
    <w:p>
      <w:pPr>
        <w:spacing w:after="0" w:line="17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cash flow from operations, and the availability of funds under the Facility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1"/>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4"/>
                <w:szCs w:val="24"/>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155,989</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(167,269)</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$153.0 million for the nine months ended September 30, 2026, primarily consisting of net income of $78.5 million adjusted for certain items, which includes $61.3 million of stock-based compensation expense, $13.2 million of bad debt expense, $5.3 million of depreciation and amortization, $1.3 million of net accretion of discounts on marketable securities, $0.7 million of loss on disposal of property and equipment, and $0.6 million of non-cash interest expense.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Changes in operating assets and liabilities resulted in cash used in operating activities from increases in accounts receivable, net of $42.2 million and other noncurrent assets and liabilities of $4.4 million, partially offset by cash provided by operating activities from increases in accounts payable of $23.8 million and in accrued expenses and other current liabilities of $11.9 million and a decrease in prepaid expenses and other current assets of $2.8 million. These changes were a result of the impact of revenue growth and our operating results as well as the timing of cash collections and payments to third parties, including $32.6 million of cash paid for income taxes, net of refunds received for the period ended September 30, 2026.</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$156.0 million for the nine months ended September 30, 2025, primarily consisting of net income of $46.0 million adjusted for certain items, which includes $97.1 million of stock-based compensation expense, $15.3 million of bad debt expense, $3.6 million of depreciation and amortization, $0.4 million of net accretion of discounts on marketable securities, $0.3 million of non-cash interest expense, and $0.1 million of loss on disposal of property and equipment. Changes in operating assets and liabilities resulted in cash used in operating activities from increases in accounts receivable of $32.2 million and prepaid expenses and other current assets of $14.9 million, partially offset by cash provided by operating activities from increases in accounts payable of $27.7 million and accrued expenses and other current liabilities of $13.3 million. These changes were a result of the impact of revenue growth and our operating results as well as the timing of cash collections and payments to third parties, including $39.9 million of cash paid for income taxes, net of refunds received for the period ended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$95.1 million for the nine months ended September 30, 2026, which primarily consisted of net proceeds from marketable securities of $117.1 million. The remainder of the activity consisted of purchases of computers, software, including capitalized software development costs, leasehold improvements, and furniture and fixtures.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$167.3 million for the nine months ended September 30, 2025 which primarily consisted of net investments in marketable securities of $145.1 million and $9.3 million of cash used in a business acquisition, net of cash acquired. The remainder of the activity consisted of purchases of computers, software, including capitalized software development costs, leasehold improvements, and furniture and fixtures.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capital investments, including investments in technology and the development of software, to remain consistent with current levels for the remainder of the fiscal year as we continue to invest in our benefits offerings and growth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Net cash used in financing activities was $243.4 million for the nine months ended September 30, 2026, consisting of $231.4 million of cash paid for repurchases of common stock under the November 2025 and May 2026 share repurchase programs, inclusive of $0.2 million in trading fees, payment of $0.5 million excise tax from the repurchase of common stock, and $12.6 million for employee taxes related to equity awards, partially offset by $1.1 million in proceeds from contributions to our employee stock purchase plan.</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$11.1 million for the nine months ended September 30, 2025, consisting of payments of $8.8 million for employee taxes related to equity awards and $3.1 million of issuance costs related to the Facility, partially offset by $0.8 million in proceeds from contributions to our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November 2025, our Board of Directors authorized a share repurchase program of up to $200 million in shares of common stock (the “November 2025 share repurchase program”). In May 2026, our Board of Directors authorized an additional share repurchase program of up to $200 million in shares of common stock (the “May 2026 share repurchase program"), together with the November share repurchase program, (the "share repurchase programs").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Repurchases under the May 2026 share repurchase program may be made in the form of open market repurchases, including through plans complying with Rule 10b5-1 under the Exchange Act, depending on stock price, market conditions, and other factors, as determined by the management. There can be no assurance as to the total number of shares that will be repurchased.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a total of 9,681,135 shares of common stock under the share repurchase programs at an average price per share of $23.83 and a total cost of $230.9 million, inclusive of $0.2 million in trading fees. In addition, we recognized $2.1 million of excise taxes related to the share repurchases. As of September 30, 2026, $85.8 million remained available for purchases under the May 2026 share repurchase program.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November 2025 share repurchase program was completed in March 2026, and no amounts remained available for repurchase under the program. As of the date of this filing, we have repurchased a total of 5,439,259 shares of common stock under the May 2026 share repurchase program for a total cost of $149.6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2022, we entered into a lease agreement for leases commencing in February 2023 and March 2025 for additional space in our corporate offices in New York, New York, consisting of a 24,099 square foot office and a 21,262 square foot office, respectively. The lease agreement also provides for continued occupancy of the 25,212 square foot office after the expiration of the current sublease. For the 24,099 square foot office, we pay the base rent of approximately $1.4 million per year through the end of the fifth year and approximately $1.5 million per year thereafter through April 2036, the expiration date. For the 21,262 square foot office, we will pay the base rent of approximately $1.3 million per year starting in April 2026 through the end of the fifth year and approximately $1.4 million per year thereafter through April 2036, the expiration date. For our 25,212 square foot office, we will pay the base rent of approximately $1.6 million per year beginning in June 2029, which is the lease commencement date, through April 2036, the expiration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significant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"Financial Statements (Unaudited) —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At September 30, 2026, we had cash and cash equivalents of $116.8 million and marketable securities of $78.8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 change in interest rates would not result in a material impact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September 30, 2026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“Financial Statements (Unaudited) — Note 7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The risks and uncertainties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November 4, 2026, we issued guidance for the fourth quarter of 2026 and full year 2026.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continue to compete effectively, our business, financial condition and results of operations could be harmed.</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fertility benefits vendors,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the market in which we operate matures and more competitors enter the market and introduce differentiated solutions or services that compete with our solutions, our success depends on our ability to: compete effectively in our market, identify and effectively respond to changes in market dynamics and client and member preferences, maintain or increase our market share, and differentiate our offerings by innovating and delivering products and services that provide enhanced value to our clients and members.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spacing w:after="0" w:line="2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tariffs, export controls and other trade barriers, global trade wars or domestic preferences, 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global economy has also been impacted by geopolitical tensions. There is currently significant uncertainty about future trade relationships between the United States and various other countries. Further escalation of specific trade tensions, or more broadly in global trade conflicts, could materially and adversely affect the Company’s business and operations. The U.S. government and other governments may impose tariffs on certain pharmaceutical drugs and their components that may impact pharmaceutical imports into the United States, and we, our customers, suppliers, and our pharmacy program partners may then become subject to additional tariffs and adverse business impacts. If we are not successful in mitigating the impact of tariffs, trade barriers, and other geopolitical disruptions, our business, financial condition and results of operations may be adversely affected.</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 We went live with Progyny Rx in 2018, and 94% of our current clients have now launched this solution, including approximately 97% of the clients we signed in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outcomes,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offer complementary solutions and services that will enhance our comprehensive fertility and family building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and regulations, the enforcement of such laws and regulations, or healthcare trends;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including any material increase in unemployment rates, and the business environment of our clients and, in particular, slowing growth or reduction in our clients’ headcount or spending on employee benefits;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In addition, a significant number of our clients are in the technology industry, and we generate a significant portion of our revenue from these clients.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currently have contracts to serve over 605 employers with at least 1,000 covered lives in the United States across more than 40 industries. Our largest clients account for a significant portion of our revenue. In addition, a significant number of our clients are in the technology industry, and we generate a significant portion of our revenue from these clients. For the nine months ended September 30, 2026 and September 30, 2025, no client accounted for more than 10% of our total revenue. Engagement with our clients is generally covered through contracts that are multi-year in duration. Our clients may terminate early, decline to renew their existing contracts with us upon expiration, or renegotiate pricing terms at the time of renewal, any of which could have a negative impact on our business, financial condition and results of operations. In addition, changes in the technology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 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utilization of our solutions, including the consumption rate or the mix of utilization,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failure to adapt and respond effectively to changes in the medical landscape, laws, regulations and government enforcement priorities, or client and member needs, requirements or preferences; premium increases and benefits changes; or negative publicity.</w:t>
      </w:r>
    </w:p>
    <w:p>
      <w:pPr>
        <w:spacing w:after="0" w:line="21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the rate of consumption by their 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provider, in June 2024 and Benefit Bump LLC, a company that provides a comprehensive parental leave benefits navigation program for new and growing families, in January 2025. We have also expanded our offerings to include pregnancy and postpartum, menopause and midlife care, benefit and leave navigation and parent and child wellbeing solutions. We expect to make additional investments as we continue to introduce new solutions and services that complement our comprehensive family building offering and as we continue to enhance our technology infrastructure, including systems architecture, scalability, availability, performance and security. Any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went live with our fertility benefits solution in 2016, Progyny Rx in 2018 and more recently with our newer solutions.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and women's health benefits in general, change in utilization trends by our members, general economic slowdown, an increase in unemployment rates, increased competition, changes in healthcare trends and regulations, changes to science relating to the fertility market,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women's health and family building offerings and as we continue to invest in enhancing our technology infrastructure, including systems architecture, scalability, availability, performance and security.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and drug prices. In addition, negative publicity may result in increased regulation and legislative review of industry practices, which may further increase our costs of doing business and adversely affect our profitability. For example, PBM reform, increased disclosure requirements or additional review of benefit administrators by the Department of Health and Human Services' Office of Inspector General, or OIG,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Therefore, 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data privacy, including criminal hackers, hacktivists, denial-of-service attacks, ransomware, state-sponsored intrusions, industrial espionage, employee malfeasance and human or technological errors. High-profile cybersecurity breaches at other companies and government agencies have increased in recent years, and there remains the possibility of targeted cyberattacks by foreign countries or entities that could impact United States government and private companies’ technological infrastructures, some of which we utilize to provide our services. The healthcare industry has experienced a shift towards an increased use of and reliance on digital and technological platforms. As a result of this shift, there have been, and may continue to be, more targeted cyberattacks and threats directed at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or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our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may subject us to new or heightened legal, regulatory, ethical, operational or other challenges.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use, and may in the future continue to use, artificial intelligence (“AI”), including generative AI, in connection with our business and operations, including for internal operational and productivity improvement business purposes. There are significant risks involved in utilizing AI, the development and use of which is still in its early stages, and no assurance can be provided that such use will enhance our business or operations or result in our business or operations being more efficient or profitable. AI models and algorithms, and the data, prompts and other material or content on which it relies, as well as the output thereof, could be flawed, insufficient, of poor quality, reflect unwanted forms of bias, or contain other errors or inadequacies, any of which may not be easily detectable. AI has also been known to produce false or “hallucinatory” inferences or outputs, and AI can subject users to new or heightened legal, regulatory, ethical, operational, reputational or other challenges. Inappropriate or controversial data practices by developers and end-users, or other factors adversely affecting public opinion of AI, could impair the acceptance of AI solutions. If the AI solutions that we use are or are perceived to be deficient, inaccurate or controversial, we could suffer operational inefficiencies, competitive harm, legal liability, brand or reputational harm, or other adverse impacts on our business, operations and financial results. The use of AI solutions by companies has also resulted in, and may in the future result in, failures, interruptions and security breaches of their information technology systems and data privacy violations that implicate the personal data or confidential information of users of such AI solutions. If any of our employees, contractors, vendors or service providers use any third-party AI solutions in connection with the services they provide to us, it may lead to the inadvertent disclosure of our confidential information, including personal information of our clients and members, which may impact our ability to secure such information, or adequately protect and enforce our intellectual property rights, harming our competitive position and business. Further, any content created by us using generative AI may not be subject to copyright protection which may adversely affect our intellectual property rights in, or ability to commercialize or use, any such content.</w:t>
      </w:r>
    </w:p>
    <w:p>
      <w:pPr>
        <w:spacing w:after="0" w:line="21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Regulation of AI is rapidly evolving worldwide and may change the competitive landscape of our and many other industries. AI is also an area of increased focus for legislators and regulators as this emerging technology develops. The technologies underlying AI and its uses are already subject to a variety of laws and regulations, including intellectual property, data privacy and security, consumer protection, competition, and equal opportunity laws and regulations, and are expected to be subject to increased regulation and new laws or new applications of existing laws and regulations. It is possible that we will not be able to anticipate how to respond to these rapidly evolving frameworks, and we could be required to expend resources to adjust our offerings in certain jurisdictions if the legal frameworks are inconsistent across jurisdictions. If we do not have sufficient rights to use the models, algorithms, data, prompts or other material or content on which our AI solutions rely, or the output thereof, we could also incur liability through the violation of applicable laws and regulations, third-party intellectual property, privacy or other rights, or contracts to which we are a party. Furthermore, because AI technology itself is highly complex, costly,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the solutions we provide.</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and client base may not grow at the rates they historically have, or at all.</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attract new clients and maintain existing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4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marketing;</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and our business, financial position and results of operations may be harmed.</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2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20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revenue and results of operations.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to the first half. Given that the majority of our clients contract with us for a January 1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seasonality of our business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9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or government actions or enforcement priorities, or changing client needs, requirements or preferences, our offerings may become less competitive.</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actions and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members of our management team or other key employees or fail to attract additional qualified personnel, our business and future growth may be negatively impacted.</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with government entities is subject to a number of challenges and risks.</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enforce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trade secrets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Moreover, although we take measures to ensure that our employees do not use the confidential or proprietary information or know-how of others in their work for us, we may be subject to claims that we or our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continue to build name recognition with potential partners or clients in our markets of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portion of our net operating loss carryforwards, which could adversely affect our profitability.</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affect the use of our net operating loss carryforwards or other tax attributes existing at the time of the ownership change, which could adversely affect our profitability.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3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00" w:lineRule="exact"/>
        <w:rPr>
          <w:rFonts w:ascii="Arial" w:cs="Arial" w:eastAsia="Arial" w:hAnsi="Arial"/>
          <w:sz w:val="22"/>
          <w:szCs w:val="22"/>
          <w:color w:val="auto"/>
        </w:rPr>
      </w:pPr>
    </w:p>
    <w:p>
      <w:pPr>
        <w:spacing w:after="0" w:line="389" w:lineRule="exact"/>
        <w:rPr>
          <w:rFonts w:ascii="Arial" w:cs="Arial" w:eastAsia="Arial" w:hAnsi="Arial"/>
          <w:sz w:val="22"/>
          <w:szCs w:val="22"/>
          <w:color w:val="auto"/>
        </w:rPr>
      </w:pPr>
    </w:p>
    <w:p>
      <w:pPr>
        <w:ind w:left="5540"/>
        <w:spacing w:after="0"/>
        <w:rPr>
          <w:rFonts w:ascii="Arial" w:cs="Arial" w:eastAsia="Arial" w:hAnsi="Arial"/>
          <w:sz w:val="22"/>
          <w:szCs w:val="22"/>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hanging="328"/>
        <w:spacing w:after="0" w:line="220"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tax treaties, or regulations or the interpretation of them (such as the One Big Beautiful Bill Act, which, among other changes, makes permanent the immediate expensing of certain domestic research and development costs and 100% bonus depreciation for eligible property);</w:t>
      </w:r>
    </w:p>
    <w:p>
      <w:pPr>
        <w:spacing w:after="0" w:line="225"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discrete impact tax items, including items resulting from the amount and timing of equity exercises and our stock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could have an adverse effect on our results of operations.</w:t>
      </w:r>
    </w:p>
    <w:p>
      <w:pPr>
        <w:spacing w:after="0" w:line="2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 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the notes to the consolidated financial statements of this Quarterly Report on Form 10-Q for additional information on recently issued but not yet adopted accounting standards.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spacing w:after="0" w:line="2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in response to industry actions that could result in higher medical costs or less attractive services for our members, thereby limiting our commercial opportunities.</w:t>
      </w: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specialty pharmacies could face supply chain issues or regulatory delays impacting the availability or distribution of certain fertility medication requiring drug substitutions that could result in higher medical costs or 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multi-national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negotiated rates among industry participants, cost to import, and distribution of materials and finished products,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 and receive positive references from our existing clients, channel partners and benefits consultants.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spacing w:after="0" w:line="2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offerings and impair our ability to attract new clients and retain existing clients. Any of these consequences could have an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Requirements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have structured our operations to comply with all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changes in law or future determinations by a court or agency that our corporate structure, solutions or services violate, or cause our clients or network partners to violate, applicable laws, regulations or other requirements could subject us or our clients to significant administrative, civil or criminal penalties. Such changes may also impact our ability to offer our products in the same manner to our clients, which may require us to change, reduce, or terminate portions of our business, disqualify us from serving clients in certain states or clients that do business with government entities, or to refund some or all of our service fees or otherwise compensate our clients.</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As we continue to execute on our growth strategy, we may be subject to new laws, regulations, and other requirements. We announced that we anticipate offering our fertility solution to large group fully insured employers, which will subject us to additional laws, regulations and other requirements. We expect to devote a significant amount of management time and resources related to ensuring regulatory compliance in connection this new offering, and such compliance costs will be ongoing and may increase in the future. 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we may be exposed to litigation or other government action and our business, financial condition and results of operations may be adversely impacted.</w:t>
      </w:r>
    </w:p>
    <w:p>
      <w:pPr>
        <w:spacing w:after="0" w:line="21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State and Federal Laws Related to Reproductive Rights and Fertility Benefits</w:t>
      </w:r>
    </w:p>
    <w:p>
      <w:pPr>
        <w:spacing w:after="0" w:line="24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Licensing Requirements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acting as a third party administrator, or TPA, or pharmacy benefit manager,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we are able to obtain appropriate licensure, which may adversely affect our revenue for a period of time that we cannot estimate.</w:t>
      </w:r>
    </w:p>
    <w:p>
      <w:pPr>
        <w:spacing w:after="0" w:line="21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 personnel obtain the necessary licensure, which may adversely affect our results of operations, our relationships with our clients and members, and cause us to be in breach of our contractual arrangements.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HIPAA Privacy and Security Requirements</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When acting as a “Business Associate” under the Health Insurance Portability and Accountability Act of 1996, as amended, or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HHS' Office for Civil Rights, or OCR. In the event the OCR finds that we have failed to comply with applicable HIPAA privacy and security standards, we could face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Data Privacy and Cybersecurity Requirements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California Consumer Privacy Act, as amended by the California Privacy Rights Act, or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and could lead to additional liability risks.</w:t>
      </w:r>
    </w:p>
    <w:p>
      <w:pPr>
        <w:spacing w:after="0" w:line="2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Breaches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 significant liabilities and consequences, including, costs of defending against litigation or settling claims and loss of existing and future clients.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ERISA Regulation</w:t>
      </w:r>
    </w:p>
    <w:p>
      <w:pPr>
        <w:spacing w:after="0" w:line="2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Employee Retirement Income Security Act of 1974, or 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Department of Labor, or DOL, the agency that enforces ERISA, will not in the future assert that the fiduciary obligations imposed by ERISA apply to certain aspects of our operations or courts will not reach such a ruling in private ERISA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Separately, although ERISA generally preempts state laws that would otherwise apply to ERISA plans, recent Supreme Court rulings continue to clarify ERISA preemption as it relates to PBMs. If the 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and Fee-Splitting Prohibitions</w:t>
      </w:r>
    </w:p>
    <w:p>
      <w:pPr>
        <w:spacing w:after="0" w:line="2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Communication</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enforcement by the Federal Trade Commission, or FTC,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part of the broader healthcare industry and subject to increasing scrutiny, disclosure requirements and regulation within our business, including with respect to Progyny Rx’s PBM operations, which may adversely affect our business, financial condition and results of operations.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or create additional legal and regulatory requirements could impact our operations, the use of our solutions and services, and our ability to market new solutions and services, or could create unexpected liabilities for us.</w:t>
      </w:r>
    </w:p>
    <w:p>
      <w:pPr>
        <w:spacing w:after="0" w:line="21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on February 3, 2026, the Consolidated Appropriations Act of 2026 was signed into law and includes PBM reforms that would, among other things, require PBMs to disclose information on their costs, fees and rebates; require 100% of the rebates to be passed on to consumers; and impose other disclosure, reporting and audit requirements on PBMs.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The Supreme Court’s ruling in </w:t>
      </w:r>
      <w:r>
        <w:rPr>
          <w:rFonts w:ascii="Times New Roman" w:cs="Times New Roman" w:eastAsia="Times New Roman" w:hAnsi="Times New Roman"/>
          <w:sz w:val="18"/>
          <w:szCs w:val="18"/>
          <w:i w:val="1"/>
          <w:iCs w:val="1"/>
          <w:color w:val="auto"/>
        </w:rPr>
        <w:t>Rutledge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Mckee Foods v. BFP Inc.</w:t>
      </w:r>
      <w:r>
        <w:rPr>
          <w:rFonts w:ascii="Times New Roman" w:cs="Times New Roman" w:eastAsia="Times New Roman" w:hAnsi="Times New Roman"/>
          <w:sz w:val="18"/>
          <w:szCs w:val="18"/>
          <w:color w:val="auto"/>
        </w:rPr>
        <w:t xml:space="preserve"> and other recent rulings have provided more clarity on the legality of state-level legislation regulating PBMs. However, new legislation aimed at controlling prescription drug costs and providing pricing transparency and regulatory oversight of PBMs continue to be enacted. A large majority of states have adopted some form of oversight legislation. In certain states, PBMs are required to file transparency reports or otherwise disclose contractual arrangements with health plans or health insurance issuers and regulators have begun to conduct audits of PBM operations.</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spacing w:after="0" w:line="22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w:t>
      </w:r>
    </w:p>
    <w:p>
      <w:pPr>
        <w:spacing w:after="0" w:line="22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spacing w:after="0" w:line="20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w:t>
      </w:r>
    </w:p>
    <w:p>
      <w:pPr>
        <w:spacing w:after="0" w:line="23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 “anti-ESG”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experience volatility, and the value of our common stock may decline.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this and a variety of factors, some of which are beyond our control, including, but not limited to:</w:t>
      </w:r>
    </w:p>
    <w:p>
      <w:pPr>
        <w:spacing w:after="0" w:line="19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stock repurchases by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38"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publications of research or other reports about us or our industry, including those that may contain inaccurate or misleading information, financial estimates about us, or changes in recommendations or withdrawal of research coverage by securities analysts;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pricing of our solutions and services;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our projected operating and financial results;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industry, political and market conditions;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data breaches affecting our company, provider clinics, third-party vendors or pharmacy network partners;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 by us or our stockholders;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purchases of our common stock by management;</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senior management or key personnel;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trading volume of our common stock;</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war, incidents of terrorism, or responses to these events;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fund continuing operations through the sale of additional equity securities and may impair our ability to make strategic investments, including acquiring other companies or investing in technologies, using our equity as consideration.</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spacing w:after="0" w:line="21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demand for, or pricing of, our solutions;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level and mix of utilization of our solutions by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existing clients and attract new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client expansion rates;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3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operate;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new accounting pronouncements;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cybersecurity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including in connection with financings, acquisitions, our equity incentive plan or otherwise, could cause the market price of our common stock to decline.</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2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receive a return on your investment will depend on appreciation in the price of our common stock.</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9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spacing w:after="0" w:line="231" w:lineRule="exact"/>
        <w:rPr>
          <w:sz w:val="20"/>
          <w:szCs w:val="20"/>
          <w:color w:val="auto"/>
        </w:rPr>
      </w:pPr>
    </w:p>
    <w:p>
      <w:pPr>
        <w:ind w:left="660" w:right="20" w:hanging="328"/>
        <w:spacing w:after="0" w:line="220"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authorize our Board of Directors to issue, without further action by stockholders, shares of undesignated preferred stock with terms, rights, and preferences determined by our Board of Directors and which may be senior to our common stock;</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38" w:lineRule="exact"/>
        <w:rPr>
          <w:rFonts w:ascii="Arial" w:cs="Arial" w:eastAsia="Arial" w:hAnsi="Arial"/>
          <w:sz w:val="22"/>
          <w:szCs w:val="22"/>
          <w:color w:val="auto"/>
        </w:rPr>
      </w:pPr>
    </w:p>
    <w:p>
      <w:pPr>
        <w:ind w:left="660" w:right="240" w:hanging="328"/>
        <w:spacing w:after="0" w:line="227"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226"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prohibit cumulative voting in the election of directors;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38"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second amended and restated bylaws and certain provisions of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w:t>
      </w:r>
    </w:p>
    <w:p>
      <w:pPr>
        <w:spacing w:after="0" w:line="19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Settlement of Equity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2026, we withheld shares through net settlements (where the award holder receives the net of the shares vested, after surrendering a portion of the shares back to the Company for tax withholding) for certain restricted stock units that vested.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26, 2026, the Company announced the May 2026 share repurchase program (the "May 2026 share repurchase program") of up to $200 million in shares of common stock. Repurchases under the May 2026 share repurchase program may be made in the form of open market repurchases, including through plans complying with Rule 10b5-1 under the Exchange Act, depending on stock price, market conditions, and other factors, as determined by the Company. There can be no assurance as to the total number of shares that will be repurchased by the Company.</w:t>
      </w:r>
    </w:p>
    <w:p>
      <w:pPr>
        <w:spacing w:after="0" w:line="18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following table provides a summary of share repurchase activity as well as shares surrendered back to the Company for tax withholding on restricted stock units that vested under our equity incentive plans in the three months ended September 30, 2026</w:t>
      </w:r>
      <w:r>
        <w:rPr>
          <w:rFonts w:ascii="Arial" w:cs="Arial" w:eastAsia="Arial" w:hAnsi="Arial"/>
          <w:sz w:val="21"/>
          <w:szCs w:val="21"/>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Amount</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60"/>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5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99"/>
              <w:spacing w:after="0" w:line="160" w:lineRule="exact"/>
              <w:rPr>
                <w:sz w:val="20"/>
                <w:szCs w:val="20"/>
                <w:color w:val="auto"/>
              </w:rPr>
            </w:pPr>
            <w:r>
              <w:rPr>
                <w:rFonts w:ascii="Times New Roman" w:cs="Times New Roman" w:eastAsia="Times New Roman" w:hAnsi="Times New Roman"/>
                <w:sz w:val="14"/>
                <w:szCs w:val="14"/>
                <w:b w:val="1"/>
                <w:bCs w:val="1"/>
                <w:color w:val="auto"/>
              </w:rPr>
              <w:t>Program</w:t>
            </w: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Shares Repurchased </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4"/>
        </w:trPr>
        <w:tc>
          <w:tcPr>
            <w:tcW w:w="4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r>
      <w:tr>
        <w:trPr>
          <w:trHeight w:val="27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through July 31, 2026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770,568</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145,532</w:t>
            </w:r>
          </w:p>
        </w:tc>
      </w:tr>
      <w:tr>
        <w:trPr>
          <w:trHeight w:val="26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through August 31,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1,076,963</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117,263</w:t>
            </w:r>
          </w:p>
        </w:tc>
      </w:tr>
      <w:tr>
        <w:trPr>
          <w:trHeight w:val="27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through September 30,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1,269,482</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85,784</w:t>
            </w:r>
          </w:p>
        </w:tc>
      </w:tr>
      <w:tr>
        <w:trPr>
          <w:trHeight w:val="270"/>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3,117,013</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2,980,798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49"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withheld on net settlements of restricted stock units that vested under our equity incentive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2026, Geoffrey J Clapp, our Chief Product Officer, adopted a trading plan that is intended to satisfy the conditions under Rule 10b5-1(c) of the Exchange Act. Mr. Clapp’s trading plan is for the sale of up to 31,172 shares of the Company’s common stock in amounts and prices determined in accordance with a formula set forth in the plan. The plan terminates on the earlier of the date all shares under the plan are sold or June 30, 2027.</w:t>
      </w:r>
    </w:p>
    <w:p>
      <w:pPr>
        <w:spacing w:after="0" w:line="17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2026, Pete Anevski, our Chief Executive Officer, adopted a trading plan that is intended to satisfy the conditions under Rule 10b5-1(c) of the Exchange Act. Mr. Anevski’s trading plan is for the sale of up to 1,970,286 shares of the Company’s common stock in amounts and prices determined in accordance with a formula set forth in the plan and an additional indeterminate number of shares sold in eligible “sell-to-cover transactions” (as described in Rule 10b5-1(c)(1)(ii)(D)(3) under the Exchange Act) to satisfy tax withholding obligations arising exclusively from vesting of RSUs or PSUs. The number of shares subject to covered RSUs or PSUs that will be sold to satisfy applicable tax withholding obligations upon vesting is not currently determinable as the number will vary based on the market price of our common stock and the extent to which vesting conditions are satisfied. The plan terminates on the earlier of the date all shares under the plan are sold or October 31, 2027.</w:t>
      </w:r>
    </w:p>
    <w:p>
      <w:pPr>
        <w:spacing w:after="0" w:line="21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On July 2, 2026, David Schlanger, our Executive Chairman, adopted a trading plan that is intended to satisfy the conditions under Rule 10b5-1(c) of the Exchange Act. Mr. Schlanger’s trading plan is for the sale of up to 1,300,000 shares of the Company’s common stock in amounts and prices determined in accordance with a formula set forth in the plan. The plan terminates on the earlier of the date all shares under the plan are sold or October 31, 2027.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80" w:type="dxa"/>
            <w:vAlign w:val="bottom"/>
            <w:gridSpan w:val="5"/>
            <w:vMerge w:val="restart"/>
          </w:tcPr>
          <w:p>
            <w:pPr>
              <w:jc w:val="right"/>
              <w:ind w:righ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3"/>
                <w:szCs w:val="13"/>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95"/>
        </w:trPr>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14"/>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500" w:type="dxa"/>
            <w:vAlign w:val="bottom"/>
            <w:tcBorders>
              <w:top w:val="single" w:sz="8" w:color="0000FF"/>
            </w:tcBorders>
            <w:gridSpan w:val="5"/>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3"/>
          </w:tcPr>
          <w:p>
            <w:pPr>
              <w:spacing w:after="0"/>
              <w:rPr>
                <w:sz w:val="15"/>
                <w:szCs w:val="15"/>
                <w:color w:val="auto"/>
              </w:rPr>
            </w:pPr>
          </w:p>
        </w:tc>
        <w:tc>
          <w:tcPr>
            <w:tcW w:w="34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8"/>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8"/>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Furnished herewith.</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256"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5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5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4"/>
    </w:lvl>
  </w:abstractNum>
  <w:abstractNum w:abstractNumId="10">
    <w:nsid w:val="B03E0C6"/>
    <w:multiLevelType w:val="hybridMultilevel"/>
    <w:lvl w:ilvl="0">
      <w:lvlJc w:val="left"/>
      <w:lvlText w:val="%1."/>
      <w:numFmt w:val="decimal"/>
      <w:start w:val="5"/>
    </w:lvl>
  </w:abstractNum>
  <w:abstractNum w:abstractNumId="11">
    <w:nsid w:val="189A769B"/>
    <w:multiLevelType w:val="hybridMultilevel"/>
    <w:lvl w:ilvl="0">
      <w:lvlJc w:val="left"/>
      <w:lvlText w:val="%1."/>
      <w:numFmt w:val="decimal"/>
      <w:start w:val="6"/>
    </w:lvl>
  </w:abstractNum>
  <w:abstractNum w:abstractNumId="12">
    <w:nsid w:val="54E49EB4"/>
    <w:multiLevelType w:val="hybridMultilevel"/>
    <w:lvl w:ilvl="0">
      <w:lvlJc w:val="left"/>
      <w:lvlText w:val="%1."/>
      <w:numFmt w:val="decimal"/>
      <w:start w:val="7"/>
    </w:lvl>
  </w:abstractNum>
  <w:abstractNum w:abstractNumId="13">
    <w:nsid w:val="71F32454"/>
    <w:multiLevelType w:val="hybridMultilevel"/>
    <w:lvl w:ilvl="0">
      <w:lvlJc w:val="left"/>
      <w:lvlText w:val="%1."/>
      <w:numFmt w:val="decimal"/>
      <w:start w:val="8"/>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decimal"/>
      <w:start w:val="9"/>
    </w:lvl>
  </w:abstractNum>
  <w:abstractNum w:abstractNumId="17">
    <w:nsid w:val="3A95F874"/>
    <w:multiLevelType w:val="hybridMultilevel"/>
    <w:lvl w:ilvl="0">
      <w:lvlJc w:val="left"/>
      <w:lvlText w:val="%1."/>
      <w:numFmt w:val="decimal"/>
      <w:start w:val="10"/>
    </w:lvl>
  </w:abstractNum>
  <w:abstractNum w:abstractNumId="18">
    <w:nsid w:val="8138641"/>
    <w:multiLevelType w:val="hybridMultilevel"/>
    <w:lvl w:ilvl="0">
      <w:lvlJc w:val="left"/>
      <w:lvlText w:val="%1."/>
      <w:numFmt w:val="decimal"/>
      <w:start w:val="11"/>
    </w:lvl>
  </w:abstractNum>
  <w:abstractNum w:abstractNumId="19">
    <w:nsid w:val="1E7FF521"/>
    <w:multiLevelType w:val="hybridMultilevel"/>
    <w:lvl w:ilvl="0">
      <w:lvlJc w:val="left"/>
      <w:lvlText w:val="%1."/>
      <w:numFmt w:val="decimal"/>
      <w:start w:val="12"/>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2"/>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2026-11-05T07:59:59Z</dcterms:created>
  <dcterms:modified xsi:type="dcterms:W3CDTF">2026-11-05T07:59:59Z</dcterms:modified>
</cp:coreProperties>
</file>