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565785</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591820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UNITED STATES</w:t>
      </w:r>
    </w:p>
    <w:p>
      <w:pPr>
        <w:spacing w:after="0" w:line="4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0"/>
          <w:szCs w:val="30"/>
          <w:b w:val="1"/>
          <w:bCs w:val="1"/>
          <w:color w:val="auto"/>
        </w:rPr>
        <w:t>SECURITIES AND EXCHANGE COMMISSION</w:t>
      </w:r>
    </w:p>
    <w:p>
      <w:pPr>
        <w:spacing w:after="0" w:line="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FORM 10-Q</w:t>
      </w:r>
    </w:p>
    <w:p>
      <w:pPr>
        <w:spacing w:after="0" w:line="36"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102" w:lineRule="exact"/>
        <w:rPr>
          <w:sz w:val="24"/>
          <w:szCs w:val="24"/>
          <w:color w:val="auto"/>
        </w:rPr>
      </w:pPr>
    </w:p>
    <w:p>
      <w:pPr>
        <w:spacing w:after="0"/>
        <w:rPr>
          <w:sz w:val="20"/>
          <w:szCs w:val="20"/>
          <w:color w:val="auto"/>
        </w:rPr>
      </w:pPr>
      <w:r>
        <w:rPr>
          <w:rFonts w:ascii="Times New Roman" w:cs="Times New Roman" w:eastAsia="Times New Roman" w:hAnsi="Times New Roman"/>
          <w:sz w:val="13"/>
          <w:szCs w:val="13"/>
          <w:b w:val="1"/>
          <w:bCs w:val="1"/>
          <w:color w:val="auto"/>
        </w:rPr>
        <w:t>(Mark One)</w:t>
      </w:r>
    </w:p>
    <w:p>
      <w:pPr>
        <w:spacing w:after="0" w:line="44" w:lineRule="exact"/>
        <w:rPr>
          <w:sz w:val="24"/>
          <w:szCs w:val="24"/>
          <w:color w:val="auto"/>
        </w:rPr>
      </w:pPr>
    </w:p>
    <w:p>
      <w:pPr>
        <w:ind w:left="640" w:hanging="614"/>
        <w:spacing w:after="0"/>
        <w:tabs>
          <w:tab w:leader="none" w:pos="640" w:val="left"/>
        </w:tabs>
        <w:numPr>
          <w:ilvl w:val="0"/>
          <w:numId w:val="1"/>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QUARTERLY REPORT PURSUANT TO SECTION 13 OR 15(d) OF THE SECURITIES EXCHANGE ACT OF 1934</w:t>
      </w:r>
    </w:p>
    <w:p>
      <w:pPr>
        <w:spacing w:after="0" w:line="2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For the quarterly period ended March 31, 2026</w:t>
      </w:r>
    </w:p>
    <w:p>
      <w:pPr>
        <w:spacing w:after="0" w:line="7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or</w:t>
      </w:r>
    </w:p>
    <w:p>
      <w:pPr>
        <w:spacing w:after="0" w:line="154" w:lineRule="exact"/>
        <w:rPr>
          <w:sz w:val="24"/>
          <w:szCs w:val="24"/>
          <w:color w:val="auto"/>
        </w:rPr>
      </w:pPr>
    </w:p>
    <w:p>
      <w:pPr>
        <w:ind w:left="640" w:hanging="614"/>
        <w:spacing w:after="0"/>
        <w:tabs>
          <w:tab w:leader="none" w:pos="640" w:val="left"/>
        </w:tabs>
        <w:numPr>
          <w:ilvl w:val="0"/>
          <w:numId w:val="2"/>
        </w:numPr>
        <w:rPr>
          <w:rFonts w:ascii="Wingdings" w:cs="Wingdings" w:eastAsia="Wingdings" w:hAnsi="Wingdings"/>
          <w:sz w:val="16"/>
          <w:szCs w:val="16"/>
          <w:b w:val="1"/>
          <w:bCs w:val="1"/>
          <w:color w:val="auto"/>
          <w:highlight w:val="black"/>
        </w:rPr>
      </w:pPr>
      <w:r>
        <w:rPr>
          <w:rFonts w:ascii="Times New Roman" w:cs="Times New Roman" w:eastAsia="Times New Roman" w:hAnsi="Times New Roman"/>
          <w:sz w:val="16"/>
          <w:szCs w:val="16"/>
          <w:b w:val="1"/>
          <w:bCs w:val="1"/>
          <w:color w:val="auto"/>
        </w:rPr>
        <w:t>TRANSITION REPORT PURSUANT TO SECTION 13 OR 15(d) OF THE SECURITIES EXCHANGE ACT OF 1934</w:t>
      </w:r>
    </w:p>
    <w:p>
      <w:pPr>
        <w:spacing w:after="0" w:line="248" w:lineRule="exact"/>
        <w:rPr>
          <w:sz w:val="24"/>
          <w:szCs w:val="24"/>
          <w:color w:val="auto"/>
        </w:rPr>
      </w:pPr>
    </w:p>
    <w:p>
      <w:pPr>
        <w:ind w:left="2900"/>
        <w:spacing w:after="0"/>
        <w:rPr>
          <w:sz w:val="20"/>
          <w:szCs w:val="20"/>
          <w:color w:val="auto"/>
        </w:rPr>
      </w:pPr>
      <w:r>
        <w:rPr>
          <w:rFonts w:ascii="Times New Roman" w:cs="Times New Roman" w:eastAsia="Times New Roman" w:hAnsi="Times New Roman"/>
          <w:sz w:val="16"/>
          <w:szCs w:val="16"/>
          <w:b w:val="1"/>
          <w:bCs w:val="1"/>
          <w:color w:val="auto"/>
        </w:rPr>
        <w:t>For the transition period from ___________________ to ___________________</w:t>
      </w:r>
    </w:p>
    <w:p>
      <w:pPr>
        <w:spacing w:after="0" w:line="1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001-39100</w:t>
      </w:r>
    </w:p>
    <w:p>
      <w:pPr>
        <w:spacing w:after="0" w:line="28"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1"/>
          <w:szCs w:val="41"/>
          <w:b w:val="1"/>
          <w:bCs w:val="1"/>
          <w:color w:val="auto"/>
        </w:rPr>
        <w:t>Progyny, Inc.</w:t>
      </w:r>
    </w:p>
    <w:p>
      <w:pPr>
        <w:sectPr>
          <w:pgSz w:w="11900" w:h="16838" w:orient="portrait"/>
          <w:cols w:equalWidth="0" w:num="1">
            <w:col w:w="11260"/>
          </w:cols>
          <w:pgMar w:left="320" w:top="256" w:right="319" w:bottom="1440" w:gutter="0" w:footer="0" w:header="0"/>
        </w:sectPr>
      </w:pPr>
    </w:p>
    <w:p>
      <w:pPr>
        <w:spacing w:after="0" w:line="77" w:lineRule="exact"/>
        <w:rPr>
          <w:sz w:val="24"/>
          <w:szCs w:val="24"/>
          <w:color w:val="auto"/>
        </w:rPr>
      </w:pPr>
    </w:p>
    <w:p>
      <w:pPr>
        <w:jc w:val="center"/>
        <w:ind w:left="3440"/>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ind w:left="3440"/>
        <w:spacing w:after="0"/>
        <w:rPr>
          <w:sz w:val="20"/>
          <w:szCs w:val="20"/>
          <w:color w:val="auto"/>
        </w:rPr>
      </w:pPr>
      <w:r>
        <w:rPr>
          <w:rFonts w:ascii="Times New Roman" w:cs="Times New Roman" w:eastAsia="Times New Roman" w:hAnsi="Times New Roman"/>
          <w:sz w:val="19"/>
          <w:szCs w:val="19"/>
          <w:color w:val="auto"/>
        </w:rPr>
        <w:t>____________________________________________</w:t>
      </w:r>
    </w:p>
    <w:p>
      <w:pPr>
        <w:spacing w:after="0" w:line="15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73"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11"/>
          <w:szCs w:val="11"/>
          <w:b w:val="1"/>
          <w:bCs w:val="1"/>
          <w:color w:val="auto"/>
        </w:rPr>
        <w:t>(State or other jurisdiction of</w:t>
      </w:r>
    </w:p>
    <w:p>
      <w:pPr>
        <w:spacing w:after="0" w:line="9" w:lineRule="exact"/>
        <w:rPr>
          <w:sz w:val="24"/>
          <w:szCs w:val="24"/>
          <w:color w:val="auto"/>
        </w:rPr>
      </w:pPr>
    </w:p>
    <w:p>
      <w:pPr>
        <w:ind w:left="2120"/>
        <w:spacing w:after="0"/>
        <w:rPr>
          <w:sz w:val="20"/>
          <w:szCs w:val="20"/>
          <w:color w:val="auto"/>
        </w:rPr>
      </w:pPr>
      <w:r>
        <w:rPr>
          <w:rFonts w:ascii="Times New Roman" w:cs="Times New Roman" w:eastAsia="Times New Roman" w:hAnsi="Times New Roman"/>
          <w:sz w:val="11"/>
          <w:szCs w:val="11"/>
          <w:b w:val="1"/>
          <w:bCs w:val="1"/>
          <w:color w:val="auto"/>
        </w:rPr>
        <w:t>incorporation or organization)</w:t>
      </w:r>
    </w:p>
    <w:p>
      <w:pPr>
        <w:spacing w:after="0" w:line="35"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1359 Broadway</w:t>
      </w:r>
    </w:p>
    <w:p>
      <w:pPr>
        <w:spacing w:after="0" w:line="28" w:lineRule="exact"/>
        <w:rPr>
          <w:sz w:val="24"/>
          <w:szCs w:val="24"/>
          <w:color w:val="auto"/>
        </w:rPr>
      </w:pPr>
    </w:p>
    <w:p>
      <w:pPr>
        <w:jc w:val="center"/>
        <w:ind w:right="2180"/>
        <w:spacing w:after="0"/>
        <w:rPr>
          <w:sz w:val="20"/>
          <w:szCs w:val="20"/>
          <w:color w:val="auto"/>
        </w:rPr>
      </w:pPr>
      <w:r>
        <w:rPr>
          <w:rFonts w:ascii="Times New Roman" w:cs="Times New Roman" w:eastAsia="Times New Roman" w:hAnsi="Times New Roman"/>
          <w:sz w:val="16"/>
          <w:szCs w:val="16"/>
          <w:b w:val="1"/>
          <w:bCs w:val="1"/>
          <w:color w:val="auto"/>
        </w:rPr>
        <w:t xml:space="preserve">New York, </w:t>
      </w:r>
      <w:r>
        <w:rPr>
          <w:rFonts w:ascii="Times New Roman" w:cs="Times New Roman" w:eastAsia="Times New Roman" w:hAnsi="Times New Roman"/>
          <w:sz w:val="17"/>
          <w:szCs w:val="17"/>
          <w:b w:val="1"/>
          <w:bCs w:val="1"/>
          <w:color w:val="auto"/>
        </w:rPr>
        <w:t>New York</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6"/>
          <w:szCs w:val="16"/>
          <w:b w:val="1"/>
          <w:bCs w:val="1"/>
          <w:color w:val="auto"/>
        </w:rPr>
        <w:t>27-2220139</w:t>
      </w:r>
    </w:p>
    <w:p>
      <w:pPr>
        <w:spacing w:after="0" w:line="86"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1"/>
          <w:szCs w:val="11"/>
          <w:b w:val="1"/>
          <w:bCs w:val="1"/>
          <w:color w:val="auto"/>
        </w:rPr>
        <w:t>(I.R.S. Employer</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0"/>
          <w:szCs w:val="10"/>
          <w:b w:val="1"/>
          <w:bCs w:val="1"/>
          <w:color w:val="auto"/>
        </w:rPr>
        <w:t>Identification No.)</w:t>
      </w:r>
    </w:p>
    <w:p>
      <w:pPr>
        <w:spacing w:after="0" w:line="276"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6"/>
          <w:szCs w:val="16"/>
          <w:b w:val="1"/>
          <w:bCs w:val="1"/>
          <w:color w:val="auto"/>
        </w:rPr>
        <w:t>10018</w:t>
      </w:r>
    </w:p>
    <w:p>
      <w:pPr>
        <w:spacing w:after="0" w:line="73" w:lineRule="exact"/>
        <w:rPr>
          <w:sz w:val="24"/>
          <w:szCs w:val="24"/>
          <w:color w:val="auto"/>
        </w:rPr>
      </w:pPr>
    </w:p>
    <w:p>
      <w:pPr>
        <w:sectPr>
          <w:pgSz w:w="11900" w:h="16838" w:orient="portrait"/>
          <w:cols w:equalWidth="0" w:num="2">
            <w:col w:w="7800" w:space="200"/>
            <w:col w:w="3260"/>
          </w:cols>
          <w:pgMar w:left="320" w:top="256" w:right="319" w:bottom="1440" w:gutter="0" w:footer="0" w:header="0"/>
          <w:type w:val="continuous"/>
        </w:sectPr>
      </w:pPr>
    </w:p>
    <w:p>
      <w:pPr>
        <w:ind w:left="1920"/>
        <w:spacing w:after="0"/>
        <w:tabs>
          <w:tab w:leader="none" w:pos="8160" w:val="left"/>
        </w:tabs>
        <w:rPr>
          <w:sz w:val="20"/>
          <w:szCs w:val="20"/>
          <w:color w:val="auto"/>
        </w:rPr>
      </w:pPr>
      <w:r>
        <w:rPr>
          <w:rFonts w:ascii="Times New Roman" w:cs="Times New Roman" w:eastAsia="Times New Roman" w:hAnsi="Times New Roman"/>
          <w:sz w:val="11"/>
          <w:szCs w:val="11"/>
          <w:b w:val="1"/>
          <w:bCs w:val="1"/>
          <w:color w:val="auto"/>
        </w:rPr>
        <w:t>(Address of principal executive offices)</w:t>
      </w:r>
      <w:r>
        <w:rPr>
          <w:sz w:val="20"/>
          <w:szCs w:val="20"/>
          <w:color w:val="auto"/>
        </w:rPr>
        <w:tab/>
      </w:r>
      <w:r>
        <w:rPr>
          <w:rFonts w:ascii="Times New Roman" w:cs="Times New Roman" w:eastAsia="Times New Roman" w:hAnsi="Times New Roman"/>
          <w:sz w:val="10"/>
          <w:szCs w:val="10"/>
          <w:b w:val="1"/>
          <w:bCs w:val="1"/>
          <w:color w:val="auto"/>
        </w:rPr>
        <w:t>(Zip Code)</w:t>
      </w:r>
    </w:p>
    <w:p>
      <w:pPr>
        <w:spacing w:after="0" w:line="224"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(212) 888-3124</w:t>
      </w:r>
    </w:p>
    <w:p>
      <w:pPr>
        <w:spacing w:after="0" w:line="14" w:lineRule="exact"/>
        <w:rPr>
          <w:sz w:val="24"/>
          <w:szCs w:val="24"/>
          <w:color w:val="auto"/>
        </w:rPr>
      </w:pPr>
    </w:p>
    <w:p>
      <w:pPr>
        <w:ind w:left="4000"/>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05" w:lineRule="exact"/>
        <w:rPr>
          <w:sz w:val="24"/>
          <w:szCs w:val="24"/>
          <w:color w:val="auto"/>
        </w:rPr>
      </w:pPr>
    </w:p>
    <w:p>
      <w:pPr>
        <w:ind w:left="5500"/>
        <w:spacing w:after="0"/>
        <w:rPr>
          <w:sz w:val="20"/>
          <w:szCs w:val="20"/>
          <w:color w:val="auto"/>
        </w:rPr>
      </w:pPr>
      <w:r>
        <w:rPr>
          <w:rFonts w:ascii="Times New Roman" w:cs="Times New Roman" w:eastAsia="Times New Roman" w:hAnsi="Times New Roman"/>
          <w:sz w:val="14"/>
          <w:szCs w:val="14"/>
          <w:b w:val="1"/>
          <w:bCs w:val="1"/>
          <w:color w:val="auto"/>
        </w:rPr>
        <w:t>N/A</w:t>
      </w:r>
    </w:p>
    <w:p>
      <w:pPr>
        <w:spacing w:after="0" w:line="2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10" w:lineRule="exact"/>
        <w:rPr>
          <w:sz w:val="24"/>
          <w:szCs w:val="24"/>
          <w:color w:val="auto"/>
        </w:rPr>
      </w:pPr>
    </w:p>
    <w:p>
      <w:pPr>
        <w:ind w:left="3440"/>
        <w:spacing w:after="0"/>
        <w:rPr>
          <w:sz w:val="20"/>
          <w:szCs w:val="20"/>
          <w:color w:val="auto"/>
        </w:rPr>
      </w:pPr>
      <w:r>
        <w:rPr>
          <w:rFonts w:ascii="Times New Roman" w:cs="Times New Roman" w:eastAsia="Times New Roman" w:hAnsi="Times New Roman"/>
          <w:sz w:val="20"/>
          <w:szCs w:val="20"/>
          <w:color w:val="auto"/>
        </w:rPr>
        <w:t>____________________________________________</w:t>
      </w: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140575" cy="4114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0575" cy="411480"/>
                    </a:xfrm>
                    <a:prstGeom prst="rect">
                      <a:avLst/>
                    </a:prstGeom>
                    <a:noFill/>
                  </pic:spPr>
                </pic:pic>
              </a:graphicData>
            </a:graphic>
          </wp:anchor>
        </w:drawing>
      </w:r>
    </w:p>
    <w:p>
      <w:pPr>
        <w:spacing w:after="0" w:line="116"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38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414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
        </w:trPr>
        <w:tc>
          <w:tcPr>
            <w:tcW w:w="374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4140" w:type="dxa"/>
            <w:vAlign w:val="bottom"/>
            <w:tcBorders>
              <w:bottom w:val="single" w:sz="8" w:color="auto"/>
            </w:tcBorders>
          </w:tcPr>
          <w:p>
            <w:pPr>
              <w:spacing w:after="0"/>
              <w:rPr>
                <w:sz w:val="2"/>
                <w:szCs w:val="2"/>
                <w:color w:val="auto"/>
              </w:rPr>
            </w:pPr>
          </w:p>
        </w:tc>
      </w:tr>
      <w:tr>
        <w:trPr>
          <w:trHeight w:val="176"/>
        </w:trPr>
        <w:tc>
          <w:tcPr>
            <w:tcW w:w="37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Common Stock,</w:t>
            </w:r>
          </w:p>
        </w:tc>
        <w:tc>
          <w:tcPr>
            <w:tcW w:w="3380" w:type="dxa"/>
            <w:vAlign w:val="bottom"/>
          </w:tcPr>
          <w:p>
            <w:pPr>
              <w:jc w:val="center"/>
              <w:ind w:left="308"/>
              <w:spacing w:after="0"/>
              <w:rPr>
                <w:sz w:val="20"/>
                <w:szCs w:val="20"/>
                <w:color w:val="auto"/>
              </w:rPr>
            </w:pPr>
            <w:r>
              <w:rPr>
                <w:rFonts w:ascii="Times New Roman" w:cs="Times New Roman" w:eastAsia="Times New Roman" w:hAnsi="Times New Roman"/>
                <w:sz w:val="14"/>
                <w:szCs w:val="14"/>
                <w:color w:val="auto"/>
              </w:rPr>
              <w:t>PGNY</w:t>
            </w:r>
          </w:p>
        </w:tc>
        <w:tc>
          <w:tcPr>
            <w:tcW w:w="4140" w:type="dxa"/>
            <w:vAlign w:val="bottom"/>
          </w:tcPr>
          <w:p>
            <w:pPr>
              <w:jc w:val="center"/>
              <w:ind w:left="288"/>
              <w:spacing w:after="0"/>
              <w:rPr>
                <w:sz w:val="20"/>
                <w:szCs w:val="20"/>
                <w:color w:val="auto"/>
              </w:rPr>
            </w:pPr>
            <w:r>
              <w:rPr>
                <w:rFonts w:ascii="Times New Roman" w:cs="Times New Roman" w:eastAsia="Times New Roman" w:hAnsi="Times New Roman"/>
                <w:sz w:val="14"/>
                <w:szCs w:val="14"/>
                <w:color w:val="auto"/>
              </w:rPr>
              <w:t>The Nasdaq Global Select Market</w:t>
            </w:r>
          </w:p>
        </w:tc>
      </w:tr>
    </w:tbl>
    <w:p>
      <w:pPr>
        <w:ind w:left="1080"/>
        <w:spacing w:after="0"/>
        <w:rPr>
          <w:sz w:val="20"/>
          <w:szCs w:val="20"/>
          <w:color w:val="auto"/>
        </w:rPr>
      </w:pPr>
      <w:r>
        <w:rPr>
          <w:rFonts w:ascii="Times New Roman" w:cs="Times New Roman" w:eastAsia="Times New Roman" w:hAnsi="Times New Roman"/>
          <w:sz w:val="14"/>
          <w:szCs w:val="14"/>
          <w:color w:val="auto"/>
        </w:rPr>
        <w:t>$0.0001 par value per share</w:t>
      </w:r>
    </w:p>
    <w:p>
      <w:pPr>
        <w:spacing w:after="0" w:line="228" w:lineRule="exact"/>
        <w:rPr>
          <w:sz w:val="24"/>
          <w:szCs w:val="24"/>
          <w:color w:val="auto"/>
        </w:rPr>
      </w:pPr>
    </w:p>
    <w:p>
      <w:pPr>
        <w:jc w:val="both"/>
        <w:ind w:right="20"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41" w:lineRule="exact"/>
        <w:rPr>
          <w:sz w:val="24"/>
          <w:szCs w:val="24"/>
          <w:color w:val="auto"/>
        </w:rPr>
      </w:pPr>
    </w:p>
    <w:p>
      <w:pPr>
        <w:jc w:val="both"/>
        <w:ind w:right="20" w:firstLine="648"/>
        <w:spacing w:after="0" w:line="322"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o</w:t>
      </w:r>
    </w:p>
    <w:p>
      <w:pPr>
        <w:spacing w:after="0" w:line="27" w:lineRule="exact"/>
        <w:rPr>
          <w:sz w:val="24"/>
          <w:szCs w:val="24"/>
          <w:color w:val="auto"/>
        </w:rPr>
      </w:pPr>
    </w:p>
    <w:p>
      <w:pPr>
        <w:jc w:val="both"/>
        <w:ind w:right="20" w:firstLine="648"/>
        <w:spacing w:after="0" w:line="302"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08" w:lineRule="exact"/>
        <w:rPr>
          <w:sz w:val="24"/>
          <w:szCs w:val="24"/>
          <w:color w:val="auto"/>
        </w:rPr>
      </w:pPr>
    </w:p>
    <w:tbl>
      <w:tblPr>
        <w:tblLayout w:type="fixed"/>
        <w:tblInd w:w="1660" w:type="dxa"/>
        <w:tblCellMar>
          <w:top w:w="0" w:type="dxa"/>
          <w:left w:w="0" w:type="dxa"/>
          <w:bottom w:w="0" w:type="dxa"/>
          <w:right w:w="0" w:type="dxa"/>
        </w:tblCellMar>
      </w:tblPr>
      <w:tr>
        <w:trPr>
          <w:trHeight w:val="201"/>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500" w:type="dxa"/>
            <w:vAlign w:val="bottom"/>
          </w:tcPr>
          <w:p>
            <w:pPr>
              <w:ind w:left="760"/>
              <w:spacing w:after="0"/>
              <w:rPr>
                <w:sz w:val="20"/>
                <w:szCs w:val="20"/>
                <w:color w:val="auto"/>
              </w:rPr>
            </w:pPr>
            <w:r>
              <w:rPr>
                <w:rFonts w:ascii="Wingdings" w:cs="Wingdings" w:eastAsia="Wingdings" w:hAnsi="Wingdings"/>
                <w:sz w:val="14"/>
                <w:szCs w:val="14"/>
                <w:b w:val="1"/>
                <w:bCs w:val="1"/>
                <w:color w:val="auto"/>
              </w:rPr>
              <w:t>x</w:t>
            </w: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Accelerated filer</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r>
        <w:trPr>
          <w:trHeight w:val="216"/>
        </w:trPr>
        <w:tc>
          <w:tcPr>
            <w:tcW w:w="206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500" w:type="dxa"/>
            <w:vAlign w:val="bottom"/>
          </w:tcPr>
          <w:p>
            <w:pPr>
              <w:ind w:left="760"/>
              <w:spacing w:after="0"/>
              <w:rPr>
                <w:sz w:val="20"/>
                <w:szCs w:val="20"/>
                <w:color w:val="auto"/>
              </w:rPr>
            </w:pPr>
            <w:r>
              <w:rPr>
                <w:rFonts w:ascii="Wingdings" w:cs="Wingdings" w:eastAsia="Wingdings" w:hAnsi="Wingdings"/>
                <w:sz w:val="14"/>
                <w:szCs w:val="14"/>
                <w:b w:val="1"/>
                <w:bCs w:val="1"/>
                <w:color w:val="auto"/>
              </w:rPr>
              <w:t>o</w:t>
            </w: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r>
        <w:trPr>
          <w:trHeight w:val="216"/>
        </w:trPr>
        <w:tc>
          <w:tcPr>
            <w:tcW w:w="20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92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Emerging growth company</w:t>
            </w:r>
          </w:p>
        </w:tc>
        <w:tc>
          <w:tcPr>
            <w:tcW w:w="880" w:type="dxa"/>
            <w:vAlign w:val="bottom"/>
          </w:tcPr>
          <w:p>
            <w:pPr>
              <w:ind w:left="74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203" w:lineRule="exact"/>
        <w:rPr>
          <w:sz w:val="24"/>
          <w:szCs w:val="24"/>
          <w:color w:val="auto"/>
        </w:rPr>
      </w:pPr>
    </w:p>
    <w:p>
      <w:pPr>
        <w:ind w:right="20" w:firstLine="648"/>
        <w:spacing w:after="0" w:line="302" w:lineRule="auto"/>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4"/>
          <w:szCs w:val="14"/>
          <w:b w:val="1"/>
          <w:bCs w:val="1"/>
          <w:color w:val="auto"/>
        </w:rPr>
        <w:t>o</w:t>
      </w:r>
    </w:p>
    <w:p>
      <w:pPr>
        <w:spacing w:after="0" w:line="67" w:lineRule="exact"/>
        <w:rPr>
          <w:sz w:val="24"/>
          <w:szCs w:val="24"/>
          <w:color w:val="auto"/>
        </w:rPr>
      </w:pPr>
    </w:p>
    <w:p>
      <w:pPr>
        <w:ind w:left="660" w:right="3260"/>
        <w:spacing w:after="0" w:line="463" w:lineRule="auto"/>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Exchange Act). Yes </w:t>
      </w:r>
      <w:r>
        <w:rPr>
          <w:rFonts w:ascii="Wingdings" w:cs="Wingdings" w:eastAsia="Wingdings" w:hAnsi="Wingdings"/>
          <w:sz w:val="14"/>
          <w:szCs w:val="14"/>
          <w:b w:val="1"/>
          <w:bCs w:val="1"/>
          <w:color w:val="auto"/>
        </w:rPr>
        <w:t>o</w:t>
      </w:r>
      <w:r>
        <w:rPr>
          <w:rFonts w:ascii="Times New Roman" w:cs="Times New Roman" w:eastAsia="Times New Roman" w:hAnsi="Times New Roman"/>
          <w:sz w:val="14"/>
          <w:szCs w:val="14"/>
          <w:color w:val="auto"/>
        </w:rPr>
        <w:t xml:space="preserve"> No </w:t>
      </w:r>
      <w:r>
        <w:rPr>
          <w:rFonts w:ascii="Wingdings" w:cs="Wingdings" w:eastAsia="Wingdings" w:hAnsi="Wingdings"/>
          <w:sz w:val="14"/>
          <w:szCs w:val="14"/>
          <w:b w:val="1"/>
          <w:bCs w:val="1"/>
          <w:color w:val="auto"/>
        </w:rPr>
        <w:t>x</w:t>
      </w:r>
      <w:r>
        <w:rPr>
          <w:rFonts w:ascii="Times New Roman" w:cs="Times New Roman" w:eastAsia="Times New Roman" w:hAnsi="Times New Roman"/>
          <w:sz w:val="14"/>
          <w:szCs w:val="14"/>
          <w:color w:val="auto"/>
        </w:rPr>
        <w:t xml:space="preserve"> As of April 30, 2026, the registrant had 78,332,370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670560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60"/>
          </w:cols>
          <w:pgMar w:left="320" w:top="256" w:right="3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40" w:type="dxa"/>
            <w:vAlign w:val="bottom"/>
            <w:gridSpan w:val="5"/>
          </w:tcPr>
          <w:p>
            <w:pPr>
              <w:ind w:left="2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5"/>
              </w:rPr>
              <w:t>PART I.</w:t>
            </w:r>
          </w:p>
        </w:tc>
        <w:tc>
          <w:tcPr>
            <w:tcW w:w="600" w:type="dxa"/>
            <w:vAlign w:val="bottom"/>
            <w:gridSpan w:val="2"/>
            <w:vMerge w:val="restart"/>
          </w:tcPr>
          <w:p>
            <w:pPr>
              <w:spacing w:after="0"/>
              <w:rPr>
                <w:sz w:val="2"/>
                <w:szCs w:val="2"/>
                <w:color w:val="auto"/>
              </w:rPr>
            </w:pPr>
          </w:p>
        </w:tc>
        <w:tc>
          <w:tcPr>
            <w:tcW w:w="2400" w:type="dxa"/>
            <w:vAlign w:val="bottom"/>
            <w:gridSpan w:val="9"/>
            <w:vMerge w:val="restart"/>
          </w:tcPr>
          <w:p>
            <w:pPr>
              <w:spacing w:after="0"/>
              <w:rPr>
                <w:sz w:val="20"/>
                <w:szCs w:val="20"/>
                <w:color w:val="auto"/>
              </w:rPr>
            </w:pPr>
            <w:r>
              <w:rPr>
                <w:rFonts w:ascii="Times New Roman" w:cs="Times New Roman" w:eastAsia="Times New Roman" w:hAnsi="Times New Roman"/>
                <w:sz w:val="18"/>
                <w:szCs w:val="18"/>
                <w:b w:val="1"/>
                <w:bCs w:val="1"/>
                <w:color w:val="0000FF"/>
                <w:w w:val="98"/>
              </w:rPr>
              <w:t>FINANCIAL INFORMATION</w:t>
            </w:r>
          </w:p>
        </w:tc>
        <w:tc>
          <w:tcPr>
            <w:tcW w:w="6640" w:type="dxa"/>
            <w:vAlign w:val="bottom"/>
            <w:gridSpan w:val="11"/>
            <w:vMerge w:val="restart"/>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5"/>
                <w:szCs w:val="15"/>
                <w:color w:val="auto"/>
              </w:rPr>
            </w:pPr>
          </w:p>
        </w:tc>
        <w:tc>
          <w:tcPr>
            <w:tcW w:w="640" w:type="dxa"/>
            <w:vAlign w:val="bottom"/>
            <w:tcBorders>
              <w:bottom w:val="single" w:sz="8" w:color="0000FF"/>
            </w:tcBorders>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2400" w:type="dxa"/>
            <w:vAlign w:val="bottom"/>
            <w:tcBorders>
              <w:bottom w:val="single" w:sz="8" w:color="0000FF"/>
            </w:tcBorders>
            <w:gridSpan w:val="9"/>
            <w:vMerge w:val="continue"/>
          </w:tcPr>
          <w:p>
            <w:pPr>
              <w:spacing w:after="0"/>
              <w:rPr>
                <w:sz w:val="15"/>
                <w:szCs w:val="15"/>
                <w:color w:val="auto"/>
              </w:rPr>
            </w:pPr>
          </w:p>
        </w:tc>
        <w:tc>
          <w:tcPr>
            <w:tcW w:w="6640" w:type="dxa"/>
            <w:vAlign w:val="bottom"/>
            <w:gridSpan w:val="11"/>
            <w:vMerge w:val="continue"/>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1.</w:t>
            </w:r>
          </w:p>
        </w:tc>
        <w:tc>
          <w:tcPr>
            <w:tcW w:w="720" w:type="dxa"/>
            <w:vAlign w:val="bottom"/>
            <w:gridSpan w:val="4"/>
          </w:tcPr>
          <w:p>
            <w:pPr>
              <w:spacing w:after="0"/>
              <w:rPr>
                <w:sz w:val="24"/>
                <w:szCs w:val="24"/>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Financial Statements (Unaudited)</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8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Consolidated Balance Sheets as of March 31, 2026 and December 31, 2025</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80" w:type="dxa"/>
            <w:vAlign w:val="bottom"/>
            <w:gridSpan w:val="19"/>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Operations for the Three Months Ended March 31, 2026 and 2025</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740" w:type="dxa"/>
            <w:vAlign w:val="bottom"/>
            <w:gridSpan w:val="17"/>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Comprehensive Income for the Three Months Ended March 31, 2026 and 2025</w:t>
            </w:r>
          </w:p>
        </w:tc>
        <w:tc>
          <w:tcPr>
            <w:tcW w:w="1140" w:type="dxa"/>
            <w:vAlign w:val="bottom"/>
            <w:gridSpan w:val="2"/>
          </w:tcPr>
          <w:p>
            <w:pPr>
              <w:spacing w:after="0"/>
              <w:rPr>
                <w:sz w:val="20"/>
                <w:szCs w:val="20"/>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w w:val="99"/>
              </w:rPr>
              <w:t>Consolidated Statements of Changes in Stockholders’ Equity for the Three Months Ended March 31, 2026 and 2025</w:t>
            </w:r>
          </w:p>
        </w:tc>
        <w:tc>
          <w:tcPr>
            <w:tcW w:w="480" w:type="dxa"/>
            <w:vAlign w:val="bottom"/>
          </w:tcPr>
          <w:p>
            <w:pPr>
              <w:spacing w:after="0"/>
              <w:rPr>
                <w:sz w:val="20"/>
                <w:szCs w:val="20"/>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20" w:type="dxa"/>
            <w:vAlign w:val="bottom"/>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0" w:type="dxa"/>
            <w:vAlign w:val="bottom"/>
            <w:gridSpan w:val="18"/>
          </w:tcPr>
          <w:p>
            <w:pPr>
              <w:ind w:left="20"/>
              <w:spacing w:after="0"/>
              <w:rPr>
                <w:sz w:val="20"/>
                <w:szCs w:val="20"/>
                <w:color w:val="auto"/>
              </w:rPr>
            </w:pPr>
            <w:r>
              <w:rPr>
                <w:rFonts w:ascii="Times New Roman" w:cs="Times New Roman" w:eastAsia="Times New Roman" w:hAnsi="Times New Roman"/>
                <w:sz w:val="18"/>
                <w:szCs w:val="18"/>
                <w:color w:val="0000FF"/>
              </w:rPr>
              <w:t>Consolidated Statements of Cash Flows for the Three Months Ended March 31, 2026 and 2025</w:t>
            </w:r>
          </w:p>
        </w:tc>
        <w:tc>
          <w:tcPr>
            <w:tcW w:w="480" w:type="dxa"/>
            <w:vAlign w:val="bottom"/>
          </w:tcPr>
          <w:p>
            <w:pPr>
              <w:spacing w:after="0"/>
              <w:rPr>
                <w:sz w:val="20"/>
                <w:szCs w:val="20"/>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10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160" w:type="dxa"/>
            <w:vAlign w:val="bottom"/>
            <w:gridSpan w:val="10"/>
          </w:tcPr>
          <w:p>
            <w:pPr>
              <w:ind w:left="20"/>
              <w:spacing w:after="0"/>
              <w:rPr>
                <w:sz w:val="20"/>
                <w:szCs w:val="20"/>
                <w:color w:val="auto"/>
              </w:rPr>
            </w:pPr>
            <w:r>
              <w:rPr>
                <w:rFonts w:ascii="Times New Roman" w:cs="Times New Roman" w:eastAsia="Times New Roman" w:hAnsi="Times New Roman"/>
                <w:sz w:val="18"/>
                <w:szCs w:val="18"/>
                <w:color w:val="0000FF"/>
                <w:w w:val="99"/>
              </w:rPr>
              <w:t>Notes to Consolidated Financial Statements</w:t>
            </w:r>
          </w:p>
        </w:tc>
        <w:tc>
          <w:tcPr>
            <w:tcW w:w="3700" w:type="dxa"/>
            <w:vAlign w:val="bottom"/>
            <w:gridSpan w:val="6"/>
          </w:tcPr>
          <w:p>
            <w:pPr>
              <w:spacing w:after="0"/>
              <w:rPr>
                <w:sz w:val="20"/>
                <w:szCs w:val="20"/>
                <w:color w:val="auto"/>
              </w:rPr>
            </w:pPr>
          </w:p>
        </w:tc>
        <w:tc>
          <w:tcPr>
            <w:tcW w:w="2020" w:type="dxa"/>
            <w:vAlign w:val="bottom"/>
            <w:gridSpan w:val="3"/>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11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980" w:type="dxa"/>
            <w:vAlign w:val="bottom"/>
            <w:gridSpan w:val="3"/>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2.</w:t>
            </w:r>
          </w:p>
        </w:tc>
        <w:tc>
          <w:tcPr>
            <w:tcW w:w="700" w:type="dxa"/>
            <w:vAlign w:val="bottom"/>
            <w:gridSpan w:val="3"/>
          </w:tcPr>
          <w:p>
            <w:pPr>
              <w:spacing w:after="0"/>
              <w:rPr>
                <w:sz w:val="20"/>
                <w:szCs w:val="20"/>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24</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2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80" w:type="dxa"/>
            <w:vAlign w:val="bottom"/>
            <w:gridSpan w:val="2"/>
            <w:shd w:val="clear" w:color="auto" w:fill="0000FF"/>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100" w:type="dxa"/>
            <w:vAlign w:val="bottom"/>
            <w:tcBorders>
              <w:bottom w:val="single" w:sz="8" w:color="0000FF"/>
            </w:tcBorders>
          </w:tcPr>
          <w:p>
            <w:pPr>
              <w:spacing w:after="0"/>
              <w:rPr>
                <w:sz w:val="20"/>
                <w:szCs w:val="20"/>
                <w:color w:val="auto"/>
              </w:rPr>
            </w:pPr>
          </w:p>
        </w:tc>
        <w:tc>
          <w:tcPr>
            <w:tcW w:w="600" w:type="dxa"/>
            <w:vAlign w:val="bottom"/>
            <w:gridSpan w:val="2"/>
          </w:tcPr>
          <w:p>
            <w:pPr>
              <w:spacing w:after="0"/>
              <w:rPr>
                <w:sz w:val="20"/>
                <w:szCs w:val="20"/>
                <w:color w:val="auto"/>
              </w:rPr>
            </w:pPr>
          </w:p>
        </w:tc>
        <w:tc>
          <w:tcPr>
            <w:tcW w:w="4380" w:type="dxa"/>
            <w:vAlign w:val="bottom"/>
            <w:tcBorders>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Quantitative and Qualitative Disclosures About Market Risk</w:t>
            </w:r>
          </w:p>
        </w:tc>
        <w:tc>
          <w:tcPr>
            <w:tcW w:w="2080" w:type="dxa"/>
            <w:vAlign w:val="bottom"/>
            <w:gridSpan w:val="2"/>
          </w:tcPr>
          <w:p>
            <w:pPr>
              <w:spacing w:after="0"/>
              <w:rPr>
                <w:sz w:val="20"/>
                <w:szCs w:val="20"/>
                <w:color w:val="auto"/>
              </w:rPr>
            </w:pPr>
          </w:p>
        </w:tc>
        <w:tc>
          <w:tcPr>
            <w:tcW w:w="2580" w:type="dxa"/>
            <w:vAlign w:val="bottom"/>
            <w:gridSpan w:val="5"/>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38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4.</w:t>
            </w:r>
          </w:p>
        </w:tc>
        <w:tc>
          <w:tcPr>
            <w:tcW w:w="720" w:type="dxa"/>
            <w:vAlign w:val="bottom"/>
            <w:gridSpan w:val="4"/>
          </w:tcPr>
          <w:p>
            <w:pPr>
              <w:spacing w:after="0"/>
              <w:rPr>
                <w:sz w:val="20"/>
                <w:szCs w:val="20"/>
                <w:color w:val="auto"/>
              </w:rPr>
            </w:pPr>
          </w:p>
        </w:tc>
        <w:tc>
          <w:tcPr>
            <w:tcW w:w="1780" w:type="dxa"/>
            <w:vAlign w:val="bottom"/>
            <w:gridSpan w:val="6"/>
          </w:tcPr>
          <w:p>
            <w:pPr>
              <w:spacing w:after="0"/>
              <w:rPr>
                <w:sz w:val="20"/>
                <w:szCs w:val="20"/>
                <w:color w:val="auto"/>
              </w:rPr>
            </w:pPr>
            <w:r>
              <w:rPr>
                <w:rFonts w:ascii="Times New Roman" w:cs="Times New Roman" w:eastAsia="Times New Roman" w:hAnsi="Times New Roman"/>
                <w:sz w:val="18"/>
                <w:szCs w:val="18"/>
                <w:color w:val="0000FF"/>
                <w:w w:val="99"/>
              </w:rPr>
              <w:t>Controls and Procedures</w:t>
            </w:r>
          </w:p>
        </w:tc>
        <w:tc>
          <w:tcPr>
            <w:tcW w:w="7260" w:type="dxa"/>
            <w:vAlign w:val="bottom"/>
            <w:gridSpan w:val="14"/>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39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6"/>
        </w:trPr>
        <w:tc>
          <w:tcPr>
            <w:tcW w:w="20" w:type="dxa"/>
            <w:vAlign w:val="bottom"/>
          </w:tcPr>
          <w:p>
            <w:pPr>
              <w:spacing w:after="0"/>
              <w:rPr>
                <w:sz w:val="24"/>
                <w:szCs w:val="24"/>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b w:val="1"/>
                <w:bCs w:val="1"/>
                <w:color w:val="0000FF"/>
              </w:rPr>
              <w:t>PART II.</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b w:val="1"/>
                <w:bCs w:val="1"/>
                <w:color w:val="0000FF"/>
              </w:rPr>
              <w:t>OTHER INFORMATION</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7"/>
        </w:trPr>
        <w:tc>
          <w:tcPr>
            <w:tcW w:w="20" w:type="dxa"/>
            <w:vAlign w:val="bottom"/>
          </w:tcPr>
          <w:p>
            <w:pPr>
              <w:spacing w:after="0"/>
              <w:rPr>
                <w:sz w:val="24"/>
                <w:szCs w:val="24"/>
                <w:color w:val="auto"/>
              </w:rPr>
            </w:pPr>
          </w:p>
        </w:tc>
        <w:tc>
          <w:tcPr>
            <w:tcW w:w="640" w:type="dxa"/>
            <w:vAlign w:val="bottom"/>
            <w:tcBorders>
              <w:top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1.</w:t>
            </w:r>
          </w:p>
        </w:tc>
        <w:tc>
          <w:tcPr>
            <w:tcW w:w="60" w:type="dxa"/>
            <w:vAlign w:val="bottom"/>
            <w:tcBorders>
              <w:top w:val="single" w:sz="8" w:color="0000FF"/>
            </w:tcBorders>
          </w:tcPr>
          <w:p>
            <w:pPr>
              <w:spacing w:after="0"/>
              <w:rPr>
                <w:sz w:val="24"/>
                <w:szCs w:val="24"/>
                <w:color w:val="auto"/>
              </w:rPr>
            </w:pPr>
          </w:p>
        </w:tc>
        <w:tc>
          <w:tcPr>
            <w:tcW w:w="540" w:type="dxa"/>
            <w:vAlign w:val="bottom"/>
          </w:tcPr>
          <w:p>
            <w:pPr>
              <w:spacing w:after="0"/>
              <w:rPr>
                <w:sz w:val="24"/>
                <w:szCs w:val="24"/>
                <w:color w:val="auto"/>
              </w:rPr>
            </w:pPr>
          </w:p>
        </w:tc>
        <w:tc>
          <w:tcPr>
            <w:tcW w:w="202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rPr>
              <w:t>Legal Proceedings</w:t>
            </w:r>
          </w:p>
        </w:tc>
        <w:tc>
          <w:tcPr>
            <w:tcW w:w="7020" w:type="dxa"/>
            <w:vAlign w:val="bottom"/>
            <w:gridSpan w:val="13"/>
          </w:tcPr>
          <w:p>
            <w:pPr>
              <w:spacing w:after="0"/>
              <w:rPr>
                <w:sz w:val="24"/>
                <w:szCs w:val="24"/>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40</w:t>
            </w: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20" w:type="dxa"/>
            <w:vAlign w:val="bottom"/>
            <w:tcBorders>
              <w:left w:val="single" w:sz="8" w:color="0000FF"/>
            </w:tcBorders>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124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Item 1A.</w:t>
            </w: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Risk Factors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40</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 w:type="dxa"/>
            <w:vAlign w:val="bottom"/>
            <w:gridSpan w:val="3"/>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4680" w:type="dxa"/>
            <w:vAlign w:val="bottom"/>
            <w:gridSpan w:val="8"/>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4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rPr>
              <w:t>Item 2.</w:t>
            </w:r>
          </w:p>
        </w:tc>
        <w:tc>
          <w:tcPr>
            <w:tcW w:w="600" w:type="dxa"/>
            <w:vAlign w:val="bottom"/>
            <w:tcBorders>
              <w:bottom w:val="single" w:sz="8" w:color="0000FF"/>
            </w:tcBorders>
            <w:gridSpan w:val="2"/>
          </w:tcPr>
          <w:p>
            <w:pPr>
              <w:spacing w:after="0"/>
              <w:rPr>
                <w:sz w:val="20"/>
                <w:szCs w:val="20"/>
                <w:color w:val="auto"/>
              </w:rPr>
            </w:pPr>
          </w:p>
        </w:tc>
        <w:tc>
          <w:tcPr>
            <w:tcW w:w="436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9"/>
              </w:rPr>
              <w:t>Unregistered Sales of Equity Securities and Use of Proceeds</w:t>
            </w:r>
          </w:p>
        </w:tc>
        <w:tc>
          <w:tcPr>
            <w:tcW w:w="4680" w:type="dxa"/>
            <w:vAlign w:val="bottom"/>
            <w:gridSpan w:val="8"/>
          </w:tcPr>
          <w:p>
            <w:pPr>
              <w:spacing w:after="0"/>
              <w:rPr>
                <w:sz w:val="20"/>
                <w:szCs w:val="20"/>
                <w:color w:val="auto"/>
              </w:rPr>
            </w:pP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65</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3.</w:t>
            </w:r>
          </w:p>
        </w:tc>
        <w:tc>
          <w:tcPr>
            <w:tcW w:w="700" w:type="dxa"/>
            <w:vAlign w:val="bottom"/>
            <w:gridSpan w:val="3"/>
          </w:tcPr>
          <w:p>
            <w:pPr>
              <w:spacing w:after="0"/>
              <w:rPr>
                <w:sz w:val="20"/>
                <w:szCs w:val="20"/>
                <w:color w:val="auto"/>
              </w:rPr>
            </w:pPr>
          </w:p>
        </w:tc>
        <w:tc>
          <w:tcPr>
            <w:tcW w:w="2340" w:type="dxa"/>
            <w:vAlign w:val="bottom"/>
            <w:gridSpan w:val="8"/>
          </w:tcPr>
          <w:p>
            <w:pPr>
              <w:spacing w:after="0"/>
              <w:rPr>
                <w:sz w:val="20"/>
                <w:szCs w:val="20"/>
                <w:color w:val="auto"/>
              </w:rPr>
            </w:pPr>
            <w:r>
              <w:rPr>
                <w:rFonts w:ascii="Times New Roman" w:cs="Times New Roman" w:eastAsia="Times New Roman" w:hAnsi="Times New Roman"/>
                <w:sz w:val="18"/>
                <w:szCs w:val="18"/>
                <w:color w:val="0000FF"/>
                <w:w w:val="99"/>
              </w:rPr>
              <w:t>Defaults Upon Senior Securities</w:t>
            </w:r>
          </w:p>
        </w:tc>
        <w:tc>
          <w:tcPr>
            <w:tcW w:w="6700" w:type="dxa"/>
            <w:vAlign w:val="bottom"/>
            <w:gridSpan w:val="12"/>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66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20" w:type="dxa"/>
            <w:vAlign w:val="bottom"/>
            <w:tcBorders>
              <w:left w:val="single" w:sz="8" w:color="0000FF"/>
            </w:tcBorders>
            <w:gridSpan w:val="3"/>
            <w:shd w:val="clear" w:color="auto" w:fill="0000FF"/>
          </w:tcPr>
          <w:p>
            <w:pPr>
              <w:spacing w:after="0" w:line="20" w:lineRule="exact"/>
              <w:rPr>
                <w:sz w:val="1"/>
                <w:szCs w:val="1"/>
                <w:color w:val="auto"/>
              </w:rPr>
            </w:pPr>
          </w:p>
        </w:tc>
        <w:tc>
          <w:tcPr>
            <w:tcW w:w="6700" w:type="dxa"/>
            <w:vAlign w:val="bottom"/>
            <w:gridSpan w:val="12"/>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rPr>
              <w:t>Item 4.</w:t>
            </w:r>
          </w:p>
        </w:tc>
        <w:tc>
          <w:tcPr>
            <w:tcW w:w="700" w:type="dxa"/>
            <w:vAlign w:val="bottom"/>
            <w:tcBorders>
              <w:bottom w:val="single" w:sz="8" w:color="0000FF"/>
            </w:tcBorders>
            <w:gridSpan w:val="3"/>
          </w:tcPr>
          <w:p>
            <w:pPr>
              <w:spacing w:after="0"/>
              <w:rPr>
                <w:sz w:val="20"/>
                <w:szCs w:val="20"/>
                <w:color w:val="auto"/>
              </w:rPr>
            </w:pPr>
          </w:p>
        </w:tc>
        <w:tc>
          <w:tcPr>
            <w:tcW w:w="1780" w:type="dxa"/>
            <w:vAlign w:val="bottom"/>
            <w:tcBorders>
              <w:bottom w:val="single" w:sz="8" w:color="0000FF"/>
            </w:tcBorders>
            <w:gridSpan w:val="6"/>
          </w:tcPr>
          <w:p>
            <w:pPr>
              <w:spacing w:after="0"/>
              <w:rPr>
                <w:sz w:val="20"/>
                <w:szCs w:val="20"/>
                <w:color w:val="auto"/>
              </w:rPr>
            </w:pPr>
            <w:r>
              <w:rPr>
                <w:rFonts w:ascii="Times New Roman" w:cs="Times New Roman" w:eastAsia="Times New Roman" w:hAnsi="Times New Roman"/>
                <w:sz w:val="18"/>
                <w:szCs w:val="18"/>
                <w:color w:val="0000FF"/>
                <w:w w:val="99"/>
              </w:rPr>
              <w:t>Mine Safety Disclosures</w:t>
            </w:r>
          </w:p>
        </w:tc>
        <w:tc>
          <w:tcPr>
            <w:tcW w:w="560" w:type="dxa"/>
            <w:vAlign w:val="bottom"/>
            <w:gridSpan w:val="2"/>
          </w:tcPr>
          <w:p>
            <w:pPr>
              <w:spacing w:after="0"/>
              <w:rPr>
                <w:sz w:val="20"/>
                <w:szCs w:val="20"/>
                <w:color w:val="auto"/>
              </w:rPr>
            </w:pPr>
          </w:p>
        </w:tc>
        <w:tc>
          <w:tcPr>
            <w:tcW w:w="6700" w:type="dxa"/>
            <w:vAlign w:val="bottom"/>
            <w:gridSpan w:val="12"/>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66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Item 5.</w:t>
            </w:r>
          </w:p>
        </w:tc>
        <w:tc>
          <w:tcPr>
            <w:tcW w:w="700" w:type="dxa"/>
            <w:vAlign w:val="bottom"/>
            <w:gridSpan w:val="3"/>
          </w:tcPr>
          <w:p>
            <w:pPr>
              <w:spacing w:after="0"/>
              <w:rPr>
                <w:sz w:val="20"/>
                <w:szCs w:val="20"/>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Other Information</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66</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720" w:type="dxa"/>
            <w:vAlign w:val="bottom"/>
            <w:gridSpan w:val="15"/>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r>
              <w:rPr>
                <w:rFonts w:ascii="Times New Roman" w:cs="Times New Roman" w:eastAsia="Times New Roman" w:hAnsi="Times New Roman"/>
                <w:sz w:val="18"/>
                <w:szCs w:val="18"/>
                <w:color w:val="0000FF"/>
                <w:w w:val="97"/>
              </w:rPr>
              <w:t>Item 6.</w:t>
            </w:r>
          </w:p>
        </w:tc>
        <w:tc>
          <w:tcPr>
            <w:tcW w:w="20" w:type="dxa"/>
            <w:vAlign w:val="bottom"/>
          </w:tcPr>
          <w:p>
            <w:pPr>
              <w:spacing w:after="0"/>
              <w:rPr>
                <w:sz w:val="20"/>
                <w:szCs w:val="20"/>
                <w:color w:val="auto"/>
              </w:rPr>
            </w:pPr>
          </w:p>
        </w:tc>
        <w:tc>
          <w:tcPr>
            <w:tcW w:w="700" w:type="dxa"/>
            <w:vAlign w:val="bottom"/>
            <w:gridSpan w:val="3"/>
          </w:tcPr>
          <w:p>
            <w:pPr>
              <w:spacing w:after="0"/>
              <w:rPr>
                <w:sz w:val="20"/>
                <w:szCs w:val="20"/>
                <w:color w:val="auto"/>
              </w:rPr>
            </w:pPr>
          </w:p>
        </w:tc>
        <w:tc>
          <w:tcPr>
            <w:tcW w:w="13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Exhibits</w:t>
            </w:r>
          </w:p>
        </w:tc>
        <w:tc>
          <w:tcPr>
            <w:tcW w:w="7720" w:type="dxa"/>
            <w:vAlign w:val="bottom"/>
            <w:gridSpan w:val="15"/>
          </w:tcPr>
          <w:p>
            <w:pPr>
              <w:spacing w:after="0"/>
              <w:rPr>
                <w:sz w:val="20"/>
                <w:szCs w:val="20"/>
                <w:color w:val="auto"/>
              </w:rPr>
            </w:pPr>
          </w:p>
        </w:tc>
        <w:tc>
          <w:tcPr>
            <w:tcW w:w="580" w:type="dxa"/>
            <w:vAlign w:val="bottom"/>
          </w:tcPr>
          <w:p>
            <w:pPr>
              <w:spacing w:after="0"/>
              <w:rPr>
                <w:sz w:val="20"/>
                <w:szCs w:val="20"/>
                <w:color w:val="auto"/>
              </w:rPr>
            </w:pPr>
          </w:p>
        </w:tc>
        <w:tc>
          <w:tcPr>
            <w:tcW w:w="1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0000FF"/>
                <w:w w:val="77"/>
              </w:rPr>
              <w:t>67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80" w:type="dxa"/>
            <w:vAlign w:val="bottom"/>
            <w:gridSpan w:val="17"/>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9040" w:type="dxa"/>
            <w:vAlign w:val="bottom"/>
            <w:gridSpan w:val="20"/>
          </w:tcPr>
          <w:p>
            <w:pPr>
              <w:spacing w:after="0"/>
              <w:rPr>
                <w:sz w:val="20"/>
                <w:szCs w:val="20"/>
                <w:color w:val="auto"/>
              </w:rPr>
            </w:pPr>
            <w:r>
              <w:rPr>
                <w:rFonts w:ascii="Times New Roman" w:cs="Times New Roman" w:eastAsia="Times New Roman" w:hAnsi="Times New Roman"/>
                <w:sz w:val="18"/>
                <w:szCs w:val="18"/>
                <w:color w:val="0000FF"/>
              </w:rPr>
              <w:t>Signatures</w:t>
            </w:r>
          </w:p>
        </w:tc>
        <w:tc>
          <w:tcPr>
            <w:tcW w:w="7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0000FF"/>
              </w:rPr>
              <w:t>68</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39"/>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60" w:type="dxa"/>
            <w:vAlign w:val="bottom"/>
            <w:tcBorders>
              <w:top w:val="single" w:sz="8" w:color="0000FF"/>
            </w:tcBorders>
            <w:gridSpan w:val="3"/>
          </w:tcPr>
          <w:p>
            <w:pPr>
              <w:spacing w:after="0"/>
              <w:rPr>
                <w:sz w:val="24"/>
                <w:szCs w:val="24"/>
                <w:color w:val="auto"/>
              </w:rPr>
            </w:pPr>
          </w:p>
        </w:tc>
        <w:tc>
          <w:tcPr>
            <w:tcW w:w="4840" w:type="dxa"/>
            <w:vAlign w:val="bottom"/>
            <w:gridSpan w:val="11"/>
          </w:tcPr>
          <w:p>
            <w:pPr>
              <w:jc w:val="right"/>
              <w:ind w:right="1200"/>
              <w:spacing w:after="0"/>
              <w:rPr>
                <w:sz w:val="20"/>
                <w:szCs w:val="20"/>
                <w:color w:val="auto"/>
              </w:rPr>
            </w:pPr>
            <w:r>
              <w:rPr>
                <w:rFonts w:ascii="Times New Roman" w:cs="Times New Roman" w:eastAsia="Times New Roman" w:hAnsi="Times New Roman"/>
                <w:sz w:val="18"/>
                <w:szCs w:val="18"/>
                <w:color w:val="auto"/>
              </w:rPr>
              <w:t>2</w:t>
            </w:r>
          </w:p>
        </w:tc>
        <w:tc>
          <w:tcPr>
            <w:tcW w:w="8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9A9A9A"/>
            </w:tcBorders>
          </w:tcPr>
          <w:p>
            <w:pPr>
              <w:spacing w:after="0"/>
              <w:rPr>
                <w:sz w:val="8"/>
                <w:szCs w:val="8"/>
                <w:color w:val="auto"/>
              </w:rPr>
            </w:pPr>
          </w:p>
        </w:tc>
        <w:tc>
          <w:tcPr>
            <w:tcW w:w="5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5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400" w:type="dxa"/>
            <w:vAlign w:val="bottom"/>
            <w:tcBorders>
              <w:bottom w:val="single" w:sz="8" w:color="9A9A9A"/>
            </w:tcBorders>
          </w:tcPr>
          <w:p>
            <w:pPr>
              <w:spacing w:after="0"/>
              <w:rPr>
                <w:sz w:val="8"/>
                <w:szCs w:val="8"/>
                <w:color w:val="auto"/>
              </w:rPr>
            </w:pPr>
          </w:p>
        </w:tc>
        <w:tc>
          <w:tcPr>
            <w:tcW w:w="46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220" w:type="dxa"/>
            <w:vAlign w:val="bottom"/>
            <w:tcBorders>
              <w:bottom w:val="single" w:sz="8" w:color="9A9A9A"/>
            </w:tcBorders>
          </w:tcPr>
          <w:p>
            <w:pPr>
              <w:spacing w:after="0"/>
              <w:rPr>
                <w:sz w:val="8"/>
                <w:szCs w:val="8"/>
                <w:color w:val="auto"/>
              </w:rPr>
            </w:pPr>
          </w:p>
        </w:tc>
        <w:tc>
          <w:tcPr>
            <w:tcW w:w="86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880" w:type="dxa"/>
            <w:vAlign w:val="bottom"/>
            <w:tcBorders>
              <w:bottom w:val="single" w:sz="8" w:color="9A9A9A"/>
            </w:tcBorders>
          </w:tcPr>
          <w:p>
            <w:pPr>
              <w:spacing w:after="0"/>
              <w:rPr>
                <w:sz w:val="8"/>
                <w:szCs w:val="8"/>
                <w:color w:val="auto"/>
              </w:rPr>
            </w:pPr>
          </w:p>
        </w:tc>
        <w:tc>
          <w:tcPr>
            <w:tcW w:w="660" w:type="dxa"/>
            <w:vAlign w:val="bottom"/>
            <w:tcBorders>
              <w:bottom w:val="single" w:sz="8" w:color="9A9A9A"/>
            </w:tcBorders>
          </w:tcPr>
          <w:p>
            <w:pPr>
              <w:spacing w:after="0"/>
              <w:rPr>
                <w:sz w:val="8"/>
                <w:szCs w:val="8"/>
                <w:color w:val="auto"/>
              </w:rPr>
            </w:pPr>
          </w:p>
        </w:tc>
        <w:tc>
          <w:tcPr>
            <w:tcW w:w="48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This Quarterly Report on Form 10-Q contains forward-looking statements within the meaning of the Private Securities Litigation Reform Act of 1995. We intend such forward-looking statements to be covered by the safe harbor provisions for forward-looking statements contained in Section 27A of the Securities Act of 1933, as amended, or the Securities Act, and Section 21E of the Securities Exchange Act of 1934, as amended, or the Exchange Act. All statements other than statements of historical fact contained in this Quarterly Report on Form 10-Q are forward-looking statements, including, without limitation, statements regarding our future results of operations and financial position; our ability to acquire or invest in complementary businesses, products, and technologies; our ability to achieve profitability on an annual basis and sustain such profitability; the sufficiency of our cash and cash equivalents and anticipated sources and uses of cash; our business strategies, plans, objectives and goals; our ability to acquire new clients and successfully engage new and existing clients; our ability to effectively manage our growth; our ability to compete effectively with existing competitors and new market entrants; the impact of recently adopted accounting pronouncements; our ability to attract and retain qualified employees and key personnel; the plans and objectives of management for future operations and capital expenditures; general economic and market trends; the impact of public health emergencies on our business, operations, and the markets and communities in which we and our clients, members and providers operate; and the potential impact of evolving laws and regulations, including any laws and regulations restricting reproductive rights.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w:t>
      </w:r>
    </w:p>
    <w:p>
      <w:pPr>
        <w:spacing w:after="0" w:line="19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some cases, you can identify forward-looking statements by terms such as “may,” “will,” “should,” “expect,” “plan,” “anticipate,” “could,” “intend,” “target,” “project,” “contemplate,” “believe,” “estimate,” “predict,” “potential,” “seek,” “assume,” “future,” “continue” or “aim” or the negative of these terms or other similar expressions. The forward-looking statements in this Quarterly Report on Form 10-Q are only predictions. We have based these forward-looking statements largely on our current expectations and projections about future events and financial trends that we believe may affect our business, financial condition and results of operations. These forward-looking statements speak only as of the date of this Quarterly Report on Form 10-Q and are subject to a number of important factors that could cause actual results to differ materially from those in the forward-looking statements, including the factors described under Part II, Item 1A. “Risk Factors” and Part I, Item 2. “Management’s Discussion and Analysis of Financial Condition and Results of Operations” of this Quarterly Report on Form 10-Q.</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statements such as “we believe” and similar statements reflect our beliefs and opinions on the relevant subject. These statements are based upon information available to us as of the filing date of this Quarterly Report on Form 10-Q,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You should read this Quarterly Report on Form 10-Q and the documents that we reference in this Quarterly Report on Form 10-Q completely and with the understanding that our actual future results may be materially different from what we expect. We qualify all of our forward-looking statements by these cautionary statements. Except as required by applicable law, we do not plan to publicly update or revise any forward-looking statements contained herein, whether as a result of any new information, future events, changed circumstances or otherwise.</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RISKS AFFECTING OUR BUSINESS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Below is a summary of the principal factors that make an investment in our common stock speculative or risky. This summary does not address all of the risks and uncertainties that we face. Additional discussion of the risks summarized in this risk factor summary, and other risks and uncertainties that we face, can be found under the heading “Risk Factors” in Part II, Item 1A. of this Quarterly Report on Form 10-Q and should be carefully considered, together with other information in this Quarterly Report on Form 10-Q and our other filings with the U.S. Securities and Exchange Commission, or the SEC, before making an investment decision regarding our common stock.</w:t>
      </w:r>
    </w:p>
    <w:p>
      <w:pPr>
        <w:spacing w:after="0" w:line="183" w:lineRule="exact"/>
        <w:rPr>
          <w:sz w:val="20"/>
          <w:szCs w:val="20"/>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fail to meet our publicly announced guidance or other expectations about our business and future results of operations, which would cause our stock price to decline.</w:t>
      </w:r>
    </w:p>
    <w:p>
      <w:pPr>
        <w:spacing w:after="0" w:line="16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market in which we operate is highly competitive, and, if we do not continue to compete effectively, our business, financial condition and results of operations could be harmed.</w:t>
      </w:r>
    </w:p>
    <w:p>
      <w:pPr>
        <w:spacing w:after="0" w:line="16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Unfavorable conditions in the global economy or our industry could limit our ability to grow our business and negatively affect our results of operations.</w:t>
      </w:r>
    </w:p>
    <w:p>
      <w:pPr>
        <w:spacing w:after="0" w:line="148"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largest clients account for a significant portion of our revenue. In addition, a significant number of our clients are in the technology industry, and we generate a significant portion of our revenue from these clients. The loss of one or more of these clients, changes to pricing terms with these clients or changes within the technology industry could negatively impact our business, financial condition and results of operations.</w:t>
      </w:r>
    </w:p>
    <w:p>
      <w:pPr>
        <w:spacing w:after="0" w:line="1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attract new clients, our business, financial condition and results of operations would be adversely affected.</w:t>
      </w:r>
    </w:p>
    <w:p>
      <w:pPr>
        <w:spacing w:after="0" w:line="211"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change in the utilization of our solutions, including the consumption rate or the mix of utilization, could have an adverse effect on our business, financial condition and results of operations.</w:t>
      </w:r>
    </w:p>
    <w:p>
      <w:pPr>
        <w:spacing w:after="0" w:line="175" w:lineRule="exact"/>
        <w:rPr>
          <w:rFonts w:ascii="Times New Roman" w:cs="Times New Roman" w:eastAsia="Times New Roman" w:hAnsi="Times New Roman"/>
          <w:sz w:val="18"/>
          <w:szCs w:val="18"/>
          <w:color w:val="auto"/>
        </w:rPr>
      </w:pPr>
    </w:p>
    <w:p>
      <w:pPr>
        <w:ind w:left="660" w:right="2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operate in a highly regulated industry and must comply with a significant number of new and evolving legal and regulatory requirements, as well as complex judicial mandates, which could have an adverse impact on our business.</w:t>
      </w:r>
    </w:p>
    <w:p>
      <w:pPr>
        <w:spacing w:after="0" w:line="16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Acquisitions, strategic investments, or partnerships could be difficult to identify, pose integration challenges, divert the attention of management, disrupt our business, dilute stockholder value, and adversely affect our business, financial condition and results of operations.</w:t>
      </w:r>
    </w:p>
    <w:p>
      <w:pPr>
        <w:spacing w:after="0" w:line="14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 limited operating history with our current platform of solutions, which makes it difficult to predict our future results of operations.</w:t>
      </w:r>
    </w:p>
    <w:p>
      <w:pPr>
        <w:spacing w:after="0" w:line="21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health benefits industry may be subject to negative publicity, which could adversely affect our business, financial condition and results of operations.</w:t>
      </w:r>
    </w:p>
    <w:p>
      <w:pPr>
        <w:spacing w:after="0" w:line="148" w:lineRule="exact"/>
        <w:rPr>
          <w:rFonts w:ascii="Times New Roman" w:cs="Times New Roman" w:eastAsia="Times New Roman" w:hAnsi="Times New Roman"/>
          <w:sz w:val="18"/>
          <w:szCs w:val="18"/>
          <w:color w:val="auto"/>
        </w:rPr>
      </w:pPr>
    </w:p>
    <w:p>
      <w:pPr>
        <w:jc w:val="both"/>
        <w:ind w:left="660" w:hanging="328"/>
        <w:spacing w:after="0" w:line="250"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our information technology systems, or those of the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w:t>
      </w:r>
    </w:p>
    <w:p>
      <w:pPr>
        <w:spacing w:after="0" w:line="19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artificial intelligence may subject us to new or heightened legal, regulatory, ethical, operational or other challenges.</w:t>
      </w:r>
    </w:p>
    <w:p>
      <w:pPr>
        <w:spacing w:after="0" w:line="21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69" w:lineRule="exact"/>
        <w:rPr>
          <w:rFonts w:ascii="Times New Roman" w:cs="Times New Roman" w:eastAsia="Times New Roman" w:hAnsi="Times New Roman"/>
          <w:sz w:val="18"/>
          <w:szCs w:val="18"/>
          <w:color w:val="auto"/>
        </w:rPr>
      </w:pPr>
    </w:p>
    <w:p>
      <w:pPr>
        <w:ind w:left="6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growth depends in part on the success of our strategic relationships with, and monitoring of, third parties, including channel partners and vendors as well as insurance carriers.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hanging="328"/>
        <w:spacing w:after="0" w:line="266"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fail to maintain an efficient pharmacy distribution network or if there is a disruption to our network of specialty pharmacies or their supply chains or business economics, our business, financial condition and results of operations could suffer.</w:t>
      </w:r>
    </w:p>
    <w:p>
      <w:pPr>
        <w:spacing w:after="0" w:line="162"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part of the broader healthcare industry and subject to increasing scrutiny, business requirements and regulation within our business, including with respect to Progyny Rx’s PBM operations, which may adversely affect our business, financial condition and results of operations.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Unless the context otherwise indicates, references in this Quarterly Report on Form 10-Q to the terms “Progyny,” “the Company,” “we,” “our” and “us” refer to Progyny, Inc. and its wholly owned subsidiaries.</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“Progyny®” and our other registered and common law trade names, trademarks and service marks are the property of Progyny, Inc. Other trade names, trademarks and service marks used in this Quarterly Report on Form 10-Q are the property of their respective owners. Solely for convenience, the trademarks and trade names in this Quarterly Report on Form 10-Q may be referred to without the ® and ™ symbols, but such references should not be construed as any indicator that their respective owners will not assert their rights thereto.</w:t>
      </w:r>
    </w:p>
    <w:p>
      <w:pPr>
        <w:spacing w:after="0" w:line="17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 xml:space="preserve">We announce material information to the public through filings with the SEC, our investor relations website at </w:t>
      </w:r>
      <w:r>
        <w:rPr>
          <w:rFonts w:ascii="Times New Roman" w:cs="Times New Roman" w:eastAsia="Times New Roman" w:hAnsi="Times New Roman"/>
          <w:sz w:val="18"/>
          <w:szCs w:val="18"/>
          <w:i w:val="1"/>
          <w:iCs w:val="1"/>
          <w:color w:val="auto"/>
        </w:rPr>
        <w:t>investors.progyny.com</w:t>
      </w:r>
      <w:r>
        <w:rPr>
          <w:rFonts w:ascii="Times New Roman" w:cs="Times New Roman" w:eastAsia="Times New Roman" w:hAnsi="Times New Roman"/>
          <w:sz w:val="18"/>
          <w:szCs w:val="18"/>
          <w:color w:val="auto"/>
        </w:rPr>
        <w:t>, press releases, public conference calls, and webcasts to achieve broad, non-exclusionary distribution of information. We therefore encourage investors and others interested in Progyny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8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220" w:type="dxa"/>
            <w:vAlign w:val="bottom"/>
          </w:tcPr>
          <w:p>
            <w:pPr>
              <w:spacing w:after="0"/>
              <w:rPr>
                <w:sz w:val="14"/>
                <w:szCs w:val="14"/>
                <w:color w:val="auto"/>
              </w:rPr>
            </w:pPr>
          </w:p>
        </w:tc>
        <w:tc>
          <w:tcPr>
            <w:tcW w:w="1260" w:type="dxa"/>
            <w:vAlign w:val="bottom"/>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8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2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ind w:right="51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50"/>
        </w:trPr>
        <w:tc>
          <w:tcPr>
            <w:tcW w:w="8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131,607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112,238</w:t>
            </w:r>
          </w:p>
        </w:tc>
      </w:tr>
      <w:tr>
        <w:trPr>
          <w:trHeight w:val="250"/>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Marketable securities</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93,504</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197,858</w:t>
            </w:r>
          </w:p>
        </w:tc>
      </w:tr>
      <w:tr>
        <w:trPr>
          <w:trHeight w:val="21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receivable, net of $56,300 and $55,659 of allowances at March 31, 2026 and December 31, 2025,</w:t>
            </w: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263,613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220,287</w:t>
            </w:r>
          </w:p>
        </w:tc>
      </w:tr>
      <w:tr>
        <w:trPr>
          <w:trHeight w:val="248"/>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respectively</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12,827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21,392</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assets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501,551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551,775</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29,927</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24,990</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19,879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19,978</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5,971</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6,216</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tax assets, net</w:t>
            </w: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93,080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93,013</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noncurrent assets</w:t>
            </w:r>
          </w:p>
        </w:tc>
        <w:tc>
          <w:tcPr>
            <w:tcW w:w="260" w:type="dxa"/>
            <w:vAlign w:val="bottom"/>
            <w:tcBorders>
              <w:bottom w:val="single" w:sz="8" w:color="auto"/>
            </w:tcBorders>
            <w:shd w:val="clear" w:color="auto" w:fill="CCEEFF"/>
          </w:tcPr>
          <w:p>
            <w:pPr>
              <w:spacing w:after="0"/>
              <w:rPr>
                <w:sz w:val="22"/>
                <w:szCs w:val="22"/>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17,872</w:t>
            </w:r>
          </w:p>
        </w:tc>
        <w:tc>
          <w:tcPr>
            <w:tcW w:w="100" w:type="dxa"/>
            <w:vAlign w:val="bottom"/>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spacing w:after="0"/>
              <w:rPr>
                <w:sz w:val="22"/>
                <w:szCs w:val="22"/>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16,536</w:t>
            </w:r>
          </w:p>
        </w:tc>
      </w:tr>
      <w:tr>
        <w:trPr>
          <w:trHeight w:val="257"/>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698,337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742,435</w:t>
            </w:r>
          </w:p>
        </w:tc>
      </w:tr>
      <w:tr>
        <w:trPr>
          <w:trHeight w:val="20"/>
        </w:trPr>
        <w:tc>
          <w:tcPr>
            <w:tcW w:w="81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6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157,826</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124,071</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77,916</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78,320</w:t>
            </w:r>
          </w:p>
        </w:tc>
      </w:tr>
      <w:tr>
        <w:trPr>
          <w:trHeight w:val="256"/>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235,742</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202,391</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23,251</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24,000</w:t>
            </w: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258,993</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226,391</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Commitments and Contingencies </w:t>
            </w:r>
            <w:r>
              <w:rPr>
                <w:rFonts w:ascii="Times New Roman" w:cs="Times New Roman" w:eastAsia="Times New Roman" w:hAnsi="Times New Roman"/>
                <w:sz w:val="18"/>
                <w:szCs w:val="18"/>
                <w:i w:val="1"/>
                <w:iCs w:val="1"/>
                <w:color w:val="auto"/>
              </w:rPr>
              <w:t>(Note 7)</w:t>
            </w: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spacing w:after="0"/>
              <w:rPr>
                <w:sz w:val="22"/>
                <w:szCs w:val="22"/>
                <w:color w:val="auto"/>
              </w:rPr>
            </w:pPr>
          </w:p>
        </w:tc>
      </w:tr>
      <w:tr>
        <w:trPr>
          <w:trHeight w:val="189"/>
        </w:trPr>
        <w:tc>
          <w:tcPr>
            <w:tcW w:w="8180" w:type="dxa"/>
            <w:vAlign w:val="bottom"/>
          </w:tcPr>
          <w:p>
            <w:pPr>
              <w:ind w:left="180"/>
              <w:spacing w:after="0" w:line="189" w:lineRule="exact"/>
              <w:rPr>
                <w:sz w:val="20"/>
                <w:szCs w:val="20"/>
                <w:color w:val="auto"/>
              </w:rPr>
            </w:pPr>
            <w:r>
              <w:rPr>
                <w:rFonts w:ascii="Times New Roman" w:cs="Times New Roman" w:eastAsia="Times New Roman" w:hAnsi="Times New Roman"/>
                <w:sz w:val="18"/>
                <w:szCs w:val="18"/>
                <w:color w:val="auto"/>
              </w:rPr>
              <w:t>Common stock, $0.0001 par value; 1,000,000,000 shares authorized; at March 31, 2026 and December 31,</w:t>
            </w:r>
          </w:p>
        </w:tc>
        <w:tc>
          <w:tcPr>
            <w:tcW w:w="260" w:type="dxa"/>
            <w:vAlign w:val="bottom"/>
          </w:tcPr>
          <w:p>
            <w:pPr>
              <w:spacing w:after="0"/>
              <w:rPr>
                <w:sz w:val="16"/>
                <w:szCs w:val="16"/>
                <w:color w:val="auto"/>
              </w:rPr>
            </w:pPr>
          </w:p>
        </w:tc>
        <w:tc>
          <w:tcPr>
            <w:tcW w:w="122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tcPr>
          <w:p>
            <w:pPr>
              <w:jc w:val="right"/>
              <w:spacing w:after="0" w:line="189" w:lineRule="exact"/>
              <w:rPr>
                <w:sz w:val="20"/>
                <w:szCs w:val="20"/>
                <w:color w:val="auto"/>
              </w:rPr>
            </w:pPr>
            <w:r>
              <w:rPr>
                <w:rFonts w:ascii="Times New Roman" w:cs="Times New Roman" w:eastAsia="Times New Roman" w:hAnsi="Times New Roman"/>
                <w:sz w:val="18"/>
                <w:szCs w:val="18"/>
                <w:color w:val="auto"/>
              </w:rPr>
              <w:t>9</w:t>
            </w:r>
          </w:p>
        </w:tc>
      </w:tr>
      <w:tr>
        <w:trPr>
          <w:trHeight w:val="162"/>
        </w:trPr>
        <w:tc>
          <w:tcPr>
            <w:tcW w:w="8180" w:type="dxa"/>
            <w:vAlign w:val="bottom"/>
          </w:tcPr>
          <w:p>
            <w:pPr>
              <w:ind w:left="180"/>
              <w:spacing w:after="0" w:line="162" w:lineRule="exact"/>
              <w:rPr>
                <w:sz w:val="20"/>
                <w:szCs w:val="20"/>
                <w:color w:val="auto"/>
              </w:rPr>
            </w:pPr>
            <w:r>
              <w:rPr>
                <w:rFonts w:ascii="Times New Roman" w:cs="Times New Roman" w:eastAsia="Times New Roman" w:hAnsi="Times New Roman"/>
                <w:sz w:val="18"/>
                <w:szCs w:val="18"/>
                <w:color w:val="auto"/>
              </w:rPr>
              <w:t>2025, respectively; 99,465,999 and 99,049,485 shares issued; 78,270,386 and 83,365,696 outstanding at</w:t>
            </w: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r>
      <w:tr>
        <w:trPr>
          <w:trHeight w:val="239"/>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March 31, 2026 and December 31, 2025, respectively</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1"/>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717,759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700,785</w:t>
            </w:r>
          </w:p>
        </w:tc>
      </w:tr>
      <w:tr>
        <w:trPr>
          <w:trHeight w:val="21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Treasury stock, at cost, $0.0001 par value; 21,811,593 and 16,299,769 shares at March 31, 2026 and</w:t>
            </w:r>
          </w:p>
        </w:tc>
        <w:tc>
          <w:tcPr>
            <w:tcW w:w="26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(505,760)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(388,075)</w:t>
            </w:r>
          </w:p>
        </w:tc>
      </w:tr>
      <w:tr>
        <w:trPr>
          <w:trHeight w:val="241"/>
        </w:trPr>
        <w:tc>
          <w:tcPr>
            <w:tcW w:w="81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December 31, 2025, respectively</w:t>
            </w:r>
          </w:p>
        </w:tc>
        <w:tc>
          <w:tcPr>
            <w:tcW w:w="2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63"/>
        </w:trPr>
        <w:tc>
          <w:tcPr>
            <w:tcW w:w="81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Accumulated earnings</w:t>
            </w:r>
          </w:p>
        </w:tc>
        <w:tc>
          <w:tcPr>
            <w:tcW w:w="26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227,059</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202,827</w:t>
            </w:r>
          </w:p>
        </w:tc>
      </w:tr>
      <w:tr>
        <w:trPr>
          <w:trHeight w:val="250"/>
        </w:trPr>
        <w:tc>
          <w:tcPr>
            <w:tcW w:w="81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w:t>
            </w:r>
          </w:p>
        </w:tc>
      </w:tr>
      <w:tr>
        <w:trPr>
          <w:trHeight w:val="250"/>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6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439,344</w:t>
            </w:r>
          </w:p>
        </w:tc>
        <w:tc>
          <w:tcPr>
            <w:tcW w:w="100" w:type="dxa"/>
            <w:vAlign w:val="bottom"/>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516,044</w:t>
            </w:r>
          </w:p>
        </w:tc>
      </w:tr>
      <w:tr>
        <w:trPr>
          <w:trHeight w:val="256"/>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698,337</w:t>
            </w:r>
          </w:p>
        </w:tc>
        <w:tc>
          <w:tcPr>
            <w:tcW w:w="100" w:type="dxa"/>
            <w:vAlign w:val="bottom"/>
          </w:tcPr>
          <w:p>
            <w:pPr>
              <w:spacing w:after="0"/>
              <w:rPr>
                <w:sz w:val="22"/>
                <w:szCs w:val="22"/>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742,435</w:t>
            </w:r>
          </w:p>
        </w:tc>
      </w:tr>
      <w:tr>
        <w:trPr>
          <w:trHeight w:val="21"/>
        </w:trPr>
        <w:tc>
          <w:tcPr>
            <w:tcW w:w="8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79375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b w:val="1"/>
          <w:bCs w:val="1"/>
          <w:i w:val="1"/>
          <w:iCs w:val="1"/>
          <w:color w:val="auto"/>
        </w:rPr>
        <w:t>(in thousands, except share and per share amounts)</w:t>
      </w:r>
    </w:p>
    <w:p>
      <w:pPr>
        <w:spacing w:after="0" w:line="254"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4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4248150</wp:posOffset>
            </wp:positionH>
            <wp:positionV relativeFrom="paragraph">
              <wp:posOffset>22225</wp:posOffset>
            </wp:positionV>
            <wp:extent cx="27171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17165" cy="8255"/>
                    </a:xfrm>
                    <a:prstGeom prst="rect">
                      <a:avLst/>
                    </a:prstGeom>
                    <a:noFill/>
                  </pic:spPr>
                </pic:pic>
              </a:graphicData>
            </a:graphic>
          </wp:anchor>
        </w:drawing>
      </w:r>
    </w:p>
    <w:p>
      <w:pPr>
        <w:spacing w:after="0" w:line="31" w:lineRule="exact"/>
        <w:rPr>
          <w:sz w:val="20"/>
          <w:szCs w:val="20"/>
          <w:color w:val="auto"/>
        </w:rPr>
      </w:pPr>
    </w:p>
    <w:tbl>
      <w:tblPr>
        <w:tblLayout w:type="fixed"/>
        <w:tblInd w:w="280" w:type="dxa"/>
        <w:tblCellMar>
          <w:top w:w="0" w:type="dxa"/>
          <w:left w:w="0" w:type="dxa"/>
          <w:bottom w:w="0" w:type="dxa"/>
          <w:right w:w="0" w:type="dxa"/>
        </w:tblCellMar>
      </w:tblPr>
      <w:tr>
        <w:trPr>
          <w:trHeight w:val="190"/>
        </w:trPr>
        <w:tc>
          <w:tcPr>
            <w:tcW w:w="642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560" w:type="dxa"/>
            <w:vAlign w:val="bottom"/>
          </w:tcPr>
          <w:p>
            <w:pPr>
              <w:jc w:val="right"/>
              <w:ind w:right="79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42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20" w:type="dxa"/>
            <w:vAlign w:val="bottom"/>
            <w:shd w:val="clear" w:color="auto" w:fill="CCEEFF"/>
          </w:tcPr>
          <w:p>
            <w:pPr>
              <w:jc w:val="right"/>
              <w:ind w:right="10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328,504</w:t>
            </w:r>
          </w:p>
        </w:tc>
        <w:tc>
          <w:tcPr>
            <w:tcW w:w="100" w:type="dxa"/>
            <w:vAlign w:val="bottom"/>
            <w:shd w:val="clear" w:color="auto" w:fill="CCEEFF"/>
          </w:tcPr>
          <w:p>
            <w:pPr>
              <w:spacing w:after="0"/>
              <w:rPr>
                <w:sz w:val="21"/>
                <w:szCs w:val="21"/>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324,038</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245,433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248,243</w:t>
            </w: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83,071</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75,795</w:t>
            </w:r>
          </w:p>
        </w:tc>
        <w:tc>
          <w:tcPr>
            <w:tcW w:w="0" w:type="dxa"/>
            <w:vAlign w:val="bottom"/>
          </w:tcPr>
          <w:p>
            <w:pPr>
              <w:spacing w:after="0"/>
              <w:rPr>
                <w:sz w:val="1"/>
                <w:szCs w:val="1"/>
                <w:color w:val="auto"/>
              </w:rPr>
            </w:pPr>
          </w:p>
        </w:tc>
      </w:tr>
      <w:tr>
        <w:trPr>
          <w:trHeight w:val="25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2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1220" w:type="dxa"/>
            <w:vAlign w:val="bottom"/>
            <w:shd w:val="clear" w:color="auto" w:fill="CCEEFF"/>
          </w:tcPr>
          <w:p>
            <w:pPr>
              <w:spacing w:after="0"/>
              <w:rPr>
                <w:sz w:val="22"/>
                <w:szCs w:val="22"/>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16,884</w:t>
            </w:r>
          </w:p>
        </w:tc>
        <w:tc>
          <w:tcPr>
            <w:tcW w:w="100" w:type="dxa"/>
            <w:vAlign w:val="bottom"/>
            <w:shd w:val="clear" w:color="auto" w:fill="CCEEFF"/>
          </w:tcPr>
          <w:p>
            <w:pPr>
              <w:spacing w:after="0"/>
              <w:rPr>
                <w:sz w:val="22"/>
                <w:szCs w:val="22"/>
                <w:color w:val="auto"/>
              </w:rPr>
            </w:pPr>
          </w:p>
        </w:tc>
        <w:tc>
          <w:tcPr>
            <w:tcW w:w="5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17,786</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30,808</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33,839</w:t>
            </w:r>
          </w:p>
        </w:tc>
        <w:tc>
          <w:tcPr>
            <w:tcW w:w="0" w:type="dxa"/>
            <w:vAlign w:val="bottom"/>
          </w:tcPr>
          <w:p>
            <w:pPr>
              <w:spacing w:after="0"/>
              <w:rPr>
                <w:sz w:val="1"/>
                <w:szCs w:val="1"/>
                <w:color w:val="auto"/>
              </w:rPr>
            </w:pPr>
          </w:p>
        </w:tc>
      </w:tr>
      <w:tr>
        <w:trPr>
          <w:trHeight w:val="250"/>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47,692</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51,625</w:t>
            </w:r>
          </w:p>
        </w:tc>
        <w:tc>
          <w:tcPr>
            <w:tcW w:w="0" w:type="dxa"/>
            <w:vAlign w:val="bottom"/>
          </w:tcPr>
          <w:p>
            <w:pPr>
              <w:spacing w:after="0"/>
              <w:rPr>
                <w:sz w:val="1"/>
                <w:szCs w:val="1"/>
                <w:color w:val="auto"/>
              </w:rPr>
            </w:pPr>
          </w:p>
        </w:tc>
      </w:tr>
      <w:tr>
        <w:trPr>
          <w:trHeight w:val="250"/>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2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24,170</w:t>
            </w: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0" w:type="dxa"/>
            <w:vAlign w:val="bottom"/>
          </w:tcPr>
          <w:p>
            <w:pPr>
              <w:spacing w:after="0"/>
              <w:rPr>
                <w:sz w:val="1"/>
                <w:szCs w:val="1"/>
                <w:color w:val="auto"/>
              </w:rPr>
            </w:pPr>
          </w:p>
        </w:tc>
      </w:tr>
      <w:tr>
        <w:trPr>
          <w:trHeight w:val="250"/>
        </w:trPr>
        <w:tc>
          <w:tcPr>
            <w:tcW w:w="6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36,883</w:t>
            </w:r>
          </w:p>
        </w:tc>
        <w:tc>
          <w:tcPr>
            <w:tcW w:w="100" w:type="dxa"/>
            <w:vAlign w:val="bottom"/>
            <w:tcBorders>
              <w:bottom w:val="single" w:sz="8" w:color="CCEEFF"/>
            </w:tcBorders>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26,537</w:t>
            </w:r>
          </w:p>
        </w:tc>
        <w:tc>
          <w:tcPr>
            <w:tcW w:w="0" w:type="dxa"/>
            <w:vAlign w:val="bottom"/>
          </w:tcPr>
          <w:p>
            <w:pPr>
              <w:spacing w:after="0"/>
              <w:rPr>
                <w:sz w:val="1"/>
                <w:szCs w:val="1"/>
                <w:color w:val="auto"/>
              </w:rPr>
            </w:pPr>
          </w:p>
        </w:tc>
      </w:tr>
      <w:tr>
        <w:trPr>
          <w:trHeight w:val="250"/>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220" w:type="dxa"/>
            <w:vAlign w:val="bottom"/>
            <w:tcBorders>
              <w:bottom w:val="single" w:sz="8" w:color="auto"/>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100" w:type="dxa"/>
            <w:vAlign w:val="bottom"/>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0" w:type="dxa"/>
            <w:vAlign w:val="bottom"/>
          </w:tcPr>
          <w:p>
            <w:pPr>
              <w:spacing w:after="0"/>
              <w:rPr>
                <w:sz w:val="1"/>
                <w:szCs w:val="1"/>
                <w:color w:val="auto"/>
              </w:rPr>
            </w:pPr>
          </w:p>
        </w:tc>
      </w:tr>
      <w:tr>
        <w:trPr>
          <w:trHeight w:val="257"/>
        </w:trPr>
        <w:tc>
          <w:tcPr>
            <w:tcW w:w="6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20" w:type="dxa"/>
            <w:vAlign w:val="bottom"/>
            <w:tcBorders>
              <w:bottom w:val="single" w:sz="8" w:color="auto"/>
            </w:tcBorders>
          </w:tcPr>
          <w:p>
            <w:pPr>
              <w:jc w:val="right"/>
              <w:ind w:right="10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100" w:type="dxa"/>
            <w:vAlign w:val="bottom"/>
          </w:tcPr>
          <w:p>
            <w:pPr>
              <w:spacing w:after="0"/>
              <w:rPr>
                <w:sz w:val="22"/>
                <w:szCs w:val="22"/>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0" w:type="dxa"/>
            <w:vAlign w:val="bottom"/>
          </w:tcPr>
          <w:p>
            <w:pPr>
              <w:spacing w:after="0"/>
              <w:rPr>
                <w:sz w:val="1"/>
                <w:szCs w:val="1"/>
                <w:color w:val="auto"/>
              </w:rPr>
            </w:pPr>
          </w:p>
        </w:tc>
      </w:tr>
      <w:tr>
        <w:trPr>
          <w:trHeight w:val="20"/>
        </w:trPr>
        <w:tc>
          <w:tcPr>
            <w:tcW w:w="642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4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per share:</w:t>
            </w:r>
          </w:p>
        </w:tc>
        <w:tc>
          <w:tcPr>
            <w:tcW w:w="12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tcPr>
          <w:p>
            <w:pPr>
              <w:jc w:val="right"/>
              <w:ind w:right="10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100" w:type="dxa"/>
            <w:vAlign w:val="bottom"/>
          </w:tcPr>
          <w:p>
            <w:pPr>
              <w:spacing w:after="0"/>
              <w:rPr>
                <w:sz w:val="21"/>
                <w:szCs w:val="21"/>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88"/>
        </w:trPr>
        <w:tc>
          <w:tcPr>
            <w:tcW w:w="64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tcBorders>
              <w:bottom w:val="single" w:sz="8" w:color="auto"/>
            </w:tcBorders>
            <w:shd w:val="clear" w:color="auto" w:fill="CCEEFF"/>
          </w:tcPr>
          <w:p>
            <w:pPr>
              <w:jc w:val="right"/>
              <w:ind w:right="1034"/>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100" w:type="dxa"/>
            <w:vAlign w:val="bottom"/>
            <w:tcBorders>
              <w:bottom w:val="single" w:sz="8" w:color="CCEEFF"/>
            </w:tcBorders>
            <w:shd w:val="clear" w:color="auto" w:fill="CCEEFF"/>
          </w:tcPr>
          <w:p>
            <w:pPr>
              <w:spacing w:after="0"/>
              <w:rPr>
                <w:sz w:val="24"/>
                <w:szCs w:val="24"/>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64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computing net income per share:</w:t>
            </w: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20" w:type="dxa"/>
            <w:vAlign w:val="bottom"/>
            <w:vMerge w:val="continue"/>
          </w:tcPr>
          <w:p>
            <w:pPr>
              <w:spacing w:after="0"/>
              <w:rPr>
                <w:sz w:val="19"/>
                <w:szCs w:val="19"/>
                <w:color w:val="auto"/>
              </w:rPr>
            </w:pPr>
          </w:p>
        </w:tc>
        <w:tc>
          <w:tcPr>
            <w:tcW w:w="12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64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220" w:type="dxa"/>
            <w:vAlign w:val="bottom"/>
            <w:tcBorders>
              <w:bottom w:val="single" w:sz="8" w:color="auto"/>
            </w:tcBorders>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80,920,993</w:t>
            </w:r>
          </w:p>
        </w:tc>
        <w:tc>
          <w:tcPr>
            <w:tcW w:w="100" w:type="dxa"/>
            <w:vAlign w:val="bottom"/>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spacing w:after="0"/>
              <w:rPr>
                <w:sz w:val="22"/>
                <w:szCs w:val="22"/>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85,499,153</w:t>
            </w:r>
          </w:p>
        </w:tc>
        <w:tc>
          <w:tcPr>
            <w:tcW w:w="0" w:type="dxa"/>
            <w:vAlign w:val="bottom"/>
          </w:tcPr>
          <w:p>
            <w:pPr>
              <w:spacing w:after="0"/>
              <w:rPr>
                <w:sz w:val="1"/>
                <w:szCs w:val="1"/>
                <w:color w:val="auto"/>
              </w:rPr>
            </w:pPr>
          </w:p>
        </w:tc>
      </w:tr>
      <w:tr>
        <w:trPr>
          <w:trHeight w:val="250"/>
        </w:trPr>
        <w:tc>
          <w:tcPr>
            <w:tcW w:w="64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22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84,755,262</w:t>
            </w:r>
          </w:p>
        </w:tc>
        <w:tc>
          <w:tcPr>
            <w:tcW w:w="100" w:type="dxa"/>
            <w:vAlign w:val="bottom"/>
          </w:tcPr>
          <w:p>
            <w:pPr>
              <w:spacing w:after="0"/>
              <w:rPr>
                <w:sz w:val="21"/>
                <w:szCs w:val="21"/>
                <w:color w:val="auto"/>
              </w:rPr>
            </w:pPr>
          </w:p>
        </w:tc>
        <w:tc>
          <w:tcPr>
            <w:tcW w:w="5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89,307,934</w:t>
            </w:r>
          </w:p>
        </w:tc>
        <w:tc>
          <w:tcPr>
            <w:tcW w:w="0" w:type="dxa"/>
            <w:vAlign w:val="bottom"/>
          </w:tcPr>
          <w:p>
            <w:pPr>
              <w:spacing w:after="0"/>
              <w:rPr>
                <w:sz w:val="1"/>
                <w:szCs w:val="1"/>
                <w:color w:val="auto"/>
              </w:rPr>
            </w:pPr>
          </w:p>
        </w:tc>
      </w:tr>
    </w:tbl>
    <w:p>
      <w:pPr>
        <w:spacing w:after="0" w:line="277" w:lineRule="exact"/>
        <w:rPr>
          <w:sz w:val="20"/>
          <w:szCs w:val="20"/>
          <w:color w:val="auto"/>
        </w:rPr>
      </w:pPr>
    </w:p>
    <w:p>
      <w:pPr>
        <w:ind w:left="2060"/>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27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960"/>
          </w:cols>
          <w:pgMar w:left="320" w:top="256" w:right="61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i w:val="1"/>
          <w:iCs w:val="1"/>
          <w:color w:val="auto"/>
        </w:rPr>
        <w:t>(in thousands)</w:t>
      </w:r>
    </w:p>
    <w:p>
      <w:pPr>
        <w:spacing w:after="0" w:line="254"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74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4728210</wp:posOffset>
            </wp:positionH>
            <wp:positionV relativeFrom="paragraph">
              <wp:posOffset>22225</wp:posOffset>
            </wp:positionV>
            <wp:extent cx="23920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39204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40" w:type="dxa"/>
            <w:vAlign w:val="bottom"/>
          </w:tcPr>
          <w:p>
            <w:pPr>
              <w:spacing w:after="0"/>
              <w:rPr>
                <w:sz w:val="16"/>
                <w:szCs w:val="16"/>
                <w:color w:val="auto"/>
              </w:rPr>
            </w:pPr>
          </w:p>
        </w:tc>
        <w:tc>
          <w:tcPr>
            <w:tcW w:w="120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400" w:type="dxa"/>
            <w:vAlign w:val="bottom"/>
          </w:tcPr>
          <w:p>
            <w:pPr>
              <w:jc w:val="right"/>
              <w:ind w:right="692"/>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44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r>
      <w:tr>
        <w:trPr>
          <w:trHeight w:val="25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20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15,059</w:t>
            </w:r>
          </w:p>
        </w:tc>
      </w:tr>
      <w:tr>
        <w:trPr>
          <w:trHeight w:val="250"/>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(loss) income, net of tax</w:t>
            </w:r>
          </w:p>
        </w:tc>
        <w:tc>
          <w:tcPr>
            <w:tcW w:w="12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63"/>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Unrealized loss on marketable securities before reclassifications</w:t>
            </w:r>
          </w:p>
        </w:tc>
        <w:tc>
          <w:tcPr>
            <w:tcW w:w="1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Reclassification of gains on the sale of marketable securities into net income</w:t>
            </w:r>
          </w:p>
        </w:tc>
        <w:tc>
          <w:tcPr>
            <w:tcW w:w="1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6"/>
        </w:trPr>
        <w:tc>
          <w:tcPr>
            <w:tcW w:w="74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change on unrealized loss on marketable securities</w:t>
            </w:r>
          </w:p>
        </w:tc>
        <w:tc>
          <w:tcPr>
            <w:tcW w:w="120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shd w:val="clear" w:color="auto" w:fill="CCEEFF"/>
          </w:tcPr>
          <w:p>
            <w:pPr>
              <w:spacing w:after="0"/>
              <w:rPr>
                <w:sz w:val="22"/>
                <w:szCs w:val="22"/>
                <w:color w:val="auto"/>
              </w:rPr>
            </w:pPr>
          </w:p>
        </w:tc>
        <w:tc>
          <w:tcPr>
            <w:tcW w:w="44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r>
      <w:tr>
        <w:trPr>
          <w:trHeight w:val="250"/>
        </w:trPr>
        <w:tc>
          <w:tcPr>
            <w:tcW w:w="7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(loss) gain</w:t>
            </w:r>
          </w:p>
        </w:tc>
        <w:tc>
          <w:tcPr>
            <w:tcW w:w="120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r>
      <w:tr>
        <w:trPr>
          <w:trHeight w:val="250"/>
        </w:trPr>
        <w:tc>
          <w:tcPr>
            <w:tcW w:w="7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other comprehensive (loss) income, net of tax</w:t>
            </w:r>
          </w:p>
        </w:tc>
        <w:tc>
          <w:tcPr>
            <w:tcW w:w="120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100" w:type="dxa"/>
            <w:vAlign w:val="bottom"/>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spacing w:after="0"/>
              <w:rPr>
                <w:sz w:val="21"/>
                <w:szCs w:val="21"/>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57"/>
        </w:trPr>
        <w:tc>
          <w:tcPr>
            <w:tcW w:w="7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comprehensive income</w:t>
            </w:r>
          </w:p>
        </w:tc>
        <w:tc>
          <w:tcPr>
            <w:tcW w:w="1200" w:type="dxa"/>
            <w:vAlign w:val="bottom"/>
            <w:tcBorders>
              <w:bottom w:val="single" w:sz="8" w:color="auto"/>
            </w:tcBorders>
          </w:tcPr>
          <w:p>
            <w:pPr>
              <w:jc w:val="right"/>
              <w:ind w:right="996"/>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24,011</w:t>
            </w:r>
          </w:p>
        </w:tc>
        <w:tc>
          <w:tcPr>
            <w:tcW w:w="100" w:type="dxa"/>
            <w:vAlign w:val="bottom"/>
          </w:tcPr>
          <w:p>
            <w:pPr>
              <w:spacing w:after="0"/>
              <w:rPr>
                <w:sz w:val="22"/>
                <w:szCs w:val="22"/>
                <w:color w:val="auto"/>
              </w:rPr>
            </w:pPr>
          </w:p>
        </w:tc>
        <w:tc>
          <w:tcPr>
            <w:tcW w:w="44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15,130</w:t>
            </w:r>
          </w:p>
        </w:tc>
      </w:tr>
      <w:tr>
        <w:trPr>
          <w:trHeight w:val="21"/>
        </w:trPr>
        <w:tc>
          <w:tcPr>
            <w:tcW w:w="744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7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256" w:right="3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113"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16"/>
          <w:szCs w:val="16"/>
          <w:b w:val="1"/>
          <w:bCs w:val="1"/>
          <w:color w:val="auto"/>
        </w:rPr>
        <w:t>Consolidated Statements of Changes in Stockholders’ Equity</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(in thousands, except share amounts)</w:t>
      </w:r>
    </w:p>
    <w:p>
      <w:pPr>
        <w:spacing w:after="0" w:line="200" w:lineRule="exact"/>
        <w:rPr>
          <w:sz w:val="20"/>
          <w:szCs w:val="20"/>
          <w:color w:val="auto"/>
        </w:rPr>
      </w:pP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1780" w:type="dxa"/>
            <w:vAlign w:val="bottom"/>
            <w:gridSpan w:val="3"/>
            <w:vMerge w:val="restart"/>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Accumulated Other</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3"/>
        </w:trPr>
        <w:tc>
          <w:tcPr>
            <w:tcW w:w="3280" w:type="dxa"/>
            <w:vAlign w:val="bottom"/>
          </w:tcPr>
          <w:p>
            <w:pPr>
              <w:spacing w:after="0"/>
              <w:rPr>
                <w:sz w:val="10"/>
                <w:szCs w:val="10"/>
                <w:color w:val="auto"/>
              </w:rPr>
            </w:pPr>
          </w:p>
        </w:tc>
        <w:tc>
          <w:tcPr>
            <w:tcW w:w="1780" w:type="dxa"/>
            <w:vAlign w:val="bottom"/>
            <w:gridSpan w:val="3"/>
            <w:vMerge w:val="continue"/>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60" w:type="dxa"/>
            <w:vAlign w:val="bottom"/>
            <w:gridSpan w:val="3"/>
            <w:vMerge w:val="restart"/>
          </w:tcPr>
          <w:p>
            <w:pPr>
              <w:jc w:val="center"/>
              <w:ind w:right="100"/>
              <w:spacing w:after="0" w:line="127" w:lineRule="exact"/>
              <w:rPr>
                <w:sz w:val="20"/>
                <w:szCs w:val="20"/>
                <w:color w:val="auto"/>
              </w:rPr>
            </w:pPr>
            <w:r>
              <w:rPr>
                <w:rFonts w:ascii="Times New Roman" w:cs="Times New Roman" w:eastAsia="Times New Roman" w:hAnsi="Times New Roman"/>
                <w:sz w:val="14"/>
                <w:szCs w:val="14"/>
                <w:b w:val="1"/>
                <w:bCs w:val="1"/>
                <w:color w:val="auto"/>
              </w:rPr>
              <w:t>Additional Paid</w:t>
            </w:r>
          </w:p>
        </w:tc>
        <w:tc>
          <w:tcPr>
            <w:tcW w:w="120" w:type="dxa"/>
            <w:vAlign w:val="bottom"/>
          </w:tcPr>
          <w:p>
            <w:pPr>
              <w:spacing w:after="0"/>
              <w:rPr>
                <w:sz w:val="10"/>
                <w:szCs w:val="10"/>
                <w:color w:val="auto"/>
              </w:rPr>
            </w:pPr>
          </w:p>
        </w:tc>
        <w:tc>
          <w:tcPr>
            <w:tcW w:w="1060" w:type="dxa"/>
            <w:vAlign w:val="bottom"/>
            <w:gridSpan w:val="2"/>
            <w:vMerge w:val="restart"/>
          </w:tcPr>
          <w:p>
            <w:pPr>
              <w:jc w:val="center"/>
              <w:ind w:right="200"/>
              <w:spacing w:after="0" w:line="127" w:lineRule="exact"/>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0"/>
                <w:szCs w:val="10"/>
                <w:color w:val="auto"/>
              </w:rPr>
            </w:pPr>
          </w:p>
        </w:tc>
        <w:tc>
          <w:tcPr>
            <w:tcW w:w="1240" w:type="dxa"/>
            <w:vAlign w:val="bottom"/>
            <w:gridSpan w:val="2"/>
            <w:vMerge w:val="restart"/>
          </w:tcPr>
          <w:p>
            <w:pPr>
              <w:jc w:val="center"/>
              <w:ind w:right="240"/>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22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gridSpan w:val="2"/>
            <w:vMerge w:val="continue"/>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2"/>
            <w:vMerge w:val="continue"/>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3280" w:type="dxa"/>
            <w:vAlign w:val="bottom"/>
          </w:tcPr>
          <w:p>
            <w:pPr>
              <w:spacing w:after="0"/>
              <w:rPr>
                <w:sz w:val="16"/>
                <w:szCs w:val="16"/>
                <w:color w:val="auto"/>
              </w:rPr>
            </w:pPr>
          </w:p>
        </w:tc>
        <w:tc>
          <w:tcPr>
            <w:tcW w:w="10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Treasury Stock</w:t>
            </w:r>
          </w:p>
        </w:tc>
        <w:tc>
          <w:tcPr>
            <w:tcW w:w="160" w:type="dxa"/>
            <w:vAlign w:val="bottom"/>
          </w:tcPr>
          <w:p>
            <w:pPr>
              <w:spacing w:after="0"/>
              <w:rPr>
                <w:sz w:val="16"/>
                <w:szCs w:val="16"/>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Capital</w:t>
            </w:r>
          </w:p>
        </w:tc>
        <w:tc>
          <w:tcPr>
            <w:tcW w:w="120" w:type="dxa"/>
            <w:vAlign w:val="bottom"/>
          </w:tcPr>
          <w:p>
            <w:pPr>
              <w:spacing w:after="0"/>
              <w:rPr>
                <w:sz w:val="16"/>
                <w:szCs w:val="16"/>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40" w:type="dxa"/>
            <w:vAlign w:val="bottom"/>
          </w:tcPr>
          <w:p>
            <w:pPr>
              <w:spacing w:after="0"/>
              <w:rPr>
                <w:sz w:val="16"/>
                <w:szCs w:val="16"/>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220" w:type="dxa"/>
            <w:vAlign w:val="bottom"/>
          </w:tcPr>
          <w:p>
            <w:pPr>
              <w:spacing w:after="0"/>
              <w:rPr>
                <w:sz w:val="16"/>
                <w:szCs w:val="16"/>
                <w:color w:val="auto"/>
              </w:rPr>
            </w:pPr>
          </w:p>
        </w:tc>
        <w:tc>
          <w:tcPr>
            <w:tcW w:w="84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2026:</w:t>
            </w: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at December 31, 2025</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83,365,696</w:t>
            </w:r>
          </w:p>
        </w:tc>
        <w:tc>
          <w:tcPr>
            <w:tcW w:w="80" w:type="dxa"/>
            <w:vAlign w:val="bottom"/>
          </w:tcPr>
          <w:p>
            <w:pPr>
              <w:spacing w:after="0"/>
              <w:rPr>
                <w:sz w:val="16"/>
                <w:szCs w:val="16"/>
                <w:color w:val="auto"/>
              </w:rPr>
            </w:pPr>
          </w:p>
        </w:tc>
        <w:tc>
          <w:tcPr>
            <w:tcW w:w="740" w:type="dxa"/>
            <w:vAlign w:val="bottom"/>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6"/>
                <w:szCs w:val="16"/>
                <w:color w:val="auto"/>
              </w:rPr>
            </w:pPr>
          </w:p>
        </w:tc>
        <w:tc>
          <w:tcPr>
            <w:tcW w:w="2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(388,075)</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700,785</w:t>
            </w:r>
          </w:p>
        </w:tc>
        <w:tc>
          <w:tcPr>
            <w:tcW w:w="10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202,827</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6"/>
                <w:szCs w:val="16"/>
                <w:color w:val="auto"/>
              </w:rPr>
            </w:pPr>
          </w:p>
        </w:tc>
        <w:tc>
          <w:tcPr>
            <w:tcW w:w="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516,044</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3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w:t>
            </w:r>
          </w:p>
        </w:tc>
        <w:tc>
          <w:tcPr>
            <w:tcW w:w="9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withheld</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416,514</w:t>
            </w:r>
          </w:p>
        </w:tc>
        <w:tc>
          <w:tcPr>
            <w:tcW w:w="8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1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(3,382)</w:t>
            </w:r>
          </w:p>
        </w:tc>
        <w:tc>
          <w:tcPr>
            <w:tcW w:w="0" w:type="dxa"/>
            <w:vAlign w:val="bottom"/>
          </w:tcPr>
          <w:p>
            <w:pPr>
              <w:spacing w:after="0"/>
              <w:rPr>
                <w:sz w:val="1"/>
                <w:szCs w:val="1"/>
                <w:color w:val="auto"/>
              </w:rPr>
            </w:pPr>
          </w:p>
        </w:tc>
      </w:tr>
      <w:tr>
        <w:trPr>
          <w:trHeight w:val="193"/>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20,356</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20,356</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(5,511,824)</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(117,685)</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(117,685)</w:t>
            </w:r>
          </w:p>
        </w:tc>
        <w:tc>
          <w:tcPr>
            <w:tcW w:w="0" w:type="dxa"/>
            <w:vAlign w:val="bottom"/>
          </w:tcPr>
          <w:p>
            <w:pPr>
              <w:spacing w:after="0"/>
              <w:rPr>
                <w:sz w:val="1"/>
                <w:szCs w:val="1"/>
                <w:color w:val="auto"/>
              </w:rPr>
            </w:pPr>
          </w:p>
        </w:tc>
      </w:tr>
      <w:tr>
        <w:trPr>
          <w:trHeight w:val="193"/>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loss, net of tax</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24,232</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24,232</w:t>
            </w:r>
          </w:p>
        </w:tc>
        <w:tc>
          <w:tcPr>
            <w:tcW w:w="0" w:type="dxa"/>
            <w:vAlign w:val="bottom"/>
          </w:tcPr>
          <w:p>
            <w:pPr>
              <w:spacing w:after="0"/>
              <w:rPr>
                <w:sz w:val="1"/>
                <w:szCs w:val="1"/>
                <w:color w:val="auto"/>
              </w:rPr>
            </w:pPr>
          </w:p>
        </w:tc>
      </w:tr>
      <w:tr>
        <w:trPr>
          <w:trHeight w:val="209"/>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2026</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78,270,386</w:t>
            </w: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(505,760)</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717,759</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227,059</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277</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439,344</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 2025:</w:t>
            </w: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3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at December 31, 2024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85,310,698</w:t>
            </w:r>
          </w:p>
        </w:tc>
        <w:tc>
          <w:tcPr>
            <w:tcW w:w="8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shd w:val="clear" w:color="auto" w:fill="CCEEFF"/>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(303,889)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581,596</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144,307</w:t>
            </w:r>
          </w:p>
        </w:tc>
        <w:tc>
          <w:tcPr>
            <w:tcW w:w="8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422,062</w:t>
            </w:r>
          </w:p>
        </w:tc>
        <w:tc>
          <w:tcPr>
            <w:tcW w:w="0" w:type="dxa"/>
            <w:vAlign w:val="bottom"/>
          </w:tcPr>
          <w:p>
            <w:pPr>
              <w:spacing w:after="0"/>
              <w:rPr>
                <w:sz w:val="1"/>
                <w:szCs w:val="1"/>
                <w:color w:val="auto"/>
              </w:rPr>
            </w:pPr>
          </w:p>
        </w:tc>
      </w:tr>
      <w:tr>
        <w:trPr>
          <w:trHeight w:val="166"/>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Issuance of employee equity awards, net of shares</w:t>
            </w: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359,126</w:t>
            </w:r>
          </w:p>
        </w:tc>
        <w:tc>
          <w:tcPr>
            <w:tcW w:w="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4"/>
                <w:szCs w:val="14"/>
                <w:color w:val="auto"/>
              </w:rPr>
            </w:pP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(3,045)</w:t>
            </w:r>
          </w:p>
        </w:tc>
        <w:tc>
          <w:tcPr>
            <w:tcW w:w="0" w:type="dxa"/>
            <w:vAlign w:val="bottom"/>
          </w:tcPr>
          <w:p>
            <w:pPr>
              <w:spacing w:after="0"/>
              <w:rPr>
                <w:sz w:val="1"/>
                <w:szCs w:val="1"/>
                <w:color w:val="auto"/>
              </w:rPr>
            </w:pPr>
          </w:p>
        </w:tc>
      </w:tr>
      <w:tr>
        <w:trPr>
          <w:trHeight w:val="188"/>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withheld</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33,012</w:t>
            </w:r>
          </w:p>
        </w:tc>
        <w:tc>
          <w:tcPr>
            <w:tcW w:w="10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33,012</w:t>
            </w:r>
          </w:p>
        </w:tc>
        <w:tc>
          <w:tcPr>
            <w:tcW w:w="0" w:type="dxa"/>
            <w:vAlign w:val="bottom"/>
          </w:tcPr>
          <w:p>
            <w:pPr>
              <w:spacing w:after="0"/>
              <w:rPr>
                <w:sz w:val="1"/>
                <w:szCs w:val="1"/>
                <w:color w:val="auto"/>
              </w:rPr>
            </w:pPr>
          </w:p>
        </w:tc>
      </w:tr>
      <w:tr>
        <w:trPr>
          <w:trHeight w:val="193"/>
        </w:trPr>
        <w:tc>
          <w:tcPr>
            <w:tcW w:w="328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Other comprehensive income, net of tax</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Pr>
          <w:p>
            <w:pPr>
              <w:spacing w:after="0"/>
              <w:rPr>
                <w:sz w:val="16"/>
                <w:szCs w:val="16"/>
                <w:color w:val="auto"/>
              </w:rPr>
            </w:pPr>
          </w:p>
        </w:tc>
        <w:tc>
          <w:tcPr>
            <w:tcW w:w="840" w:type="dxa"/>
            <w:vAlign w:val="bottom"/>
            <w:gridSpan w:val="2"/>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w:t>
            </w:r>
          </w:p>
        </w:tc>
        <w:tc>
          <w:tcPr>
            <w:tcW w:w="0" w:type="dxa"/>
            <w:vAlign w:val="bottom"/>
          </w:tcPr>
          <w:p>
            <w:pPr>
              <w:spacing w:after="0"/>
              <w:rPr>
                <w:sz w:val="1"/>
                <w:szCs w:val="1"/>
                <w:color w:val="auto"/>
              </w:rPr>
            </w:pPr>
          </w:p>
        </w:tc>
      </w:tr>
      <w:tr>
        <w:trPr>
          <w:trHeight w:val="23"/>
        </w:trPr>
        <w:tc>
          <w:tcPr>
            <w:tcW w:w="3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Net income</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w w:val="99"/>
              </w:rPr>
              <w:t>—</w:t>
            </w:r>
          </w:p>
        </w:tc>
        <w:tc>
          <w:tcPr>
            <w:tcW w:w="26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gridSpan w:val="2"/>
            <w:shd w:val="clear" w:color="auto" w:fill="CCEEFF"/>
          </w:tcPr>
          <w:p>
            <w:pPr>
              <w:ind w:left="54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bottom w:val="single" w:sz="8" w:color="CCEEFF"/>
            </w:tcBorders>
            <w:shd w:val="clear" w:color="auto" w:fill="CCEEFF"/>
          </w:tcPr>
          <w:p>
            <w:pPr>
              <w:spacing w:after="0"/>
              <w:rPr>
                <w:sz w:val="18"/>
                <w:szCs w:val="18"/>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15,059</w:t>
            </w:r>
          </w:p>
        </w:tc>
        <w:tc>
          <w:tcPr>
            <w:tcW w:w="0" w:type="dxa"/>
            <w:vAlign w:val="bottom"/>
          </w:tcPr>
          <w:p>
            <w:pPr>
              <w:spacing w:after="0"/>
              <w:rPr>
                <w:sz w:val="1"/>
                <w:szCs w:val="1"/>
                <w:color w:val="auto"/>
              </w:rPr>
            </w:pPr>
          </w:p>
        </w:tc>
      </w:tr>
      <w:tr>
        <w:trPr>
          <w:trHeight w:val="210"/>
        </w:trPr>
        <w:tc>
          <w:tcPr>
            <w:tcW w:w="32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Balance at March 31, 2025</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85,669,824</w:t>
            </w:r>
          </w:p>
        </w:tc>
        <w:tc>
          <w:tcPr>
            <w:tcW w:w="8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68"/>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tcPr>
          <w:p>
            <w:pPr>
              <w:spacing w:after="0"/>
              <w:rPr>
                <w:sz w:val="18"/>
                <w:szCs w:val="18"/>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bottom w:val="single" w:sz="8" w:color="auto"/>
            </w:tcBorders>
          </w:tcPr>
          <w:p>
            <w:pPr>
              <w:ind w:left="160"/>
              <w:spacing w:after="0"/>
              <w:rPr>
                <w:sz w:val="20"/>
                <w:szCs w:val="20"/>
                <w:color w:val="auto"/>
              </w:rPr>
            </w:pPr>
            <w:r>
              <w:rPr>
                <w:rFonts w:ascii="Times New Roman" w:cs="Times New Roman" w:eastAsia="Times New Roman" w:hAnsi="Times New Roman"/>
                <w:sz w:val="14"/>
                <w:szCs w:val="14"/>
                <w:color w:val="auto"/>
              </w:rPr>
              <w:t>(303,889)</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611,563</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159,366</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110</w:t>
            </w:r>
          </w:p>
        </w:tc>
        <w:tc>
          <w:tcPr>
            <w:tcW w:w="1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467,159</w:t>
            </w:r>
          </w:p>
        </w:tc>
        <w:tc>
          <w:tcPr>
            <w:tcW w:w="0" w:type="dxa"/>
            <w:vAlign w:val="bottom"/>
          </w:tcPr>
          <w:p>
            <w:pPr>
              <w:spacing w:after="0"/>
              <w:rPr>
                <w:sz w:val="1"/>
                <w:szCs w:val="1"/>
                <w:color w:val="auto"/>
              </w:rPr>
            </w:pPr>
          </w:p>
        </w:tc>
      </w:tr>
      <w:tr>
        <w:trPr>
          <w:trHeight w:val="20"/>
        </w:trPr>
        <w:tc>
          <w:tcPr>
            <w:tcW w:w="328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2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7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6"/>
          <w:szCs w:val="16"/>
          <w:b w:val="1"/>
          <w:bCs w:val="1"/>
          <w:color w:val="auto"/>
        </w:rPr>
        <w:t>PROGYNY, INC.</w:t>
      </w:r>
    </w:p>
    <w:p>
      <w:pPr>
        <w:spacing w:after="0" w:line="113"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6"/>
          <w:szCs w:val="16"/>
          <w:b w:val="1"/>
          <w:bCs w:val="1"/>
          <w:color w:val="auto"/>
        </w:rPr>
        <w:t>Consolidated Statements of Cash Flows</w:t>
      </w:r>
    </w:p>
    <w:p>
      <w:pPr>
        <w:spacing w:after="0" w:line="111"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b w:val="1"/>
          <w:bCs w:val="1"/>
          <w:i w:val="1"/>
          <w:iCs w:val="1"/>
          <w:color w:val="auto"/>
        </w:rPr>
        <w:t>(Unaudited)</w:t>
      </w:r>
    </w:p>
    <w:p>
      <w:pPr>
        <w:spacing w:after="0" w:line="3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p>
      <w:pPr>
        <w:spacing w:after="0" w:line="40"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7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4908550</wp:posOffset>
            </wp:positionH>
            <wp:positionV relativeFrom="paragraph">
              <wp:posOffset>22225</wp:posOffset>
            </wp:positionV>
            <wp:extent cx="21513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151380" cy="8255"/>
                    </a:xfrm>
                    <a:prstGeom prst="rect">
                      <a:avLst/>
                    </a:prstGeom>
                    <a:noFill/>
                  </pic:spPr>
                </pic:pic>
              </a:graphicData>
            </a:graphic>
          </wp:anchor>
        </w:drawing>
      </w:r>
    </w:p>
    <w:p>
      <w:pPr>
        <w:spacing w:after="0" w:line="31" w:lineRule="exact"/>
        <w:rPr>
          <w:sz w:val="20"/>
          <w:szCs w:val="20"/>
          <w:color w:val="auto"/>
        </w:rPr>
      </w:pPr>
    </w:p>
    <w:tbl>
      <w:tblPr>
        <w:tblLayout w:type="fixed"/>
        <w:tblInd w:w="140" w:type="dxa"/>
        <w:tblCellMar>
          <w:top w:w="0" w:type="dxa"/>
          <w:left w:w="0" w:type="dxa"/>
          <w:bottom w:w="0" w:type="dxa"/>
          <w:right w:w="0" w:type="dxa"/>
        </w:tblCellMar>
      </w:tblPr>
      <w:tr>
        <w:trPr>
          <w:trHeight w:val="190"/>
        </w:trPr>
        <w:tc>
          <w:tcPr>
            <w:tcW w:w="75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608"/>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7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9"/>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ACTIVITIES</w:t>
            </w:r>
          </w:p>
        </w:tc>
        <w:tc>
          <w:tcPr>
            <w:tcW w:w="10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r>
      <w:tr>
        <w:trPr>
          <w:trHeight w:val="193"/>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1020" w:type="dxa"/>
            <w:vAlign w:val="bottom"/>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24,232</w:t>
            </w:r>
          </w:p>
        </w:tc>
        <w:tc>
          <w:tcPr>
            <w:tcW w:w="100" w:type="dxa"/>
            <w:vAlign w:val="bottom"/>
          </w:tcPr>
          <w:p>
            <w:pPr>
              <w:spacing w:after="0"/>
              <w:rPr>
                <w:sz w:val="16"/>
                <w:szCs w:val="16"/>
                <w:color w:val="auto"/>
              </w:rPr>
            </w:pPr>
          </w:p>
        </w:tc>
        <w:tc>
          <w:tcPr>
            <w:tcW w:w="360" w:type="dxa"/>
            <w:vAlign w:val="bottom"/>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15,059</w:t>
            </w:r>
          </w:p>
        </w:tc>
      </w:tr>
      <w:tr>
        <w:trPr>
          <w:trHeight w:val="23"/>
        </w:trPr>
        <w:tc>
          <w:tcPr>
            <w:tcW w:w="7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Adjustments to reconcile net income to net cash provided by operating activities:</w:t>
            </w:r>
          </w:p>
        </w:tc>
        <w:tc>
          <w:tcPr>
            <w:tcW w:w="10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7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Deferred tax expense</w:t>
            </w:r>
          </w:p>
        </w:tc>
        <w:tc>
          <w:tcPr>
            <w:tcW w:w="10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w:t>
            </w:r>
          </w:p>
        </w:tc>
      </w:tr>
      <w:tr>
        <w:trPr>
          <w:trHeight w:val="23"/>
        </w:trPr>
        <w:tc>
          <w:tcPr>
            <w:tcW w:w="7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0"/>
        </w:trPr>
        <w:tc>
          <w:tcPr>
            <w:tcW w:w="7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5"/>
                <w:szCs w:val="15"/>
                <w:color w:val="auto"/>
              </w:rPr>
              <w:t>Non-cash interest expense</w:t>
            </w:r>
          </w:p>
        </w:tc>
        <w:tc>
          <w:tcPr>
            <w:tcW w:w="10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279</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5"/>
                <w:szCs w:val="15"/>
                <w:color w:val="auto"/>
              </w:rPr>
              <w:t>—</w:t>
            </w:r>
          </w:p>
        </w:tc>
      </w:tr>
      <w:tr>
        <w:trPr>
          <w:trHeight w:val="193"/>
        </w:trPr>
        <w:tc>
          <w:tcPr>
            <w:tcW w:w="7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10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1,483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1,108</w:t>
            </w:r>
          </w:p>
        </w:tc>
      </w:tr>
      <w:tr>
        <w:trPr>
          <w:trHeight w:val="23"/>
        </w:trPr>
        <w:tc>
          <w:tcPr>
            <w:tcW w:w="7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7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Loss on disposal of property and equipment</w:t>
            </w:r>
          </w:p>
        </w:tc>
        <w:tc>
          <w:tcPr>
            <w:tcW w:w="10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79</w:t>
            </w:r>
          </w:p>
        </w:tc>
      </w:tr>
      <w:tr>
        <w:trPr>
          <w:trHeight w:val="193"/>
        </w:trPr>
        <w:tc>
          <w:tcPr>
            <w:tcW w:w="7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Stock-based compensation expense</w:t>
            </w:r>
          </w:p>
        </w:tc>
        <w:tc>
          <w:tcPr>
            <w:tcW w:w="10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19,721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32,512</w:t>
            </w:r>
          </w:p>
        </w:tc>
      </w:tr>
      <w:tr>
        <w:trPr>
          <w:trHeight w:val="23"/>
        </w:trPr>
        <w:tc>
          <w:tcPr>
            <w:tcW w:w="7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75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4"/>
                <w:szCs w:val="14"/>
                <w:color w:val="auto"/>
              </w:rPr>
              <w:t>Bad debt expense</w:t>
            </w:r>
          </w:p>
        </w:tc>
        <w:tc>
          <w:tcPr>
            <w:tcW w:w="10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4,436</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5,659</w:t>
            </w:r>
          </w:p>
        </w:tc>
      </w:tr>
      <w:tr>
        <w:trPr>
          <w:trHeight w:val="193"/>
        </w:trPr>
        <w:tc>
          <w:tcPr>
            <w:tcW w:w="758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Net accretion of discounts on marketable securities</w:t>
            </w:r>
          </w:p>
        </w:tc>
        <w:tc>
          <w:tcPr>
            <w:tcW w:w="10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1,150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1,106</w:t>
            </w:r>
          </w:p>
        </w:tc>
      </w:tr>
      <w:tr>
        <w:trPr>
          <w:trHeight w:val="23"/>
        </w:trPr>
        <w:tc>
          <w:tcPr>
            <w:tcW w:w="7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Changes in operating assets and liabilities:</w:t>
            </w:r>
          </w:p>
        </w:tc>
        <w:tc>
          <w:tcPr>
            <w:tcW w:w="10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7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receivable</w:t>
            </w:r>
          </w:p>
        </w:tc>
        <w:tc>
          <w:tcPr>
            <w:tcW w:w="10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(47,773)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(69,732)</w:t>
            </w:r>
          </w:p>
        </w:tc>
      </w:tr>
      <w:tr>
        <w:trPr>
          <w:trHeight w:val="23"/>
        </w:trPr>
        <w:tc>
          <w:tcPr>
            <w:tcW w:w="7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7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Prepaid expenses and other current assets</w:t>
            </w:r>
          </w:p>
        </w:tc>
        <w:tc>
          <w:tcPr>
            <w:tcW w:w="10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9,601</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(2,383)</w:t>
            </w:r>
          </w:p>
        </w:tc>
      </w:tr>
      <w:tr>
        <w:trPr>
          <w:trHeight w:val="193"/>
        </w:trPr>
        <w:tc>
          <w:tcPr>
            <w:tcW w:w="7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Accounts payable</w:t>
            </w:r>
          </w:p>
        </w:tc>
        <w:tc>
          <w:tcPr>
            <w:tcW w:w="10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33,635</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49,618</w:t>
            </w:r>
          </w:p>
        </w:tc>
      </w:tr>
      <w:tr>
        <w:trPr>
          <w:trHeight w:val="23"/>
        </w:trPr>
        <w:tc>
          <w:tcPr>
            <w:tcW w:w="7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7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Accrued expenses and other current liabilities</w:t>
            </w:r>
          </w:p>
        </w:tc>
        <w:tc>
          <w:tcPr>
            <w:tcW w:w="10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1,530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17,509</w:t>
            </w:r>
          </w:p>
        </w:tc>
      </w:tr>
      <w:tr>
        <w:trPr>
          <w:trHeight w:val="193"/>
        </w:trPr>
        <w:tc>
          <w:tcPr>
            <w:tcW w:w="7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Other noncurrent assets and liabilities</w:t>
            </w:r>
          </w:p>
        </w:tc>
        <w:tc>
          <w:tcPr>
            <w:tcW w:w="10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(738)</w:t>
            </w:r>
          </w:p>
        </w:tc>
      </w:tr>
      <w:tr>
        <w:trPr>
          <w:trHeight w:val="23"/>
        </w:trPr>
        <w:tc>
          <w:tcPr>
            <w:tcW w:w="7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9"/>
        </w:trPr>
        <w:tc>
          <w:tcPr>
            <w:tcW w:w="7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cash provided by operating activities</w:t>
            </w:r>
          </w:p>
        </w:tc>
        <w:tc>
          <w:tcPr>
            <w:tcW w:w="10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45,949</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49,808</w:t>
            </w:r>
          </w:p>
        </w:tc>
      </w:tr>
      <w:tr>
        <w:trPr>
          <w:trHeight w:val="216"/>
        </w:trPr>
        <w:tc>
          <w:tcPr>
            <w:tcW w:w="75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196"/>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INVESTING ACTIVITIES</w:t>
            </w:r>
          </w:p>
        </w:tc>
        <w:tc>
          <w:tcPr>
            <w:tcW w:w="10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spacing w:after="0"/>
              <w:rPr>
                <w:sz w:val="17"/>
                <w:szCs w:val="17"/>
                <w:color w:val="auto"/>
              </w:rPr>
            </w:pPr>
          </w:p>
        </w:tc>
      </w:tr>
      <w:tr>
        <w:trPr>
          <w:trHeight w:val="193"/>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Purchase of property and equipment, net</w:t>
            </w:r>
          </w:p>
        </w:tc>
        <w:tc>
          <w:tcPr>
            <w:tcW w:w="10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(6,347)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(2,843)</w:t>
            </w:r>
          </w:p>
        </w:tc>
      </w:tr>
      <w:tr>
        <w:trPr>
          <w:trHeight w:val="23"/>
        </w:trPr>
        <w:tc>
          <w:tcPr>
            <w:tcW w:w="7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Purchase of marketable securities</w:t>
            </w:r>
          </w:p>
        </w:tc>
        <w:tc>
          <w:tcPr>
            <w:tcW w:w="1020" w:type="dxa"/>
            <w:vAlign w:val="bottom"/>
            <w:tcBorders>
              <w:bottom w:val="single" w:sz="8" w:color="CCEEFF"/>
            </w:tcBorders>
            <w:shd w:val="clear" w:color="auto" w:fill="CCEEFF"/>
          </w:tcPr>
          <w:p>
            <w:pPr>
              <w:spacing w:after="0"/>
              <w:rPr>
                <w:sz w:val="17"/>
                <w:szCs w:val="17"/>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(145,809)</w:t>
            </w:r>
          </w:p>
        </w:tc>
      </w:tr>
      <w:tr>
        <w:trPr>
          <w:trHeight w:val="193"/>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Sale of marketable securities</w:t>
            </w:r>
          </w:p>
        </w:tc>
        <w:tc>
          <w:tcPr>
            <w:tcW w:w="10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102,941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63,382</w:t>
            </w:r>
          </w:p>
        </w:tc>
      </w:tr>
      <w:tr>
        <w:trPr>
          <w:trHeight w:val="23"/>
        </w:trPr>
        <w:tc>
          <w:tcPr>
            <w:tcW w:w="7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Acquisition of business, net of cash acquired</w:t>
            </w:r>
          </w:p>
        </w:tc>
        <w:tc>
          <w:tcPr>
            <w:tcW w:w="102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(9,340)</w:t>
            </w:r>
          </w:p>
        </w:tc>
      </w:tr>
      <w:tr>
        <w:trPr>
          <w:trHeight w:val="186"/>
        </w:trPr>
        <w:tc>
          <w:tcPr>
            <w:tcW w:w="7580" w:type="dxa"/>
            <w:vAlign w:val="bottom"/>
          </w:tcPr>
          <w:p>
            <w:pPr>
              <w:ind w:left="260"/>
              <w:spacing w:after="0"/>
              <w:rPr>
                <w:sz w:val="20"/>
                <w:szCs w:val="20"/>
                <w:color w:val="auto"/>
              </w:rPr>
            </w:pPr>
            <w:r>
              <w:rPr>
                <w:rFonts w:ascii="Times New Roman" w:cs="Times New Roman" w:eastAsia="Times New Roman" w:hAnsi="Times New Roman"/>
                <w:sz w:val="14"/>
                <w:szCs w:val="14"/>
                <w:color w:val="auto"/>
              </w:rPr>
              <w:t>Net cash provided by (used in) investing activities</w:t>
            </w:r>
          </w:p>
        </w:tc>
        <w:tc>
          <w:tcPr>
            <w:tcW w:w="1020" w:type="dxa"/>
            <w:vAlign w:val="bottom"/>
            <w:tcBorders>
              <w:top w:val="single" w:sz="8" w:color="auto"/>
            </w:tcBorders>
          </w:tcPr>
          <w:p>
            <w:pPr>
              <w:spacing w:after="0"/>
              <w:rPr>
                <w:sz w:val="16"/>
                <w:szCs w:val="16"/>
                <w:color w:val="auto"/>
              </w:rPr>
            </w:pPr>
          </w:p>
        </w:tc>
        <w:tc>
          <w:tcPr>
            <w:tcW w:w="640" w:type="dxa"/>
            <w:vAlign w:val="bottom"/>
            <w:tcBorders>
              <w:top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96,594</w:t>
            </w:r>
          </w:p>
        </w:tc>
        <w:tc>
          <w:tcPr>
            <w:tcW w:w="100" w:type="dxa"/>
            <w:vAlign w:val="bottom"/>
          </w:tcPr>
          <w:p>
            <w:pPr>
              <w:spacing w:after="0"/>
              <w:rPr>
                <w:sz w:val="16"/>
                <w:szCs w:val="16"/>
                <w:color w:val="auto"/>
              </w:rPr>
            </w:pPr>
          </w:p>
        </w:tc>
        <w:tc>
          <w:tcPr>
            <w:tcW w:w="36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(94,610)</w:t>
            </w:r>
          </w:p>
        </w:tc>
      </w:tr>
      <w:tr>
        <w:trPr>
          <w:trHeight w:val="23"/>
        </w:trPr>
        <w:tc>
          <w:tcPr>
            <w:tcW w:w="7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758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r>
      <w:tr>
        <w:trPr>
          <w:trHeight w:val="193"/>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FINANCING ACTIVITIES</w:t>
            </w: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3"/>
        </w:trPr>
        <w:tc>
          <w:tcPr>
            <w:tcW w:w="7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Repurchase of common stock</w:t>
            </w:r>
          </w:p>
        </w:tc>
        <w:tc>
          <w:tcPr>
            <w:tcW w:w="10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(118,607)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193"/>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exercise of stock options</w:t>
            </w:r>
          </w:p>
        </w:tc>
        <w:tc>
          <w:tcPr>
            <w:tcW w:w="10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39</w:t>
            </w:r>
          </w:p>
        </w:tc>
      </w:tr>
      <w:tr>
        <w:trPr>
          <w:trHeight w:val="23"/>
        </w:trPr>
        <w:tc>
          <w:tcPr>
            <w:tcW w:w="7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Payment of employee taxes related to equity awards</w:t>
            </w:r>
          </w:p>
        </w:tc>
        <w:tc>
          <w:tcPr>
            <w:tcW w:w="1020" w:type="dxa"/>
            <w:vAlign w:val="bottom"/>
            <w:tcBorders>
              <w:bottom w:val="single" w:sz="8" w:color="CCEEFF"/>
            </w:tcBorders>
            <w:shd w:val="clear" w:color="auto" w:fill="CCEEFF"/>
          </w:tcPr>
          <w:p>
            <w:pPr>
              <w:spacing w:after="0"/>
              <w:rPr>
                <w:sz w:val="17"/>
                <w:szCs w:val="17"/>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(4,844)</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(3,583)</w:t>
            </w:r>
          </w:p>
        </w:tc>
      </w:tr>
      <w:tr>
        <w:trPr>
          <w:trHeight w:val="193"/>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Proceeds from contributions to employee stock purchase plan</w:t>
            </w:r>
          </w:p>
        </w:tc>
        <w:tc>
          <w:tcPr>
            <w:tcW w:w="10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307</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256</w:t>
            </w:r>
          </w:p>
        </w:tc>
      </w:tr>
      <w:tr>
        <w:trPr>
          <w:trHeight w:val="23"/>
        </w:trPr>
        <w:tc>
          <w:tcPr>
            <w:tcW w:w="7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5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Net cash used in financing activities</w:t>
            </w:r>
          </w:p>
        </w:tc>
        <w:tc>
          <w:tcPr>
            <w:tcW w:w="10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(123,114)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(3,288)</w:t>
            </w:r>
          </w:p>
        </w:tc>
      </w:tr>
      <w:tr>
        <w:trPr>
          <w:trHeight w:val="193"/>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Effect of exchange rate changes on cash, cash equivalents, and restricted cash</w:t>
            </w:r>
          </w:p>
        </w:tc>
        <w:tc>
          <w:tcPr>
            <w:tcW w:w="102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15</w:t>
            </w:r>
          </w:p>
        </w:tc>
      </w:tr>
      <w:tr>
        <w:trPr>
          <w:trHeight w:val="23"/>
        </w:trPr>
        <w:tc>
          <w:tcPr>
            <w:tcW w:w="7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89"/>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increase (decrease) in cash, cash equivalents, and restricted cash</w:t>
            </w:r>
          </w:p>
        </w:tc>
        <w:tc>
          <w:tcPr>
            <w:tcW w:w="102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19,378</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(48,075)</w:t>
            </w:r>
          </w:p>
        </w:tc>
      </w:tr>
      <w:tr>
        <w:trPr>
          <w:trHeight w:val="193"/>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beginning of period</w:t>
            </w:r>
          </w:p>
        </w:tc>
        <w:tc>
          <w:tcPr>
            <w:tcW w:w="10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114,193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162,314</w:t>
            </w:r>
          </w:p>
        </w:tc>
      </w:tr>
      <w:tr>
        <w:trPr>
          <w:trHeight w:val="23"/>
        </w:trPr>
        <w:tc>
          <w:tcPr>
            <w:tcW w:w="75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4"/>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cash equivalents, and restricted cash, end of period</w:t>
            </w:r>
          </w:p>
        </w:tc>
        <w:tc>
          <w:tcPr>
            <w:tcW w:w="1020" w:type="dxa"/>
            <w:vAlign w:val="bottom"/>
            <w:tcBorders>
              <w:bottom w:val="single" w:sz="8" w:color="auto"/>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133,571</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114,239</w:t>
            </w:r>
          </w:p>
        </w:tc>
      </w:tr>
      <w:tr>
        <w:trPr>
          <w:trHeight w:val="20"/>
        </w:trPr>
        <w:tc>
          <w:tcPr>
            <w:tcW w:w="75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75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96"/>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and cash equivalents</w:t>
            </w:r>
          </w:p>
        </w:tc>
        <w:tc>
          <w:tcPr>
            <w:tcW w:w="102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131,607</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109,239</w:t>
            </w:r>
          </w:p>
        </w:tc>
      </w:tr>
      <w:tr>
        <w:trPr>
          <w:trHeight w:val="193"/>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Restricted cash included within prepaid expenses and other current assets</w:t>
            </w:r>
          </w:p>
        </w:tc>
        <w:tc>
          <w:tcPr>
            <w:tcW w:w="1020" w:type="dxa"/>
            <w:vAlign w:val="bottom"/>
          </w:tcPr>
          <w:p>
            <w:pPr>
              <w:spacing w:after="0"/>
              <w:rPr>
                <w:sz w:val="16"/>
                <w:szCs w:val="16"/>
                <w:color w:val="auto"/>
              </w:rPr>
            </w:pPr>
          </w:p>
        </w:tc>
        <w:tc>
          <w:tcPr>
            <w:tcW w:w="64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1,039</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r>
      <w:tr>
        <w:trPr>
          <w:trHeight w:val="23"/>
        </w:trPr>
        <w:tc>
          <w:tcPr>
            <w:tcW w:w="7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16"/>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Restricted cash included within other noncurrent assets</w:t>
            </w:r>
          </w:p>
        </w:tc>
        <w:tc>
          <w:tcPr>
            <w:tcW w:w="1020" w:type="dxa"/>
            <w:vAlign w:val="bottom"/>
            <w:tcBorders>
              <w:bottom w:val="single" w:sz="8" w:color="CCEEFF"/>
            </w:tcBorders>
            <w:shd w:val="clear" w:color="auto" w:fill="CCEEFF"/>
          </w:tcPr>
          <w:p>
            <w:pPr>
              <w:spacing w:after="0"/>
              <w:rPr>
                <w:sz w:val="18"/>
                <w:szCs w:val="18"/>
                <w:color w:val="auto"/>
              </w:rPr>
            </w:pP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925</w:t>
            </w:r>
          </w:p>
        </w:tc>
        <w:tc>
          <w:tcPr>
            <w:tcW w:w="10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5,000</w:t>
            </w:r>
          </w:p>
        </w:tc>
      </w:tr>
      <w:tr>
        <w:trPr>
          <w:trHeight w:val="209"/>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Total cash, cash equivalents, and restricted cash</w:t>
            </w:r>
          </w:p>
        </w:tc>
        <w:tc>
          <w:tcPr>
            <w:tcW w:w="1020" w:type="dxa"/>
            <w:vAlign w:val="bottom"/>
            <w:tcBorders>
              <w:top w:val="single" w:sz="8" w:color="auto"/>
              <w:bottom w:val="single" w:sz="8" w:color="auto"/>
            </w:tcBorders>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133,571</w:t>
            </w:r>
          </w:p>
        </w:tc>
        <w:tc>
          <w:tcPr>
            <w:tcW w:w="100" w:type="dxa"/>
            <w:vAlign w:val="bottom"/>
          </w:tcPr>
          <w:p>
            <w:pPr>
              <w:spacing w:after="0"/>
              <w:rPr>
                <w:sz w:val="18"/>
                <w:szCs w:val="18"/>
                <w:color w:val="auto"/>
              </w:rPr>
            </w:pPr>
          </w:p>
        </w:tc>
        <w:tc>
          <w:tcPr>
            <w:tcW w:w="360" w:type="dxa"/>
            <w:vAlign w:val="bottom"/>
            <w:tcBorders>
              <w:top w:val="single" w:sz="8" w:color="auto"/>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top w:val="single" w:sz="8" w:color="auto"/>
              <w:bottom w:val="single" w:sz="8" w:color="auto"/>
            </w:tcBorders>
          </w:tcPr>
          <w:p>
            <w:pPr>
              <w:jc w:val="right"/>
              <w:ind w:right="8"/>
              <w:spacing w:after="0"/>
              <w:rPr>
                <w:sz w:val="20"/>
                <w:szCs w:val="20"/>
                <w:color w:val="auto"/>
              </w:rPr>
            </w:pPr>
            <w:r>
              <w:rPr>
                <w:rFonts w:ascii="Times New Roman" w:cs="Times New Roman" w:eastAsia="Times New Roman" w:hAnsi="Times New Roman"/>
                <w:sz w:val="14"/>
                <w:szCs w:val="14"/>
                <w:color w:val="auto"/>
              </w:rPr>
              <w:t>114,239</w:t>
            </w:r>
          </w:p>
        </w:tc>
      </w:tr>
      <w:tr>
        <w:trPr>
          <w:trHeight w:val="20"/>
        </w:trPr>
        <w:tc>
          <w:tcPr>
            <w:tcW w:w="7580" w:type="dxa"/>
            <w:vAlign w:val="bottom"/>
            <w:tcBorders>
              <w:bottom w:val="single" w:sz="8" w:color="CCEEFF"/>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83"/>
        </w:trPr>
        <w:tc>
          <w:tcPr>
            <w:tcW w:w="758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r>
      <w:tr>
        <w:trPr>
          <w:trHeight w:val="193"/>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CASH FLOW INFORMATION</w:t>
            </w: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6"/>
        </w:trPr>
        <w:tc>
          <w:tcPr>
            <w:tcW w:w="7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Cash paid for income taxes, net of refunds received</w:t>
            </w:r>
          </w:p>
        </w:tc>
        <w:tc>
          <w:tcPr>
            <w:tcW w:w="1020" w:type="dxa"/>
            <w:vAlign w:val="bottom"/>
            <w:tcBorders>
              <w:bottom w:val="single" w:sz="8" w:color="CCEEFF"/>
            </w:tcBorders>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640</w:t>
            </w:r>
          </w:p>
        </w:tc>
        <w:tc>
          <w:tcPr>
            <w:tcW w:w="10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CCEEFF"/>
            </w:tcBorders>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tcBorders>
              <w:bottom w:val="single" w:sz="8" w:color="CCEEFF"/>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400</w:t>
            </w:r>
          </w:p>
        </w:tc>
      </w:tr>
      <w:tr>
        <w:trPr>
          <w:trHeight w:val="192"/>
        </w:trPr>
        <w:tc>
          <w:tcPr>
            <w:tcW w:w="75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SUPPLEMENTAL DISCLOSURE OF NON-CASH INVESTING AND FINANCING ACTIVITIES</w:t>
            </w:r>
          </w:p>
        </w:tc>
        <w:tc>
          <w:tcPr>
            <w:tcW w:w="10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4"/>
        </w:trPr>
        <w:tc>
          <w:tcPr>
            <w:tcW w:w="7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93"/>
        </w:trPr>
        <w:tc>
          <w:tcPr>
            <w:tcW w:w="7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Additions of property and equipment, net included in accounts payable and accrued expenses</w:t>
            </w:r>
          </w:p>
        </w:tc>
        <w:tc>
          <w:tcPr>
            <w:tcW w:w="1020" w:type="dxa"/>
            <w:vAlign w:val="bottom"/>
            <w:shd w:val="clear" w:color="auto" w:fill="CCEEFF"/>
          </w:tcPr>
          <w:p>
            <w:pPr>
              <w:jc w:val="right"/>
              <w:ind w:right="848"/>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812</w:t>
            </w:r>
          </w:p>
        </w:tc>
        <w:tc>
          <w:tcPr>
            <w:tcW w:w="10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208"/>
              <w:spacing w:after="0"/>
              <w:rPr>
                <w:sz w:val="20"/>
                <w:szCs w:val="20"/>
                <w:color w:val="auto"/>
              </w:rPr>
            </w:pPr>
            <w:r>
              <w:rPr>
                <w:rFonts w:ascii="Times New Roman" w:cs="Times New Roman" w:eastAsia="Times New Roman" w:hAnsi="Times New Roman"/>
                <w:sz w:val="14"/>
                <w:szCs w:val="14"/>
                <w:color w:val="auto"/>
                <w:w w:val="85"/>
              </w:rPr>
              <w:t>$</w:t>
            </w:r>
          </w:p>
        </w:tc>
        <w:tc>
          <w:tcPr>
            <w:tcW w:w="128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1,246</w:t>
            </w:r>
          </w:p>
        </w:tc>
      </w:tr>
      <w:tr>
        <w:trPr>
          <w:trHeight w:val="24"/>
        </w:trPr>
        <w:tc>
          <w:tcPr>
            <w:tcW w:w="758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31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i w:val="1"/>
          <w:iCs w:val="1"/>
          <w:color w:val="auto"/>
        </w:rPr>
        <w:t>The accompanying notes are an integral part of these unaudited consolidated financial statements</w:t>
      </w:r>
      <w:r>
        <w:rPr>
          <w:rFonts w:ascii="Times New Roman" w:cs="Times New Roman" w:eastAsia="Times New Roman" w:hAnsi="Times New Roman"/>
          <w:sz w:val="17"/>
          <w:szCs w:val="17"/>
          <w:i w:val="1"/>
          <w:iCs w:val="1"/>
          <w:color w:val="auto"/>
        </w:rPr>
        <w:t>.</w:t>
      </w:r>
    </w:p>
    <w:p>
      <w:pPr>
        <w:sectPr>
          <w:pgSz w:w="11900" w:h="16838" w:orient="portrait"/>
          <w:cols w:equalWidth="0" w:num="1">
            <w:col w:w="11120"/>
          </w:cols>
          <w:pgMar w:left="320" w:top="256"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256" w:right="4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PROGYNY,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(Unaudited)</w:t>
      </w:r>
    </w:p>
    <w:p>
      <w:pPr>
        <w:spacing w:after="0" w:line="203" w:lineRule="exact"/>
        <w:rPr>
          <w:sz w:val="20"/>
          <w:szCs w:val="20"/>
          <w:color w:val="auto"/>
        </w:rPr>
      </w:pPr>
    </w:p>
    <w:p>
      <w:pPr>
        <w:ind w:left="660" w:hanging="652"/>
        <w:spacing w:after="0"/>
        <w:tabs>
          <w:tab w:leader="none" w:pos="6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Business and Basis of Presentation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Description of Business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 Inc. (together with its subsidiaries referred to as “Progyny” or the “Company”) was incorporated in the state of Delaware on April 3, 2008, and maintains its corporate headquarters in New York, NY.</w:t>
      </w:r>
    </w:p>
    <w:p>
      <w:pPr>
        <w:spacing w:after="0" w:line="162"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18"/>
          <w:szCs w:val="18"/>
          <w:color w:val="auto"/>
        </w:rPr>
        <w:t>Progyny is a benefits management company specializing in fertility, family building and women's health benefits solutions and operates and manages in one operating segment. The fertility benefits solution consists of a significant service that integrates: (1) the treatment services (“Smart Cycles”) that the Company has designed, (2) access to the Progyny network of high-quality fertility specialists that perform the Smart Cycle treatments and</w:t>
      </w:r>
    </w:p>
    <w:p>
      <w:pPr>
        <w:spacing w:after="0" w:line="1" w:lineRule="exact"/>
        <w:rPr>
          <w:sz w:val="20"/>
          <w:szCs w:val="20"/>
          <w:color w:val="auto"/>
        </w:rPr>
      </w:pPr>
    </w:p>
    <w:p>
      <w:pPr>
        <w:jc w:val="both"/>
        <w:ind w:firstLine="8"/>
        <w:spacing w:after="0" w:line="255" w:lineRule="auto"/>
        <w:tabs>
          <w:tab w:leader="none" w:pos="266"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active management of the selective network of high-quality provider clinics, real-time member eligibility and treatment authorization, member-facing digital tools and detailed quarterly reporting supported by the Company’s dedicated client success teams, and end-to-end comprehensive concierge member support provided by Progyny’s in-house staff of Progyny Care Advocates (“PCAs”) (collectively, the “care management services”).</w:t>
      </w:r>
    </w:p>
    <w:p>
      <w:pPr>
        <w:spacing w:after="0" w:line="18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Progyny Rx is the integrated pharmacy benefits solution that is available as an add-on service by the Company's members to the fertility benefits solution. As part of this solution, the Company provides care management services, which include formulary plan design, simplified authorization, assistance with prescription fulfillment, and timely delivery of the medications by the Company’s network of specialty pharmacies, as well as medication administration training, pharmacy support services, and continuing PCA support. As a pharmacy benefits solution provider, Progyny manages the dispensing of pharmaceuticals through the Company’s specialty pharmacy contracts.</w:t>
      </w:r>
    </w:p>
    <w:p>
      <w:pPr>
        <w:spacing w:after="0" w:line="181"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has recently expanded its offerings to include pregnancy and postpartum, menopause and midlife, benefit and leave navigation, and parent and child wellbeing solutions (collectively referred to as the "Other solutions"). The Other solutions are not material to the consolidated financial statements.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accompanying interim unaudited consolidated financial statements include the accounts of Progyny, Inc. and its wholly owned subsidiaries. The interim unaudited consolidated financial statements have been prepared in accordance with accounting principles generally accepted in the United States of America (“U.S. GAAP”) and pursuant to the rules and regulations of the Securities and Exchange Commission (“SEC”) applicable to interim financial reporting. These interim consolidated financial statements have been prepared on a basis consistent with the annual consolidated financial statements and, in the opinion of management, include all adjustments necessary to fairly state the Company's financial position as of March 31, 2026, the results of the Company's operations for the three months ended March 31, 2026 and 2025 and the results of the Company's cash flows for the three months ended March 31, 2026 and 2025. Therefore, these unaudited consolidated financial statements should be read in conjunction with the audited consolidated financial statements and related footnotes included in the Company’s Annual Report on Form 10-K for the fiscal year ended December 31, 2025, filed with the SEC on February 27, 2026 (the “Annual Report on Form 10-K”).</w:t>
      </w:r>
    </w:p>
    <w:p>
      <w:pPr>
        <w:spacing w:after="0" w:line="21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results for the three months ended March 31, 2026 are not necessarily indicative of the operating results expected for the year ending</w:t>
      </w:r>
    </w:p>
    <w:p>
      <w:pPr>
        <w:spacing w:after="0" w:line="27" w:lineRule="exact"/>
        <w:rPr>
          <w:sz w:val="20"/>
          <w:szCs w:val="20"/>
          <w:color w:val="auto"/>
        </w:rPr>
      </w:pPr>
    </w:p>
    <w:p>
      <w:pPr>
        <w:ind w:right="40"/>
        <w:spacing w:after="0" w:line="245" w:lineRule="auto"/>
        <w:rPr>
          <w:sz w:val="20"/>
          <w:szCs w:val="20"/>
          <w:color w:val="auto"/>
        </w:rPr>
      </w:pPr>
      <w:r>
        <w:rPr>
          <w:rFonts w:ascii="Times New Roman" w:cs="Times New Roman" w:eastAsia="Times New Roman" w:hAnsi="Times New Roman"/>
          <w:sz w:val="18"/>
          <w:szCs w:val="18"/>
          <w:color w:val="auto"/>
        </w:rPr>
        <w:t>December 31, 2026 or any other future period. The Company will continue to assess these potential impacts to its business and will make adjustments to its operations as necessary.</w:t>
      </w: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generally requires management to make estimates and assumptions that affect the reported amount of certain assets, liabilities, revenue, and expenses, and the related disclosure of contingent assets and liabilities. Such estimates include, but are not limited to, the determination of accrued receivables related to revenue recognition, accrued claims payable, allowance for doubtful accounts, stock-based compensation expense, lease liabilities, and accounting for income taxes. Management bases its estimates on historical experience and on various other assumptions that are believed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85" w:lineRule="exact"/>
        <w:rPr>
          <w:sz w:val="20"/>
          <w:szCs w:val="20"/>
          <w:color w:val="auto"/>
        </w:rPr>
      </w:pPr>
    </w:p>
    <w:p>
      <w:pPr>
        <w:ind w:left="660" w:hanging="652"/>
        <w:spacing w:after="0"/>
        <w:tabs>
          <w:tab w:leader="none" w:pos="6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Significant Accounting Policies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the Company’s significant accounting policies as compared to the significant accounting policies described in Note 2 of the Company’s Annual Report on Form 10-K.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Revenue is recognized when control of the promised goods or services is transferred to clients in an amount that reflects the consideration the Company expects to be entitled to in exchange for those goods or services.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applies the following five-step model to recognize revenue from contracts with clients:</w:t>
      </w:r>
    </w:p>
    <w:p>
      <w:pPr>
        <w:spacing w:after="0" w:line="225"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contract, or contracts, with a client;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Identification of the performance obligations in the contract;</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 of the transaction price;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Allocation of the transaction price to the performance obligations in the contract;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Recognition of revenue when, or as, a performance obligation is satisfied.</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Progyny’s contracts typically have a stated term of three years and include contractual termination options after the first year, allowing the client to terminate the contract with 30 to 90 days’ notice.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Progyny primarily generates revenue through its fertility benefits solution, in which Progyny provides self-insured enterprise entities (“clients”) and their employees and partners (together, “members”) with fertility benefits. As part of the fertility benefits solution, Progyny provides access to effective and cost-efficient fertility treatments, referred to as Smart Cycles, as well as other related services. Smart Cycles are proprietary treatment bundles that include certain medical services available to members through Progyny’s proprietary, credentialed network of provider clinics. In addition to access to Progyny’s Smart Cycle treatment bundles and access to Progyny’s network of provider clinics, the fertility benefits solution includes other comprehensive services, which Progyny refers to as care management services, such as active management of the provider clinic network, real-time member eligibility and treatment authorization, member-facing digital tools throughout the Smart Cycle and detailed quarterly reporting all supported by client facing account management and end-to-end comprehensive member support provided by Progyny’s in house staff of PCAs.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promises within Progyny’s fertility benefits contract with a client represent a single performance obligation because Progyny provides a significant service of integrating the Progyny designed Smart Cycles and access to the fertility treatment services provided by provider clinics with the other comprehensive services into the combined fertility benefits solution that the client contracted to receive. Progyny’s fertility benefits solution is a stand-ready obligation that is satisfied over the contract term.</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which are all variable: a per employee per month (“PEPM”) administration fee (in most, but not all contracts) and a fixed rate per Smart Cycle. The PEPM administration fee is estimated using the expected value method and is allocated between the fertility benefits solution and the pharmacy benefits solution based on standalone selling price, estimated using an expected cost-plus margin method. The fixed rate per Smart Cycle meets the variable consideration allocation exception as the usage-based fees relate specifically to the Company’s efforts to satisfy the performance obligation to provide services and is allocated to the distinct period during which the related services were performed and represents the consideration the Company is entitled to for the fertility benefits services provided. As a result, the fixed rate per Smart Cycle is included in the transaction price for the fertility benefits solution.</w:t>
      </w:r>
    </w:p>
    <w:p>
      <w:pPr>
        <w:spacing w:after="0" w:line="18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Progyny’s contracts also include potential service level agreement refunds related to outcome-based service metrics. These service level refunds, which are determined based on results of a full plan year, if met, are based on a percentage of the PEPM fee paid by clients. In addition, certain client contracts include service level agreement refunds related to financial metrics for a full plan year. The Company estimates the variable consideration for service level agreement refunds using the expected value method and recognizes the amounts allocated to the fertility benefits solution ratably over the contract term. Progyny’s estimates of service level agreement refunds have not historically resulted in significant adjustments to the transaction price. There is no constraint on variable consideration within Progyny’s fertility benefits contracts.</w:t>
      </w:r>
    </w:p>
    <w:p>
      <w:pPr>
        <w:spacing w:after="0" w:line="18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recognizes revenue for its fertility benefit solution in the period in which the Smart Cycle services are provided to the member. The services provided in a reporting period are based on actual claims received from the provider clinic and an estimate of services provided but for which a claim has not been received at the end of the reporting period, which we refer to as accrued receivables, and is discussed in further detail below.</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Clients are typically invoiced on a monthly basis for the PEPM administration fee. Progyny invoices its clients and members for their respective portions of the fixed rate per Smart Cycle bundle when all treatment services within a Smart Cycle are completed by the provider clinic. Once an invoice is issued, payment terms are typically between 30 to 60 days.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since fertility treatment services are provided by a third party—the provider clinics. The Company is the principal in its arrangements with clients and therefore presents revenue gross of the amounts paid to the provider clinics because Progyny controls the specified service (the fertility benefits solution) before it is transferred to the client. Progyny integrates the fertility treatment services provided by the provider clinics into the overall fertility benefits solution that the client contracted to receive. In addition, Progyny defines the scope of the potential services to be performed by the provider clinics and monitors the performance of the provider clinics. Furthermore, Progyny is primarily responsible for fulfilling the promise to the client and has discretion in setting the pricing, as Progyny separately negotiates agreements with the provider clinics, which establish pricing for each treatment service. Pricing of services from provider clinics is independent from the fees charged to clients.</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For clients that have the fertility benefits solution, Progyny offers, as an add-on, its pharmacy benefits solution, which is a separate, fully integrated pharmacy benefit. As part of the pharmacy benefits solution, Progyny provides care management services, which include Progyny’s formulary plan design, prescription fulfillment, simplified authorization and timely delivery of the medications used during treatment through Progyny’s network of specialty pharmacies, and clinical services consisting of member assessments, UnPack It calls, telephone support, online education, medication administration training, pharmacy support services and continuing PCA support.</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pharmacy-related promises represent a single performance obligation because Progyny provides a significant service of integrating the formulary plan design, prescription fulfillment, clinical services and PCA support into the combined pharmacy benefits solution that the client contracted to receive. The pharmacy benefits solution is a stand-ready obligation that is satisfied over the contract term.</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Progyny’s contracts include the following sources of consideration, all of which are variable: a PEPM administration fee (in most, but not all contracts) and a fixed fee per fertility drug. As described above, the PEPM administration fee and estimated refunds related to service level agreements are allocated to the pharmacy benefits solution and recognized ratably over the contract term. The fixed fee per fertility drug meets the variable consideration allocation exception as the usage-based fees relate specifically to the Company’s efforts to satisfy the performance obligation to provide services and is allocated to the distinct period during which the related services were performed and represents the consideration the Company is entitled to for the pharmacy benefits services provided. As a result, the fixed fee per fertility drug is included in the transaction price and recognized in the period in which the Company is entitled to consideration from a client, which is when a prescription is filled and delivered to the members. There is no constraint on variable consideration within Progyny’s pharmacy benefits contracts.</w:t>
      </w:r>
    </w:p>
    <w:p>
      <w:pPr>
        <w:spacing w:after="0" w:line="19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As stated above, clients are invoiced on a monthly basis for the PEPM administration fee. Progyny invoices the client and the member for their respective portions of the fixed fee per fertility drug, when the prescription services are completed by the specialty pharmacies. Once an invoice is issued, payment terms are typically between 30 to 60 days.</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assesses whether it is the principal or the agent for each arrangement with a client, as prescription fulfillment and clinical services are provided by a third party—the specialty pharmacies. The Company is the principal in its arrangements with clients, and therefore presents revenue gross of the amounts paid to the specialty pharmacies. Progyny controls the specified service (the pharmacy benefits solution) before it is transferred to the client. Progyny integrates the prescription fulfillment and clinical services provided by the pharmacies and PCAs into the overall pharmacy benefits solution that the client contracted to receive. In addition, Progyny defines the scope of the potential services to be performed by the specialty pharmacies and monitors the performance of the specialty pharmacies. Furthermore, Progyny is primarily responsible for fulfilling the promise to the client and has discretion in setting the pricing, as Progyny separately negotiates agreements with pharmacies, which establish pricing for each drug. Pricing of fertility drugs is independent from the fees charged to clients.</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does not disclose the transaction price allocated to remaining performance obligations because all of the transaction price is variable and is allocated to the distinct periods to which the services relate, as discussed above. The remaining contract term is typically less than one year, due to the client’s contractual termination options. There were no material contract asset or contract liability balances as of March 31, 2026 and December 31, 2025.</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Accrued Receivables and Accrued Claims Payable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Accrued receivables are estimated based on historical experience for those fertility benefits services provided but for which a claim has not been received from the provider clinic at the end of the reporting period, which includes assumptions regarding the lag between authorization date and service date as well as estimates for changes and cancellations of services. At the same time, cost of services and accrued claims payables are estimated based on the amount to be paid to the provider clinic and expected gross margin on fertility benefits services. Estimates are adjusted to actual at the time of billing. Adjustments to original estimates have not been material.</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accrued receivables were $70.8 million and $54.9 million, respectively. Accrued receivables are included within accounts receivable in the consolidated balance sheet.</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Accrued claims payable of $39.5 million and $30.0 million as of March 31, 2026 and December 31, 2025, respectively, are included within accrued expenses and other current liabilities in the consolidated balance sheet. Claims payable are generally paid within 30 days based on contractual terms.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2026 and December 31, 2025, unbilled receivables, which represent claims received and approved but unbilled at the end of the reporting period, were $35.4 million and $33.9 million, respectively. Unbilled receivables are typically billed to clients within 30 days of the approved claim based on the contractual billing schedule agreed upon with the client. Unbilled receivables are included in accounts receivable in the consolidated balance sheet.</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Accounts Receivable and Allowance for Doubtful Accounts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The accounts receivable balance primarily includes amounts due from clients and members. The Company estimates the allowance for doubtful accounts based on the lifetime expected credit losses for the client and member receivable pools, respectively. Under this current expected credit losses model, the Company determines the allowance for doubtful accounts based on factors such as the age of the receivable balance, historical experience of losses, and current economic conditions in order to develop loss rates for each of its receivable pools. An allowance for credit losses is applied at the time the asset is recognized, including to current or not yet due amounts, based on the Company’s estimated loss rates which consider the migration of receivables from current to aged and collection rates associated with receivables that are delinquent. Expected credit losses are recorded as general and administrative expenses in the consolidated statements of operations. The Company records write-offs, as a deduction from the allowance for doubtful accounts, in the period in which its receivables are deemed uncollectible, which is when all efforts of collection have been exhausted or it is no longer pursuing collection of the receivable, and can take up to several years from the initial billing based on the nature of the Company’s receivables, which consist of a high volume of low dollar balances, particularly on the member receivable pool. The following table provides a summary of the activity in this allowance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Balance at</w:t>
            </w:r>
          </w:p>
        </w:tc>
        <w:tc>
          <w:tcPr>
            <w:tcW w:w="2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Charged</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Balance</w:t>
            </w:r>
          </w:p>
        </w:tc>
      </w:t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Beginning</w:t>
            </w:r>
          </w:p>
        </w:tc>
        <w:tc>
          <w:tcPr>
            <w:tcW w:w="22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to Costs</w:t>
            </w:r>
          </w:p>
        </w:tc>
        <w:tc>
          <w:tcPr>
            <w:tcW w:w="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w w:val="99"/>
              </w:rPr>
              <w:t>at End</w:t>
            </w:r>
          </w:p>
        </w:tc>
      </w:tr>
      <w:tr>
        <w:trPr>
          <w:trHeight w:val="204"/>
        </w:trPr>
        <w:tc>
          <w:tcPr>
            <w:tcW w:w="50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260" w:type="dxa"/>
            <w:vAlign w:val="bottom"/>
          </w:tcPr>
          <w:p>
            <w:pPr>
              <w:spacing w:after="0"/>
              <w:rPr>
                <w:sz w:val="17"/>
                <w:szCs w:val="17"/>
                <w:color w:val="auto"/>
              </w:rPr>
            </w:pPr>
          </w:p>
        </w:tc>
        <w:tc>
          <w:tcPr>
            <w:tcW w:w="13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220" w:type="dxa"/>
            <w:vAlign w:val="bottom"/>
          </w:tcPr>
          <w:p>
            <w:pPr>
              <w:spacing w:after="0"/>
              <w:rPr>
                <w:sz w:val="17"/>
                <w:szCs w:val="17"/>
                <w:color w:val="auto"/>
              </w:rPr>
            </w:pPr>
          </w:p>
        </w:tc>
        <w:tc>
          <w:tcPr>
            <w:tcW w:w="13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and Expenses</w:t>
            </w:r>
          </w:p>
        </w:tc>
        <w:tc>
          <w:tcPr>
            <w:tcW w:w="280" w:type="dxa"/>
            <w:vAlign w:val="bottom"/>
          </w:tcPr>
          <w:p>
            <w:pPr>
              <w:spacing w:after="0"/>
              <w:rPr>
                <w:sz w:val="17"/>
                <w:szCs w:val="17"/>
                <w:color w:val="auto"/>
              </w:rPr>
            </w:pPr>
          </w:p>
        </w:tc>
        <w:tc>
          <w:tcPr>
            <w:tcW w:w="130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Write-offs</w:t>
            </w:r>
          </w:p>
        </w:tc>
        <w:tc>
          <w:tcPr>
            <w:tcW w:w="280" w:type="dxa"/>
            <w:vAlign w:val="bottom"/>
          </w:tcPr>
          <w:p>
            <w:pPr>
              <w:spacing w:after="0"/>
              <w:rPr>
                <w:sz w:val="17"/>
                <w:szCs w:val="17"/>
                <w:color w:val="auto"/>
              </w:rPr>
            </w:pPr>
          </w:p>
        </w:tc>
        <w:tc>
          <w:tcPr>
            <w:tcW w:w="1200" w:type="dxa"/>
            <w:vAlign w:val="bottom"/>
          </w:tcPr>
          <w:p>
            <w:pPr>
              <w:jc w:val="center"/>
              <w:ind w:right="204"/>
              <w:spacing w:after="0"/>
              <w:rPr>
                <w:sz w:val="20"/>
                <w:szCs w:val="20"/>
                <w:color w:val="auto"/>
              </w:rPr>
            </w:pPr>
            <w:r>
              <w:rPr>
                <w:rFonts w:ascii="Times New Roman" w:cs="Times New Roman" w:eastAsia="Times New Roman" w:hAnsi="Times New Roman"/>
                <w:sz w:val="14"/>
                <w:szCs w:val="14"/>
                <w:b w:val="1"/>
                <w:bCs w:val="1"/>
                <w:color w:val="auto"/>
              </w:rPr>
              <w:t>of Period</w:t>
            </w:r>
          </w:p>
        </w:tc>
      </w:tr>
      <w:tr>
        <w:trPr>
          <w:trHeight w:val="23"/>
        </w:trPr>
        <w:tc>
          <w:tcPr>
            <w:tcW w:w="4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0"/>
        </w:trPr>
        <w:tc>
          <w:tcPr>
            <w:tcW w:w="5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Allowance for doubtful accounts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55,659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4,436</w:t>
            </w:r>
          </w:p>
        </w:tc>
        <w:tc>
          <w:tcPr>
            <w:tcW w:w="8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(3,795)</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56,300</w:t>
            </w: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the Company’s network, labs and anesthesiologists; (2) costs incurred (including salaries, bonuses, benefits, stock-based compensation expense, other related costs, and an allocation of the Company's general overhead, depreciation and amortization) for those employees associated with care management service functions: Provider Account Management, PCA, Provider Relations and Claims Processing teams; and (3) related information technology support costs. Contracts with provider clinics are typically for a term of one to two years.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specialty pharmacy partners; (2) costs incurred (including salaries, bonuses, benefits, stock-based compensation expense, other related costs, and an allocation of the Company's general overhead, depreciation and amortization) for those employees associated with care management service functions: PCA, Provider Relations and Claims Processing teams; and (3) related information technology support costs. Contracts with the specialty pharmacies are typically for a term of one year.</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specialty pharmacy contracts, the contractual fees of prescription drugs sold includes the cost of the prescription drugs purchased and shipped to members by the Company’s specialty mail service dispensing pharmacies, net of any volume-related or other discounts.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Company receives a rebate on formulations purchased and dispensed by the Company’s specialty pharmacies. The Company’s contractual arrangements with pharmacy program partners provide for the Company to receive a discount (or rebate) from established list prices paid subsequent to dispensing when products are purchased indirectly from a pharmacy program partner (such as through a specialty pharmacy). These rebates are recognized as a reduction of cost of services when prescriptions are dispensed and are generally estimated and billed to manufacturers within 20 days after the end of each month. Vendor rebates are included within accounts receivable in the consolidated balance sheet. The effect of adjustments resulting from the reconciliation of rebates recognized to the amounts billed and collected has not been material to the Company’s results of operations.</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Costs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Research and development costs consist primarily of personnel and related expenses, including salaries, bonuses, benefits, and stock-based compensation expense for employees engaged in research and development activities as well as third-party vendor costs. All such costs are expensed as incurred and are included within general and administrative expense in the consolidated statement of operations. The Company focuses its research and development efforts on activities related to the design, development, testing and enhancement of its product offerings and technology platforms. For the three months ended March 31, 2026 and 2025, research and development cost was $2.8 million and $1.5 million, respectively.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December 2023, the FASB issued ASU No. 2023-09, Income Taxes (Topic 740): Improvements to Income Tax Disclosures. The standard is intended to enhance the transparency and decision usefulness of income tax disclosures primarily through changes to the rate reconciliation and income taxes paid information. The Company adopted this standard prospectively in the annual period beginning January 1, 2025. The adoption of this standard did not have a material impact on the Company's consolidated financial statements.</w:t>
      </w:r>
    </w:p>
    <w:p>
      <w:pPr>
        <w:spacing w:after="0" w:line="17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 xml:space="preserve">In July 2025, the FASB issued ASU 2025-05, </w:t>
      </w:r>
      <w:r>
        <w:rPr>
          <w:rFonts w:ascii="Times New Roman" w:cs="Times New Roman" w:eastAsia="Times New Roman" w:hAnsi="Times New Roman"/>
          <w:sz w:val="18"/>
          <w:szCs w:val="18"/>
          <w:i w:val="1"/>
          <w:iCs w:val="1"/>
          <w:color w:val="auto"/>
        </w:rPr>
        <w:t>Financial Instruments - Credit Losses (Topic 326) - Measurement of Credit Losses for Accounts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Receivable and Contract Assets. </w:t>
      </w:r>
      <w:r>
        <w:rPr>
          <w:rFonts w:ascii="Times New Roman" w:cs="Times New Roman" w:eastAsia="Times New Roman" w:hAnsi="Times New Roman"/>
          <w:sz w:val="18"/>
          <w:szCs w:val="18"/>
          <w:color w:val="auto"/>
        </w:rPr>
        <w:t>The amendment in ASU 2025-05 provides entities with a practical expedient to simplify the estimation of expected credit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losses by assuming that the current conditions as of the balance sheet date will not change for the remaining life of the asset. The Company adopted this standard prospectively in the annual period beginning January 1, 2026, and elected the practical expedient. The adoption of this standard did not have a material impact on the Company's consolidated financial statements.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Pronouncements Issued but Not Yet Adopted</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(Subtopic 220-40): Disaggregation of Income Statement Expenses</w:t>
      </w:r>
      <w:r>
        <w:rPr>
          <w:rFonts w:ascii="Times New Roman" w:cs="Times New Roman" w:eastAsia="Times New Roman" w:hAnsi="Times New Roman"/>
          <w:sz w:val="18"/>
          <w:szCs w:val="18"/>
          <w:color w:val="auto"/>
        </w:rPr>
        <w:t>. The standard is intended to provide enhanced transparency into the nature of expenses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requires more detailed information on specific expense categories (purchases of inventory, employee compensation, depreciation, and intangible asset amortization) included in certain expense captions presented on the face of the income statement. The new standard will be effective for the Company for the fiscal year beginning January 1, 2027, and for interim periods within the fiscal year beginning January 1, 2028. Early adoption is permitted. The amendments may be applied either 1) prospectively to financial statements issued for reporting periods after the effective date of this ASU or 2) retrospectively to all periods presented in the financial statements. The Company is currently evaluating the impact of the new standard, including the impact on its disclosures.</w:t>
      </w:r>
    </w:p>
    <w:p>
      <w:pPr>
        <w:spacing w:after="0" w:line="185"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 xml:space="preserve">In September 2025, the FASB issued ASU 2025-06, </w:t>
      </w:r>
      <w:r>
        <w:rPr>
          <w:rFonts w:ascii="Times New Roman" w:cs="Times New Roman" w:eastAsia="Times New Roman" w:hAnsi="Times New Roman"/>
          <w:sz w:val="18"/>
          <w:szCs w:val="18"/>
          <w:i w:val="1"/>
          <w:iCs w:val="1"/>
          <w:color w:val="auto"/>
        </w:rPr>
        <w:t>Intangibles—Goodwill and Other—Internal-Use Software (Subtopic 350-40):</w:t>
      </w:r>
      <w:r>
        <w:rPr>
          <w:rFonts w:ascii="Times New Roman" w:cs="Times New Roman" w:eastAsia="Times New Roman" w:hAnsi="Times New Roman"/>
          <w:sz w:val="18"/>
          <w:szCs w:val="18"/>
          <w:color w:val="auto"/>
        </w:rPr>
        <w:t xml:space="preserve"> Targeted Improvements to the Accounting for Internal-Use Software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The amendments in this update are intended to improve the operability of the guidance by removing all references to software development project stages so that the guidance is neutral to different software development methods, including methods that entities may use to develop software in the future. The amendments in this update will be effective for the Company for the fiscal year, including interim periods, beginning January 1, 2028. Early adoption is permitted. The Company is currently evaluating the impact of the new standard on its consolidated financial statements.</w:t>
      </w:r>
    </w:p>
    <w:p>
      <w:pPr>
        <w:spacing w:after="0" w:line="22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In December 2025, the FASB issued ASU 2025-11, Interim Reporting (Topic 270): Narrow-Scope Improvements, which provides clarity on the current interim reporting requirements by improving the navigability of the required interim disclosures, clarifying when that guidance is applicable, and applying Topic 270 to disclose events since the end of the last annual reporting period that have a material impact on the entity. The amendment will be effective for the Company for the fiscal year, including interim periods, beginning January 1, 2028. Early adoption is permitted. The Company is currently evaluating the impact of the new standard on its consolidated financial statements.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Disaggregated 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disaggregates revenue by service (in thousands):</w:t>
      </w:r>
    </w:p>
    <w:p>
      <w:pPr>
        <w:spacing w:after="0" w:line="273"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34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4042410</wp:posOffset>
            </wp:positionH>
            <wp:positionV relativeFrom="paragraph">
              <wp:posOffset>22225</wp:posOffset>
            </wp:positionV>
            <wp:extent cx="309435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360" w:type="dxa"/>
            <w:vAlign w:val="bottom"/>
          </w:tcPr>
          <w:p>
            <w:pPr>
              <w:spacing w:after="0"/>
              <w:rPr>
                <w:sz w:val="16"/>
                <w:szCs w:val="16"/>
                <w:color w:val="auto"/>
              </w:rPr>
            </w:pPr>
          </w:p>
        </w:tc>
        <w:tc>
          <w:tcPr>
            <w:tcW w:w="154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20" w:type="dxa"/>
            <w:vAlign w:val="bottom"/>
          </w:tcPr>
          <w:p>
            <w:pPr>
              <w:jc w:val="right"/>
              <w:ind w:right="975"/>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36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636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820" w:type="dxa"/>
            <w:vAlign w:val="bottom"/>
          </w:tcPr>
          <w:p>
            <w:pPr>
              <w:spacing w:after="0"/>
              <w:rPr>
                <w:sz w:val="21"/>
                <w:szCs w:val="21"/>
                <w:color w:val="auto"/>
              </w:rPr>
            </w:pPr>
          </w:p>
        </w:tc>
      </w:tr>
      <w:tr>
        <w:trPr>
          <w:trHeight w:val="257"/>
        </w:trPr>
        <w:tc>
          <w:tcPr>
            <w:tcW w:w="6360" w:type="dxa"/>
            <w:vAlign w:val="bottom"/>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Fertility benefits services revenue</w:t>
            </w:r>
            <w:r>
              <w:rPr>
                <w:rFonts w:ascii="Times New Roman" w:cs="Times New Roman" w:eastAsia="Times New Roman" w:hAnsi="Times New Roman"/>
                <w:sz w:val="23"/>
                <w:szCs w:val="23"/>
                <w:color w:val="auto"/>
                <w:vertAlign w:val="superscript"/>
              </w:rPr>
              <w:t>(1)</w:t>
            </w:r>
          </w:p>
        </w:tc>
        <w:tc>
          <w:tcPr>
            <w:tcW w:w="1540" w:type="dxa"/>
            <w:vAlign w:val="bottom"/>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209,434</w:t>
            </w:r>
          </w:p>
        </w:tc>
        <w:tc>
          <w:tcPr>
            <w:tcW w:w="100" w:type="dxa"/>
            <w:vAlign w:val="bottom"/>
            <w:shd w:val="clear" w:color="auto" w:fill="CCEEFF"/>
          </w:tcPr>
          <w:p>
            <w:pPr>
              <w:spacing w:after="0"/>
              <w:rPr>
                <w:sz w:val="22"/>
                <w:szCs w:val="22"/>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206,405</w:t>
            </w:r>
          </w:p>
        </w:tc>
      </w:tr>
      <w:tr>
        <w:trPr>
          <w:trHeight w:val="250"/>
        </w:trPr>
        <w:tc>
          <w:tcPr>
            <w:tcW w:w="63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Pharmacy benefits services revenue</w:t>
            </w:r>
          </w:p>
        </w:tc>
        <w:tc>
          <w:tcPr>
            <w:tcW w:w="15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119,070</w:t>
            </w:r>
          </w:p>
        </w:tc>
        <w:tc>
          <w:tcPr>
            <w:tcW w:w="100" w:type="dxa"/>
            <w:vAlign w:val="bottom"/>
            <w:tcBorders>
              <w:bottom w:val="single" w:sz="8" w:color="CCEEFF"/>
            </w:tcBorders>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117,633</w:t>
            </w:r>
          </w:p>
        </w:tc>
      </w:tr>
      <w:tr>
        <w:trPr>
          <w:trHeight w:val="282"/>
        </w:trPr>
        <w:tc>
          <w:tcPr>
            <w:tcW w:w="63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Total revenue</w:t>
            </w:r>
          </w:p>
        </w:tc>
        <w:tc>
          <w:tcPr>
            <w:tcW w:w="1540" w:type="dxa"/>
            <w:vAlign w:val="bottom"/>
            <w:tcBorders>
              <w:bottom w:val="single" w:sz="8" w:color="auto"/>
            </w:tcBorders>
            <w:shd w:val="clear" w:color="auto" w:fill="CCEEFF"/>
          </w:tcPr>
          <w:p>
            <w:pPr>
              <w:jc w:val="right"/>
              <w:ind w:right="1336"/>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328,504</w:t>
            </w:r>
          </w:p>
        </w:tc>
        <w:tc>
          <w:tcPr>
            <w:tcW w:w="100" w:type="dxa"/>
            <w:vAlign w:val="bottom"/>
            <w:tcBorders>
              <w:bottom w:val="single" w:sz="8" w:color="CCEEFF"/>
            </w:tcBorders>
            <w:shd w:val="clear" w:color="auto" w:fill="CCEEFF"/>
          </w:tcPr>
          <w:p>
            <w:pPr>
              <w:spacing w:after="0"/>
              <w:rPr>
                <w:sz w:val="24"/>
                <w:szCs w:val="24"/>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324,038</w:t>
            </w: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260" w:lineRule="exact"/>
        <w:rPr>
          <w:sz w:val="20"/>
          <w:szCs w:val="20"/>
          <w:color w:val="auto"/>
        </w:rPr>
      </w:pPr>
    </w:p>
    <w:p>
      <w:pPr>
        <w:ind w:left="180" w:hanging="172"/>
        <w:spacing w:after="0"/>
        <w:tabs>
          <w:tab w:leader="none" w:pos="180" w:val="left"/>
        </w:tabs>
        <w:numPr>
          <w:ilvl w:val="0"/>
          <w:numId w:val="10"/>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revenue from the Other solutions, which is not significant in any of the periods presented.</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660" w:hanging="652"/>
        <w:spacing w:after="0"/>
        <w:tabs>
          <w:tab w:leader="none" w:pos="66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of Financial Instruments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fair value of financial instruments is determined based on assumptions that market participants would use when pricing an asset or liability at the balance sheet date. Certain assets are categorized based on the following fair value hierarchy of market participant assumptions:</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1 — Unadjusted quoted prices in active markets that are accessible at the measurement date for identical assets or liabilities.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Level 2 — Inputs, other than quoted prices in active markets, that are observable either directly or indirectly.</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Level 3 — Prices or valuation techniques that require inputs that are both significant to the fair value of the asset or liability and supported by little or no market activity.</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uses observable market data when available, and minimizes the use of unobservable inputs when determining fair value. The carrying amounts of certain of the Company's financial instruments, including cash equivalents, marketable securities, accounts receivable and accounts payable approximates fair value due to their short maturities.</w:t>
      </w:r>
    </w:p>
    <w:p>
      <w:pPr>
        <w:spacing w:after="0" w:line="176"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of March 31, 2026 and December 31, 2025, the Company had $129.1 million and $112.5 million, respectively, in financial assets held in money market accounts and $93.5 million and $197.9 million, respectively, held in marketable securities, including U.S. treasury bills. The Company measures these assets at fair value and all were classified as Level 1 in the fair value hierarchy. The Company classified these assets as Level 1 because the values of these assets are determined using unadjusted quoted prices in active markets for identical assets. For the three months ended March 31, 2026 and March 31, 2025, interest income on cash, cash equivalents, restricted cash, and marketable securities, including the accretion of discounts on investments,</w:t>
      </w:r>
    </w:p>
    <w:p>
      <w:pPr>
        <w:spacing w:after="0" w:line="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was $1.9 million and $2.3 million, respectively.</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For the three months ended March 31, 2026, the Company had no significant gross realized gains and gross realized losses related to marketable securities included within earnings.</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Unrealized gains and losses on marketable securities are excluded from earnings and reported as a component of other comprehensive income (loss). As of March 31, 2026, unrealized gains and losses on marketable securities are not significant, and, as such, the amortized cost of these securities approximates fair value.</w:t>
      </w:r>
    </w:p>
    <w:p>
      <w:pPr>
        <w:spacing w:after="0" w:line="176"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As of March 31, 2026 and December 31, 2025, the Company did not maintain any assets or liabilities classified as Level 2 or Level 3 in the fair value hierarchy.</w:t>
      </w: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2019, the Company’s sublease agreement for a 25,212 square foot office in its corporate headquarters in New York, NY commenced and is scheduled to expire in May 2029. Pursuant to the sublease, the Company is obligated to pay the base rent of approximately $1.3 million per annum through the end of the fifth lease year and approximately $1.4 million per annum thereafter through the expiration date.</w:t>
      </w:r>
    </w:p>
    <w:p>
      <w:pPr>
        <w:spacing w:after="0" w:line="17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February 2023, the Company's lease agreement for the additional 24,099 square foot office in its corporate offices (entered into in February 2022) commenced in New York, NY and expires in April 2036. Pursuant to the lease, the Company is obligated to pay the base rent of approximately $1.4 million per annum through the end of the fifth lease year and approximately $1.5 million per annum thereafter through the expiration date.</w:t>
      </w:r>
    </w:p>
    <w:p>
      <w:pPr>
        <w:spacing w:after="0" w:line="176"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18"/>
          <w:szCs w:val="18"/>
          <w:color w:val="auto"/>
        </w:rPr>
        <w:t>In March 2025, the Company's lease agreement for the additional 21,262 square foot office in its corporate offices (entered into in February 2022) commenced in New York, NY and expires in April 2036. In accordance with ASC 842, the Company recorded a right-of-use asset and a lease liability of</w:t>
      </w:r>
    </w:p>
    <w:p>
      <w:pPr>
        <w:spacing w:after="0" w:line="2" w:lineRule="exact"/>
        <w:rPr>
          <w:sz w:val="20"/>
          <w:szCs w:val="20"/>
          <w:color w:val="auto"/>
        </w:rPr>
      </w:pPr>
    </w:p>
    <w:p>
      <w:pPr>
        <w:jc w:val="both"/>
        <w:spacing w:after="0" w:line="329" w:lineRule="auto"/>
        <w:rPr>
          <w:sz w:val="20"/>
          <w:szCs w:val="20"/>
          <w:color w:val="auto"/>
        </w:rPr>
      </w:pPr>
      <w:r>
        <w:rPr>
          <w:rFonts w:ascii="Times New Roman" w:cs="Times New Roman" w:eastAsia="Times New Roman" w:hAnsi="Times New Roman"/>
          <w:sz w:val="18"/>
          <w:szCs w:val="18"/>
          <w:color w:val="auto"/>
        </w:rPr>
        <w:t>$10.1 million and $10.0 million, respectively. Pursuant to the lease, the Company is obligated to pay the base rent of approximately $1.3 million per annum through the end of the fifth lease year and approximately $1.4 million per annum thereafter through the expiration date.</w:t>
      </w:r>
    </w:p>
    <w:p>
      <w:pPr>
        <w:spacing w:after="0" w:line="12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recognizes lease expense on a straight-line basis over the lease term. Lease expense for the Company's operating lease for the three months ended March 31, 2026 and 2025 was $1.0 million and $0.8 million, respectively.</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Cash outflows from operating activities attributable to the operating leases for the three months ended March 31, 2026 and 2025 was $0.8 million.</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Information related to the Company's leases is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3560" w:type="dxa"/>
            <w:vAlign w:val="bottom"/>
          </w:tcPr>
          <w:p>
            <w:pPr>
              <w:spacing w:after="0"/>
              <w:rPr>
                <w:sz w:val="16"/>
                <w:szCs w:val="16"/>
                <w:color w:val="auto"/>
              </w:rPr>
            </w:pPr>
          </w:p>
        </w:tc>
        <w:tc>
          <w:tcPr>
            <w:tcW w:w="444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Balance Sheet Location</w:t>
            </w:r>
          </w:p>
        </w:tc>
        <w:tc>
          <w:tcPr>
            <w:tcW w:w="180" w:type="dxa"/>
            <w:vAlign w:val="bottom"/>
          </w:tcPr>
          <w:p>
            <w:pPr>
              <w:spacing w:after="0"/>
              <w:rPr>
                <w:sz w:val="16"/>
                <w:szCs w:val="16"/>
                <w:color w:val="auto"/>
              </w:rPr>
            </w:pP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March 31, 2026</w:t>
            </w:r>
          </w:p>
        </w:tc>
        <w:tc>
          <w:tcPr>
            <w:tcW w:w="180" w:type="dxa"/>
            <w:vAlign w:val="bottom"/>
          </w:tcPr>
          <w:p>
            <w:pPr>
              <w:spacing w:after="0"/>
              <w:rPr>
                <w:sz w:val="16"/>
                <w:szCs w:val="16"/>
                <w:color w:val="auto"/>
              </w:rPr>
            </w:pPr>
          </w:p>
        </w:tc>
        <w:tc>
          <w:tcPr>
            <w:tcW w:w="148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December 31, 2025</w:t>
            </w:r>
          </w:p>
        </w:tc>
        <w:tc>
          <w:tcPr>
            <w:tcW w:w="0" w:type="dxa"/>
            <w:vAlign w:val="bottom"/>
          </w:tcPr>
          <w:p>
            <w:pPr>
              <w:spacing w:after="0"/>
              <w:rPr>
                <w:sz w:val="1"/>
                <w:szCs w:val="1"/>
                <w:color w:val="auto"/>
              </w:rPr>
            </w:pPr>
          </w:p>
        </w:tc>
      </w:tr>
      <w:tr>
        <w:trPr>
          <w:trHeight w:val="23"/>
        </w:trPr>
        <w:tc>
          <w:tcPr>
            <w:tcW w:w="35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4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3560" w:type="dxa"/>
            <w:vAlign w:val="bottom"/>
            <w:vMerge w:val="continue"/>
          </w:tcPr>
          <w:p>
            <w:pPr>
              <w:spacing w:after="0"/>
              <w:rPr>
                <w:sz w:val="15"/>
                <w:szCs w:val="15"/>
                <w:color w:val="auto"/>
              </w:rPr>
            </w:pPr>
          </w:p>
        </w:tc>
        <w:tc>
          <w:tcPr>
            <w:tcW w:w="4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5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Right-of-use assets</w:t>
            </w:r>
          </w:p>
        </w:tc>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24,990</w:t>
            </w:r>
          </w:p>
        </w:tc>
        <w:tc>
          <w:tcPr>
            <w:tcW w:w="0" w:type="dxa"/>
            <w:vAlign w:val="bottom"/>
          </w:tcPr>
          <w:p>
            <w:pPr>
              <w:spacing w:after="0"/>
              <w:rPr>
                <w:sz w:val="1"/>
                <w:szCs w:val="1"/>
                <w:color w:val="auto"/>
              </w:rPr>
            </w:pPr>
          </w:p>
        </w:tc>
      </w:tr>
      <w:tr>
        <w:trPr>
          <w:trHeight w:val="250"/>
        </w:trPr>
        <w:tc>
          <w:tcPr>
            <w:tcW w:w="3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liabilities</w:t>
            </w:r>
          </w:p>
        </w:tc>
        <w:tc>
          <w:tcPr>
            <w:tcW w:w="4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3,726</w:t>
            </w:r>
          </w:p>
        </w:tc>
        <w:tc>
          <w:tcPr>
            <w:tcW w:w="0" w:type="dxa"/>
            <w:vAlign w:val="bottom"/>
          </w:tcPr>
          <w:p>
            <w:pPr>
              <w:spacing w:after="0"/>
              <w:rPr>
                <w:sz w:val="1"/>
                <w:szCs w:val="1"/>
                <w:color w:val="auto"/>
              </w:rPr>
            </w:pPr>
          </w:p>
        </w:tc>
      </w:tr>
      <w:tr>
        <w:trPr>
          <w:trHeight w:val="26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44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0" w:type="dxa"/>
            <w:vAlign w:val="bottom"/>
          </w:tcPr>
          <w:p>
            <w:pPr>
              <w:spacing w:after="0"/>
              <w:rPr>
                <w:sz w:val="1"/>
                <w:szCs w:val="1"/>
                <w:color w:val="auto"/>
              </w:rPr>
            </w:pPr>
          </w:p>
        </w:tc>
      </w:tr>
      <w:tr>
        <w:trPr>
          <w:trHeight w:val="270"/>
        </w:trPr>
        <w:tc>
          <w:tcPr>
            <w:tcW w:w="3560" w:type="dxa"/>
            <w:vAlign w:val="bottom"/>
          </w:tcPr>
          <w:p>
            <w:pPr>
              <w:spacing w:after="0"/>
              <w:rPr>
                <w:sz w:val="23"/>
                <w:szCs w:val="23"/>
                <w:color w:val="auto"/>
              </w:rPr>
            </w:pPr>
          </w:p>
        </w:tc>
        <w:tc>
          <w:tcPr>
            <w:tcW w:w="43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3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Other information</w:t>
            </w:r>
          </w:p>
        </w:tc>
        <w:tc>
          <w:tcPr>
            <w:tcW w:w="43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0"/>
        </w:trPr>
        <w:tc>
          <w:tcPr>
            <w:tcW w:w="80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operating lease</w:t>
            </w:r>
          </w:p>
        </w:tc>
        <w:tc>
          <w:tcPr>
            <w:tcW w:w="180" w:type="dxa"/>
            <w:vAlign w:val="bottom"/>
          </w:tcPr>
          <w:p>
            <w:pPr>
              <w:spacing w:after="0"/>
              <w:rPr>
                <w:sz w:val="21"/>
                <w:szCs w:val="21"/>
                <w:color w:val="auto"/>
              </w:rPr>
            </w:pPr>
          </w:p>
        </w:tc>
        <w:tc>
          <w:tcPr>
            <w:tcW w:w="140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rPr>
              <w:t>8.8 years</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 years</w:t>
            </w:r>
          </w:p>
        </w:tc>
        <w:tc>
          <w:tcPr>
            <w:tcW w:w="0" w:type="dxa"/>
            <w:vAlign w:val="bottom"/>
          </w:tcPr>
          <w:p>
            <w:pPr>
              <w:spacing w:after="0"/>
              <w:rPr>
                <w:sz w:val="1"/>
                <w:szCs w:val="1"/>
                <w:color w:val="auto"/>
              </w:rPr>
            </w:pPr>
          </w:p>
        </w:tc>
      </w:tr>
      <w:tr>
        <w:trPr>
          <w:trHeight w:val="263"/>
        </w:trPr>
        <w:tc>
          <w:tcPr>
            <w:tcW w:w="3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 operating lease</w:t>
            </w:r>
          </w:p>
        </w:tc>
        <w:tc>
          <w:tcPr>
            <w:tcW w:w="43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4.89%</w:t>
            </w:r>
          </w:p>
        </w:tc>
        <w:tc>
          <w:tcPr>
            <w:tcW w:w="0" w:type="dxa"/>
            <w:vAlign w:val="bottom"/>
          </w:tcPr>
          <w:p>
            <w:pPr>
              <w:spacing w:after="0"/>
              <w:rPr>
                <w:sz w:val="1"/>
                <w:szCs w:val="1"/>
                <w:color w:val="auto"/>
              </w:rPr>
            </w:pPr>
          </w:p>
        </w:tc>
      </w:tr>
    </w:tbl>
    <w:p>
      <w:pPr>
        <w:spacing w:after="0" w:line="29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Future facility lease payments as of March 31, 2026 are as follows (in thousands):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Year Ending December 31:</w:t>
            </w:r>
          </w:p>
        </w:tc>
        <w:tc>
          <w:tcPr>
            <w:tcW w:w="28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600" w:type="dxa"/>
            <w:vAlign w:val="bottom"/>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Operating Lease Payments as of March 31, 2026</w:t>
            </w:r>
          </w:p>
        </w:tc>
        <w:tc>
          <w:tcPr>
            <w:tcW w:w="0" w:type="dxa"/>
            <w:vAlign w:val="bottom"/>
          </w:tcPr>
          <w:p>
            <w:pPr>
              <w:spacing w:after="0"/>
              <w:rPr>
                <w:sz w:val="1"/>
                <w:szCs w:val="1"/>
                <w:color w:val="auto"/>
              </w:rPr>
            </w:pPr>
          </w:p>
        </w:tc>
      </w:tr>
      <w:tr>
        <w:trPr>
          <w:trHeight w:val="23"/>
        </w:trPr>
        <w:tc>
          <w:tcPr>
            <w:tcW w:w="4540" w:type="dxa"/>
            <w:vAlign w:val="bottom"/>
            <w:tcBorders>
              <w:bottom w:val="single" w:sz="8" w:color="CCEEFF"/>
            </w:tcBorders>
          </w:tcPr>
          <w:p>
            <w:pPr>
              <w:spacing w:after="0"/>
              <w:rPr>
                <w:sz w:val="2"/>
                <w:szCs w:val="2"/>
                <w:color w:val="auto"/>
              </w:rPr>
            </w:pPr>
          </w:p>
        </w:tc>
        <w:tc>
          <w:tcPr>
            <w:tcW w:w="28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3,144</w:t>
            </w:r>
          </w:p>
        </w:tc>
        <w:tc>
          <w:tcPr>
            <w:tcW w:w="0" w:type="dxa"/>
            <w:vAlign w:val="bottom"/>
          </w:tcPr>
          <w:p>
            <w:pPr>
              <w:spacing w:after="0"/>
              <w:rPr>
                <w:sz w:val="1"/>
                <w:szCs w:val="1"/>
                <w:color w:val="auto"/>
              </w:rPr>
            </w:pPr>
          </w:p>
        </w:tc>
      </w:tr>
      <w:tr>
        <w:trPr>
          <w:trHeight w:val="25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4,343</w:t>
            </w:r>
          </w:p>
        </w:tc>
        <w:tc>
          <w:tcPr>
            <w:tcW w:w="0" w:type="dxa"/>
            <w:vAlign w:val="bottom"/>
          </w:tcPr>
          <w:p>
            <w:pPr>
              <w:spacing w:after="0"/>
              <w:rPr>
                <w:sz w:val="1"/>
                <w:szCs w:val="1"/>
                <w:color w:val="auto"/>
              </w:rPr>
            </w:pPr>
          </w:p>
        </w:tc>
      </w:tr>
      <w:tr>
        <w:trPr>
          <w:trHeight w:val="26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4,348</w:t>
            </w:r>
          </w:p>
        </w:tc>
        <w:tc>
          <w:tcPr>
            <w:tcW w:w="0" w:type="dxa"/>
            <w:vAlign w:val="bottom"/>
          </w:tcPr>
          <w:p>
            <w:pPr>
              <w:spacing w:after="0"/>
              <w:rPr>
                <w:sz w:val="1"/>
                <w:szCs w:val="1"/>
                <w:color w:val="auto"/>
              </w:rPr>
            </w:pPr>
          </w:p>
        </w:tc>
      </w:tr>
      <w:tr>
        <w:trPr>
          <w:trHeight w:val="250"/>
        </w:trPr>
        <w:tc>
          <w:tcPr>
            <w:tcW w:w="4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8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3,561</w:t>
            </w:r>
          </w:p>
        </w:tc>
        <w:tc>
          <w:tcPr>
            <w:tcW w:w="0" w:type="dxa"/>
            <w:vAlign w:val="bottom"/>
          </w:tcPr>
          <w:p>
            <w:pPr>
              <w:spacing w:after="0"/>
              <w:rPr>
                <w:sz w:val="1"/>
                <w:szCs w:val="1"/>
                <w:color w:val="auto"/>
              </w:rPr>
            </w:pPr>
          </w:p>
        </w:tc>
      </w:tr>
      <w:tr>
        <w:trPr>
          <w:trHeight w:val="263"/>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2030</w:t>
            </w:r>
          </w:p>
        </w:tc>
        <w:tc>
          <w:tcPr>
            <w:tcW w:w="28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2,824</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8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15,605</w:t>
            </w:r>
          </w:p>
        </w:tc>
        <w:tc>
          <w:tcPr>
            <w:tcW w:w="0" w:type="dxa"/>
            <w:vAlign w:val="bottom"/>
          </w:tcPr>
          <w:p>
            <w:pPr>
              <w:spacing w:after="0"/>
              <w:rPr>
                <w:sz w:val="1"/>
                <w:szCs w:val="1"/>
                <w:color w:val="auto"/>
              </w:rPr>
            </w:pPr>
          </w:p>
        </w:tc>
      </w:tr>
      <w:tr>
        <w:trPr>
          <w:trHeight w:val="257"/>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undiscounted lease payments</w:t>
            </w:r>
          </w:p>
        </w:tc>
        <w:tc>
          <w:tcPr>
            <w:tcW w:w="3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33,825</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8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6,545</w:t>
            </w:r>
          </w:p>
        </w:tc>
        <w:tc>
          <w:tcPr>
            <w:tcW w:w="0" w:type="dxa"/>
            <w:vAlign w:val="bottom"/>
          </w:tcPr>
          <w:p>
            <w:pPr>
              <w:spacing w:after="0"/>
              <w:rPr>
                <w:sz w:val="1"/>
                <w:szCs w:val="1"/>
                <w:color w:val="auto"/>
              </w:rPr>
            </w:pPr>
          </w:p>
        </w:tc>
      </w:tr>
      <w:tr>
        <w:trPr>
          <w:trHeight w:val="25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3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27,280</w:t>
            </w:r>
          </w:p>
        </w:tc>
        <w:tc>
          <w:tcPr>
            <w:tcW w:w="0" w:type="dxa"/>
            <w:vAlign w:val="bottom"/>
          </w:tcPr>
          <w:p>
            <w:pPr>
              <w:spacing w:after="0"/>
              <w:rPr>
                <w:sz w:val="1"/>
                <w:szCs w:val="1"/>
                <w:color w:val="auto"/>
              </w:rPr>
            </w:pPr>
          </w:p>
        </w:tc>
      </w:tr>
      <w:tr>
        <w:trPr>
          <w:trHeight w:val="250"/>
        </w:trPr>
        <w:tc>
          <w:tcPr>
            <w:tcW w:w="45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current portion of operating lease liabilities</w:t>
            </w:r>
          </w:p>
        </w:tc>
        <w:tc>
          <w:tcPr>
            <w:tcW w:w="2820" w:type="dxa"/>
            <w:vAlign w:val="bottom"/>
            <w:tcBorders>
              <w:bottom w:val="single" w:sz="8" w:color="CCEEFF"/>
            </w:tcBorders>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4,029</w:t>
            </w:r>
          </w:p>
        </w:tc>
        <w:tc>
          <w:tcPr>
            <w:tcW w:w="0" w:type="dxa"/>
            <w:vAlign w:val="bottom"/>
          </w:tcPr>
          <w:p>
            <w:pPr>
              <w:spacing w:after="0"/>
              <w:rPr>
                <w:sz w:val="1"/>
                <w:szCs w:val="1"/>
                <w:color w:val="auto"/>
              </w:rPr>
            </w:pPr>
          </w:p>
        </w:tc>
      </w:tr>
      <w:tr>
        <w:trPr>
          <w:trHeight w:val="276"/>
        </w:trPr>
        <w:tc>
          <w:tcPr>
            <w:tcW w:w="4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noncurrent liabilities</w:t>
            </w:r>
          </w:p>
        </w:tc>
        <w:tc>
          <w:tcPr>
            <w:tcW w:w="31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23,251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2820" w:type="dxa"/>
            <w:vAlign w:val="bottom"/>
            <w:tcBorders>
              <w:top w:val="single" w:sz="8" w:color="CCEEFF"/>
              <w:bottom w:val="single" w:sz="8" w:color="CCEEFF"/>
            </w:tcBorders>
            <w:vMerge w:val="restart"/>
          </w:tcPr>
          <w:p>
            <w:pPr>
              <w:jc w:val="right"/>
              <w:ind w:right="1550"/>
              <w:spacing w:after="0"/>
              <w:rPr>
                <w:sz w:val="20"/>
                <w:szCs w:val="20"/>
                <w:color w:val="auto"/>
              </w:rPr>
            </w:pPr>
            <w:r>
              <w:rPr>
                <w:rFonts w:ascii="Times New Roman" w:cs="Times New Roman" w:eastAsia="Times New Roman" w:hAnsi="Times New Roman"/>
                <w:sz w:val="18"/>
                <w:szCs w:val="18"/>
                <w:color w:val="auto"/>
              </w:rPr>
              <w:t>18</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540" w:type="dxa"/>
            <w:vAlign w:val="bottom"/>
          </w:tcPr>
          <w:p>
            <w:pPr>
              <w:spacing w:after="0"/>
              <w:rPr>
                <w:sz w:val="24"/>
                <w:szCs w:val="24"/>
                <w:color w:val="auto"/>
              </w:rPr>
            </w:pPr>
          </w:p>
        </w:tc>
        <w:tc>
          <w:tcPr>
            <w:tcW w:w="2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4540" w:type="dxa"/>
            <w:vAlign w:val="bottom"/>
            <w:tcBorders>
              <w:bottom w:val="single" w:sz="8" w:color="9A9A9A"/>
            </w:tcBorders>
          </w:tcPr>
          <w:p>
            <w:pPr>
              <w:spacing w:after="0"/>
              <w:rPr>
                <w:sz w:val="8"/>
                <w:szCs w:val="8"/>
                <w:color w:val="auto"/>
              </w:rPr>
            </w:pPr>
          </w:p>
        </w:tc>
        <w:tc>
          <w:tcPr>
            <w:tcW w:w="282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360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February 2022 Lease Agreement</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As noted above, the Company commenced its lease for the 24,099 square foot and 21,262 square foot offices in its corporate offices in New York, NY in February 2023 and March 2025, respectively, pursuant to a lease agreement entered into by the Company in February 2022. The lease agreement also provides for continued occupancy of the 25,212 square foot office after the expiration of the current sublease. For the current 25,212 square foot office, the Company is obligated to pay the base rent of approximately $1.6 million per year beginning in June 2029, which is the lease commencement, through April 2036, the expiration date.</w:t>
      </w:r>
    </w:p>
    <w:p>
      <w:pPr>
        <w:spacing w:after="0" w:line="179" w:lineRule="exact"/>
        <w:rPr>
          <w:sz w:val="20"/>
          <w:szCs w:val="20"/>
          <w:color w:val="auto"/>
        </w:rPr>
      </w:pPr>
    </w:p>
    <w:p>
      <w:pPr>
        <w:ind w:left="660" w:hanging="652"/>
        <w:spacing w:after="0"/>
        <w:tabs>
          <w:tab w:leader="none" w:pos="66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Debt</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July 1, 2025, the Company entered into a revolving credit facility (the “Facility”) pursuant to a Credit Agreement (the “Credit Agreement”) with the lenders and issuing banks, party thereto and JPMorgan Chase Bank, N.A., as administrative agent, collateral agent, and swingline lender. The Credit Agreement makes available to the Company a maximum aggregate amount of $200 million, subject to customary borrowing conditions, until maturity on July 1, 2030. Interest on the borrowings under the Credit Agreement accrues, at a variable rate, based on, at the Company’s option (i) adjusted Secured Overnight Financing Rate, or (ii) the alternate base rate, plus, in each case, an applicable margin. The applicable margin is determined by reference to the Company’s total leverage ratio, as specified in the Credit Agreement. Interest is payable on each Interest Payment Date, as specified in the Credit Agreement. Borrowings under the Credit Agreement may be repaid or reborrowed at any time.</w:t>
      </w:r>
    </w:p>
    <w:p>
      <w:pPr>
        <w:spacing w:after="0" w:line="21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The Credit Agreement contains customary events of default, representations and warranties and covenants, including, among other things, covenants that restrict or limit the ability of the Company to incur certain additional indebtedness; create liens; engage in mergers or consolidations; make certain payments or distributions in respect of junior and unsecured indebtedness, dividends or equity interest; make certain investments; dispose of certain assets; engage in sale and lease-back transactions; engage in certain affiliate transactions; make certain modifications to the terms of junior and unsecured indebtedness, as well as negative pledge provisions, subject to customary exceptions, and customary financial covenants, including a total leverage ratio covenant and an interest coverage ratio covenant. The Company was in compliance with all financial covenants under the Credit Agreement as of March 31, 2026.</w:t>
      </w:r>
    </w:p>
    <w:p>
      <w:pPr>
        <w:spacing w:after="0" w:line="20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connection with entering into the Facility in 2025, the Company capitalized issuance costs of $3.1 million related to the Facility, which were included within other assets in the consolidated balance sheet and are amortized over the life of the Credit Agreement. For the three months ended March 31, 2026, interest expense, including amortization of issuance costs, was $0.3 million. As of the date of this filing, no amounts were drawn under the Facility.</w:t>
      </w:r>
    </w:p>
    <w:p>
      <w:pPr>
        <w:spacing w:after="0" w:line="173" w:lineRule="exact"/>
        <w:rPr>
          <w:sz w:val="20"/>
          <w:szCs w:val="20"/>
          <w:color w:val="auto"/>
        </w:rPr>
      </w:pPr>
    </w:p>
    <w:p>
      <w:pPr>
        <w:ind w:left="660" w:hanging="652"/>
        <w:spacing w:after="0"/>
        <w:tabs>
          <w:tab w:leader="none" w:pos="66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records accruals for loss contingencies when it is probable that a liability will be incurred and the amount of the loss can be reasonably estimated. If the Company determines that a loss is reasonably possible, the Company discloses the matter, and the amount or range of the possible loss, if estimable, in the notes to the consolidated financial statements.</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From time to time, the Company is involved in certain claims and litigation arising in the normal course of business. The Company is not aware of any legal proceedings or claims, that the Company believes will have, individually or in the aggregate, a material adverse effect on the Company’s financial position or results of operations.</w:t>
      </w:r>
    </w:p>
    <w:p>
      <w:pPr>
        <w:spacing w:after="0" w:line="172" w:lineRule="exact"/>
        <w:rPr>
          <w:sz w:val="20"/>
          <w:szCs w:val="20"/>
          <w:color w:val="auto"/>
        </w:rPr>
      </w:pPr>
    </w:p>
    <w:p>
      <w:pPr>
        <w:ind w:right="8960" w:firstLine="8"/>
        <w:spacing w:after="0" w:line="503" w:lineRule="auto"/>
        <w:tabs>
          <w:tab w:leader="none" w:pos="648" w:val="left"/>
        </w:tabs>
        <w:numPr>
          <w:ilvl w:val="0"/>
          <w:numId w:val="15"/>
        </w:numPr>
        <w:rPr>
          <w:rFonts w:ascii="Times New Roman" w:cs="Times New Roman" w:eastAsia="Times New Roman" w:hAnsi="Times New Roman"/>
          <w:sz w:val="14"/>
          <w:szCs w:val="14"/>
          <w:b w:val="1"/>
          <w:bCs w:val="1"/>
          <w:color w:val="auto"/>
        </w:rPr>
      </w:pPr>
      <w:r>
        <w:rPr>
          <w:rFonts w:ascii="Times New Roman" w:cs="Times New Roman" w:eastAsia="Times New Roman" w:hAnsi="Times New Roman"/>
          <w:sz w:val="18"/>
          <w:szCs w:val="18"/>
          <w:b w:val="1"/>
          <w:bCs w:val="1"/>
          <w:color w:val="auto"/>
        </w:rPr>
        <w:t>Stockholders’ Equity Share Repurchase Program</w:t>
      </w: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 November 2025, the Company’s Board of Directors authorized a share repurchase program of up to $200 million in shares of common stock (the “November 2025 share repurchase program”).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the Company repurchased a total of 5,511,824 shares of common stock under the November 2025 share repurchase program at an average price per share of $21.13 and a total cost of $116.6 million, inclusive of $0.2 million in trading fees. In addition, the Company recognized $1.1 million of excise taxes related to the share repurchases. As of March 31, 2026, the November 2025 share repurchase program was completed and no amounts remained available for repurchase under the program.</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stock-based compensation expense, which was included in the statements of operations as follows (in thousands):</w:t>
      </w:r>
    </w:p>
    <w:p>
      <w:pPr>
        <w:spacing w:after="0" w:line="273"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22225</wp:posOffset>
            </wp:positionV>
            <wp:extent cx="292290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92290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700" w:type="dxa"/>
            <w:vAlign w:val="bottom"/>
          </w:tcPr>
          <w:p>
            <w:pPr>
              <w:jc w:val="right"/>
              <w:ind w:right="89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0"/>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8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80" w:type="dxa"/>
            <w:vAlign w:val="bottom"/>
            <w:shd w:val="clear" w:color="auto" w:fill="CCEEFF"/>
          </w:tcPr>
          <w:p>
            <w:pPr>
              <w:spacing w:after="0"/>
              <w:rPr>
                <w:sz w:val="21"/>
                <w:szCs w:val="21"/>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w:t>
            </w: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w:t>
            </w:r>
          </w:p>
        </w:tc>
      </w:tr>
      <w:tr>
        <w:trPr>
          <w:trHeight w:val="25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80" w:type="dxa"/>
            <w:vAlign w:val="bottom"/>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15,239</w:t>
            </w:r>
          </w:p>
        </w:tc>
      </w:tr>
      <w:tr>
        <w:trPr>
          <w:trHeight w:val="256"/>
        </w:trPr>
        <w:tc>
          <w:tcPr>
            <w:tcW w:w="66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480" w:type="dxa"/>
            <w:vAlign w:val="bottom"/>
            <w:tcBorders>
              <w:bottom w:val="single" w:sz="8" w:color="auto"/>
            </w:tcBorders>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19,721</w:t>
            </w:r>
          </w:p>
        </w:tc>
        <w:tc>
          <w:tcPr>
            <w:tcW w:w="80" w:type="dxa"/>
            <w:vAlign w:val="bottom"/>
          </w:tcPr>
          <w:p>
            <w:pPr>
              <w:spacing w:after="0"/>
              <w:rPr>
                <w:sz w:val="22"/>
                <w:szCs w:val="22"/>
                <w:color w:val="auto"/>
              </w:rPr>
            </w:pPr>
          </w:p>
        </w:tc>
        <w:tc>
          <w:tcPr>
            <w:tcW w:w="5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32,512</w:t>
            </w:r>
          </w:p>
        </w:tc>
      </w:tr>
      <w:tr>
        <w:trPr>
          <w:trHeight w:val="21"/>
        </w:trPr>
        <w:tc>
          <w:tcPr>
            <w:tcW w:w="6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Accumulated Other Comprehensive Income</w:t>
      </w:r>
    </w:p>
    <w:p>
      <w:pPr>
        <w:spacing w:after="0" w:line="25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Accumulated other comprehensive income consisted of the following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6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 2026</w:t>
            </w: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6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180"/>
              <w:spacing w:after="0" w:line="129" w:lineRule="exact"/>
              <w:rPr>
                <w:sz w:val="20"/>
                <w:szCs w:val="20"/>
                <w:color w:val="auto"/>
              </w:rPr>
            </w:pPr>
            <w:r>
              <w:rPr>
                <w:rFonts w:ascii="Times New Roman" w:cs="Times New Roman" w:eastAsia="Times New Roman" w:hAnsi="Times New Roman"/>
                <w:sz w:val="14"/>
                <w:szCs w:val="14"/>
                <w:b w:val="1"/>
                <w:bCs w:val="1"/>
                <w:color w:val="auto"/>
              </w:rPr>
              <w:t>Unrealized gains or</w:t>
            </w:r>
          </w:p>
        </w:tc>
        <w:tc>
          <w:tcPr>
            <w:tcW w:w="180" w:type="dxa"/>
            <w:vAlign w:val="bottom"/>
          </w:tcPr>
          <w:p>
            <w:pPr>
              <w:spacing w:after="0"/>
              <w:rPr>
                <w:sz w:val="11"/>
                <w:szCs w:val="11"/>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losses on marketable</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6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 adjustments</w:t>
            </w:r>
          </w:p>
        </w:tc>
        <w:tc>
          <w:tcPr>
            <w:tcW w:w="400" w:type="dxa"/>
            <w:vAlign w:val="bottom"/>
          </w:tcPr>
          <w:p>
            <w:pPr>
              <w:spacing w:after="0"/>
              <w:rPr>
                <w:sz w:val="17"/>
                <w:szCs w:val="17"/>
                <w:color w:val="auto"/>
              </w:rPr>
            </w:pPr>
          </w:p>
        </w:tc>
        <w:tc>
          <w:tcPr>
            <w:tcW w:w="9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347</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w:t>
            </w:r>
          </w:p>
        </w:tc>
        <w:tc>
          <w:tcPr>
            <w:tcW w:w="0" w:type="dxa"/>
            <w:vAlign w:val="bottom"/>
          </w:tcPr>
          <w:p>
            <w:pPr>
              <w:spacing w:after="0"/>
              <w:rPr>
                <w:sz w:val="1"/>
                <w:szCs w:val="1"/>
                <w:color w:val="auto"/>
              </w:rPr>
            </w:pPr>
          </w:p>
        </w:tc>
      </w:tr>
      <w:tr>
        <w:trPr>
          <w:trHeight w:val="229"/>
        </w:trPr>
        <w:tc>
          <w:tcPr>
            <w:tcW w:w="6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comprehensive loss before reclassifications, net of tax</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0" w:type="dxa"/>
            <w:vAlign w:val="bottom"/>
          </w:tcPr>
          <w:p>
            <w:pPr>
              <w:spacing w:after="0"/>
              <w:rPr>
                <w:sz w:val="1"/>
                <w:szCs w:val="1"/>
                <w:color w:val="auto"/>
              </w:rPr>
            </w:pPr>
          </w:p>
        </w:tc>
      </w:tr>
      <w:tr>
        <w:trPr>
          <w:trHeight w:val="229"/>
        </w:trPr>
        <w:tc>
          <w:tcPr>
            <w:tcW w:w="6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 period other comprehensive loss</w:t>
            </w:r>
          </w:p>
        </w:tc>
        <w:tc>
          <w:tcPr>
            <w:tcW w:w="1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4"/>
        </w:trPr>
        <w:tc>
          <w:tcPr>
            <w:tcW w:w="6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60" w:type="dxa"/>
            <w:vAlign w:val="bottom"/>
            <w:gridSpan w:val="6"/>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Three Months Ended March 31, 2025</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67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6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60" w:type="dxa"/>
            <w:vAlign w:val="bottom"/>
            <w:gridSpan w:val="2"/>
          </w:tcPr>
          <w:p>
            <w:pPr>
              <w:jc w:val="center"/>
              <w:ind w:right="180"/>
              <w:spacing w:after="0" w:line="131" w:lineRule="exact"/>
              <w:rPr>
                <w:sz w:val="20"/>
                <w:szCs w:val="20"/>
                <w:color w:val="auto"/>
              </w:rPr>
            </w:pPr>
            <w:r>
              <w:rPr>
                <w:rFonts w:ascii="Times New Roman" w:cs="Times New Roman" w:eastAsia="Times New Roman" w:hAnsi="Times New Roman"/>
                <w:sz w:val="14"/>
                <w:szCs w:val="14"/>
                <w:b w:val="1"/>
                <w:bCs w:val="1"/>
                <w:color w:val="auto"/>
              </w:rPr>
              <w:t>Unrealized gains or</w:t>
            </w:r>
          </w:p>
        </w:tc>
        <w:tc>
          <w:tcPr>
            <w:tcW w:w="180" w:type="dxa"/>
            <w:vAlign w:val="bottom"/>
          </w:tcPr>
          <w:p>
            <w:pPr>
              <w:spacing w:after="0"/>
              <w:rPr>
                <w:sz w:val="11"/>
                <w:szCs w:val="11"/>
                <w:color w:val="auto"/>
              </w:rPr>
            </w:pPr>
          </w:p>
        </w:tc>
        <w:tc>
          <w:tcPr>
            <w:tcW w:w="142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4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60" w:type="dxa"/>
            <w:vAlign w:val="bottom"/>
            <w:gridSpan w:val="2"/>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losses on marketable</w:t>
            </w:r>
          </w:p>
        </w:tc>
        <w:tc>
          <w:tcPr>
            <w:tcW w:w="180" w:type="dxa"/>
            <w:vAlign w:val="bottom"/>
          </w:tcPr>
          <w:p>
            <w:pPr>
              <w:spacing w:after="0"/>
              <w:rPr>
                <w:sz w:val="12"/>
                <w:szCs w:val="12"/>
                <w:color w:val="auto"/>
              </w:rPr>
            </w:pPr>
          </w:p>
        </w:tc>
        <w:tc>
          <w:tcPr>
            <w:tcW w:w="14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980" w:type="dxa"/>
            <w:vAlign w:val="bottom"/>
            <w:vMerge w:val="restart"/>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6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6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60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translation adjustments</w:t>
            </w:r>
          </w:p>
        </w:tc>
        <w:tc>
          <w:tcPr>
            <w:tcW w:w="4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67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0" w:type="dxa"/>
            <w:vAlign w:val="bottom"/>
          </w:tcPr>
          <w:p>
            <w:pPr>
              <w:spacing w:after="0"/>
              <w:rPr>
                <w:sz w:val="1"/>
                <w:szCs w:val="1"/>
                <w:color w:val="auto"/>
              </w:rPr>
            </w:pPr>
          </w:p>
        </w:tc>
      </w:tr>
      <w:tr>
        <w:trPr>
          <w:trHeight w:val="230"/>
        </w:trPr>
        <w:tc>
          <w:tcPr>
            <w:tcW w:w="670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Other comprehensive (loss) income before reclassifications, net of tax</w:t>
            </w:r>
            <w:r>
              <w:rPr>
                <w:rFonts w:ascii="Times New Roman" w:cs="Times New Roman" w:eastAsia="Times New Roman" w:hAnsi="Times New Roman"/>
                <w:sz w:val="23"/>
                <w:szCs w:val="23"/>
                <w:color w:val="auto"/>
                <w:vertAlign w:val="superscript"/>
              </w:rPr>
              <w:t>(1)</w:t>
            </w:r>
          </w:p>
        </w:tc>
        <w:tc>
          <w:tcPr>
            <w:tcW w:w="1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30"/>
        </w:trPr>
        <w:tc>
          <w:tcPr>
            <w:tcW w:w="6700" w:type="dxa"/>
            <w:vAlign w:val="bottom"/>
            <w:shd w:val="clear" w:color="auto" w:fill="CCEEFF"/>
          </w:tcPr>
          <w:p>
            <w:pPr>
              <w:ind w:left="20"/>
              <w:spacing w:after="0" w:line="230" w:lineRule="exact"/>
              <w:rPr>
                <w:sz w:val="20"/>
                <w:szCs w:val="20"/>
                <w:color w:val="auto"/>
              </w:rPr>
            </w:pPr>
            <w:r>
              <w:rPr>
                <w:rFonts w:ascii="Times New Roman" w:cs="Times New Roman" w:eastAsia="Times New Roman" w:hAnsi="Times New Roman"/>
                <w:sz w:val="18"/>
                <w:szCs w:val="18"/>
                <w:color w:val="auto"/>
              </w:rPr>
              <w:t>Amounts reclassified from accumulated other comprehensive income, net of tax</w:t>
            </w:r>
            <w:r>
              <w:rPr>
                <w:rFonts w:ascii="Times New Roman" w:cs="Times New Roman" w:eastAsia="Times New Roman" w:hAnsi="Times New Roman"/>
                <w:sz w:val="23"/>
                <w:szCs w:val="23"/>
                <w:color w:val="auto"/>
                <w:vertAlign w:val="superscript"/>
              </w:rPr>
              <w:t>(2)</w:t>
            </w:r>
          </w:p>
        </w:tc>
        <w:tc>
          <w:tcPr>
            <w:tcW w:w="10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6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Net current period other comprehensive (loss) income</w:t>
            </w:r>
          </w:p>
        </w:tc>
        <w:tc>
          <w:tcPr>
            <w:tcW w:w="10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Borders>
              <w:bottom w:val="single" w:sz="8" w:color="CCEEFF"/>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00" w:type="dxa"/>
            <w:vAlign w:val="bottom"/>
            <w:tcBorders>
              <w:bottom w:val="single" w:sz="8" w:color="CCEEFF"/>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0" w:type="dxa"/>
            <w:vAlign w:val="bottom"/>
          </w:tcPr>
          <w:p>
            <w:pPr>
              <w:spacing w:after="0"/>
              <w:rPr>
                <w:sz w:val="1"/>
                <w:szCs w:val="1"/>
                <w:color w:val="auto"/>
              </w:rPr>
            </w:pPr>
          </w:p>
        </w:tc>
      </w:tr>
      <w:tr>
        <w:trPr>
          <w:trHeight w:val="248"/>
        </w:trPr>
        <w:tc>
          <w:tcPr>
            <w:tcW w:w="6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20"/>
        </w:trPr>
        <w:tc>
          <w:tcPr>
            <w:tcW w:w="6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ind w:right="480" w:firstLine="8"/>
        <w:spacing w:after="0" w:line="253" w:lineRule="auto"/>
        <w:tabs>
          <w:tab w:leader="none" w:pos="165" w:val="left"/>
        </w:tabs>
        <w:numPr>
          <w:ilvl w:val="0"/>
          <w:numId w:val="16"/>
        </w:numPr>
        <w:rPr>
          <w:rFonts w:ascii="Times New Roman" w:cs="Times New Roman" w:eastAsia="Times New Roman" w:hAnsi="Times New Roman"/>
          <w:sz w:val="20"/>
          <w:szCs w:val="20"/>
          <w:color w:val="auto"/>
          <w:vertAlign w:val="superscript"/>
        </w:rPr>
      </w:pPr>
      <w:r>
        <w:rPr>
          <w:rFonts w:ascii="Times New Roman" w:cs="Times New Roman" w:eastAsia="Times New Roman" w:hAnsi="Times New Roman"/>
          <w:sz w:val="16"/>
          <w:szCs w:val="16"/>
          <w:color w:val="auto"/>
        </w:rPr>
        <w:t>Represents unrealized losses of $0.1 million, net of tax benefit of $0.0 million, for the three months ended March 31, 2026 and unrealized losses of $0.1 million, net of tax benefit of $0.0 million, for the three months ended March 31, 2025.</w:t>
      </w:r>
    </w:p>
    <w:p>
      <w:pPr>
        <w:ind w:left="180" w:hanging="172"/>
        <w:spacing w:after="0" w:line="204" w:lineRule="auto"/>
        <w:tabs>
          <w:tab w:leader="none" w:pos="180" w:val="left"/>
        </w:tabs>
        <w:numPr>
          <w:ilvl w:val="0"/>
          <w:numId w:val="16"/>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The effects on net income of amounts reclassified from accumulated other comprehensive income were as follows (in thousands):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460" w:type="dxa"/>
            <w:vAlign w:val="bottom"/>
            <w:gridSpan w:val="3"/>
          </w:tcPr>
          <w:p>
            <w:pPr>
              <w:ind w:left="6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20" w:type="dxa"/>
            <w:vAlign w:val="bottom"/>
          </w:tcPr>
          <w:p>
            <w:pPr>
              <w:spacing w:after="0"/>
              <w:rPr>
                <w:sz w:val="13"/>
                <w:szCs w:val="13"/>
                <w:color w:val="auto"/>
              </w:rPr>
            </w:pPr>
          </w:p>
        </w:tc>
      </w:tr>
      <w:tr>
        <w:trPr>
          <w:trHeight w:val="194"/>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Details about Accumulated Other Comprehensive Income</w:t>
            </w:r>
          </w:p>
        </w:tc>
        <w:tc>
          <w:tcPr>
            <w:tcW w:w="400" w:type="dxa"/>
            <w:vAlign w:val="bottom"/>
            <w:tcBorders>
              <w:bottom w:val="single" w:sz="8" w:color="auto"/>
            </w:tcBorders>
          </w:tcPr>
          <w:p>
            <w:pPr>
              <w:spacing w:after="0"/>
              <w:rPr>
                <w:sz w:val="16"/>
                <w:szCs w:val="16"/>
                <w:color w:val="auto"/>
              </w:rPr>
            </w:pPr>
          </w:p>
        </w:tc>
        <w:tc>
          <w:tcPr>
            <w:tcW w:w="2460" w:type="dxa"/>
            <w:vAlign w:val="bottom"/>
            <w:tcBorders>
              <w:bottom w:val="single" w:sz="8" w:color="auto"/>
            </w:tcBorders>
            <w:gridSpan w:val="3"/>
          </w:tcPr>
          <w:p>
            <w:pPr>
              <w:ind w:left="9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20" w:type="dxa"/>
            <w:vAlign w:val="bottom"/>
          </w:tcPr>
          <w:p>
            <w:pPr>
              <w:spacing w:after="0"/>
              <w:rPr>
                <w:sz w:val="16"/>
                <w:szCs w:val="16"/>
                <w:color w:val="auto"/>
              </w:rPr>
            </w:pPr>
          </w:p>
        </w:tc>
      </w:tr>
      <w:tr>
        <w:trPr>
          <w:trHeight w:val="198"/>
        </w:trPr>
        <w:tc>
          <w:tcPr>
            <w:tcW w:w="44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Component</w:t>
            </w:r>
          </w:p>
        </w:tc>
        <w:tc>
          <w:tcPr>
            <w:tcW w:w="400" w:type="dxa"/>
            <w:vAlign w:val="bottom"/>
          </w:tcPr>
          <w:p>
            <w:pPr>
              <w:spacing w:after="0"/>
              <w:rPr>
                <w:sz w:val="17"/>
                <w:szCs w:val="17"/>
                <w:color w:val="auto"/>
              </w:rPr>
            </w:pPr>
          </w:p>
        </w:tc>
        <w:tc>
          <w:tcPr>
            <w:tcW w:w="122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116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2025</w:t>
            </w: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2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Affected Line Item in Statement of Operations</w:t>
            </w:r>
          </w:p>
        </w:tc>
      </w:tr>
      <w:tr>
        <w:trPr>
          <w:trHeight w:val="228"/>
        </w:trPr>
        <w:tc>
          <w:tcPr>
            <w:tcW w:w="432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Gains on marketable securities</w:t>
            </w: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and other income, net</w:t>
            </w:r>
          </w:p>
        </w:tc>
      </w:tr>
      <w:tr>
        <w:trPr>
          <w:trHeight w:val="230"/>
        </w:trPr>
        <w:tc>
          <w:tcPr>
            <w:tcW w:w="4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52</w:t>
            </w:r>
          </w:p>
        </w:tc>
        <w:tc>
          <w:tcPr>
            <w:tcW w:w="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98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auto"/>
              </w:rPr>
              <w:t>—  Income before income taxes</w:t>
            </w:r>
          </w:p>
        </w:tc>
      </w:tr>
      <w:tr>
        <w:trPr>
          <w:trHeight w:val="223"/>
        </w:trPr>
        <w:tc>
          <w:tcPr>
            <w:tcW w:w="43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spacing w:after="0"/>
              <w:rPr>
                <w:sz w:val="19"/>
                <w:szCs w:val="19"/>
                <w:color w:val="auto"/>
              </w:rPr>
            </w:pPr>
          </w:p>
        </w:tc>
        <w:tc>
          <w:tcPr>
            <w:tcW w:w="46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3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Provision for income taxes</w:t>
            </w:r>
          </w:p>
        </w:tc>
      </w:tr>
      <w:tr>
        <w:trPr>
          <w:trHeight w:val="223"/>
        </w:trPr>
        <w:tc>
          <w:tcPr>
            <w:tcW w:w="4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ind w:left="960"/>
              <w:spacing w:after="0"/>
              <w:rPr>
                <w:sz w:val="20"/>
                <w:szCs w:val="20"/>
                <w:color w:val="auto"/>
              </w:rPr>
            </w:pPr>
            <w:r>
              <w:rPr>
                <w:rFonts w:ascii="Times New Roman" w:cs="Times New Roman" w:eastAsia="Times New Roman" w:hAnsi="Times New Roman"/>
                <w:sz w:val="18"/>
                <w:szCs w:val="18"/>
                <w:color w:val="auto"/>
              </w:rPr>
              <w:t>39</w:t>
            </w:r>
          </w:p>
        </w:tc>
        <w:tc>
          <w:tcPr>
            <w:tcW w:w="80" w:type="dxa"/>
            <w:vAlign w:val="bottom"/>
          </w:tcPr>
          <w:p>
            <w:pPr>
              <w:spacing w:after="0"/>
              <w:rPr>
                <w:sz w:val="19"/>
                <w:szCs w:val="19"/>
                <w:color w:val="auto"/>
              </w:rPr>
            </w:pPr>
          </w:p>
        </w:tc>
        <w:tc>
          <w:tcPr>
            <w:tcW w:w="1160" w:type="dxa"/>
            <w:vAlign w:val="bottom"/>
            <w:tcBorders>
              <w:bottom w:val="single" w:sz="8" w:color="auto"/>
            </w:tcBorders>
          </w:tcPr>
          <w:p>
            <w:pPr>
              <w:jc w:val="right"/>
              <w:ind w:right="956"/>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Borders>
              <w:bottom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342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r>
      <w:tr>
        <w:trPr>
          <w:trHeight w:val="20"/>
        </w:trPr>
        <w:tc>
          <w:tcPr>
            <w:tcW w:w="4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r>
      <w:tr>
        <w:trPr>
          <w:trHeight w:val="898"/>
        </w:trPr>
        <w:tc>
          <w:tcPr>
            <w:tcW w:w="4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20</w:t>
            </w: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20" w:type="dxa"/>
            <w:vAlign w:val="bottom"/>
          </w:tcPr>
          <w:p>
            <w:pPr>
              <w:spacing w:after="0"/>
              <w:rPr>
                <w:sz w:val="24"/>
                <w:szCs w:val="24"/>
                <w:color w:val="auto"/>
              </w:rPr>
            </w:pPr>
          </w:p>
        </w:tc>
      </w:tr>
      <w:tr>
        <w:trPr>
          <w:trHeight w:val="115"/>
        </w:trPr>
        <w:tc>
          <w:tcPr>
            <w:tcW w:w="43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4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4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hanging="652"/>
        <w:spacing w:after="0"/>
        <w:tabs>
          <w:tab w:leader="none" w:pos="660" w:val="left"/>
        </w:tabs>
        <w:numPr>
          <w:ilvl w:val="0"/>
          <w:numId w:val="1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For the three months ended March 31, 2026 and 2025, the Company calculated its interim provision for income taxes by applying the estimated annual effective tax rate to year-to-date income before income taxes and adjusting for discrete tax items. The Company updates its estimate of the annual effective tax rate at the end of each reporting period based on its forecast of annual income before income taxes and the anticipated impact of significant permanent tax items. During the three months ended March 31, 2026 and 2025, the Company recorded a provision for income taxes of $12.7 million and $11.5 million, respectively, primarily attributable to operating profit and tax deficiencies related to stock-based compensation, recognized as discrete tax items.</w:t>
      </w:r>
    </w:p>
    <w:p>
      <w:pPr>
        <w:spacing w:after="0" w:line="183" w:lineRule="exact"/>
        <w:rPr>
          <w:sz w:val="20"/>
          <w:szCs w:val="20"/>
          <w:color w:val="auto"/>
        </w:rPr>
      </w:pPr>
    </w:p>
    <w:p>
      <w:pPr>
        <w:ind w:left="700" w:hanging="692"/>
        <w:spacing w:after="0"/>
        <w:tabs>
          <w:tab w:leader="none" w:pos="700" w:val="left"/>
        </w:tabs>
        <w:numPr>
          <w:ilvl w:val="0"/>
          <w:numId w:val="1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On January 8, 2025, the Company completed its acquisition of Benefit Bump LLC, a comprehensive parental leave benefits navigation program for new and growing families. The acquisition enhances the Company's existing offerings, extending its ability to further serve the needs of families on their journey from pregnancy to early childhood and beyond. The transaction was for a purchase price of $10.5 million, including $2.5 million held in escrow for standard indemnifications and the satisfaction of certain conditions. The transaction was accounted for using the acquisition method resulting in tangible and intangible assets acquired and liabilities assumed, recorded at their estimated fair values as of the acquisition date. Any excess consideration over the fair value of the assets and liabilities assumed was recognized as goodwill and is subject to revision as the purchase price allocation is completed during the measurement period (up to one year from acquisition date). This acquisition did not have a material impact on the Company’s consolidated financial statements.</w:t>
      </w:r>
    </w:p>
    <w:p>
      <w:pPr>
        <w:spacing w:after="0" w:line="188" w:lineRule="exact"/>
        <w:rPr>
          <w:sz w:val="20"/>
          <w:szCs w:val="20"/>
          <w:color w:val="auto"/>
        </w:rPr>
      </w:pPr>
    </w:p>
    <w:p>
      <w:pPr>
        <w:ind w:left="640" w:hanging="632"/>
        <w:spacing w:after="0"/>
        <w:tabs>
          <w:tab w:leader="none" w:pos="64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Net Income Per Share</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Basic net income per share is calculated by dividing the net income by the weighted-average number of shares of common stock outstanding for the period.</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Diluted net income per share is computed by dividing the diluted net income by the weighted-average number of common shares outstanding for the period, including potential dilutive common shares assuming dilutive effect of outstanding common stock options, restricted stock units, common stock warrants, and shares issuable under the employee stock purchase plan. In periods when the Company has incurred a net loss, diluted net loss per share is the same as basic net loss per share because dilutive common shares are not assumed to have been issued if their effect is anti-dilutive.</w:t>
      </w:r>
    </w:p>
    <w:p>
      <w:pPr>
        <w:spacing w:after="0" w:line="180"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A reconciliation of net income and the number of shares in the calculation of basic and diluted net income per share is as follows (in thousands, except share and per share amounts):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9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4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40" w:type="dxa"/>
            <w:vAlign w:val="bottom"/>
            <w:gridSpan w:val="3"/>
          </w:tcPr>
          <w:p>
            <w:pPr>
              <w:jc w:val="right"/>
              <w:ind w:right="35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96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69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80" w:type="dxa"/>
            <w:vAlign w:val="bottom"/>
          </w:tcPr>
          <w:p>
            <w:pPr>
              <w:jc w:val="right"/>
              <w:ind w:right="754"/>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380" w:type="dxa"/>
            <w:vAlign w:val="bottom"/>
          </w:tcPr>
          <w:p>
            <w:pPr>
              <w:jc w:val="right"/>
              <w:ind w:right="89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96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Basic net income per common share:</w:t>
            </w:r>
          </w:p>
        </w:tc>
        <w:tc>
          <w:tcPr>
            <w:tcW w:w="4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6960" w:type="dxa"/>
            <w:vAlign w:val="bottom"/>
            <w:vMerge w:val="continue"/>
          </w:tcPr>
          <w:p>
            <w:pPr>
              <w:spacing w:after="0"/>
              <w:rPr>
                <w:sz w:val="19"/>
                <w:szCs w:val="19"/>
                <w:color w:val="auto"/>
              </w:rPr>
            </w:pPr>
          </w:p>
        </w:tc>
        <w:tc>
          <w:tcPr>
            <w:tcW w:w="4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80" w:type="dxa"/>
            <w:vAlign w:val="bottom"/>
          </w:tcPr>
          <w:p>
            <w:pPr>
              <w:spacing w:after="0"/>
              <w:rPr>
                <w:sz w:val="21"/>
                <w:szCs w:val="21"/>
                <w:color w:val="auto"/>
              </w:rPr>
            </w:pP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0" w:type="dxa"/>
            <w:vAlign w:val="bottom"/>
          </w:tcPr>
          <w:p>
            <w:pPr>
              <w:spacing w:after="0"/>
              <w:rPr>
                <w:sz w:val="1"/>
                <w:szCs w:val="1"/>
                <w:color w:val="auto"/>
              </w:rPr>
            </w:pPr>
          </w:p>
        </w:tc>
      </w:tr>
      <w:tr>
        <w:trPr>
          <w:trHeight w:val="277"/>
        </w:trPr>
        <w:tc>
          <w:tcPr>
            <w:tcW w:w="69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 share</w:t>
            </w:r>
          </w:p>
        </w:tc>
        <w:tc>
          <w:tcPr>
            <w:tcW w:w="4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80,920,993</w:t>
            </w:r>
          </w:p>
        </w:tc>
        <w:tc>
          <w:tcPr>
            <w:tcW w:w="8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85,499,153</w:t>
            </w:r>
          </w:p>
        </w:tc>
        <w:tc>
          <w:tcPr>
            <w:tcW w:w="0" w:type="dxa"/>
            <w:vAlign w:val="bottom"/>
          </w:tcPr>
          <w:p>
            <w:pPr>
              <w:spacing w:after="0"/>
              <w:rPr>
                <w:sz w:val="1"/>
                <w:szCs w:val="1"/>
                <w:color w:val="auto"/>
              </w:rPr>
            </w:pPr>
          </w:p>
        </w:tc>
      </w:tr>
      <w:tr>
        <w:trPr>
          <w:trHeight w:val="257"/>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 net income per share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80" w:type="dxa"/>
            <w:vAlign w:val="bottom"/>
          </w:tcPr>
          <w:p>
            <w:pPr>
              <w:spacing w:after="0"/>
              <w:rPr>
                <w:sz w:val="22"/>
                <w:szCs w:val="22"/>
                <w:color w:val="auto"/>
              </w:rPr>
            </w:pP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0" w:type="dxa"/>
            <w:vAlign w:val="bottom"/>
          </w:tcPr>
          <w:p>
            <w:pPr>
              <w:spacing w:after="0"/>
              <w:rPr>
                <w:sz w:val="1"/>
                <w:szCs w:val="1"/>
                <w:color w:val="auto"/>
              </w:rPr>
            </w:pPr>
          </w:p>
        </w:tc>
      </w:tr>
      <w:tr>
        <w:trPr>
          <w:trHeight w:val="20"/>
        </w:trPr>
        <w:tc>
          <w:tcPr>
            <w:tcW w:w="696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96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14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Diluted net income per common share:</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38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46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80" w:type="dxa"/>
            <w:vAlign w:val="bottom"/>
          </w:tcPr>
          <w:p>
            <w:pPr>
              <w:spacing w:after="0"/>
              <w:rPr>
                <w:sz w:val="21"/>
                <w:szCs w:val="21"/>
                <w:color w:val="auto"/>
              </w:rPr>
            </w:pPr>
          </w:p>
        </w:tc>
        <w:tc>
          <w:tcPr>
            <w:tcW w:w="880" w:type="dxa"/>
            <w:vAlign w:val="bottom"/>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15,059</w:t>
            </w:r>
          </w:p>
        </w:tc>
        <w:tc>
          <w:tcPr>
            <w:tcW w:w="0" w:type="dxa"/>
            <w:vAlign w:val="bottom"/>
          </w:tcPr>
          <w:p>
            <w:pPr>
              <w:spacing w:after="0"/>
              <w:rPr>
                <w:sz w:val="1"/>
                <w:szCs w:val="1"/>
                <w:color w:val="auto"/>
              </w:rPr>
            </w:pPr>
          </w:p>
        </w:tc>
      </w:tr>
      <w:tr>
        <w:trPr>
          <w:trHeight w:val="277"/>
        </w:trPr>
        <w:tc>
          <w:tcPr>
            <w:tcW w:w="696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used in computing basic net income per share</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80,920,993</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85,499,153</w:t>
            </w:r>
          </w:p>
        </w:tc>
        <w:tc>
          <w:tcPr>
            <w:tcW w:w="0" w:type="dxa"/>
            <w:vAlign w:val="bottom"/>
          </w:tcPr>
          <w:p>
            <w:pPr>
              <w:spacing w:after="0"/>
              <w:rPr>
                <w:sz w:val="1"/>
                <w:szCs w:val="1"/>
                <w:color w:val="auto"/>
              </w:rPr>
            </w:pPr>
          </w:p>
        </w:tc>
      </w:tr>
      <w:tr>
        <w:trPr>
          <w:trHeight w:val="250"/>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4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46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3,080,839</w:t>
            </w:r>
          </w:p>
        </w:tc>
        <w:tc>
          <w:tcPr>
            <w:tcW w:w="8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3,176,495</w:t>
            </w:r>
          </w:p>
        </w:tc>
        <w:tc>
          <w:tcPr>
            <w:tcW w:w="0" w:type="dxa"/>
            <w:vAlign w:val="bottom"/>
          </w:tcPr>
          <w:p>
            <w:pPr>
              <w:spacing w:after="0"/>
              <w:rPr>
                <w:sz w:val="1"/>
                <w:szCs w:val="1"/>
                <w:color w:val="auto"/>
              </w:rPr>
            </w:pPr>
          </w:p>
        </w:tc>
      </w:tr>
      <w:tr>
        <w:trPr>
          <w:trHeight w:val="250"/>
        </w:trPr>
        <w:tc>
          <w:tcPr>
            <w:tcW w:w="69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Shares issuable under ESPP</w:t>
            </w:r>
          </w:p>
        </w:tc>
        <w:tc>
          <w:tcPr>
            <w:tcW w:w="4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10,677</w:t>
            </w:r>
          </w:p>
        </w:tc>
        <w:tc>
          <w:tcPr>
            <w:tcW w:w="8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9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Restricted stock units</w:t>
            </w:r>
          </w:p>
        </w:tc>
        <w:tc>
          <w:tcPr>
            <w:tcW w:w="460" w:type="dxa"/>
            <w:vAlign w:val="bottom"/>
            <w:tcBorders>
              <w:bottom w:val="single" w:sz="8" w:color="auto"/>
            </w:tcBorders>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742,753</w:t>
            </w:r>
          </w:p>
        </w:tc>
        <w:tc>
          <w:tcPr>
            <w:tcW w:w="80" w:type="dxa"/>
            <w:vAlign w:val="bottom"/>
            <w:shd w:val="clear" w:color="auto" w:fill="CCEEFF"/>
          </w:tcPr>
          <w:p>
            <w:pPr>
              <w:spacing w:after="0"/>
              <w:rPr>
                <w:sz w:val="22"/>
                <w:szCs w:val="22"/>
                <w:color w:val="auto"/>
              </w:rPr>
            </w:pPr>
          </w:p>
        </w:tc>
        <w:tc>
          <w:tcPr>
            <w:tcW w:w="88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632,286</w:t>
            </w:r>
          </w:p>
        </w:tc>
        <w:tc>
          <w:tcPr>
            <w:tcW w:w="0" w:type="dxa"/>
            <w:vAlign w:val="bottom"/>
          </w:tcPr>
          <w:p>
            <w:pPr>
              <w:spacing w:after="0"/>
              <w:rPr>
                <w:sz w:val="1"/>
                <w:szCs w:val="1"/>
                <w:color w:val="auto"/>
              </w:rPr>
            </w:pPr>
          </w:p>
        </w:tc>
      </w:tr>
      <w:tr>
        <w:trPr>
          <w:trHeight w:val="250"/>
        </w:trPr>
        <w:tc>
          <w:tcPr>
            <w:tcW w:w="696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Total effect of dilutive securities</w:t>
            </w:r>
          </w:p>
        </w:tc>
        <w:tc>
          <w:tcPr>
            <w:tcW w:w="46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3,834,269</w:t>
            </w:r>
          </w:p>
        </w:tc>
        <w:tc>
          <w:tcPr>
            <w:tcW w:w="8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3,808,781</w:t>
            </w:r>
          </w:p>
        </w:tc>
        <w:tc>
          <w:tcPr>
            <w:tcW w:w="0" w:type="dxa"/>
            <w:vAlign w:val="bottom"/>
          </w:tcPr>
          <w:p>
            <w:pPr>
              <w:spacing w:after="0"/>
              <w:rPr>
                <w:sz w:val="1"/>
                <w:szCs w:val="1"/>
                <w:color w:val="auto"/>
              </w:rPr>
            </w:pPr>
          </w:p>
        </w:tc>
      </w:tr>
      <w:tr>
        <w:trPr>
          <w:trHeight w:val="250"/>
        </w:trPr>
        <w:tc>
          <w:tcPr>
            <w:tcW w:w="6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Weighted-average shares used in computing diluted net income per share</w:t>
            </w:r>
          </w:p>
        </w:tc>
        <w:tc>
          <w:tcPr>
            <w:tcW w:w="460" w:type="dxa"/>
            <w:vAlign w:val="bottom"/>
            <w:tcBorders>
              <w:bottom w:val="single" w:sz="8" w:color="auto"/>
            </w:tcBorders>
            <w:shd w:val="clear" w:color="auto" w:fill="CCEEFF"/>
          </w:tcPr>
          <w:p>
            <w:pPr>
              <w:spacing w:after="0"/>
              <w:rPr>
                <w:sz w:val="21"/>
                <w:szCs w:val="21"/>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84,755,262</w:t>
            </w:r>
          </w:p>
        </w:tc>
        <w:tc>
          <w:tcPr>
            <w:tcW w:w="80" w:type="dxa"/>
            <w:vAlign w:val="bottom"/>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spacing w:after="0"/>
              <w:rPr>
                <w:sz w:val="21"/>
                <w:szCs w:val="21"/>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89,307,934</w:t>
            </w:r>
          </w:p>
        </w:tc>
        <w:tc>
          <w:tcPr>
            <w:tcW w:w="0" w:type="dxa"/>
            <w:vAlign w:val="bottom"/>
          </w:tcPr>
          <w:p>
            <w:pPr>
              <w:spacing w:after="0"/>
              <w:rPr>
                <w:sz w:val="1"/>
                <w:szCs w:val="1"/>
                <w:color w:val="auto"/>
              </w:rPr>
            </w:pPr>
          </w:p>
        </w:tc>
      </w:tr>
      <w:tr>
        <w:trPr>
          <w:trHeight w:val="257"/>
        </w:trPr>
        <w:tc>
          <w:tcPr>
            <w:tcW w:w="69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Diluted net income per share</w:t>
            </w: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80" w:type="dxa"/>
            <w:vAlign w:val="bottom"/>
          </w:tcPr>
          <w:p>
            <w:pPr>
              <w:spacing w:after="0"/>
              <w:rPr>
                <w:sz w:val="22"/>
                <w:szCs w:val="22"/>
                <w:color w:val="auto"/>
              </w:rPr>
            </w:pPr>
          </w:p>
        </w:tc>
        <w:tc>
          <w:tcPr>
            <w:tcW w:w="880" w:type="dxa"/>
            <w:vAlign w:val="bottom"/>
            <w:tcBorders>
              <w:bottom w:val="single" w:sz="8" w:color="auto"/>
            </w:tcBorders>
          </w:tcPr>
          <w:p>
            <w:pPr>
              <w:jc w:val="right"/>
              <w:ind w:right="67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696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7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weighted-average outstanding shares of potentially dilutive securities were excluded from the computation of diluted net income per share for the periods presented because including them would have been antidilutive:</w:t>
      </w:r>
    </w:p>
    <w:p>
      <w:pPr>
        <w:spacing w:after="0" w:line="209"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5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22225</wp:posOffset>
            </wp:positionV>
            <wp:extent cx="29400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94005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60" w:type="dxa"/>
            <w:vAlign w:val="bottom"/>
            <w:gridSpan w:val="2"/>
          </w:tcPr>
          <w:p>
            <w:pPr>
              <w:ind w:left="7600"/>
              <w:spacing w:after="0"/>
              <w:rPr>
                <w:sz w:val="20"/>
                <w:szCs w:val="20"/>
                <w:color w:val="auto"/>
              </w:rPr>
            </w:pPr>
            <w:r>
              <w:rPr>
                <w:rFonts w:ascii="Times New Roman" w:cs="Times New Roman" w:eastAsia="Times New Roman" w:hAnsi="Times New Roman"/>
                <w:sz w:val="14"/>
                <w:szCs w:val="14"/>
                <w:b w:val="1"/>
                <w:bCs w:val="1"/>
                <w:color w:val="auto"/>
              </w:rPr>
              <w:t>2026</w:t>
            </w: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60" w:type="dxa"/>
            <w:vAlign w:val="bottom"/>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66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9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Options to purchase common stock</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15,263,074</w:t>
            </w:r>
          </w:p>
        </w:tc>
        <w:tc>
          <w:tcPr>
            <w:tcW w:w="100" w:type="dxa"/>
            <w:vAlign w:val="bottom"/>
            <w:shd w:val="clear" w:color="auto" w:fill="CCEEFF"/>
          </w:tcPr>
          <w:p>
            <w:pPr>
              <w:spacing w:after="0"/>
              <w:rPr>
                <w:sz w:val="21"/>
                <w:szCs w:val="21"/>
                <w:color w:val="auto"/>
              </w:rPr>
            </w:pPr>
          </w:p>
        </w:tc>
        <w:tc>
          <w:tcPr>
            <w:tcW w:w="2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14,856,451</w:t>
            </w:r>
          </w:p>
        </w:tc>
        <w:tc>
          <w:tcPr>
            <w:tcW w:w="0" w:type="dxa"/>
            <w:vAlign w:val="bottom"/>
          </w:tcPr>
          <w:p>
            <w:pPr>
              <w:spacing w:after="0"/>
              <w:rPr>
                <w:sz w:val="1"/>
                <w:szCs w:val="1"/>
                <w:color w:val="auto"/>
              </w:rPr>
            </w:pPr>
          </w:p>
        </w:tc>
      </w:tr>
      <w:tr>
        <w:trPr>
          <w:trHeight w:val="250"/>
        </w:trPr>
        <w:tc>
          <w:tcPr>
            <w:tcW w:w="79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Shares issuable under ESPP</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21"/>
                <w:szCs w:val="21"/>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2,768</w:t>
            </w:r>
          </w:p>
        </w:tc>
        <w:tc>
          <w:tcPr>
            <w:tcW w:w="0" w:type="dxa"/>
            <w:vAlign w:val="bottom"/>
          </w:tcPr>
          <w:p>
            <w:pPr>
              <w:spacing w:after="0"/>
              <w:rPr>
                <w:sz w:val="1"/>
                <w:szCs w:val="1"/>
                <w:color w:val="auto"/>
              </w:rPr>
            </w:pPr>
          </w:p>
        </w:tc>
      </w:tr>
      <w:tr>
        <w:trPr>
          <w:trHeight w:val="257"/>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Restricted stock units</w:t>
            </w:r>
          </w:p>
        </w:tc>
        <w:tc>
          <w:tcPr>
            <w:tcW w:w="1360" w:type="dxa"/>
            <w:vAlign w:val="bottom"/>
            <w:tcBorders>
              <w:bottom w:val="single" w:sz="8" w:color="auto"/>
            </w:tcBorders>
            <w:shd w:val="clear" w:color="auto" w:fill="CCEEFF"/>
          </w:tcPr>
          <w:p>
            <w:pPr>
              <w:spacing w:after="0"/>
              <w:rPr>
                <w:sz w:val="22"/>
                <w:szCs w:val="22"/>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1,517,950</w:t>
            </w:r>
          </w:p>
        </w:tc>
        <w:tc>
          <w:tcPr>
            <w:tcW w:w="100" w:type="dxa"/>
            <w:vAlign w:val="bottom"/>
            <w:shd w:val="clear" w:color="auto" w:fill="CCEEFF"/>
          </w:tcPr>
          <w:p>
            <w:pPr>
              <w:spacing w:after="0"/>
              <w:rPr>
                <w:sz w:val="22"/>
                <w:szCs w:val="22"/>
                <w:color w:val="auto"/>
              </w:rPr>
            </w:pPr>
          </w:p>
        </w:tc>
        <w:tc>
          <w:tcPr>
            <w:tcW w:w="2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2,221,536</w:t>
            </w:r>
          </w:p>
        </w:tc>
        <w:tc>
          <w:tcPr>
            <w:tcW w:w="0" w:type="dxa"/>
            <w:vAlign w:val="bottom"/>
          </w:tcPr>
          <w:p>
            <w:pPr>
              <w:spacing w:after="0"/>
              <w:rPr>
                <w:sz w:val="1"/>
                <w:szCs w:val="1"/>
                <w:color w:val="auto"/>
              </w:rPr>
            </w:pPr>
          </w:p>
        </w:tc>
      </w:tr>
      <w:tr>
        <w:trPr>
          <w:trHeight w:val="257"/>
        </w:trPr>
        <w:tc>
          <w:tcPr>
            <w:tcW w:w="796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16,781,119</w:t>
            </w:r>
          </w:p>
        </w:tc>
        <w:tc>
          <w:tcPr>
            <w:tcW w:w="100" w:type="dxa"/>
            <w:vAlign w:val="bottom"/>
          </w:tcPr>
          <w:p>
            <w:pPr>
              <w:spacing w:after="0"/>
              <w:rPr>
                <w:sz w:val="22"/>
                <w:szCs w:val="22"/>
                <w:color w:val="auto"/>
              </w:rPr>
            </w:pPr>
          </w:p>
        </w:tc>
        <w:tc>
          <w:tcPr>
            <w:tcW w:w="2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17,080,755</w:t>
            </w:r>
          </w:p>
        </w:tc>
        <w:tc>
          <w:tcPr>
            <w:tcW w:w="0" w:type="dxa"/>
            <w:vAlign w:val="bottom"/>
          </w:tcPr>
          <w:p>
            <w:pPr>
              <w:spacing w:after="0"/>
              <w:rPr>
                <w:sz w:val="1"/>
                <w:szCs w:val="1"/>
                <w:color w:val="auto"/>
              </w:rPr>
            </w:pPr>
          </w:p>
        </w:tc>
      </w:tr>
      <w:tr>
        <w:trPr>
          <w:trHeight w:val="20"/>
        </w:trPr>
        <w:tc>
          <w:tcPr>
            <w:tcW w:w="6600" w:type="dxa"/>
            <w:vAlign w:val="bottom"/>
            <w:vMerge w:val="restart"/>
          </w:tcPr>
          <w:p>
            <w:pPr>
              <w:ind w:left="5540"/>
              <w:spacing w:after="0"/>
              <w:rPr>
                <w:sz w:val="20"/>
                <w:szCs w:val="20"/>
                <w:color w:val="auto"/>
              </w:rPr>
            </w:pPr>
            <w:r>
              <w:rPr>
                <w:rFonts w:ascii="Times New Roman" w:cs="Times New Roman" w:eastAsia="Times New Roman" w:hAnsi="Times New Roman"/>
                <w:sz w:val="18"/>
                <w:szCs w:val="18"/>
                <w:color w:val="auto"/>
              </w:rPr>
              <w:t>22</w:t>
            </w:r>
          </w:p>
        </w:tc>
        <w:tc>
          <w:tcPr>
            <w:tcW w:w="13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12"/>
        </w:trPr>
        <w:tc>
          <w:tcPr>
            <w:tcW w:w="6600" w:type="dxa"/>
            <w:vAlign w:val="bottom"/>
            <w:vMerge w:val="continue"/>
          </w:tcPr>
          <w:p>
            <w:pPr>
              <w:spacing w:after="0"/>
              <w:rPr>
                <w:sz w:val="24"/>
                <w:szCs w:val="24"/>
                <w:color w:val="auto"/>
              </w:rPr>
            </w:pPr>
          </w:p>
        </w:tc>
        <w:tc>
          <w:tcPr>
            <w:tcW w:w="1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6600" w:type="dxa"/>
            <w:vAlign w:val="bottom"/>
            <w:tcBorders>
              <w:bottom w:val="single" w:sz="8" w:color="9A9A9A"/>
            </w:tcBorders>
          </w:tcPr>
          <w:p>
            <w:pPr>
              <w:spacing w:after="0"/>
              <w:rPr>
                <w:sz w:val="8"/>
                <w:szCs w:val="8"/>
                <w:color w:val="auto"/>
              </w:rPr>
            </w:pPr>
          </w:p>
        </w:tc>
        <w:tc>
          <w:tcPr>
            <w:tcW w:w="136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6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b w:val="1"/>
          <w:bCs w:val="1"/>
          <w:color w:val="auto"/>
        </w:rPr>
        <w:t>12</w:t>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Segments</w:t>
      </w:r>
    </w:p>
    <w:p>
      <w:pPr>
        <w:spacing w:after="0" w:line="229"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Progyny is a benefits management company specializing in fertility, family building and women's health benefits solutions. Substantially, all of the Company's revenues and assets are attributable to the United States.</w:t>
      </w:r>
    </w:p>
    <w:p>
      <w:pPr>
        <w:spacing w:after="0" w:line="162"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The chief operating decision maker (“CODM”) is the Chief Executive Officer. The Company determined it has one operating segment and one reportable segment, as the CODM manages the business and evaluates performance at the consolidated level.</w:t>
      </w:r>
    </w:p>
    <w:p>
      <w:pPr>
        <w:spacing w:after="0" w:line="189" w:lineRule="exact"/>
        <w:rPr>
          <w:sz w:val="20"/>
          <w:szCs w:val="20"/>
          <w:color w:val="auto"/>
        </w:rPr>
      </w:pPr>
    </w:p>
    <w:p>
      <w:pPr>
        <w:ind w:right="20" w:firstLine="648"/>
        <w:spacing w:after="0" w:line="262" w:lineRule="auto"/>
        <w:rPr>
          <w:sz w:val="20"/>
          <w:szCs w:val="20"/>
          <w:color w:val="auto"/>
        </w:rPr>
      </w:pPr>
      <w:r>
        <w:rPr>
          <w:rFonts w:ascii="Times New Roman" w:cs="Times New Roman" w:eastAsia="Times New Roman" w:hAnsi="Times New Roman"/>
          <w:sz w:val="18"/>
          <w:szCs w:val="18"/>
          <w:color w:val="auto"/>
        </w:rPr>
        <w:t>The CODM uses net income to allocate resources (including personnel, technology, and capital resources) for the single segment to make decisions regarding the annual budget, ongoing operations, and strategic investments to drive the Company's strategy and mission.</w:t>
      </w:r>
    </w:p>
    <w:p>
      <w:pPr>
        <w:spacing w:after="0" w:line="1"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6" w:lineRule="exact"/>
        <w:rPr>
          <w:sz w:val="20"/>
          <w:szCs w:val="20"/>
          <w:color w:val="auto"/>
        </w:rPr>
      </w:pPr>
    </w:p>
    <w:p>
      <w:pPr>
        <w:jc w:val="center"/>
        <w:ind w:left="66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13335</wp:posOffset>
            </wp:positionV>
            <wp:extent cx="26657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17" w:lineRule="exact"/>
        <w:rPr>
          <w:sz w:val="20"/>
          <w:szCs w:val="20"/>
          <w:color w:val="auto"/>
        </w:rPr>
      </w:pPr>
    </w:p>
    <w:p>
      <w:pPr>
        <w:ind w:left="7740"/>
        <w:spacing w:after="0"/>
        <w:tabs>
          <w:tab w:leader="none" w:pos="9880" w:val="left"/>
        </w:tabs>
        <w:rPr>
          <w:sz w:val="20"/>
          <w:szCs w:val="20"/>
          <w:color w:val="auto"/>
        </w:rPr>
      </w:pPr>
      <w:r>
        <w:rPr>
          <w:rFonts w:ascii="Times New Roman" w:cs="Times New Roman" w:eastAsia="Times New Roman" w:hAnsi="Times New Roman"/>
          <w:sz w:val="14"/>
          <w:szCs w:val="14"/>
          <w:b w:val="1"/>
          <w:bCs w:val="1"/>
          <w:color w:val="auto"/>
        </w:rPr>
        <w:t>2026</w:t>
      </w:r>
      <w:r>
        <w:rPr>
          <w:sz w:val="20"/>
          <w:szCs w:val="20"/>
          <w:color w:val="auto"/>
        </w:rPr>
        <w:tab/>
      </w:r>
      <w:r>
        <w:rPr>
          <w:rFonts w:ascii="Times New Roman" w:cs="Times New Roman" w:eastAsia="Times New Roman" w:hAnsi="Times New Roman"/>
          <w:sz w:val="14"/>
          <w:szCs w:val="14"/>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33655</wp:posOffset>
            </wp:positionV>
            <wp:extent cx="660908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09080" cy="171450"/>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p>
      <w:pPr>
        <w:spacing w:after="0" w:line="72"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Revenue</w:t>
      </w:r>
      <w:r>
        <w:rPr>
          <w:rFonts w:ascii="Times New Roman" w:cs="Times New Roman" w:eastAsia="Times New Roman" w:hAnsi="Times New Roman"/>
          <w:sz w:val="23"/>
          <w:szCs w:val="23"/>
          <w:color w:val="auto"/>
          <w:vertAlign w:val="superscript"/>
        </w:rPr>
        <w:t>(1)</w:t>
      </w:r>
    </w:p>
    <w:p>
      <w:pPr>
        <w:spacing w:after="0" w:line="15" w:lineRule="exact"/>
        <w:rPr>
          <w:sz w:val="20"/>
          <w:szCs w:val="20"/>
          <w:color w:val="auto"/>
        </w:rPr>
      </w:pPr>
    </w:p>
    <w:p>
      <w:pPr>
        <w:ind w:left="680"/>
        <w:spacing w:after="0"/>
        <w:rPr>
          <w:sz w:val="20"/>
          <w:szCs w:val="20"/>
          <w:color w:val="auto"/>
        </w:rPr>
      </w:pPr>
      <w:r>
        <w:rPr>
          <w:rFonts w:ascii="Times New Roman" w:cs="Times New Roman" w:eastAsia="Times New Roman" w:hAnsi="Times New Roman"/>
          <w:sz w:val="18"/>
          <w:szCs w:val="18"/>
          <w:color w:val="auto"/>
        </w:rPr>
        <w:t>Less:</w:t>
      </w:r>
    </w:p>
    <w:p>
      <w:pPr>
        <w:spacing w:after="0" w:line="3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Cost of services</w:t>
      </w:r>
    </w:p>
    <w:p>
      <w:pPr>
        <w:spacing w:after="0" w:line="5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Sales and marketing</w:t>
      </w:r>
    </w:p>
    <w:p>
      <w:pPr>
        <w:spacing w:after="0" w:line="5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General and administrative</w:t>
      </w:r>
    </w:p>
    <w:p>
      <w:pPr>
        <w:spacing w:after="0" w:line="5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Interest and other income, net</w:t>
      </w:r>
    </w:p>
    <w:p>
      <w:pPr>
        <w:spacing w:after="0" w:line="5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Provision for income taxes</w:t>
      </w:r>
    </w:p>
    <w:p>
      <w:pPr>
        <w:spacing w:after="0" w:line="90"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Net income</w:t>
      </w:r>
    </w:p>
    <w:p>
      <w:pPr>
        <w:spacing w:after="0" w:line="109" w:lineRule="exact"/>
        <w:rPr>
          <w:sz w:val="20"/>
          <w:szCs w:val="20"/>
          <w:color w:val="auto"/>
        </w:rPr>
      </w:pPr>
    </w:p>
    <w:p>
      <w:pPr>
        <w:ind w:left="160" w:hanging="152"/>
        <w:spacing w:after="0"/>
        <w:tabs>
          <w:tab w:leader="none" w:pos="160" w:val="left"/>
        </w:tabs>
        <w:numPr>
          <w:ilvl w:val="0"/>
          <w:numId w:val="20"/>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4"/>
          <w:szCs w:val="14"/>
          <w:color w:val="auto"/>
        </w:rPr>
        <w:t>Refer to footnote 3, for disaggregated revenue by service.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line="1" w:lineRule="exact"/>
        <w:rPr>
          <w:sz w:val="1"/>
          <w:szCs w:val="1"/>
          <w:color w:val="auto"/>
        </w:rPr>
      </w:pPr>
    </w:p>
    <w:tbl>
      <w:tblPr>
        <w:tblLayout w:type="fixed"/>
        <w:tblInd w:w="1880" w:type="dxa"/>
        <w:tblCellMar>
          <w:top w:w="0" w:type="dxa"/>
          <w:left w:w="0" w:type="dxa"/>
          <w:bottom w:w="0" w:type="dxa"/>
          <w:right w:w="0" w:type="dxa"/>
        </w:tblCellMar>
      </w:tblPr>
      <w:tr>
        <w:trPr>
          <w:trHeight w:val="234"/>
        </w:trPr>
        <w:tc>
          <w:tcPr>
            <w:tcW w:w="78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328,504</w:t>
            </w:r>
          </w:p>
        </w:tc>
        <w:tc>
          <w:tcPr>
            <w:tcW w:w="100" w:type="dxa"/>
            <w:vAlign w:val="bottom"/>
          </w:tcPr>
          <w:p>
            <w:pPr>
              <w:spacing w:after="0"/>
              <w:rPr>
                <w:sz w:val="20"/>
                <w:szCs w:val="20"/>
                <w:color w:val="auto"/>
              </w:rPr>
            </w:pPr>
          </w:p>
        </w:tc>
        <w:tc>
          <w:tcPr>
            <w:tcW w:w="760" w:type="dxa"/>
            <w:vAlign w:val="bottom"/>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324,038</w:t>
            </w:r>
          </w:p>
        </w:tc>
      </w:tr>
      <w:tr>
        <w:trPr>
          <w:trHeight w:val="513"/>
        </w:trPr>
        <w:tc>
          <w:tcPr>
            <w:tcW w:w="7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245,433</w:t>
            </w: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248,243</w:t>
            </w:r>
          </w:p>
        </w:tc>
      </w:tr>
      <w:tr>
        <w:trPr>
          <w:trHeight w:val="257"/>
        </w:trPr>
        <w:tc>
          <w:tcPr>
            <w:tcW w:w="7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16,884</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17,786</w:t>
            </w:r>
          </w:p>
        </w:tc>
      </w:tr>
      <w:tr>
        <w:trPr>
          <w:trHeight w:val="256"/>
        </w:trPr>
        <w:tc>
          <w:tcPr>
            <w:tcW w:w="7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30,808</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33,839</w:t>
            </w:r>
          </w:p>
        </w:tc>
      </w:tr>
      <w:tr>
        <w:trPr>
          <w:trHeight w:val="257"/>
        </w:trPr>
        <w:tc>
          <w:tcPr>
            <w:tcW w:w="78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(2,367)</w:t>
            </w:r>
          </w:p>
        </w:tc>
      </w:tr>
      <w:tr>
        <w:trPr>
          <w:trHeight w:val="263"/>
        </w:trPr>
        <w:tc>
          <w:tcPr>
            <w:tcW w:w="7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100" w:type="dxa"/>
            <w:vAlign w:val="bottom"/>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11,478</w:t>
            </w:r>
          </w:p>
        </w:tc>
      </w:tr>
      <w:tr>
        <w:trPr>
          <w:trHeight w:val="250"/>
        </w:trPr>
        <w:tc>
          <w:tcPr>
            <w:tcW w:w="78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100" w:type="dxa"/>
            <w:vAlign w:val="bottom"/>
          </w:tcPr>
          <w:p>
            <w:pPr>
              <w:spacing w:after="0"/>
              <w:rPr>
                <w:sz w:val="21"/>
                <w:szCs w:val="21"/>
                <w:color w:val="auto"/>
              </w:rPr>
            </w:pPr>
          </w:p>
        </w:tc>
        <w:tc>
          <w:tcPr>
            <w:tcW w:w="76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15,059</w:t>
            </w:r>
          </w:p>
        </w:tc>
      </w:tr>
      <w:tr>
        <w:trPr>
          <w:trHeight w:val="27"/>
        </w:trPr>
        <w:tc>
          <w:tcPr>
            <w:tcW w:w="7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-1019810</wp:posOffset>
            </wp:positionV>
            <wp:extent cx="6609080" cy="16319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09080" cy="163195"/>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-693420</wp:posOffset>
            </wp:positionV>
            <wp:extent cx="660908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09080" cy="162560"/>
                    </a:xfrm>
                    <a:prstGeom prst="rect">
                      <a:avLst/>
                    </a:prstGeom>
                    <a:noFill/>
                  </pic:spPr>
                </pic:pic>
              </a:graphicData>
            </a:graphic>
          </wp:anchor>
        </w:drawing>
        <w:drawing>
          <wp:anchor simplePos="0" relativeHeight="251657728" behindDoc="1" locked="0" layoutInCell="0" allowOverlap="1">
            <wp:simplePos x="0" y="0"/>
            <wp:positionH relativeFrom="column">
              <wp:posOffset>-2745105</wp:posOffset>
            </wp:positionH>
            <wp:positionV relativeFrom="paragraph">
              <wp:posOffset>-368300</wp:posOffset>
            </wp:positionV>
            <wp:extent cx="6609080" cy="16319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09080" cy="163195"/>
                    </a:xfrm>
                    <a:prstGeom prst="rect">
                      <a:avLst/>
                    </a:prstGeom>
                    <a:noFill/>
                  </pic:spPr>
                </pic:pic>
              </a:graphicData>
            </a:graphic>
          </wp:anchor>
        </w:drawing>
      </w:r>
    </w:p>
    <w:p>
      <w:pPr>
        <w:spacing w:after="0" w:line="200" w:lineRule="exact"/>
        <w:rPr>
          <w:sz w:val="20"/>
          <w:szCs w:val="20"/>
          <w:color w:val="auto"/>
        </w:rPr>
      </w:pPr>
    </w:p>
    <w:p>
      <w:pPr>
        <w:spacing w:after="0" w:line="268" w:lineRule="exact"/>
        <w:rPr>
          <w:sz w:val="20"/>
          <w:szCs w:val="20"/>
          <w:color w:val="auto"/>
        </w:rPr>
      </w:pPr>
    </w:p>
    <w:p>
      <w:pPr>
        <w:jc w:val="center"/>
        <w:ind w:right="2700"/>
        <w:spacing w:after="0"/>
        <w:rPr>
          <w:sz w:val="20"/>
          <w:szCs w:val="20"/>
          <w:color w:val="auto"/>
        </w:rPr>
      </w:pPr>
      <w:r>
        <w:rPr>
          <w:rFonts w:ascii="Times New Roman" w:cs="Times New Roman" w:eastAsia="Times New Roman" w:hAnsi="Times New Roman"/>
          <w:sz w:val="14"/>
          <w:szCs w:val="14"/>
          <w:b w:val="1"/>
          <w:bCs w:val="1"/>
          <w:color w:val="auto"/>
        </w:rPr>
        <w:t>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-499110</wp:posOffset>
            </wp:positionH>
            <wp:positionV relativeFrom="paragraph">
              <wp:posOffset>33655</wp:posOffset>
            </wp:positionV>
            <wp:extent cx="324866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248660" cy="8255"/>
                    </a:xfrm>
                    <a:prstGeom prst="rect">
                      <a:avLst/>
                    </a:prstGeom>
                    <a:noFill/>
                  </pic:spPr>
                </pic:pic>
              </a:graphicData>
            </a:graphic>
          </wp:anchor>
        </w:drawing>
      </w:r>
    </w:p>
    <w:p>
      <w:pPr>
        <w:spacing w:after="0" w:line="35" w:lineRule="exact"/>
        <w:rPr>
          <w:sz w:val="20"/>
          <w:szCs w:val="20"/>
          <w:color w:val="auto"/>
        </w:rPr>
      </w:pPr>
    </w:p>
    <w:p>
      <w:pPr>
        <w:spacing w:after="0"/>
        <w:tabs>
          <w:tab w:leader="none" w:pos="2480" w:val="left"/>
        </w:tabs>
        <w:rPr>
          <w:sz w:val="20"/>
          <w:szCs w:val="20"/>
          <w:color w:val="auto"/>
        </w:rPr>
      </w:pPr>
      <w:r>
        <w:rPr>
          <w:rFonts w:ascii="Times New Roman" w:cs="Times New Roman" w:eastAsia="Times New Roman" w:hAnsi="Times New Roman"/>
          <w:sz w:val="14"/>
          <w:szCs w:val="14"/>
          <w:b w:val="1"/>
          <w:bCs w:val="1"/>
          <w:color w:val="auto"/>
        </w:rPr>
        <w:t>March 31, 2026</w:t>
      </w:r>
      <w:r>
        <w:rPr>
          <w:sz w:val="20"/>
          <w:szCs w:val="20"/>
          <w:color w:val="auto"/>
        </w:rPr>
        <w:tab/>
      </w:r>
      <w:r>
        <w:rPr>
          <w:rFonts w:ascii="Times New Roman" w:cs="Times New Roman" w:eastAsia="Times New Roman" w:hAnsi="Times New Roman"/>
          <w:sz w:val="14"/>
          <w:szCs w:val="14"/>
          <w:b w:val="1"/>
          <w:bCs w:val="1"/>
          <w:color w:val="auto"/>
        </w:rPr>
        <w:t>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-2745105</wp:posOffset>
            </wp:positionH>
            <wp:positionV relativeFrom="paragraph">
              <wp:posOffset>33655</wp:posOffset>
            </wp:positionV>
            <wp:extent cx="5494655" cy="15430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494655" cy="154305"/>
                    </a:xfrm>
                    <a:prstGeom prst="rect">
                      <a:avLst/>
                    </a:prstGeom>
                    <a:noFill/>
                  </pic:spPr>
                </pic:pic>
              </a:graphicData>
            </a:graphic>
          </wp:anchor>
        </w:drawing>
      </w:r>
    </w:p>
    <w:p>
      <w:pPr>
        <w:spacing w:after="0" w:line="61" w:lineRule="exact"/>
        <w:rPr>
          <w:sz w:val="20"/>
          <w:szCs w:val="20"/>
          <w:color w:val="auto"/>
        </w:rPr>
      </w:pPr>
    </w:p>
    <w:p>
      <w:pPr>
        <w:sectPr>
          <w:pgSz w:w="11900" w:h="16838" w:orient="portrait"/>
          <w:cols w:equalWidth="0" w:num="2">
            <w:col w:w="4260" w:space="720"/>
            <w:col w:w="6260"/>
          </w:cols>
          <w:pgMar w:left="320" w:top="256" w:right="339" w:bottom="1440" w:gutter="0" w:footer="0" w:header="0"/>
          <w:type w:val="continuous"/>
        </w:sectPr>
      </w:pPr>
    </w:p>
    <w:p>
      <w:pPr>
        <w:ind w:left="680"/>
        <w:spacing w:after="0"/>
        <w:tabs>
          <w:tab w:leader="none" w:pos="4200" w:val="left"/>
          <w:tab w:leader="none" w:pos="6020" w:val="left"/>
          <w:tab w:leader="none" w:pos="6800" w:val="left"/>
          <w:tab w:leader="none" w:pos="8640" w:val="left"/>
        </w:tabs>
        <w:rPr>
          <w:sz w:val="20"/>
          <w:szCs w:val="20"/>
          <w:color w:val="auto"/>
        </w:rPr>
      </w:pPr>
      <w:r>
        <w:rPr>
          <w:rFonts w:ascii="Times New Roman" w:cs="Times New Roman" w:eastAsia="Times New Roman" w:hAnsi="Times New Roman"/>
          <w:sz w:val="18"/>
          <w:szCs w:val="18"/>
          <w:color w:val="auto"/>
        </w:rPr>
        <w:t>Total Assets</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698,337</w:t>
        <w:tab/>
        <w:t>$</w:t>
      </w:r>
      <w:r>
        <w:rPr>
          <w:sz w:val="20"/>
          <w:szCs w:val="20"/>
          <w:color w:val="auto"/>
        </w:rPr>
        <w:tab/>
      </w:r>
      <w:r>
        <w:rPr>
          <w:rFonts w:ascii="Times New Roman" w:cs="Times New Roman" w:eastAsia="Times New Roman" w:hAnsi="Times New Roman"/>
          <w:sz w:val="17"/>
          <w:szCs w:val="17"/>
          <w:color w:val="auto"/>
        </w:rPr>
        <w:t>742,435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227"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our consolidated financial statements and the related notes and other financial information included elsewhere in this Quarterly Report on Form 10-Q and our Annual Report on Form 10-K for the fiscal year ended December 31, 2025, filed with the SEC on February 27, 2026. In addition to historical financial information, the following discussion contains forward-looking statements that reflect our plans, estimates, and beliefs. Our actual results could differ materially from those expressed or implied by such forward-looking statements. Important factors that could cause or contribute to these differences include, but are not limited to, those identified below and those discussed in the section titled “Risk Factors” under Part II, Item 1A. of this Quarterly Report on Form 10-Q.</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Progyny is a global leader in women’s health and family building solutions. We envision a world where everyone can realize their dreams of family and ideal health. Our mission is to empower healthier, supported journeys through transformative fertility, family building and women’s health benefits. Through our differentiated approach to benefits plan design, member education and support and active network management, our clients’ employees are able to pursue the most effective treatment across life’s milestones from the best providers and specialists and achieve optimal outcomes.</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launched our fertility benefits solution in 2016 with five employer clients and have since expanded our platform to include solutions in pregnancy and postpartum, menopause and midlife, benefit and leave navigation and parent and child wellbeing in order to address the continuum of women’s health. Today, we have grown our current base of clients to more than 590 with at least 1,000 covered lives. Our clients include many of the nation’s most prominent employers across a broad array of industries. We currently have contracts to provide coverage to approximately 7.2 million employees and their covered dependents (known in our industry as covered lives, and to whom we refer to as our members). We have achieved this growth by demonstrating that our purpose-built, data-driven and disruptive platform consistently delivers superior clinical outcomes in a cost-efficient manner, while driving exceptional client and member satisfaction. We have retained substantially all of our clients since we launched our fertility benefits solution, and our member satisfaction is evidenced by our most recent industry-leading Net Promoter Score, or NPS, of +81 for our fertility benefits solution and +79 for Progyny Rx, our integrated pharmacy benefits solution, as of December 31, 2025. Our members experience healthier pregnancies and superior rates of pregnancy and live births, as well as reduced rates of miscarriages and multiple births, saving valuable time and money and limiting personal and professional disruption.</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Progyny In-Network Provider</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Progyny In-Network Provider</w:t>
            </w:r>
          </w:p>
        </w:tc>
      </w:t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Clinic</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Clinic</w:t>
            </w:r>
          </w:p>
        </w:tc>
      </w:tr>
      <w:tr>
        <w:trPr>
          <w:trHeight w:val="162"/>
        </w:trPr>
        <w:tc>
          <w:tcPr>
            <w:tcW w:w="5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National Averages for All</w:t>
            </w:r>
          </w:p>
        </w:tc>
        <w:tc>
          <w:tcPr>
            <w:tcW w:w="200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Averages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Averages</w:t>
            </w:r>
          </w:p>
        </w:tc>
      </w:tr>
      <w:tr>
        <w:trPr>
          <w:trHeight w:val="204"/>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Outcome</w:t>
            </w:r>
          </w:p>
        </w:tc>
        <w:tc>
          <w:tcPr>
            <w:tcW w:w="20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Provider Clinics</w:t>
            </w:r>
          </w:p>
        </w:tc>
        <w:tc>
          <w:tcPr>
            <w:tcW w:w="20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for All Patients</w:t>
            </w:r>
          </w:p>
        </w:tc>
        <w:tc>
          <w:tcPr>
            <w:tcW w:w="1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for Progyny Members Only</w:t>
            </w:r>
            <w:r>
              <w:rPr>
                <w:rFonts w:ascii="Times New Roman" w:cs="Times New Roman" w:eastAsia="Times New Roman" w:hAnsi="Times New Roman"/>
                <w:sz w:val="7"/>
                <w:szCs w:val="7"/>
                <w:b w:val="1"/>
                <w:bCs w:val="1"/>
                <w:color w:val="auto"/>
              </w:rPr>
              <w:t>(3)</w:t>
            </w:r>
          </w:p>
        </w:tc>
      </w:tr>
      <w:tr>
        <w:trPr>
          <w:trHeight w:val="23"/>
        </w:trPr>
        <w:tc>
          <w:tcPr>
            <w:tcW w:w="5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r>
      <w:tr>
        <w:trPr>
          <w:trHeight w:val="250"/>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birth rate per attempted retrieval</w:t>
            </w:r>
            <w:r>
              <w:rPr>
                <w:rFonts w:ascii="Times New Roman" w:cs="Times New Roman" w:eastAsia="Times New Roman" w:hAnsi="Times New Roman"/>
                <w:sz w:val="8"/>
                <w:szCs w:val="8"/>
                <w:color w:val="auto"/>
              </w:rPr>
              <w:t>(2)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34.9 %</w:t>
            </w: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36.8 %</w:t>
            </w:r>
          </w:p>
        </w:tc>
        <w:tc>
          <w:tcPr>
            <w:tcW w:w="100" w:type="dxa"/>
            <w:vAlign w:val="bottom"/>
            <w:shd w:val="clear" w:color="auto" w:fill="CCEEFF"/>
          </w:tcPr>
          <w:p>
            <w:pPr>
              <w:spacing w:after="0"/>
              <w:rPr>
                <w:sz w:val="21"/>
                <w:szCs w:val="21"/>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46.7 %</w:t>
            </w:r>
          </w:p>
        </w:tc>
      </w:tr>
      <w:tr>
        <w:trPr>
          <w:trHeight w:val="250"/>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Single embryo transfer rate</w:t>
            </w:r>
            <w:r>
              <w:rPr>
                <w:rFonts w:ascii="Times New Roman" w:cs="Times New Roman" w:eastAsia="Times New Roman" w:hAnsi="Times New Roman"/>
                <w:sz w:val="8"/>
                <w:szCs w:val="8"/>
                <w:color w:val="auto"/>
              </w:rPr>
              <w:t>(1)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78.9 %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80.8 %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96.6 %</w:t>
            </w:r>
          </w:p>
        </w:tc>
      </w:tr>
      <w:tr>
        <w:trPr>
          <w:trHeight w:val="263"/>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Pregnancy rate per IVF transfer</w:t>
            </w:r>
            <w:r>
              <w:rPr>
                <w:rFonts w:ascii="Times New Roman" w:cs="Times New Roman" w:eastAsia="Times New Roman" w:hAnsi="Times New Roman"/>
                <w:sz w:val="8"/>
                <w:szCs w:val="8"/>
                <w:color w:val="auto"/>
              </w:rPr>
              <w:t>(1)</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54.3 %</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55.6 %</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60.8 %</w:t>
            </w:r>
          </w:p>
        </w:tc>
      </w:tr>
      <w:tr>
        <w:trPr>
          <w:trHeight w:val="250"/>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Miscarriage rate</w:t>
            </w:r>
            <w:r>
              <w:rPr>
                <w:rFonts w:ascii="Times New Roman" w:cs="Times New Roman" w:eastAsia="Times New Roman" w:hAnsi="Times New Roman"/>
                <w:sz w:val="8"/>
                <w:szCs w:val="8"/>
                <w:color w:val="auto"/>
              </w:rPr>
              <w:t>(1)</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14.4 %</w:t>
            </w:r>
          </w:p>
        </w:tc>
      </w:tr>
      <w:tr>
        <w:trPr>
          <w:trHeight w:val="263"/>
        </w:trPr>
        <w:tc>
          <w:tcPr>
            <w:tcW w:w="53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Live birth rate per transfer</w:t>
            </w:r>
            <w:r>
              <w:rPr>
                <w:rFonts w:ascii="Times New Roman" w:cs="Times New Roman" w:eastAsia="Times New Roman" w:hAnsi="Times New Roman"/>
                <w:sz w:val="8"/>
                <w:szCs w:val="8"/>
                <w:color w:val="auto"/>
              </w:rPr>
              <w:t>(2)</w:t>
            </w: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42.2 %</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43.2 %</w:t>
            </w:r>
          </w:p>
        </w:tc>
        <w:tc>
          <w:tcPr>
            <w:tcW w:w="100" w:type="dxa"/>
            <w:vAlign w:val="bottom"/>
            <w:shd w:val="clear" w:color="auto" w:fill="CCEEFF"/>
          </w:tcPr>
          <w:p>
            <w:pPr>
              <w:spacing w:after="0"/>
              <w:rPr>
                <w:sz w:val="22"/>
                <w:szCs w:val="22"/>
                <w:color w:val="auto"/>
              </w:rPr>
            </w:pPr>
          </w:p>
        </w:tc>
        <w:tc>
          <w:tcPr>
            <w:tcW w:w="1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52.1 %</w:t>
            </w:r>
          </w:p>
        </w:tc>
      </w:tr>
      <w:tr>
        <w:trPr>
          <w:trHeight w:val="243"/>
        </w:trPr>
        <w:tc>
          <w:tcPr>
            <w:tcW w:w="53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IVF multiples rate</w:t>
            </w:r>
            <w:r>
              <w:rPr>
                <w:rFonts w:ascii="Times New Roman" w:cs="Times New Roman" w:eastAsia="Times New Roman" w:hAnsi="Times New Roman"/>
                <w:sz w:val="8"/>
                <w:szCs w:val="8"/>
                <w:color w:val="auto"/>
              </w:rPr>
              <w:t>(2)</w:t>
            </w: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5.4 %</w:t>
            </w:r>
          </w:p>
        </w:tc>
        <w:tc>
          <w:tcPr>
            <w:tcW w:w="10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r>
      <w:tr>
        <w:trPr>
          <w:trHeight w:val="311"/>
        </w:trPr>
        <w:tc>
          <w:tcPr>
            <w:tcW w:w="524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w:t>
            </w: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r>
    </w:tbl>
    <w:p>
      <w:pPr>
        <w:spacing w:after="0" w:line="36" w:lineRule="exact"/>
        <w:rPr>
          <w:sz w:val="20"/>
          <w:szCs w:val="20"/>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Society for Assisted Reproductive Technology, or SART, 2021 National Summary Report, finalized in 2024.</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CDC, 2022 National Summary and Clinic Data Sets, published in 2024</w:t>
      </w:r>
    </w:p>
    <w:p>
      <w:pPr>
        <w:spacing w:after="0" w:line="225" w:lineRule="exact"/>
        <w:rPr>
          <w:rFonts w:ascii="Times New Roman" w:cs="Times New Roman" w:eastAsia="Times New Roman" w:hAnsi="Times New Roman"/>
          <w:sz w:val="18"/>
          <w:szCs w:val="18"/>
          <w:color w:val="auto"/>
        </w:rPr>
      </w:pPr>
    </w:p>
    <w:p>
      <w:pPr>
        <w:ind w:left="320" w:hanging="312"/>
        <w:spacing w:after="0"/>
        <w:tabs>
          <w:tab w:leader="none" w:pos="3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based on the 12-month period ended December 31,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 Model</w:t>
      </w:r>
    </w:p>
    <w:p>
      <w:pPr>
        <w:spacing w:after="0" w:line="225"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Fertility Benefits Solution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fertility benefits solution includes providing members with access to effective and cost-efficient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treatments through our Smart Cycle plan design. Smart Cycles are proprietary treatment bundles designed by us to include those medical services available to our members through our selective network of high-quality fertility specialists. Medical services under our Smart Cycles include everything needed for a comprehensive fertility treatment cycle, including all necessary diagnostic testing and access to the latest technology (such as preimplantation genetic testing, in the case of in vitro fertilization, or IVF). We currently offer 20 different Smart Cycle treatment bundles, which may be used in various combinations depending on the member’s need. Each Smart Cycle treatment bundle has a separate unit value (i.e., some have fractional values and some have whole values). Our clients contract to purchase a cumulative Smart Cycle unit value per eligible member. These can range from one to an unlimited unit value. Members, in consultation with their Progyny Care Advocates, or PCAs, can choose their preferred provider clinics within our network and utilize the specific Smart Cycle treatment bundles necessary for the treatment pathway they determine throughout their fertility journey.</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addition, we provide care management services as part of our fertility benefits solution, which include active management of our selective network of high-quality fertility specialists, real-time member eligibility and treatment authorization, member-facing digital solutions, detailed quarterly reporting for our clients supported by our dedicated client success teams and end-to-end comprehensive concierge member support provided by our in-house staff of PCAs. Clients can also add adoption and surrogacy reimbursement programs as part of this solution.</w:t>
      </w:r>
    </w:p>
    <w:p>
      <w:pPr>
        <w:spacing w:after="0" w:line="176"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Pharmacy Benefits Solution. </w:t>
      </w:r>
      <w:r>
        <w:rPr>
          <w:rFonts w:ascii="Times New Roman" w:cs="Times New Roman" w:eastAsia="Times New Roman" w:hAnsi="Times New Roman"/>
          <w:sz w:val="18"/>
          <w:szCs w:val="18"/>
          <w:color w:val="auto"/>
        </w:rPr>
        <w:t>Progyny Rx can only be purchased by clients that purchase our fertility benefits solution. Progyny Rx provides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members with access to the medications needed during their fertility treatment. As part of this solution, we provide care management services, which include our formulary plan design, simplified authorization, assistance with prescription fulfillment and timely delivery of the medications by our network of specialty pharmacies, as well as medication administration training, pharmacy support services and continuing PCA support.</w:t>
      </w:r>
    </w:p>
    <w:p>
      <w:pPr>
        <w:spacing w:after="0" w:line="176"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Our Clients. </w:t>
      </w:r>
      <w:r>
        <w:rPr>
          <w:rFonts w:ascii="Times New Roman" w:cs="Times New Roman" w:eastAsia="Times New Roman" w:hAnsi="Times New Roman"/>
          <w:sz w:val="18"/>
          <w:szCs w:val="18"/>
          <w:color w:val="auto"/>
        </w:rPr>
        <w:t>We currently serve over 590 employers with at least 1,000 covered lives in the United States across more than 40 industries,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including technology, consumer retail, e-commerce, industrial, healthcare, media, insurance, legal, food and beverage, financial services, life sciences, professional services, government services, union, energy, manufacturing, logistics, transportation, aerospace, real estate, nonprofit and hospitality sectors. Our current clients, who are industry leaders across both high-growth and mature industries and who range in size from approximately 1,000 to 300,000 employees, represent approximately 7.2 million covered lives.</w:t>
      </w:r>
    </w:p>
    <w:p>
      <w:pPr>
        <w:spacing w:after="0" w:line="183"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Our clients primarily contract with us to provide our fertility benefits solution and, where added on by our clients, our Progyny Rx solution. Our revenue has both a utilization-based component and a population-based component, as follows:</w:t>
      </w:r>
    </w:p>
    <w:p>
      <w:pPr>
        <w:spacing w:after="0" w:line="158" w:lineRule="exact"/>
        <w:rPr>
          <w:sz w:val="20"/>
          <w:szCs w:val="20"/>
          <w:color w:val="auto"/>
        </w:rPr>
      </w:pPr>
    </w:p>
    <w:p>
      <w:pPr>
        <w:jc w:val="both"/>
        <w:ind w:left="660" w:hanging="328"/>
        <w:spacing w:after="0" w:line="257"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Utilization Component. </w:t>
      </w:r>
      <w:r>
        <w:rPr>
          <w:rFonts w:ascii="Times New Roman" w:cs="Times New Roman" w:eastAsia="Times New Roman" w:hAnsi="Times New Roman"/>
          <w:sz w:val="18"/>
          <w:szCs w:val="18"/>
          <w:color w:val="auto"/>
        </w:rPr>
        <w:t>Clients pay us for the fertility benefits and Progyny Rx solutions utilized by their employees. With respect to the fertility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benefits solution, we bill clients for Smart Cycles in accordance with our bundled case rates, which vary by the type of fertility service rendered and clinic location. Case rates include all third-party fertility specialists, anesthesiology and laboratory services, as well as all of our care management services. With respect to Progyny Rx, we bill the client for the fertility medication dispensed to their employees in connection with the authorized fertility treatments. Medication fees also include our formulary management, drug utilization review and cost containment services and other care management services.</w:t>
      </w:r>
    </w:p>
    <w:p>
      <w:pPr>
        <w:spacing w:after="0" w:line="182" w:lineRule="exact"/>
        <w:rPr>
          <w:rFonts w:ascii="Times New Roman" w:cs="Times New Roman" w:eastAsia="Times New Roman" w:hAnsi="Times New Roman"/>
          <w:sz w:val="18"/>
          <w:szCs w:val="18"/>
          <w:color w:val="auto"/>
        </w:rPr>
      </w:pPr>
    </w:p>
    <w:p>
      <w:pPr>
        <w:jc w:val="both"/>
        <w:ind w:left="660" w:hanging="328"/>
        <w:spacing w:after="0" w:line="26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Population-Based Component. </w:t>
      </w:r>
      <w:r>
        <w:rPr>
          <w:rFonts w:ascii="Times New Roman" w:cs="Times New Roman" w:eastAsia="Times New Roman" w:hAnsi="Times New Roman"/>
          <w:sz w:val="18"/>
          <w:szCs w:val="18"/>
          <w:color w:val="auto"/>
        </w:rPr>
        <w:t>Clients who purchase our fertility benefits solution also typically pay us a per employee per month fee, or PEPM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fee, which is population-based. This allows us to provide members with access to our PCAs for fertility and family building education and guidance and other digital tools to all of our members, regardless of whether they ultimately pursue fertility treatment. PEPM fees represented 1% of our total revenue for the three months ended March 31, 2026 and 2025.</w:t>
      </w: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Our revenue in a given year is determined by the utilization, including rate of consumption and mix, of our fertility benefits and Progyny Rx solutions by our members as well as the number of members enrolled in our clients’ benefits plans. Each year, we contract with new clients for our fertility benefits and Progyny Rx solutions. Given that the majority of our clients contract with us for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benefits plan start date, our sales cycle follows the conventional healthcare benefits cycle, which largely concludes by the end of October of the prior year to allow for benefits education and annual open enrollment to occur in November. For some clients that are considering a start date later in the year, the sales cycle can extend through the next year. Similarly, for existing clients, any changes in plan designs are typically elected by the end of October so that clients can inform their employees of the benefits during the open enrollment period ahead of a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xml:space="preserve"> plan year start.</w:t>
      </w:r>
    </w:p>
    <w:p>
      <w:pPr>
        <w:spacing w:after="0" w:line="1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continue to expand our women's health and family building solutions to include pregnancy and postpartum, menopause and midlife, benefit and leave navigation, and parent and child wellbeing solutions. While these offerings represent strategic areas of investment, they were not a significant portion of our revenue for the three months ended March 31, 2026 and 2025.</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Operational and Business Metrics</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addition to the measures presented in our consolidated financial statements, we use the following key operational and business metrics to evaluate our business, measure our performance, develop financial forecasts, and make strategic decisions.</w:t>
      </w:r>
    </w:p>
    <w:p>
      <w:pPr>
        <w:spacing w:after="0" w:line="158"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Member and Client Base. </w:t>
      </w:r>
      <w:r>
        <w:rPr>
          <w:rFonts w:ascii="Times New Roman" w:cs="Times New Roman" w:eastAsia="Times New Roman" w:hAnsi="Times New Roman"/>
          <w:sz w:val="18"/>
          <w:szCs w:val="18"/>
          <w:color w:val="auto"/>
        </w:rPr>
        <w:t>Our addressable market is primarily large self-insured employers, as well as labor populations under the Labor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Relations Act of 1947 (also known as the Taft-Hartley Act) and federal government populations. There are approximately 9,000 employers in the United States who have a minimum of 1,000 employees, who together with Taft-Hartley labor populations and federal government populations, represent approximately 106 million potential covered lives in total. Our current member base of approximately 7.2 million covered lives under contract represents a mid-single digit percent of our total market opportunity. We intend to continue to drive new client acquisition by investing significantly in sales and marketing to engage, educate and drive awareness of the unmet need around fertility solutions among benefits executives. We also increase brand awareness and adoption with employers by leveraging our strong relationships with benefits consultants. In particular, we are focused on expanding the number of clients with more than 2,500 covered lives. As of March 31, 2026 and December 31, 2025, we served 595 and 555 clients, representing 7,179,000 and 6,689,000 members, respectively.</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Importantly, as we have continued to grow, we have meaningfully diversified our client base across more than 40 different industries currently from just two industries when we launched our fertility benefits solution in 2016. We are expanding our client base within each industry and have an industry-specific strategy that enables us to most effectively target our addressable market. Because our clients within an industry compete with each other for employees, we believe our solutions are increasingly viewed as an important way for them to differentiate from, or remain competitive with, one another. Additionally, we believe that our expanding presence has resulted in a heightened awareness of the need to offer fertility benefits and has informed the market of the value we provide to our clients and our members, which we believe also helps facilitate growth. In addition, we are continuously utilizing our established client relationships to evaluate other potential fertility solutions that could benefit our members and simultaneously drive growth. Our ability to attract new clients will depend on a number of factors, including the effectiveness and pricing of our solutions, offerings of our competitors, the effectiveness of our marketing efforts to drive awareness and the demand for fertility benefits solutions overall. We define a client as an organization for which we have an active contract in the period indicated. We count each organization we contract with as a single client, including divisions, segments or subsidiaries of larger organizations to the extent we contract separately with them.</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40" w:type="dxa"/>
            <w:vAlign w:val="bottom"/>
            <w:gridSpan w:val="4"/>
          </w:tcPr>
          <w:p>
            <w:pPr>
              <w:ind w:left="880"/>
              <w:spacing w:after="0"/>
              <w:rPr>
                <w:sz w:val="20"/>
                <w:szCs w:val="20"/>
                <w:color w:val="auto"/>
              </w:rPr>
            </w:pPr>
            <w:r>
              <w:rPr>
                <w:rFonts w:ascii="Times New Roman" w:cs="Times New Roman" w:eastAsia="Times New Roman" w:hAnsi="Times New Roman"/>
                <w:sz w:val="14"/>
                <w:szCs w:val="14"/>
                <w:b w:val="1"/>
                <w:bCs w:val="1"/>
                <w:color w:val="auto"/>
              </w:rPr>
              <w:t>As of March 31,</w:t>
            </w:r>
          </w:p>
        </w:tc>
        <w:tc>
          <w:tcPr>
            <w:tcW w:w="274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203"/>
        </w:trPr>
        <w:tc>
          <w:tcPr>
            <w:tcW w:w="5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0" w:type="dxa"/>
            <w:vAlign w:val="bottom"/>
            <w:gridSpan w:val="2"/>
          </w:tcPr>
          <w:p>
            <w:pPr>
              <w:jc w:val="right"/>
              <w:ind w:right="1156"/>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0" w:type="dxa"/>
            <w:vAlign w:val="bottom"/>
            <w:gridSpan w:val="2"/>
          </w:tcPr>
          <w:p>
            <w:pPr>
              <w:jc w:val="right"/>
              <w:ind w:right="1136"/>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Client Tier (Members)</w:t>
            </w: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gridSpan w:val="2"/>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660" w:type="dxa"/>
            <w:vAlign w:val="bottom"/>
            <w:gridSpan w:val="2"/>
            <w:vMerge w:val="continue"/>
          </w:tcPr>
          <w:p>
            <w:pPr>
              <w:spacing w:after="0"/>
              <w:rPr>
                <w:sz w:val="16"/>
                <w:szCs w:val="16"/>
                <w:color w:val="auto"/>
              </w:rPr>
            </w:pPr>
          </w:p>
        </w:tc>
        <w:tc>
          <w:tcPr>
            <w:tcW w:w="114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Clients</w:t>
            </w:r>
          </w:p>
        </w:tc>
        <w:tc>
          <w:tcPr>
            <w:tcW w:w="100" w:type="dxa"/>
            <w:vAlign w:val="bottom"/>
            <w:tcBorders>
              <w:top w:val="single" w:sz="8" w:color="auto"/>
            </w:tcBorders>
          </w:tcPr>
          <w:p>
            <w:pPr>
              <w:spacing w:after="0"/>
              <w:rPr>
                <w:sz w:val="16"/>
                <w:szCs w:val="16"/>
                <w:color w:val="auto"/>
              </w:rPr>
            </w:pPr>
          </w:p>
        </w:tc>
        <w:tc>
          <w:tcPr>
            <w:tcW w:w="150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100" w:type="dxa"/>
            <w:vAlign w:val="bottom"/>
          </w:tcPr>
          <w:p>
            <w:pPr>
              <w:spacing w:after="0"/>
              <w:rPr>
                <w:sz w:val="16"/>
                <w:szCs w:val="16"/>
                <w:color w:val="auto"/>
              </w:rPr>
            </w:pPr>
          </w:p>
        </w:tc>
        <w:tc>
          <w:tcPr>
            <w:tcW w:w="1140" w:type="dxa"/>
            <w:vAlign w:val="bottom"/>
            <w:tcBorders>
              <w:top w:val="single" w:sz="8" w:color="auto"/>
            </w:tcBorders>
          </w:tcPr>
          <w:p>
            <w:pPr>
              <w:jc w:val="right"/>
              <w:ind w:right="275"/>
              <w:spacing w:after="0"/>
              <w:rPr>
                <w:sz w:val="20"/>
                <w:szCs w:val="20"/>
                <w:color w:val="auto"/>
              </w:rPr>
            </w:pPr>
            <w:r>
              <w:rPr>
                <w:rFonts w:ascii="Times New Roman" w:cs="Times New Roman" w:eastAsia="Times New Roman" w:hAnsi="Times New Roman"/>
                <w:sz w:val="14"/>
                <w:szCs w:val="14"/>
                <w:b w:val="1"/>
                <w:bCs w:val="1"/>
                <w:color w:val="auto"/>
              </w:rPr>
              <w:t>Clients</w:t>
            </w:r>
          </w:p>
        </w:tc>
        <w:tc>
          <w:tcPr>
            <w:tcW w:w="120" w:type="dxa"/>
            <w:vAlign w:val="bottom"/>
            <w:tcBorders>
              <w:top w:val="single" w:sz="8" w:color="auto"/>
            </w:tcBorders>
          </w:tcPr>
          <w:p>
            <w:pPr>
              <w:spacing w:after="0"/>
              <w:rPr>
                <w:sz w:val="16"/>
                <w:szCs w:val="16"/>
                <w:color w:val="auto"/>
              </w:rPr>
            </w:pPr>
          </w:p>
        </w:tc>
        <w:tc>
          <w:tcPr>
            <w:tcW w:w="1480" w:type="dxa"/>
            <w:vAlign w:val="bottom"/>
            <w:tcBorders>
              <w:top w:val="single" w:sz="8" w:color="auto"/>
            </w:tcBorders>
          </w:tcPr>
          <w:p>
            <w:pPr>
              <w:jc w:val="right"/>
              <w:ind w:right="376"/>
              <w:spacing w:after="0"/>
              <w:rPr>
                <w:sz w:val="20"/>
                <w:szCs w:val="20"/>
                <w:color w:val="auto"/>
              </w:rPr>
            </w:pPr>
            <w:r>
              <w:rPr>
                <w:rFonts w:ascii="Times New Roman" w:cs="Times New Roman" w:eastAsia="Times New Roman" w:hAnsi="Times New Roman"/>
                <w:sz w:val="14"/>
                <w:szCs w:val="14"/>
                <w:b w:val="1"/>
                <w:bCs w:val="1"/>
                <w:color w:val="auto"/>
              </w:rPr>
              <w:t>Members</w:t>
            </w:r>
          </w:p>
        </w:tc>
        <w:tc>
          <w:tcPr>
            <w:tcW w:w="0" w:type="dxa"/>
            <w:vAlign w:val="bottom"/>
          </w:tcPr>
          <w:p>
            <w:pPr>
              <w:spacing w:after="0"/>
              <w:rPr>
                <w:sz w:val="1"/>
                <w:szCs w:val="1"/>
                <w:color w:val="auto"/>
              </w:rPr>
            </w:pPr>
          </w:p>
        </w:tc>
      </w:tr>
      <w:tr>
        <w:trPr>
          <w:trHeight w:val="229"/>
        </w:trPr>
        <w:tc>
          <w:tcPr>
            <w:tcW w:w="55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Up to 2,500</w:t>
            </w:r>
          </w:p>
        </w:tc>
        <w:tc>
          <w:tcPr>
            <w:tcW w:w="12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340,000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120" w:type="dxa"/>
            <w:vAlign w:val="bottom"/>
            <w:tcBorders>
              <w:top w:val="single" w:sz="8" w:color="CCEEFF"/>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310,000</w:t>
            </w:r>
          </w:p>
        </w:tc>
        <w:tc>
          <w:tcPr>
            <w:tcW w:w="0" w:type="dxa"/>
            <w:vAlign w:val="bottom"/>
          </w:tcPr>
          <w:p>
            <w:pPr>
              <w:spacing w:after="0"/>
              <w:rPr>
                <w:sz w:val="1"/>
                <w:szCs w:val="1"/>
                <w:color w:val="auto"/>
              </w:rPr>
            </w:pPr>
          </w:p>
        </w:tc>
      </w:tr>
      <w:tr>
        <w:trPr>
          <w:trHeight w:val="229"/>
        </w:trPr>
        <w:tc>
          <w:tcPr>
            <w:tcW w:w="5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2,501 - 10,000</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1,478,000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1,379,000</w:t>
            </w:r>
          </w:p>
        </w:tc>
        <w:tc>
          <w:tcPr>
            <w:tcW w:w="0" w:type="dxa"/>
            <w:vAlign w:val="bottom"/>
          </w:tcPr>
          <w:p>
            <w:pPr>
              <w:spacing w:after="0"/>
              <w:rPr>
                <w:sz w:val="1"/>
                <w:szCs w:val="1"/>
                <w:color w:val="auto"/>
              </w:rPr>
            </w:pPr>
          </w:p>
        </w:tc>
      </w:tr>
      <w:tr>
        <w:trPr>
          <w:trHeight w:val="230"/>
        </w:trPr>
        <w:tc>
          <w:tcPr>
            <w:tcW w:w="5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10,001 - 50,000</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2,444,000</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2,139,000</w:t>
            </w:r>
          </w:p>
        </w:tc>
        <w:tc>
          <w:tcPr>
            <w:tcW w:w="0" w:type="dxa"/>
            <w:vAlign w:val="bottom"/>
          </w:tcPr>
          <w:p>
            <w:pPr>
              <w:spacing w:after="0"/>
              <w:rPr>
                <w:sz w:val="1"/>
                <w:szCs w:val="1"/>
                <w:color w:val="auto"/>
              </w:rPr>
            </w:pPr>
          </w:p>
        </w:tc>
      </w:tr>
      <w:tr>
        <w:trPr>
          <w:trHeight w:val="229"/>
        </w:trPr>
        <w:tc>
          <w:tcPr>
            <w:tcW w:w="56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Greater than 50,000</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2,917,000</w:t>
            </w:r>
          </w:p>
        </w:tc>
        <w:tc>
          <w:tcPr>
            <w:tcW w:w="1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2,861,000</w:t>
            </w:r>
          </w:p>
        </w:tc>
        <w:tc>
          <w:tcPr>
            <w:tcW w:w="0" w:type="dxa"/>
            <w:vAlign w:val="bottom"/>
          </w:tcPr>
          <w:p>
            <w:pPr>
              <w:spacing w:after="0"/>
              <w:rPr>
                <w:sz w:val="1"/>
                <w:szCs w:val="1"/>
                <w:color w:val="auto"/>
              </w:rPr>
            </w:pPr>
          </w:p>
        </w:tc>
      </w:tr>
      <w:tr>
        <w:trPr>
          <w:trHeight w:val="248"/>
        </w:trPr>
        <w:tc>
          <w:tcPr>
            <w:tcW w:w="5660" w:type="dxa"/>
            <w:vAlign w:val="bottom"/>
            <w:tcBorders>
              <w:top w:val="single" w:sz="8" w:color="CCEEFF"/>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595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7,179,000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6,689,000</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Benefits Utilization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 key driver of our revenue is the number of members we serve and the rate at which they utilize their fertility benefits. As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client base has grown, our membership has grown from approximately 110,000 members in 2016 when we launched our fertility benefits solution to 7.2 million members as of March 31, 2026.</w:t>
      </w:r>
    </w:p>
    <w:p>
      <w:pPr>
        <w:spacing w:after="0" w:line="17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highlights the number of assisted reproductive treatment, or ART, cycles performed for Progyny members and the member utilization rates for each of the periods presented:</w:t>
      </w:r>
    </w:p>
    <w:p>
      <w:pPr>
        <w:spacing w:after="0" w:line="20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18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3990975</wp:posOffset>
            </wp:positionH>
            <wp:positionV relativeFrom="paragraph">
              <wp:posOffset>22225</wp:posOffset>
            </wp:positionV>
            <wp:extent cx="309435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09435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780" w:type="dxa"/>
            <w:vAlign w:val="bottom"/>
            <w:gridSpan w:val="2"/>
          </w:tcPr>
          <w:p>
            <w:pPr>
              <w:ind w:left="7340"/>
              <w:spacing w:after="0"/>
              <w:rPr>
                <w:sz w:val="20"/>
                <w:szCs w:val="20"/>
                <w:color w:val="auto"/>
              </w:rPr>
            </w:pPr>
            <w:r>
              <w:rPr>
                <w:rFonts w:ascii="Times New Roman" w:cs="Times New Roman" w:eastAsia="Times New Roman" w:hAnsi="Times New Roman"/>
                <w:sz w:val="14"/>
                <w:szCs w:val="14"/>
                <w:b w:val="1"/>
                <w:bCs w:val="1"/>
                <w:color w:val="auto"/>
              </w:rPr>
              <w:t>2026</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0" w:type="dxa"/>
            <w:vAlign w:val="bottom"/>
          </w:tcPr>
          <w:p>
            <w:pPr>
              <w:jc w:val="right"/>
              <w:ind w:right="97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28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50"/>
        </w:trPr>
        <w:tc>
          <w:tcPr>
            <w:tcW w:w="7780" w:type="dxa"/>
            <w:vAlign w:val="bottom"/>
            <w:gridSpan w:val="2"/>
            <w:shd w:val="clear" w:color="auto" w:fill="CCEEFF"/>
          </w:tcPr>
          <w:p>
            <w:pPr>
              <w:ind w:left="20"/>
              <w:spacing w:after="0" w:line="250" w:lineRule="exact"/>
              <w:rPr>
                <w:sz w:val="20"/>
                <w:szCs w:val="20"/>
                <w:color w:val="auto"/>
              </w:rPr>
            </w:pPr>
            <w:r>
              <w:rPr>
                <w:rFonts w:ascii="Times New Roman" w:cs="Times New Roman" w:eastAsia="Times New Roman" w:hAnsi="Times New Roman"/>
                <w:sz w:val="18"/>
                <w:szCs w:val="18"/>
                <w:color w:val="auto"/>
              </w:rPr>
              <w:t>Assisted Reproductive Treatment (ART) Cycles</w:t>
            </w:r>
            <w:r>
              <w:rPr>
                <w:rFonts w:ascii="Times New Roman" w:cs="Times New Roman" w:eastAsia="Times New Roman" w:hAnsi="Times New Roman"/>
                <w:sz w:val="23"/>
                <w:szCs w:val="23"/>
                <w:color w:val="auto"/>
                <w:vertAlign w:val="superscript"/>
              </w:rPr>
              <w:t>(1)</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15,647</w:t>
            </w:r>
          </w:p>
        </w:tc>
        <w:tc>
          <w:tcPr>
            <w:tcW w:w="80" w:type="dxa"/>
            <w:vAlign w:val="bottom"/>
            <w:shd w:val="clear" w:color="auto" w:fill="CCEEFF"/>
          </w:tcPr>
          <w:p>
            <w:pPr>
              <w:spacing w:after="0"/>
              <w:rPr>
                <w:sz w:val="21"/>
                <w:szCs w:val="21"/>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16,160</w:t>
            </w:r>
          </w:p>
        </w:tc>
      </w:tr>
      <w:tr>
        <w:trPr>
          <w:trHeight w:val="256"/>
        </w:trPr>
        <w:tc>
          <w:tcPr>
            <w:tcW w:w="7780" w:type="dxa"/>
            <w:vAlign w:val="bottom"/>
            <w:gridSpan w:val="2"/>
          </w:tcPr>
          <w:p>
            <w:pPr>
              <w:ind w:left="20"/>
              <w:spacing w:after="0" w:line="256" w:lineRule="exact"/>
              <w:rPr>
                <w:sz w:val="20"/>
                <w:szCs w:val="20"/>
                <w:color w:val="auto"/>
              </w:rPr>
            </w:pPr>
            <w:r>
              <w:rPr>
                <w:rFonts w:ascii="Times New Roman" w:cs="Times New Roman" w:eastAsia="Times New Roman" w:hAnsi="Times New Roman"/>
                <w:sz w:val="18"/>
                <w:szCs w:val="18"/>
                <w:color w:val="auto"/>
              </w:rPr>
              <w:t>Utilization - All Members</w:t>
            </w:r>
            <w:r>
              <w:rPr>
                <w:rFonts w:ascii="Times New Roman" w:cs="Times New Roman" w:eastAsia="Times New Roman" w:hAnsi="Times New Roman"/>
                <w:sz w:val="23"/>
                <w:szCs w:val="23"/>
                <w:color w:val="auto"/>
                <w:vertAlign w:val="superscript"/>
              </w:rPr>
              <w:t>(2)</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0.56%</w:t>
            </w:r>
          </w:p>
        </w:tc>
        <w:tc>
          <w:tcPr>
            <w:tcW w:w="80" w:type="dxa"/>
            <w:vAlign w:val="bottom"/>
          </w:tcPr>
          <w:p>
            <w:pPr>
              <w:spacing w:after="0"/>
              <w:rPr>
                <w:sz w:val="22"/>
                <w:szCs w:val="22"/>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0.54%</w:t>
            </w:r>
          </w:p>
        </w:tc>
      </w:tr>
      <w:tr>
        <w:trPr>
          <w:trHeight w:val="257"/>
        </w:trPr>
        <w:tc>
          <w:tcPr>
            <w:tcW w:w="7780" w:type="dxa"/>
            <w:vAlign w:val="bottom"/>
            <w:gridSpan w:val="2"/>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Utilization - Female Only</w:t>
            </w:r>
            <w:r>
              <w:rPr>
                <w:rFonts w:ascii="Times New Roman" w:cs="Times New Roman" w:eastAsia="Times New Roman" w:hAnsi="Times New Roman"/>
                <w:sz w:val="23"/>
                <w:szCs w:val="23"/>
                <w:color w:val="auto"/>
                <w:vertAlign w:val="superscript"/>
              </w:rPr>
              <w:t>(2)</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0.48%</w:t>
            </w:r>
          </w:p>
        </w:tc>
        <w:tc>
          <w:tcPr>
            <w:tcW w:w="80" w:type="dxa"/>
            <w:vAlign w:val="bottom"/>
            <w:shd w:val="clear" w:color="auto" w:fill="CCEEFF"/>
          </w:tcPr>
          <w:p>
            <w:pPr>
              <w:spacing w:after="0"/>
              <w:rPr>
                <w:sz w:val="22"/>
                <w:szCs w:val="22"/>
                <w:color w:val="auto"/>
              </w:rPr>
            </w:pPr>
          </w:p>
        </w:tc>
        <w:tc>
          <w:tcPr>
            <w:tcW w:w="2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0.46%</w:t>
            </w:r>
          </w:p>
        </w:tc>
      </w:tr>
      <w:tr>
        <w:trPr>
          <w:trHeight w:val="325"/>
        </w:trPr>
        <w:tc>
          <w:tcPr>
            <w:tcW w:w="778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Average Members </w:t>
            </w:r>
            <w:r>
              <w:rPr>
                <w:rFonts w:ascii="Times New Roman" w:cs="Times New Roman" w:eastAsia="Times New Roman" w:hAnsi="Times New Roman"/>
                <w:sz w:val="23"/>
                <w:szCs w:val="23"/>
                <w:color w:val="auto"/>
                <w:vertAlign w:val="superscript"/>
              </w:rPr>
              <w:t>(3)</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7,185,000</w:t>
            </w:r>
          </w:p>
        </w:tc>
        <w:tc>
          <w:tcPr>
            <w:tcW w:w="80" w:type="dxa"/>
            <w:vAlign w:val="bottom"/>
          </w:tcPr>
          <w:p>
            <w:pPr>
              <w:spacing w:after="0"/>
              <w:rPr>
                <w:sz w:val="24"/>
                <w:szCs w:val="24"/>
                <w:color w:val="auto"/>
              </w:rPr>
            </w:pPr>
          </w:p>
        </w:tc>
        <w:tc>
          <w:tcPr>
            <w:tcW w:w="2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6,695,000</w:t>
            </w:r>
          </w:p>
        </w:tc>
      </w:tr>
      <w:tr>
        <w:trPr>
          <w:trHeight w:val="242"/>
        </w:trPr>
        <w:tc>
          <w:tcPr>
            <w:tcW w:w="6280" w:type="dxa"/>
            <w:vAlign w:val="bottom"/>
          </w:tcPr>
          <w:p>
            <w:pPr>
              <w:spacing w:after="0"/>
              <w:rPr>
                <w:sz w:val="20"/>
                <w:szCs w:val="20"/>
                <w:color w:val="auto"/>
              </w:rPr>
            </w:pPr>
            <w:r>
              <w:rPr>
                <w:rFonts w:ascii="Times New Roman" w:cs="Times New Roman" w:eastAsia="Times New Roman" w:hAnsi="Times New Roman"/>
                <w:sz w:val="18"/>
                <w:szCs w:val="18"/>
                <w:color w:val="auto"/>
              </w:rPr>
              <w:t>________________________________</w:t>
            </w:r>
          </w:p>
        </w:tc>
        <w:tc>
          <w:tcPr>
            <w:tcW w:w="150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400" w:type="dxa"/>
            <w:vAlign w:val="bottom"/>
          </w:tcPr>
          <w:p>
            <w:pPr>
              <w:spacing w:after="0"/>
              <w:rPr>
                <w:sz w:val="21"/>
                <w:szCs w:val="21"/>
                <w:color w:val="auto"/>
              </w:rPr>
            </w:pPr>
          </w:p>
        </w:tc>
      </w:tr>
    </w:tbl>
    <w:p>
      <w:pPr>
        <w:spacing w:after="0" w:line="36" w:lineRule="exact"/>
        <w:rPr>
          <w:sz w:val="20"/>
          <w:szCs w:val="20"/>
          <w:color w:val="auto"/>
        </w:rPr>
      </w:pPr>
    </w:p>
    <w:p>
      <w:pPr>
        <w:jc w:val="both"/>
        <w:ind w:left="340" w:hanging="332"/>
        <w:spacing w:after="0" w:line="266"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number of ART cycles performed, including IVF with a fresh embryo transfer, IVF freeze all cycles/embryo banking, frozen embryo transfers, and egg freezing. Includes ART cycles performed in the first half of 2025 under the extended transition of care agreement with the large client who did not renew its service agreement.</w:t>
      </w:r>
    </w:p>
    <w:p>
      <w:pPr>
        <w:spacing w:after="0" w:line="175" w:lineRule="exact"/>
        <w:rPr>
          <w:rFonts w:ascii="Times New Roman" w:cs="Times New Roman" w:eastAsia="Times New Roman" w:hAnsi="Times New Roman"/>
          <w:sz w:val="18"/>
          <w:szCs w:val="18"/>
          <w:color w:val="auto"/>
        </w:rPr>
      </w:pPr>
    </w:p>
    <w:p>
      <w:pPr>
        <w:jc w:val="both"/>
        <w:ind w:left="340" w:hanging="332"/>
        <w:spacing w:after="0" w:line="255"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member utilization rate for all fertility and family building services, including, but not limited to, ART cycles, initial consultations, IUIs, and genetic testing. The utilization rate for all members includes all unique members (female and male) who utilize the benefit during that period, while the utilization rate for female only includes only unique females who utilize the benefit during that period. For the purposes of calculating utilization rates in any given period, the results reflect the number of unique members utilizing the benefit for that period. Individual periods cannot be combined as member treatments may span multiple periods. Utilization for 2025 excludes activity under the extended transition of care agreement that ended June 30, 2025 with the large client who did not renew its service agreement, as only members meeting certain criteria were eligible to use the benefit.</w:t>
      </w:r>
    </w:p>
    <w:p>
      <w:pPr>
        <w:spacing w:after="0" w:line="188" w:lineRule="exact"/>
        <w:rPr>
          <w:rFonts w:ascii="Times New Roman" w:cs="Times New Roman" w:eastAsia="Times New Roman" w:hAnsi="Times New Roman"/>
          <w:sz w:val="18"/>
          <w:szCs w:val="18"/>
          <w:color w:val="auto"/>
        </w:rPr>
      </w:pPr>
    </w:p>
    <w:p>
      <w:pPr>
        <w:jc w:val="both"/>
        <w:ind w:left="340" w:hanging="332"/>
        <w:spacing w:after="0" w:line="266" w:lineRule="auto"/>
        <w:tabs>
          <w:tab w:leader="none" w:pos="33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approximately 300,000 members from a single client who are not reflected in utilization as a result of the client's chosen benefit design. 2025 excludes the limited number of members who were eligible to use the benefit under the extended transition of care agreement that ended June 30, 2025 with the large client who did not renew its service agreement.</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Revenue includes fertility benefits solution revenue, pharmacy benefits solution revenue and PEPM fees.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Solution Revenue</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Fertility benefits solution revenue primarily represents utilization of our fertility benefits solution. Our client contracts are typically for a three-year term and pricing for this solution is established for each Smart Cycle treatment bundle, based in part on when the client first became a client and the number of members covered under the solution. Fertility benefits solution revenue includes amounts we receive directly from members, including deductibles, co-insurance and co-payments associated with the treatments under the fertility benefits solution. Revenue is recognized based on the negotiated price with our clients and includes the portion to be paid directly by the member. Revenue is recognized when Smart Cycle services are completed for a member. Revenue is also accrued for authorized Smart Cycle services rendered based on member appointments scheduled with a fertility specialist in our network but for which no claim has yet been reported, net of expected changes and cancellations of services.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Solution Revenue</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Pharmacy benefits solution revenue primarily represents utilization of Progyny Rx. For clients who contract for the fertility benefits solution, we offer an add-on, separate, fully integrated pharmacy benefits solution designed by us. Progyny Rx provides our members with access to our formulary plan design, simplified authorization, prescription fulfillment and timely delivery of the medications used during treatment through our network of specialty pharmacies, as well as provides our members with medication administration training and other pharmacy support services. Prescription drugs are dispensed by our contracted mail order specialty pharmacies. Revenue related to the dispensing of prescription drugs by the specialty pharmacies in our network includes the prescription fees negotiated with our clients, including the portion that we collect directly from members (deductibles, co-insurance and co-payments). The contractual fees agreed to with our clients are inclusive of the cost of the prescription drug from our specialty providers, less any applicable discounts (or rebates), as well as the related clinical and care management services. Revenue from these arrangements is recognized when the drugs are dispensed.</w:t>
      </w:r>
    </w:p>
    <w:p>
      <w:pPr>
        <w:spacing w:after="0" w:line="18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Per Employee Per Month (PEPM) Fee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Clients who purchase our fertility benefits solution also pay us a population based PEPM fee which provides access to our PCAs for fertility and family building education and guidance and other digital tools for all of our covered members, regardless of whether or not they ultimately pursue fertility treatment. We earn a PEPM fee for the majority of our clients. Revenue from the PEPM fee is billed and recognized monthly based upon the contractual fee and the number of employees at that specific client for that month.</w:t>
      </w:r>
    </w:p>
    <w:p>
      <w:pPr>
        <w:spacing w:after="0" w:line="17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cost of services has three primary components: (1) fertility benefits services; (2) pharmacy benefits services; and (3) vendor rebates.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Fertility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Fertility benefits services costs include: (1) fees paid to provider clinics within our network, labs and anesthesiologists; (2) costs incurred (including salaries, bonuses, benefits, stock-based compensation expense, other related costs, and an allocation of our general overhead, depreciation and amortization) for those employees associated with our care management service functions: Provider Account Management, PCA, Provider Relations and Claims Processing teams; and (3) related information technology support costs. Our contracts with provider clinics are typically for a term of one to two years.</w:t>
      </w: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Pharmacy Benefits Services</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Pharmacy benefits services costs include: (1) the fees for prescription drugs dispensed and clinical services provided during the reporting period by our specialty pharmacy partners; (2) costs incurred (including salaries, bonuses, benefits, stock-based compensation expense, other related costs, and an allocation of our general overhead, depreciation and amortization) for those employees associated with our care management service functions: PCA, Provider Relations and Claims Processing teams; and (3) related information technology support costs. Contracts with the specialty pharmacies are typically for a term of one year.</w:t>
      </w:r>
    </w:p>
    <w:p>
      <w:pPr>
        <w:spacing w:after="0" w:line="18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Vendor Rebates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receive a rebate on certain medications purchased by our specialty pharmacies. Our contractual arrangements with pharmacy program partners provide for us to receive a rebate from established list prices, which is paid subsequent to dispensing. These rebates are recorded as a reduction to cost of services when prescriptions are dispensed.</w:t>
      </w:r>
    </w:p>
    <w:p>
      <w:pPr>
        <w:spacing w:after="0" w:line="17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Gross profit is total revenue less total cost of services. Gross margin is gross profit expressed as a percentage of total revenue. We expect that gross profit and gross margin will continue to be affected by various factors, including the geographic location where treatments are performed, as well as pricing with each of our clients, provider clinics, labs, specialty pharmacies and pharmaceutical companies, all of which are negotiated separately, have different contracting start and end dates and durations, which are not coterminous with each other. Additionally, staffing levels and the related personnel costs, including stock-based compensation expense, and other costs necessary to deliver our care management services will continue to grow as we continue to add clients and their associated members.</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operating expenses consist of sales and marketing and general and administrative expenses.</w:t>
      </w:r>
    </w:p>
    <w:p>
      <w:pPr>
        <w:spacing w:after="0" w:line="22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consists primarily of employee related costs, including salaries, bonuses, commissions, benefits, stock-based compensation expense, other related costs, and an allocation of our general overhead, depreciation and amortization for those employees associated with sales and marketing. These expenses also include third-party consulting services, advertising, marketing, promotional events, and brand awareness activities. We expect sales and marketing expense to continue to increase in absolute dollars as we continue to invest and grow our business.</w:t>
      </w:r>
    </w:p>
    <w:p>
      <w:pPr>
        <w:spacing w:after="0" w:line="17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2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General and administrative expense consists primarily of employee related costs, including salaries, bonuses, benefits, stock-based compensation expense, other related costs, and an allocation of our general overhead, depreciation and amortization for those employees associated with general and administrative services such as executive, legal, human resources, information technology, accounting, and finance as well as research and development activities. These expenses also include third-party consulting services, facilities costs, and bad debt expense. We anticipate that we will incur additional general and administrative expenses on an ongoing basis to support the growth of our business.</w:t>
      </w:r>
    </w:p>
    <w:p>
      <w:pPr>
        <w:spacing w:after="0" w:line="17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Interest and other income, net includes interest income and expense as well as investment income and losses.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We are subject to income taxes in the United States and in certain foreign jurisdictions. Income tax expense consists of taxes currently payable and changes in deferred tax assets and liabilities calculated according to local tax rules. Deferred income taxes are recorded for the expected tax consequences of temporary differences between the tax basis of assets and liabilities for financial reporting purposes and amounts recognized for income tax purposes. As of each reporting date, management considers new evidence, both positive and negative, that could affect its view of the future realization of deferred tax assets. We believe there is sufficient positive evidence to conclude that it is more likely than not that substantially all the net deferred tax assets are realizable.</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tables set forth our results of operations for the periods presented and as a percentage of revenue for those periods:</w:t>
      </w:r>
    </w:p>
    <w:p>
      <w:pPr>
        <w:spacing w:after="0" w:line="273"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60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22225</wp:posOffset>
            </wp:positionV>
            <wp:extent cx="2931795"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931795" cy="8890"/>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20" w:type="dxa"/>
            <w:vAlign w:val="bottom"/>
          </w:tcPr>
          <w:p>
            <w:pPr>
              <w:spacing w:after="0"/>
              <w:rPr>
                <w:sz w:val="16"/>
                <w:szCs w:val="16"/>
                <w:color w:val="auto"/>
              </w:rPr>
            </w:pPr>
          </w:p>
        </w:tc>
        <w:tc>
          <w:tcPr>
            <w:tcW w:w="1440" w:type="dxa"/>
            <w:vAlign w:val="bottom"/>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2026</w:t>
            </w: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580" w:type="dxa"/>
            <w:vAlign w:val="bottom"/>
          </w:tcPr>
          <w:p>
            <w:pPr>
              <w:jc w:val="right"/>
              <w:ind w:right="89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27"/>
        </w:trPr>
        <w:tc>
          <w:tcPr>
            <w:tcW w:w="66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80" w:type="dxa"/>
            <w:vAlign w:val="bottom"/>
          </w:tcPr>
          <w:p>
            <w:pPr>
              <w:spacing w:after="0"/>
              <w:rPr>
                <w:sz w:val="19"/>
                <w:szCs w:val="19"/>
                <w:color w:val="auto"/>
              </w:rPr>
            </w:pPr>
          </w:p>
        </w:tc>
      </w:tr>
      <w:tr>
        <w:trPr>
          <w:trHeight w:val="273"/>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w:t>
            </w:r>
          </w:p>
        </w:tc>
        <w:tc>
          <w:tcPr>
            <w:tcW w:w="144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63"/>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40" w:type="dxa"/>
            <w:vAlign w:val="bottom"/>
            <w:shd w:val="clear" w:color="auto" w:fill="CCEEFF"/>
          </w:tcPr>
          <w:p>
            <w:pPr>
              <w:jc w:val="right"/>
              <w:ind w:right="12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328,504</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324,038</w:t>
            </w:r>
          </w:p>
        </w:tc>
      </w:tr>
      <w:tr>
        <w:trPr>
          <w:trHeight w:val="257"/>
        </w:trPr>
        <w:tc>
          <w:tcPr>
            <w:tcW w:w="6620" w:type="dxa"/>
            <w:vAlign w:val="bottom"/>
            <w:tcBorders>
              <w:bottom w:val="single" w:sz="8" w:color="CCEEFF"/>
            </w:tcBorders>
          </w:tcPr>
          <w:p>
            <w:pPr>
              <w:ind w:left="20"/>
              <w:spacing w:after="0" w:line="256" w:lineRule="exact"/>
              <w:rPr>
                <w:sz w:val="20"/>
                <w:szCs w:val="20"/>
                <w:color w:val="auto"/>
              </w:rPr>
            </w:pPr>
            <w:r>
              <w:rPr>
                <w:rFonts w:ascii="Times New Roman" w:cs="Times New Roman" w:eastAsia="Times New Roman" w:hAnsi="Times New Roman"/>
                <w:sz w:val="18"/>
                <w:szCs w:val="18"/>
                <w:color w:val="auto"/>
              </w:rPr>
              <w:t>Cost of services</w:t>
            </w:r>
            <w:r>
              <w:rPr>
                <w:rFonts w:ascii="Times New Roman" w:cs="Times New Roman" w:eastAsia="Times New Roman" w:hAnsi="Times New Roman"/>
                <w:sz w:val="23"/>
                <w:szCs w:val="23"/>
                <w:color w:val="auto"/>
                <w:vertAlign w:val="superscript"/>
              </w:rPr>
              <w:t>(1)</w:t>
            </w:r>
          </w:p>
        </w:tc>
        <w:tc>
          <w:tcPr>
            <w:tcW w:w="1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245,433</w:t>
            </w:r>
          </w:p>
        </w:tc>
        <w:tc>
          <w:tcPr>
            <w:tcW w:w="8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248,243</w:t>
            </w:r>
          </w:p>
        </w:tc>
      </w:tr>
      <w:tr>
        <w:trPr>
          <w:trHeight w:val="250"/>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44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83,071</w:t>
            </w:r>
          </w:p>
        </w:tc>
        <w:tc>
          <w:tcPr>
            <w:tcW w:w="80" w:type="dxa"/>
            <w:vAlign w:val="bottom"/>
            <w:shd w:val="clear" w:color="auto" w:fill="CCEEFF"/>
          </w:tcPr>
          <w:p>
            <w:pPr>
              <w:spacing w:after="0"/>
              <w:rPr>
                <w:sz w:val="21"/>
                <w:szCs w:val="21"/>
                <w:color w:val="auto"/>
              </w:rPr>
            </w:pPr>
          </w:p>
        </w:tc>
        <w:tc>
          <w:tcPr>
            <w:tcW w:w="6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75,795</w:t>
            </w:r>
          </w:p>
        </w:tc>
      </w:tr>
      <w:tr>
        <w:trPr>
          <w:trHeight w:val="25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14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63"/>
        </w:trPr>
        <w:tc>
          <w:tcPr>
            <w:tcW w:w="6620" w:type="dxa"/>
            <w:vAlign w:val="bottom"/>
            <w:shd w:val="clear" w:color="auto" w:fill="CCEEFF"/>
          </w:tcPr>
          <w:p>
            <w:pPr>
              <w:ind w:left="180"/>
              <w:spacing w:after="0" w:line="263"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1440" w:type="dxa"/>
            <w:vAlign w:val="bottom"/>
            <w:shd w:val="clear" w:color="auto" w:fill="CCEEFF"/>
          </w:tcPr>
          <w:p>
            <w:pPr>
              <w:spacing w:after="0"/>
              <w:rPr>
                <w:sz w:val="22"/>
                <w:szCs w:val="22"/>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16,884</w:t>
            </w: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spacing w:after="0"/>
              <w:rPr>
                <w:sz w:val="22"/>
                <w:szCs w:val="22"/>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17,786</w:t>
            </w:r>
          </w:p>
        </w:tc>
      </w:tr>
      <w:tr>
        <w:trPr>
          <w:trHeight w:val="256"/>
        </w:trPr>
        <w:tc>
          <w:tcPr>
            <w:tcW w:w="6620" w:type="dxa"/>
            <w:vAlign w:val="bottom"/>
            <w:tcBorders>
              <w:bottom w:val="single" w:sz="8" w:color="CCEEFF"/>
            </w:tcBorders>
          </w:tcPr>
          <w:p>
            <w:pPr>
              <w:ind w:left="180"/>
              <w:spacing w:after="0" w:line="256"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14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30,808</w:t>
            </w:r>
          </w:p>
        </w:tc>
        <w:tc>
          <w:tcPr>
            <w:tcW w:w="80" w:type="dxa"/>
            <w:vAlign w:val="bottom"/>
            <w:tcBorders>
              <w:bottom w:val="single" w:sz="8" w:color="CCEEFF"/>
            </w:tcBorders>
          </w:tcPr>
          <w:p>
            <w:pPr>
              <w:spacing w:after="0"/>
              <w:rPr>
                <w:sz w:val="22"/>
                <w:szCs w:val="22"/>
                <w:color w:val="auto"/>
              </w:rPr>
            </w:pPr>
          </w:p>
        </w:tc>
        <w:tc>
          <w:tcPr>
            <w:tcW w:w="6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33,839</w:t>
            </w:r>
          </w:p>
        </w:tc>
      </w:tr>
      <w:tr>
        <w:trPr>
          <w:trHeight w:val="243"/>
        </w:trPr>
        <w:tc>
          <w:tcPr>
            <w:tcW w:w="66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44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47,692</w:t>
            </w:r>
          </w:p>
        </w:tc>
        <w:tc>
          <w:tcPr>
            <w:tcW w:w="80" w:type="dxa"/>
            <w:vAlign w:val="bottom"/>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51,625</w:t>
            </w:r>
          </w:p>
        </w:tc>
      </w:tr>
      <w:tr>
        <w:trPr>
          <w:trHeight w:val="25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1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35,379</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24,170</w:t>
            </w:r>
          </w:p>
        </w:tc>
      </w:tr>
      <w:tr>
        <w:trPr>
          <w:trHeight w:val="25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4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8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r>
      <w:tr>
        <w:trPr>
          <w:trHeight w:val="250"/>
        </w:trPr>
        <w:tc>
          <w:tcPr>
            <w:tcW w:w="6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44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36,883</w:t>
            </w:r>
          </w:p>
        </w:tc>
        <w:tc>
          <w:tcPr>
            <w:tcW w:w="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26,537</w:t>
            </w:r>
          </w:p>
        </w:tc>
      </w:tr>
      <w:tr>
        <w:trPr>
          <w:trHeight w:val="257"/>
        </w:trPr>
        <w:tc>
          <w:tcPr>
            <w:tcW w:w="6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40" w:type="dxa"/>
            <w:vAlign w:val="bottom"/>
            <w:tcBorders>
              <w:bottom w:val="single" w:sz="8" w:color="auto"/>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80" w:type="dxa"/>
            <w:vAlign w:val="bottom"/>
            <w:shd w:val="clear" w:color="auto" w:fill="CCEEFF"/>
          </w:tcPr>
          <w:p>
            <w:pPr>
              <w:spacing w:after="0"/>
              <w:rPr>
                <w:sz w:val="22"/>
                <w:szCs w:val="22"/>
                <w:color w:val="auto"/>
              </w:rPr>
            </w:pPr>
          </w:p>
        </w:tc>
        <w:tc>
          <w:tcPr>
            <w:tcW w:w="680" w:type="dxa"/>
            <w:vAlign w:val="bottom"/>
            <w:tcBorders>
              <w:bottom w:val="single" w:sz="8" w:color="auto"/>
            </w:tcBorders>
            <w:shd w:val="clear" w:color="auto" w:fill="CCEEFF"/>
          </w:tcPr>
          <w:p>
            <w:pPr>
              <w:spacing w:after="0"/>
              <w:rPr>
                <w:sz w:val="22"/>
                <w:szCs w:val="22"/>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w:t>
            </w:r>
          </w:p>
        </w:tc>
      </w:tr>
      <w:tr>
        <w:trPr>
          <w:trHeight w:val="250"/>
        </w:trPr>
        <w:tc>
          <w:tcPr>
            <w:tcW w:w="6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40" w:type="dxa"/>
            <w:vAlign w:val="bottom"/>
            <w:tcBorders>
              <w:bottom w:val="single" w:sz="8" w:color="auto"/>
            </w:tcBorders>
          </w:tcPr>
          <w:p>
            <w:pPr>
              <w:jc w:val="right"/>
              <w:ind w:right="12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80" w:type="dxa"/>
            <w:vAlign w:val="bottom"/>
            <w:tcBorders>
              <w:bottom w:val="single" w:sz="8" w:color="CCEEFF"/>
            </w:tcBorders>
          </w:tcPr>
          <w:p>
            <w:pPr>
              <w:spacing w:after="0"/>
              <w:rPr>
                <w:sz w:val="21"/>
                <w:szCs w:val="21"/>
                <w:color w:val="auto"/>
              </w:rPr>
            </w:pPr>
          </w:p>
        </w:tc>
        <w:tc>
          <w:tcPr>
            <w:tcW w:w="6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15,059</w:t>
            </w:r>
          </w:p>
        </w:tc>
      </w:tr>
      <w:tr>
        <w:trPr>
          <w:trHeight w:val="282"/>
        </w:trPr>
        <w:tc>
          <w:tcPr>
            <w:tcW w:w="6620" w:type="dxa"/>
            <w:vAlign w:val="bottom"/>
            <w:tcBorders>
              <w:bottom w:val="single" w:sz="8" w:color="CCEEFF"/>
            </w:tcBorders>
            <w:shd w:val="clear" w:color="auto" w:fill="CCEEFF"/>
          </w:tcPr>
          <w:p>
            <w:pPr>
              <w:ind w:left="20"/>
              <w:spacing w:after="0" w:line="256" w:lineRule="exact"/>
              <w:rPr>
                <w:sz w:val="20"/>
                <w:szCs w:val="20"/>
                <w:color w:val="auto"/>
              </w:rPr>
            </w:pPr>
            <w:r>
              <w:rPr>
                <w:rFonts w:ascii="Times New Roman" w:cs="Times New Roman" w:eastAsia="Times New Roman" w:hAnsi="Times New Roman"/>
                <w:sz w:val="18"/>
                <w:szCs w:val="18"/>
                <w:color w:val="auto"/>
              </w:rPr>
              <w:t>Adjusted EBITDA</w:t>
            </w:r>
            <w:r>
              <w:rPr>
                <w:rFonts w:ascii="Times New Roman" w:cs="Times New Roman" w:eastAsia="Times New Roman" w:hAnsi="Times New Roman"/>
                <w:sz w:val="23"/>
                <w:szCs w:val="23"/>
                <w:color w:val="auto"/>
                <w:vertAlign w:val="superscript"/>
              </w:rPr>
              <w:t>(2)</w:t>
            </w:r>
          </w:p>
        </w:tc>
        <w:tc>
          <w:tcPr>
            <w:tcW w:w="1440" w:type="dxa"/>
            <w:vAlign w:val="bottom"/>
            <w:tcBorders>
              <w:bottom w:val="single" w:sz="8" w:color="auto"/>
            </w:tcBorders>
            <w:shd w:val="clear" w:color="auto" w:fill="CCEEFF"/>
          </w:tcPr>
          <w:p>
            <w:pPr>
              <w:jc w:val="right"/>
              <w:ind w:right="1235"/>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80" w:type="dxa"/>
            <w:vAlign w:val="bottom"/>
            <w:tcBorders>
              <w:bottom w:val="single" w:sz="8" w:color="CCEEFF"/>
            </w:tcBorders>
            <w:shd w:val="clear" w:color="auto" w:fill="CCEEFF"/>
          </w:tcPr>
          <w:p>
            <w:pPr>
              <w:spacing w:after="0"/>
              <w:rPr>
                <w:sz w:val="24"/>
                <w:szCs w:val="24"/>
                <w:color w:val="auto"/>
              </w:rPr>
            </w:pPr>
          </w:p>
        </w:tc>
        <w:tc>
          <w:tcPr>
            <w:tcW w:w="680" w:type="dxa"/>
            <w:vAlign w:val="bottom"/>
            <w:tcBorders>
              <w:bottom w:val="single" w:sz="8" w:color="auto"/>
            </w:tcBorders>
            <w:shd w:val="clear" w:color="auto" w:fill="CCEEFF"/>
          </w:tcPr>
          <w:p>
            <w:pPr>
              <w:jc w:val="right"/>
              <w:ind w:right="470"/>
              <w:spacing w:after="0"/>
              <w:rPr>
                <w:sz w:val="20"/>
                <w:szCs w:val="20"/>
                <w:color w:val="auto"/>
              </w:rPr>
            </w:pPr>
            <w:r>
              <w:rPr>
                <w:rFonts w:ascii="Times New Roman" w:cs="Times New Roman" w:eastAsia="Times New Roman" w:hAnsi="Times New Roman"/>
                <w:sz w:val="18"/>
                <w:szCs w:val="18"/>
                <w:color w:val="auto"/>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98" w:lineRule="exact"/>
        <w:rPr>
          <w:sz w:val="20"/>
          <w:szCs w:val="20"/>
          <w:color w:val="auto"/>
        </w:rPr>
      </w:pPr>
    </w:p>
    <w:p>
      <w:pPr>
        <w:ind w:left="180" w:hanging="172"/>
        <w:spacing w:after="0"/>
        <w:tabs>
          <w:tab w:leader="none" w:pos="180" w:val="left"/>
        </w:tabs>
        <w:numPr>
          <w:ilvl w:val="0"/>
          <w:numId w:val="24"/>
        </w:numPr>
        <w:rPr>
          <w:rFonts w:ascii="Times New Roman" w:cs="Times New Roman" w:eastAsia="Times New Roman" w:hAnsi="Times New Roman"/>
          <w:sz w:val="22"/>
          <w:szCs w:val="22"/>
          <w:color w:val="auto"/>
          <w:vertAlign w:val="superscript"/>
        </w:rPr>
      </w:pPr>
      <w:r>
        <w:rPr>
          <w:rFonts w:ascii="Times New Roman" w:cs="Times New Roman" w:eastAsia="Times New Roman" w:hAnsi="Times New Roman"/>
          <w:sz w:val="17"/>
          <w:szCs w:val="17"/>
          <w:color w:val="auto"/>
        </w:rPr>
        <w:t>Includes stock-based compensation expense as follows:</w:t>
      </w:r>
    </w:p>
    <w:p>
      <w:pPr>
        <w:spacing w:after="0" w:line="245"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5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4196715</wp:posOffset>
            </wp:positionH>
            <wp:positionV relativeFrom="paragraph">
              <wp:posOffset>22225</wp:posOffset>
            </wp:positionV>
            <wp:extent cx="29229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00" w:type="dxa"/>
            <w:vAlign w:val="bottom"/>
          </w:tcPr>
          <w:p>
            <w:pPr>
              <w:spacing w:after="0"/>
              <w:rPr>
                <w:sz w:val="16"/>
                <w:szCs w:val="16"/>
                <w:color w:val="auto"/>
              </w:rPr>
            </w:pPr>
          </w:p>
        </w:tc>
        <w:tc>
          <w:tcPr>
            <w:tcW w:w="1480" w:type="dxa"/>
            <w:vAlign w:val="bottom"/>
          </w:tcPr>
          <w:p>
            <w:pPr>
              <w:jc w:val="right"/>
              <w:ind w:right="116"/>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720" w:type="dxa"/>
            <w:vAlign w:val="bottom"/>
          </w:tcPr>
          <w:p>
            <w:pPr>
              <w:jc w:val="right"/>
              <w:ind w:right="914"/>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50"/>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80" w:type="dxa"/>
            <w:vAlign w:val="bottom"/>
            <w:shd w:val="clear" w:color="auto" w:fill="CCEEFF"/>
          </w:tcPr>
          <w:p>
            <w:pPr>
              <w:jc w:val="right"/>
              <w:ind w:right="12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6,270</w:t>
            </w:r>
          </w:p>
        </w:tc>
        <w:tc>
          <w:tcPr>
            <w:tcW w:w="100" w:type="dxa"/>
            <w:vAlign w:val="bottom"/>
            <w:shd w:val="clear" w:color="auto" w:fill="CCEEFF"/>
          </w:tcPr>
          <w:p>
            <w:pPr>
              <w:spacing w:after="0"/>
              <w:rPr>
                <w:sz w:val="21"/>
                <w:szCs w:val="21"/>
                <w:color w:val="auto"/>
              </w:rPr>
            </w:pP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9,398</w:t>
            </w:r>
          </w:p>
        </w:tc>
      </w:tr>
      <w:tr>
        <w:trPr>
          <w:trHeight w:val="250"/>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5,555</w:t>
            </w:r>
          </w:p>
        </w:tc>
        <w:tc>
          <w:tcPr>
            <w:tcW w:w="1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7,875</w:t>
            </w:r>
          </w:p>
        </w:tc>
      </w:tr>
      <w:tr>
        <w:trPr>
          <w:trHeight w:val="26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80" w:type="dxa"/>
            <w:vAlign w:val="bottom"/>
            <w:tcBorders>
              <w:bottom w:val="single" w:sz="8" w:color="auto"/>
            </w:tcBorders>
            <w:shd w:val="clear" w:color="auto" w:fill="CCEEFF"/>
          </w:tcPr>
          <w:p>
            <w:pPr>
              <w:spacing w:after="0"/>
              <w:rPr>
                <w:sz w:val="22"/>
                <w:szCs w:val="22"/>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7,896</w:t>
            </w:r>
          </w:p>
        </w:tc>
        <w:tc>
          <w:tcPr>
            <w:tcW w:w="100" w:type="dxa"/>
            <w:vAlign w:val="bottom"/>
            <w:shd w:val="clear" w:color="auto" w:fill="CCEEFF"/>
          </w:tcPr>
          <w:p>
            <w:pPr>
              <w:spacing w:after="0"/>
              <w:rPr>
                <w:sz w:val="22"/>
                <w:szCs w:val="22"/>
                <w:color w:val="auto"/>
              </w:rPr>
            </w:pPr>
          </w:p>
        </w:tc>
        <w:tc>
          <w:tcPr>
            <w:tcW w:w="540" w:type="dxa"/>
            <w:vAlign w:val="bottom"/>
            <w:tcBorders>
              <w:bottom w:val="single" w:sz="8" w:color="auto"/>
            </w:tcBorders>
            <w:shd w:val="clear" w:color="auto" w:fill="CCEEFF"/>
          </w:tcPr>
          <w:p>
            <w:pPr>
              <w:spacing w:after="0"/>
              <w:rPr>
                <w:sz w:val="22"/>
                <w:szCs w:val="22"/>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15,239</w:t>
            </w:r>
          </w:p>
        </w:tc>
      </w:tr>
      <w:tr>
        <w:trPr>
          <w:trHeight w:val="250"/>
        </w:trPr>
        <w:tc>
          <w:tcPr>
            <w:tcW w:w="6600" w:type="dxa"/>
            <w:vAlign w:val="bottom"/>
          </w:tcPr>
          <w:p>
            <w:pPr>
              <w:ind w:left="20"/>
              <w:spacing w:after="0" w:line="207" w:lineRule="exact"/>
              <w:rPr>
                <w:sz w:val="20"/>
                <w:szCs w:val="20"/>
                <w:color w:val="auto"/>
              </w:rPr>
            </w:pPr>
            <w:r>
              <w:rPr>
                <w:rFonts w:ascii="Times New Roman" w:cs="Times New Roman" w:eastAsia="Times New Roman" w:hAnsi="Times New Roman"/>
                <w:sz w:val="18"/>
                <w:szCs w:val="18"/>
                <w:color w:val="auto"/>
              </w:rPr>
              <w:t>Total 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1480" w:type="dxa"/>
            <w:vAlign w:val="bottom"/>
            <w:tcBorders>
              <w:bottom w:val="single" w:sz="8" w:color="auto"/>
            </w:tcBorders>
          </w:tcPr>
          <w:p>
            <w:pPr>
              <w:jc w:val="right"/>
              <w:ind w:right="1276"/>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19,721</w:t>
            </w:r>
          </w:p>
        </w:tc>
        <w:tc>
          <w:tcPr>
            <w:tcW w:w="100" w:type="dxa"/>
            <w:vAlign w:val="bottom"/>
          </w:tcPr>
          <w:p>
            <w:pPr>
              <w:spacing w:after="0"/>
              <w:rPr>
                <w:sz w:val="21"/>
                <w:szCs w:val="21"/>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32,512</w:t>
            </w:r>
          </w:p>
        </w:tc>
      </w:tr>
      <w:tr>
        <w:trPr>
          <w:trHeight w:val="20"/>
        </w:trPr>
        <w:tc>
          <w:tcPr>
            <w:tcW w:w="66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92" w:lineRule="exact"/>
        <w:rPr>
          <w:sz w:val="20"/>
          <w:szCs w:val="20"/>
          <w:color w:val="auto"/>
        </w:rPr>
      </w:pPr>
    </w:p>
    <w:p>
      <w:pPr>
        <w:jc w:val="both"/>
        <w:ind w:firstLine="8"/>
        <w:spacing w:after="0" w:line="275" w:lineRule="auto"/>
        <w:tabs>
          <w:tab w:leader="none" w:pos="179" w:val="left"/>
        </w:tabs>
        <w:numPr>
          <w:ilvl w:val="0"/>
          <w:numId w:val="25"/>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6"/>
          <w:szCs w:val="16"/>
          <w:color w:val="auto"/>
        </w:rPr>
        <w:t>Adjusted EBITDA is a non-GAAP financial measure that we define as net income, adjusted to exclude depreciation and amortization, stock-based compensation expense, interest and other income, net, and provision for income taxes. See “Management’s Discussion and Analysis of Financial Condition and Results of Operations – Non-GAAP Financial Measure – Adjusted EBITDA" below for a reconciliation of Adjusted EBITDA to net income, the most directly comparable measure calculated in accordance with U.S. GAAP.</w:t>
      </w: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4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4093845</wp:posOffset>
            </wp:positionH>
            <wp:positionV relativeFrom="paragraph">
              <wp:posOffset>22225</wp:posOffset>
            </wp:positionV>
            <wp:extent cx="30429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04292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000" w:type="dxa"/>
            <w:vAlign w:val="bottom"/>
            <w:gridSpan w:val="2"/>
          </w:tcPr>
          <w:p>
            <w:pPr>
              <w:ind w:left="7480"/>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40" w:type="dxa"/>
            <w:vAlign w:val="bottom"/>
          </w:tcPr>
          <w:p>
            <w:pPr>
              <w:jc w:val="right"/>
              <w:ind w:right="951"/>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000" w:type="dxa"/>
            <w:vAlign w:val="bottom"/>
            <w:gridSpan w:val="2"/>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30"/>
        </w:trPr>
        <w:tc>
          <w:tcPr>
            <w:tcW w:w="64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Data, as a percentage of revenue:</w:t>
            </w:r>
          </w:p>
        </w:tc>
        <w:tc>
          <w:tcPr>
            <w:tcW w:w="15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340" w:type="dxa"/>
            <w:vAlign w:val="bottom"/>
            <w:tcBorders>
              <w:top w:val="single" w:sz="8" w:color="auto"/>
            </w:tcBorders>
          </w:tcPr>
          <w:p>
            <w:pPr>
              <w:spacing w:after="0"/>
              <w:rPr>
                <w:sz w:val="19"/>
                <w:szCs w:val="19"/>
                <w:color w:val="auto"/>
              </w:rPr>
            </w:pPr>
          </w:p>
        </w:tc>
      </w:tr>
      <w:tr>
        <w:trPr>
          <w:trHeight w:val="263"/>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00" w:type="dxa"/>
            <w:vAlign w:val="bottom"/>
            <w:shd w:val="clear" w:color="auto" w:fill="CCEEFF"/>
          </w:tcPr>
          <w:p>
            <w:pPr>
              <w:spacing w:after="0"/>
              <w:rPr>
                <w:sz w:val="22"/>
                <w:szCs w:val="22"/>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50"/>
        </w:trPr>
        <w:tc>
          <w:tcPr>
            <w:tcW w:w="64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5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74.7%</w:t>
            </w:r>
          </w:p>
        </w:tc>
        <w:tc>
          <w:tcPr>
            <w:tcW w:w="100" w:type="dxa"/>
            <w:vAlign w:val="bottom"/>
            <w:tcBorders>
              <w:bottom w:val="single" w:sz="8" w:color="CCEEFF"/>
            </w:tcBorders>
          </w:tcPr>
          <w:p>
            <w:pPr>
              <w:spacing w:after="0"/>
              <w:rPr>
                <w:sz w:val="21"/>
                <w:szCs w:val="21"/>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w:t>
            </w:r>
          </w:p>
        </w:tc>
      </w:tr>
      <w:tr>
        <w:trPr>
          <w:trHeight w:val="257"/>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shd w:val="clear" w:color="auto" w:fill="CCEEFF"/>
          </w:tcPr>
          <w:p>
            <w:pPr>
              <w:spacing w:after="0"/>
              <w:rPr>
                <w:sz w:val="22"/>
                <w:szCs w:val="22"/>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r>
      <w:tr>
        <w:trPr>
          <w:trHeight w:val="250"/>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340" w:type="dxa"/>
            <w:vAlign w:val="bottom"/>
          </w:tcPr>
          <w:p>
            <w:pPr>
              <w:spacing w:after="0"/>
              <w:rPr>
                <w:sz w:val="21"/>
                <w:szCs w:val="21"/>
                <w:color w:val="auto"/>
              </w:rPr>
            </w:pPr>
          </w:p>
        </w:tc>
      </w:tr>
      <w:tr>
        <w:trPr>
          <w:trHeight w:val="263"/>
        </w:trPr>
        <w:tc>
          <w:tcPr>
            <w:tcW w:w="800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Sales and marketing</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shd w:val="clear" w:color="auto" w:fill="CCEEFF"/>
          </w:tcPr>
          <w:p>
            <w:pPr>
              <w:spacing w:after="0"/>
              <w:rPr>
                <w:sz w:val="22"/>
                <w:szCs w:val="22"/>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50"/>
        </w:trPr>
        <w:tc>
          <w:tcPr>
            <w:tcW w:w="64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6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Borders>
              <w:bottom w:val="single" w:sz="8" w:color="CCEEFF"/>
            </w:tcBorders>
          </w:tcPr>
          <w:p>
            <w:pPr>
              <w:spacing w:after="0"/>
              <w:rPr>
                <w:sz w:val="21"/>
                <w:szCs w:val="21"/>
                <w:color w:val="auto"/>
              </w:rPr>
            </w:pPr>
          </w:p>
        </w:tc>
        <w:tc>
          <w:tcPr>
            <w:tcW w:w="2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50"/>
        </w:trPr>
        <w:tc>
          <w:tcPr>
            <w:tcW w:w="64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shd w:val="clear" w:color="auto" w:fill="CCEEFF"/>
          </w:tcPr>
          <w:p>
            <w:pPr>
              <w:spacing w:after="0"/>
              <w:rPr>
                <w:sz w:val="21"/>
                <w:szCs w:val="21"/>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w:t>
            </w:r>
          </w:p>
        </w:tc>
      </w:tr>
      <w:tr>
        <w:trPr>
          <w:trHeight w:val="250"/>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from operations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5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5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00" w:type="dxa"/>
            <w:vAlign w:val="bottom"/>
            <w:shd w:val="clear" w:color="auto" w:fill="CCEEFF"/>
          </w:tcPr>
          <w:p>
            <w:pPr>
              <w:spacing w:after="0"/>
              <w:rPr>
                <w:sz w:val="22"/>
                <w:szCs w:val="22"/>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50"/>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00" w:type="dxa"/>
            <w:vAlign w:val="bottom"/>
          </w:tcPr>
          <w:p>
            <w:pPr>
              <w:spacing w:after="0"/>
              <w:rPr>
                <w:sz w:val="21"/>
                <w:szCs w:val="21"/>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w:t>
            </w:r>
          </w:p>
        </w:tc>
      </w:tr>
      <w:tr>
        <w:trPr>
          <w:trHeight w:val="25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5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shd w:val="clear" w:color="auto" w:fill="CCEEFF"/>
          </w:tcPr>
          <w:p>
            <w:pPr>
              <w:spacing w:after="0"/>
              <w:rPr>
                <w:sz w:val="22"/>
                <w:szCs w:val="22"/>
                <w:color w:val="auto"/>
              </w:rPr>
            </w:pPr>
          </w:p>
        </w:tc>
        <w:tc>
          <w:tcPr>
            <w:tcW w:w="2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57"/>
        </w:trPr>
        <w:tc>
          <w:tcPr>
            <w:tcW w:w="8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Pr>
          <w:p>
            <w:pPr>
              <w:spacing w:after="0"/>
              <w:rPr>
                <w:sz w:val="22"/>
                <w:szCs w:val="22"/>
                <w:color w:val="auto"/>
              </w:rPr>
            </w:pPr>
          </w:p>
        </w:tc>
        <w:tc>
          <w:tcPr>
            <w:tcW w:w="2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r>
      <w:tr>
        <w:trPr>
          <w:trHeight w:val="20"/>
        </w:trPr>
        <w:tc>
          <w:tcPr>
            <w:tcW w:w="6440" w:type="dxa"/>
            <w:vAlign w:val="bottom"/>
            <w:tcBorders>
              <w:bottom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r>
        <w:trPr>
          <w:trHeight w:val="270"/>
        </w:trPr>
        <w:tc>
          <w:tcPr>
            <w:tcW w:w="80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CEEFF"/>
          </w:tcPr>
          <w:p>
            <w:pPr>
              <w:spacing w:after="0"/>
              <w:rPr>
                <w:sz w:val="23"/>
                <w:szCs w:val="23"/>
                <w:color w:val="auto"/>
              </w:rPr>
            </w:pPr>
          </w:p>
        </w:tc>
        <w:tc>
          <w:tcPr>
            <w:tcW w:w="2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340" w:type="dxa"/>
            <w:vAlign w:val="bottom"/>
            <w:tcBorders>
              <w:top w:val="single" w:sz="8" w:color="auto"/>
              <w:bottom w:val="single" w:sz="8" w:color="auto"/>
            </w:tcBorders>
          </w:tcPr>
          <w:p>
            <w:pPr>
              <w:spacing w:after="0" w:line="20" w:lineRule="exact"/>
              <w:rPr>
                <w:sz w:val="1"/>
                <w:szCs w:val="1"/>
                <w:color w:val="auto"/>
              </w:rPr>
            </w:pPr>
          </w:p>
        </w:tc>
      </w:tr>
    </w:tbl>
    <w:p>
      <w:pPr>
        <w:spacing w:after="0" w:line="2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 percentages shown in the table may not foot due to rounding.</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 – Adjusted EBITDA</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Adjusted EBITDA is a supplemental financial measure that is not required by, or presented in accordance with U.S. GAAP. We believe that Adjusted EBITDA, when taken together with our U.S. GAAP financial results, provides meaningful supplemental information regarding our operating performance and facilitates internal comparisons of our historical operating performance on a more consistent basis by excluding certain items that may not be indicative of our business, results of operations or outlook. In particular, we believe that the use of Adjusted EBITDA is helpful to our investors as it is a measure used by management in assessing the health of our business, determining incentive compensation, evaluating our operating performance, and for internal planning and forecasting purposes.</w:t>
      </w:r>
    </w:p>
    <w:p>
      <w:pPr>
        <w:spacing w:after="0" w:line="18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Adjusted EBITDA is presented for supplemental informational purposes only, has limitations as an analytical tool and should not be considered in isolation or as a substitute for financial information presented in accordance with U.S. GAAP. Some of the limitations of Adjusted EBITDA include: (1) it does not properly reflect capital commitments to be paid in the future; (2) although depreciation and amortization are non-cash charges, the underlying assets may need to be replaced and Adjusted EBITDA does not reflect these capital expenditures; (3) it does not consider the impact of stock-based compensation expense; (4) it does not reflect other non-operating income and expenses, including interest and other income, net; and (5) it does not reflect tax payments that may represent a reduction in cash available to us. In addition, our Adjusted EBITDA may not be comparable to similarly titled measures of other companies because they may not calculate Adjusted EBITDA in the same manner as we calculate the measure, limiting its usefulness as a comparative measure. Because of these limitations, when evaluating our performance, you should consider Adjusted EBITDA alongside other financial performance measures, including our net income, gross margin, and other U.S. GAAP results.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calculate Adjusted EBITDA as net income, adjusted to exclude depreciation and amortization, stock-based compensation expense, interest and other income, net, and provision for income taxes. The following table presents a reconciliation of Adjusted EBITDA to net income, the most directly comparable financial measure stated in accordance with U.S. GAAP, for each of the periods indicated: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spacing w:after="0" w:line="19" w:lineRule="exact"/>
        <w:rPr>
          <w:sz w:val="20"/>
          <w:szCs w:val="20"/>
          <w:color w:val="auto"/>
        </w:rPr>
      </w:pPr>
    </w:p>
    <w:p>
      <w:pPr>
        <w:jc w:val="center"/>
        <w:ind w:left="662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4213860</wp:posOffset>
            </wp:positionH>
            <wp:positionV relativeFrom="paragraph">
              <wp:posOffset>22225</wp:posOffset>
            </wp:positionV>
            <wp:extent cx="292290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40" w:type="dxa"/>
            <w:vAlign w:val="bottom"/>
          </w:tcPr>
          <w:p>
            <w:pPr>
              <w:spacing w:after="0"/>
              <w:rPr>
                <w:sz w:val="16"/>
                <w:szCs w:val="16"/>
                <w:color w:val="auto"/>
              </w:rPr>
            </w:pPr>
          </w:p>
        </w:tc>
        <w:tc>
          <w:tcPr>
            <w:tcW w:w="1480" w:type="dxa"/>
            <w:vAlign w:val="bottom"/>
          </w:tcPr>
          <w:p>
            <w:pPr>
              <w:jc w:val="right"/>
              <w:ind w:right="136"/>
              <w:spacing w:after="0"/>
              <w:rPr>
                <w:sz w:val="20"/>
                <w:szCs w:val="20"/>
                <w:color w:val="auto"/>
              </w:rPr>
            </w:pPr>
            <w:r>
              <w:rPr>
                <w:rFonts w:ascii="Times New Roman" w:cs="Times New Roman" w:eastAsia="Times New Roman" w:hAnsi="Times New Roman"/>
                <w:sz w:val="14"/>
                <w:szCs w:val="14"/>
                <w:b w:val="1"/>
                <w:bCs w:val="1"/>
                <w:color w:val="auto"/>
              </w:rPr>
              <w:t>2026</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560" w:type="dxa"/>
            <w:vAlign w:val="bottom"/>
          </w:tcPr>
          <w:p>
            <w:pPr>
              <w:jc w:val="right"/>
              <w:ind w:right="89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66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26"/>
        </w:trPr>
        <w:tc>
          <w:tcPr>
            <w:tcW w:w="664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560" w:type="dxa"/>
            <w:vAlign w:val="bottom"/>
            <w:gridSpan w:val="3"/>
          </w:tcPr>
          <w:p>
            <w:pPr>
              <w:jc w:val="right"/>
              <w:ind w:right="2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560" w:type="dxa"/>
            <w:vAlign w:val="bottom"/>
          </w:tcPr>
          <w:p>
            <w:pPr>
              <w:spacing w:after="0"/>
              <w:rPr>
                <w:sz w:val="19"/>
                <w:szCs w:val="19"/>
                <w:color w:val="auto"/>
              </w:rPr>
            </w:pPr>
          </w:p>
        </w:tc>
      </w:tr>
      <w:tr>
        <w:trPr>
          <w:trHeight w:val="23"/>
        </w:trPr>
        <w:tc>
          <w:tcPr>
            <w:tcW w:w="66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57"/>
        </w:trPr>
        <w:tc>
          <w:tcPr>
            <w:tcW w:w="6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480" w:type="dxa"/>
            <w:vAlign w:val="bottom"/>
            <w:shd w:val="clear" w:color="auto" w:fill="CCEEFF"/>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24,232</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15,059</w:t>
            </w:r>
          </w:p>
        </w:tc>
      </w:tr>
      <w:tr>
        <w:trPr>
          <w:trHeight w:val="250"/>
        </w:trPr>
        <w:tc>
          <w:tcPr>
            <w:tcW w:w="6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14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560" w:type="dxa"/>
            <w:vAlign w:val="bottom"/>
          </w:tcPr>
          <w:p>
            <w:pPr>
              <w:spacing w:after="0"/>
              <w:rPr>
                <w:sz w:val="21"/>
                <w:szCs w:val="21"/>
                <w:color w:val="auto"/>
              </w:rPr>
            </w:pPr>
          </w:p>
        </w:tc>
      </w:tr>
      <w:tr>
        <w:trPr>
          <w:trHeight w:val="263"/>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1,483</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1,108</w:t>
            </w:r>
          </w:p>
        </w:tc>
      </w:tr>
      <w:tr>
        <w:trPr>
          <w:trHeight w:val="257"/>
        </w:trPr>
        <w:tc>
          <w:tcPr>
            <w:tcW w:w="664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rPr>
              <w:t>Stock</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based compensation expense</w:t>
            </w:r>
          </w:p>
        </w:tc>
        <w:tc>
          <w:tcPr>
            <w:tcW w:w="1480" w:type="dxa"/>
            <w:vAlign w:val="bottom"/>
          </w:tcPr>
          <w:p>
            <w:pPr>
              <w:spacing w:after="0"/>
              <w:rPr>
                <w:sz w:val="22"/>
                <w:szCs w:val="2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19,721</w:t>
            </w:r>
          </w:p>
        </w:tc>
        <w:tc>
          <w:tcPr>
            <w:tcW w:w="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32,512</w:t>
            </w:r>
          </w:p>
        </w:tc>
      </w:tr>
      <w:tr>
        <w:trPr>
          <w:trHeight w:val="256"/>
        </w:trPr>
        <w:tc>
          <w:tcPr>
            <w:tcW w:w="6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Interest and other income, net</w:t>
            </w:r>
          </w:p>
        </w:tc>
        <w:tc>
          <w:tcPr>
            <w:tcW w:w="1480" w:type="dxa"/>
            <w:vAlign w:val="bottom"/>
            <w:shd w:val="clear" w:color="auto" w:fill="CCEEFF"/>
          </w:tcPr>
          <w:p>
            <w:pPr>
              <w:spacing w:after="0"/>
              <w:rPr>
                <w:sz w:val="22"/>
                <w:szCs w:val="22"/>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(1,504)</w:t>
            </w:r>
          </w:p>
        </w:tc>
        <w:tc>
          <w:tcPr>
            <w:tcW w:w="80" w:type="dxa"/>
            <w:vAlign w:val="bottom"/>
            <w:shd w:val="clear" w:color="auto" w:fill="CCEEFF"/>
          </w:tcPr>
          <w:p>
            <w:pPr>
              <w:spacing w:after="0"/>
              <w:rPr>
                <w:sz w:val="22"/>
                <w:szCs w:val="22"/>
                <w:color w:val="auto"/>
              </w:rPr>
            </w:pPr>
          </w:p>
        </w:tc>
        <w:tc>
          <w:tcPr>
            <w:tcW w:w="700" w:type="dxa"/>
            <w:vAlign w:val="bottom"/>
            <w:shd w:val="clear" w:color="auto" w:fill="CCEEFF"/>
          </w:tcPr>
          <w:p>
            <w:pPr>
              <w:spacing w:after="0"/>
              <w:rPr>
                <w:sz w:val="22"/>
                <w:szCs w:val="22"/>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r>
      <w:tr>
        <w:trPr>
          <w:trHeight w:val="250"/>
        </w:trPr>
        <w:tc>
          <w:tcPr>
            <w:tcW w:w="664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12,651</w:t>
            </w:r>
          </w:p>
        </w:tc>
        <w:tc>
          <w:tcPr>
            <w:tcW w:w="80" w:type="dxa"/>
            <w:vAlign w:val="bottom"/>
            <w:tcBorders>
              <w:bottom w:val="single" w:sz="8" w:color="CCEEFF"/>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11,478</w:t>
            </w:r>
          </w:p>
        </w:tc>
      </w:tr>
      <w:tr>
        <w:trPr>
          <w:trHeight w:val="282"/>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1480" w:type="dxa"/>
            <w:vAlign w:val="bottom"/>
            <w:tcBorders>
              <w:bottom w:val="single" w:sz="8" w:color="auto"/>
            </w:tcBorders>
            <w:shd w:val="clear" w:color="auto" w:fill="CCEEFF"/>
          </w:tcPr>
          <w:p>
            <w:pPr>
              <w:jc w:val="right"/>
              <w:ind w:right="129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56,583</w:t>
            </w:r>
          </w:p>
        </w:tc>
        <w:tc>
          <w:tcPr>
            <w:tcW w:w="80" w:type="dxa"/>
            <w:vAlign w:val="bottom"/>
            <w:tcBorders>
              <w:bottom w:val="single" w:sz="8" w:color="CCEEFF"/>
            </w:tcBorders>
            <w:shd w:val="clear" w:color="auto" w:fill="CCEEFF"/>
          </w:tcPr>
          <w:p>
            <w:pPr>
              <w:spacing w:after="0"/>
              <w:rPr>
                <w:sz w:val="24"/>
                <w:szCs w:val="24"/>
                <w:color w:val="auto"/>
              </w:rPr>
            </w:pPr>
          </w:p>
        </w:tc>
        <w:tc>
          <w:tcPr>
            <w:tcW w:w="70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57,790</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Comparison of Three Months Ended March 31, 2026 and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00" w:type="dxa"/>
            <w:vAlign w:val="bottom"/>
            <w:gridSpan w:val="3"/>
          </w:tcPr>
          <w:p>
            <w:pPr>
              <w:jc w:val="center"/>
              <w:ind w:left="98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$328,504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$324,038</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2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Revenue increased by $4.5 million, or 1%, for the three months ended March 31, 2026 compared to the three months ended March 31, 2025. This increase is primarily due to a $3.0 million, or 1%, increase in revenue from our fertility benefits solution and a $1.5 million, or 1%, increase in revenue from our Progyny Rx solution. The increase in revenue from our fertility benefits solution and Progyny Rx solution was primarily due to the increase in the number of clients and covered lives, largely offset by the impact of the previously disclosed large client who did not renew its services for 2025 but provided an extended transition period over the first half of 2025 for members meeting certain criteria.</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Services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40" w:type="dxa"/>
            <w:vAlign w:val="bottom"/>
          </w:tcPr>
          <w:p>
            <w:pPr>
              <w:spacing w:after="0"/>
              <w:rPr>
                <w:sz w:val="16"/>
                <w:szCs w:val="16"/>
                <w:color w:val="auto"/>
              </w:rPr>
            </w:pPr>
          </w:p>
        </w:tc>
        <w:tc>
          <w:tcPr>
            <w:tcW w:w="2000" w:type="dxa"/>
            <w:vAlign w:val="bottom"/>
            <w:gridSpan w:val="3"/>
          </w:tcPr>
          <w:p>
            <w:pPr>
              <w:jc w:val="center"/>
              <w:ind w:left="98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4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4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services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$245,433</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$248,243</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Cost of services decreased by $2.8 million, or 1%, for the three months ended March 31, 2026 compared to the three months ended March 31, 2025. This decrease was primarily due to a reduction in medical treatment and pharmacy prescription costs associated with fertility treatments delivered driven by the previously disclosed large client who did not renew its services for 2025 but provided an extended transition period over the first half of 2025 for members meeting certain criteria. This decrease in cost of services was also attributable to a decrease in personnel-related costs, which was partially offset by an increase in other related costs of services. The decrease in personnel-related costs was due to a $3.1 million decrease in stock-based compensation expense, partially offset by higher costs attributable to incremental head 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280" w:type="dxa"/>
            <w:vAlign w:val="bottom"/>
          </w:tcPr>
          <w:p>
            <w:pPr>
              <w:spacing w:after="0"/>
              <w:rPr>
                <w:sz w:val="14"/>
                <w:szCs w:val="14"/>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280" w:type="dxa"/>
            <w:vAlign w:val="bottom"/>
          </w:tcPr>
          <w:p>
            <w:pPr>
              <w:spacing w:after="0"/>
              <w:rPr>
                <w:sz w:val="16"/>
                <w:szCs w:val="16"/>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280" w:type="dxa"/>
            <w:vAlign w:val="bottom"/>
          </w:tcPr>
          <w:p>
            <w:pPr>
              <w:spacing w:after="0"/>
              <w:rPr>
                <w:sz w:val="16"/>
                <w:szCs w:val="16"/>
                <w:color w:val="auto"/>
              </w:rPr>
            </w:pPr>
          </w:p>
        </w:tc>
        <w:tc>
          <w:tcPr>
            <w:tcW w:w="1580" w:type="dxa"/>
            <w:vAlign w:val="bottom"/>
          </w:tcPr>
          <w:p>
            <w:pPr>
              <w:jc w:val="right"/>
              <w:ind w:right="562"/>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60" w:type="dxa"/>
            <w:vAlign w:val="bottom"/>
          </w:tcPr>
          <w:p>
            <w:pPr>
              <w:jc w:val="right"/>
              <w:ind w:right="576"/>
              <w:spacing w:after="0"/>
              <w:rPr>
                <w:sz w:val="20"/>
                <w:szCs w:val="20"/>
                <w:color w:val="auto"/>
              </w:rPr>
            </w:pPr>
            <w:r>
              <w:rPr>
                <w:rFonts w:ascii="Times New Roman" w:cs="Times New Roman" w:eastAsia="Times New Roman" w:hAnsi="Times New Roman"/>
                <w:sz w:val="14"/>
                <w:szCs w:val="14"/>
                <w:b w:val="1"/>
                <w:bCs w:val="1"/>
                <w:color w:val="auto"/>
                <w:w w:val="99"/>
              </w:rPr>
              <w:t>2025</w:t>
            </w:r>
          </w:p>
        </w:tc>
        <w:tc>
          <w:tcPr>
            <w:tcW w:w="80" w:type="dxa"/>
            <w:vAlign w:val="bottom"/>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280" w:type="dxa"/>
            <w:vAlign w:val="bottom"/>
          </w:tcPr>
          <w:p>
            <w:pPr>
              <w:spacing w:after="0"/>
              <w:rPr>
                <w:sz w:val="23"/>
                <w:szCs w:val="23"/>
                <w:color w:val="auto"/>
              </w:rPr>
            </w:pPr>
          </w:p>
        </w:tc>
        <w:tc>
          <w:tcPr>
            <w:tcW w:w="2320" w:type="dxa"/>
            <w:vAlign w:val="bottom"/>
            <w:gridSpan w:val="3"/>
          </w:tcPr>
          <w:p>
            <w:pPr>
              <w:jc w:val="center"/>
              <w:ind w:left="862"/>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9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28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1580" w:type="dxa"/>
            <w:vAlign w:val="bottom"/>
            <w:shd w:val="clear" w:color="auto" w:fill="CCEEFF"/>
          </w:tcPr>
          <w:p>
            <w:pPr>
              <w:jc w:val="right"/>
              <w:ind w:right="142"/>
              <w:spacing w:after="0"/>
              <w:rPr>
                <w:sz w:val="20"/>
                <w:szCs w:val="20"/>
                <w:color w:val="auto"/>
              </w:rPr>
            </w:pPr>
            <w:r>
              <w:rPr>
                <w:rFonts w:ascii="Times New Roman" w:cs="Times New Roman" w:eastAsia="Times New Roman" w:hAnsi="Times New Roman"/>
                <w:sz w:val="18"/>
                <w:szCs w:val="18"/>
                <w:color w:val="auto"/>
              </w:rPr>
              <w:t>$83,071</w:t>
            </w:r>
          </w:p>
        </w:tc>
        <w:tc>
          <w:tcPr>
            <w:tcW w:w="100" w:type="dxa"/>
            <w:vAlign w:val="bottom"/>
            <w:shd w:val="clear" w:color="auto" w:fill="CCEEFF"/>
          </w:tcPr>
          <w:p>
            <w:pPr>
              <w:spacing w:after="0"/>
              <w:rPr>
                <w:sz w:val="22"/>
                <w:szCs w:val="22"/>
                <w:color w:val="auto"/>
              </w:rPr>
            </w:pPr>
          </w:p>
        </w:tc>
        <w:tc>
          <w:tcPr>
            <w:tcW w:w="64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136"/>
              <w:spacing w:after="0"/>
              <w:rPr>
                <w:sz w:val="20"/>
                <w:szCs w:val="20"/>
                <w:color w:val="auto"/>
              </w:rPr>
            </w:pPr>
            <w:r>
              <w:rPr>
                <w:rFonts w:ascii="Times New Roman" w:cs="Times New Roman" w:eastAsia="Times New Roman" w:hAnsi="Times New Roman"/>
                <w:sz w:val="18"/>
                <w:szCs w:val="18"/>
                <w:color w:val="auto"/>
              </w:rPr>
              <w:t>$75,795</w:t>
            </w:r>
          </w:p>
        </w:tc>
        <w:tc>
          <w:tcPr>
            <w:tcW w:w="80" w:type="dxa"/>
            <w:vAlign w:val="bottom"/>
            <w:shd w:val="clear" w:color="auto" w:fill="CCEEFF"/>
          </w:tcPr>
          <w:p>
            <w:pPr>
              <w:spacing w:after="0"/>
              <w:rPr>
                <w:sz w:val="22"/>
                <w:szCs w:val="22"/>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43"/>
        </w:trPr>
        <w:tc>
          <w:tcPr>
            <w:tcW w:w="6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Gross margin</w:t>
            </w: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8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Gross profit increased by $7.3 million, or 10%, for the three months ended March 31, 2026 compared to the three months ended March 31, 2025.</w:t>
      </w:r>
    </w:p>
    <w:p>
      <w:pPr>
        <w:spacing w:after="0" w:line="131"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Gross margin increased 190 basis points for the three months ended March 31, 2026 compared to the three months ended March 31, 2025, primarily due to ongoing efficiencies realized in the delivery of our care management services as well as a decrease in stock-based compensation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4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40" w:type="dxa"/>
            <w:vAlign w:val="bottom"/>
          </w:tcPr>
          <w:p>
            <w:pPr>
              <w:spacing w:after="0"/>
              <w:rPr>
                <w:sz w:val="16"/>
                <w:szCs w:val="16"/>
                <w:color w:val="auto"/>
              </w:rPr>
            </w:pPr>
          </w:p>
        </w:tc>
        <w:tc>
          <w:tcPr>
            <w:tcW w:w="2000" w:type="dxa"/>
            <w:vAlign w:val="bottom"/>
            <w:gridSpan w:val="3"/>
          </w:tcPr>
          <w:p>
            <w:pPr>
              <w:jc w:val="center"/>
              <w:ind w:left="98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4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4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$16,884</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$17,786</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Sales and marketing expense decreased by $0.9 million, or 5%, for the three months ended March 31, 2026 compared to the three months ended March 31, 2025. This decrease was primarily due to a $1.2 million decrease in personnel-related costs, partially offset by a $0.3 million increase in other related sales and marketing expenses. The decrease in personnel-related costs was due to a $2.3 million decrease in stock-based compensation expense, partially offset by higher costs attributable to incremental head count.</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1980" w:type="dxa"/>
            <w:vAlign w:val="bottom"/>
            <w:gridSpan w:val="3"/>
          </w:tcPr>
          <w:p>
            <w:pPr>
              <w:jc w:val="center"/>
              <w:ind w:left="96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60" w:type="dxa"/>
            <w:vAlign w:val="bottom"/>
          </w:tcPr>
          <w:p>
            <w:pPr>
              <w:spacing w:after="0"/>
              <w:rPr>
                <w:sz w:val="16"/>
                <w:szCs w:val="16"/>
                <w:color w:val="auto"/>
              </w:rPr>
            </w:pPr>
          </w:p>
        </w:tc>
        <w:tc>
          <w:tcPr>
            <w:tcW w:w="1460" w:type="dxa"/>
            <w:vAlign w:val="bottom"/>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60" w:type="dxa"/>
            <w:vAlign w:val="bottom"/>
          </w:tcPr>
          <w:p>
            <w:pPr>
              <w:spacing w:after="0"/>
              <w:rPr>
                <w:sz w:val="23"/>
                <w:szCs w:val="23"/>
                <w:color w:val="auto"/>
              </w:rPr>
            </w:pPr>
          </w:p>
        </w:tc>
        <w:tc>
          <w:tcPr>
            <w:tcW w:w="3120" w:type="dxa"/>
            <w:vAlign w:val="bottom"/>
            <w:gridSpan w:val="5"/>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$30,808</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$33,839</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 decreased by $3.0 million, or 9%, for the three months ended March 31, 2026 compared to the three months ended March 31, 2025. This decrease was primarily due to a $4.7 million decrease in personnel-related costs and a $1.2 million decrease in bad debt expense, partially offset by a $2.9 million increase in other related general and administrative expenses. The decrease in personnel-related costs was due to a $7.3 million decrease in stock-based compensation expense, partially offset by higher costs attributable to incremental head count. The decrease in stock-based compensation expense was driven by the November 2021 retention equity grant which became fully vested in late 2025 and therefore is no longer contributing to the expense in 2026.</w:t>
      </w: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and Other Income, Net</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60" w:type="dxa"/>
            <w:vAlign w:val="bottom"/>
          </w:tcPr>
          <w:p>
            <w:pPr>
              <w:spacing w:after="0"/>
              <w:rPr>
                <w:sz w:val="14"/>
                <w:szCs w:val="14"/>
                <w:color w:val="auto"/>
              </w:rPr>
            </w:pPr>
          </w:p>
        </w:tc>
        <w:tc>
          <w:tcPr>
            <w:tcW w:w="2440" w:type="dxa"/>
            <w:vAlign w:val="bottom"/>
            <w:gridSpan w:val="4"/>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56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vMerge w:val="restart"/>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734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15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60" w:type="dxa"/>
            <w:vAlign w:val="bottom"/>
          </w:tcPr>
          <w:p>
            <w:pPr>
              <w:spacing w:after="0"/>
              <w:rPr>
                <w:sz w:val="23"/>
                <w:szCs w:val="23"/>
                <w:color w:val="auto"/>
              </w:rPr>
            </w:pPr>
          </w:p>
        </w:tc>
        <w:tc>
          <w:tcPr>
            <w:tcW w:w="2440" w:type="dxa"/>
            <w:vAlign w:val="bottom"/>
            <w:gridSpan w:val="4"/>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6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340" w:type="dxa"/>
            <w:vAlign w:val="bottom"/>
            <w:gridSpan w:val="2"/>
            <w:shd w:val="clear" w:color="auto" w:fill="CCEEFF"/>
          </w:tcPr>
          <w:p>
            <w:pPr>
              <w:jc w:val="right"/>
              <w:ind w:right="5108"/>
              <w:spacing w:after="0"/>
              <w:rPr>
                <w:sz w:val="20"/>
                <w:szCs w:val="20"/>
                <w:color w:val="auto"/>
              </w:rPr>
            </w:pPr>
            <w:r>
              <w:rPr>
                <w:rFonts w:ascii="Times New Roman" w:cs="Times New Roman" w:eastAsia="Times New Roman" w:hAnsi="Times New Roman"/>
                <w:sz w:val="18"/>
                <w:szCs w:val="18"/>
                <w:color w:val="auto"/>
                <w:w w:val="99"/>
              </w:rPr>
              <w:t>Interest and other income, net</w:t>
            </w:r>
          </w:p>
        </w:tc>
        <w:tc>
          <w:tcPr>
            <w:tcW w:w="5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8"/>
                <w:szCs w:val="18"/>
                <w:color w:val="auto"/>
                <w:w w:val="96"/>
              </w:rPr>
              <w:t>$1,504</w:t>
            </w:r>
          </w:p>
        </w:tc>
        <w:tc>
          <w:tcPr>
            <w:tcW w:w="1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$2,367</w:t>
            </w:r>
          </w:p>
        </w:tc>
        <w:tc>
          <w:tcPr>
            <w:tcW w:w="100" w:type="dxa"/>
            <w:vAlign w:val="bottom"/>
            <w:shd w:val="clear" w:color="auto" w:fill="CCEEFF"/>
          </w:tcPr>
          <w:p>
            <w:pPr>
              <w:spacing w:after="0"/>
              <w:rPr>
                <w:sz w:val="22"/>
                <w:szCs w:val="22"/>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and other income, net decreased by $0.9 million, or 36% for the three months ended March 31, 2026 compared to the three months ended March 31, 2025. This decrease was primarily due to a decrease in interest income and an increase in interest expense.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Provision for Income Taxes</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6480" w:type="dxa"/>
            <w:vAlign w:val="bottom"/>
          </w:tcPr>
          <w:p>
            <w:pPr>
              <w:spacing w:after="0"/>
              <w:rPr>
                <w:sz w:val="14"/>
                <w:szCs w:val="14"/>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6480" w:type="dxa"/>
            <w:vAlign w:val="bottom"/>
          </w:tcPr>
          <w:p>
            <w:pPr>
              <w:spacing w:after="0"/>
              <w:rPr>
                <w:sz w:val="16"/>
                <w:szCs w:val="16"/>
                <w:color w:val="auto"/>
              </w:rPr>
            </w:pPr>
          </w:p>
        </w:tc>
        <w:tc>
          <w:tcPr>
            <w:tcW w:w="2000" w:type="dxa"/>
            <w:vAlign w:val="bottom"/>
            <w:gridSpan w:val="3"/>
          </w:tcPr>
          <w:p>
            <w:pPr>
              <w:jc w:val="center"/>
              <w:ind w:left="984"/>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vMerge w:val="restart"/>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 Change</w:t>
            </w:r>
          </w:p>
        </w:tc>
        <w:tc>
          <w:tcPr>
            <w:tcW w:w="0" w:type="dxa"/>
            <w:vAlign w:val="bottom"/>
          </w:tcPr>
          <w:p>
            <w:pPr>
              <w:spacing w:after="0"/>
              <w:rPr>
                <w:sz w:val="1"/>
                <w:szCs w:val="1"/>
                <w:color w:val="auto"/>
              </w:rPr>
            </w:pPr>
          </w:p>
        </w:tc>
      </w:tr>
      <w:tr>
        <w:trPr>
          <w:trHeight w:val="186"/>
        </w:trPr>
        <w:tc>
          <w:tcPr>
            <w:tcW w:w="6480" w:type="dxa"/>
            <w:vAlign w:val="bottom"/>
          </w:tcPr>
          <w:p>
            <w:pPr>
              <w:spacing w:after="0"/>
              <w:rPr>
                <w:sz w:val="16"/>
                <w:szCs w:val="16"/>
                <w:color w:val="auto"/>
              </w:rPr>
            </w:pPr>
          </w:p>
        </w:tc>
        <w:tc>
          <w:tcPr>
            <w:tcW w:w="1480" w:type="dxa"/>
            <w:vAlign w:val="bottom"/>
          </w:tcPr>
          <w:p>
            <w:pPr>
              <w:jc w:val="right"/>
              <w:ind w:right="524"/>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Pr>
          <w:p>
            <w:pPr>
              <w:spacing w:after="0"/>
              <w:rPr>
                <w:sz w:val="16"/>
                <w:szCs w:val="16"/>
                <w:color w:val="auto"/>
              </w:rPr>
            </w:pPr>
          </w:p>
        </w:tc>
        <w:tc>
          <w:tcPr>
            <w:tcW w:w="16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7"/>
        </w:trPr>
        <w:tc>
          <w:tcPr>
            <w:tcW w:w="6480" w:type="dxa"/>
            <w:vAlign w:val="bottom"/>
          </w:tcPr>
          <w:p>
            <w:pPr>
              <w:spacing w:after="0"/>
              <w:rPr>
                <w:sz w:val="23"/>
                <w:szCs w:val="23"/>
                <w:color w:val="auto"/>
              </w:rPr>
            </w:pPr>
          </w:p>
        </w:tc>
        <w:tc>
          <w:tcPr>
            <w:tcW w:w="3140" w:type="dxa"/>
            <w:vAlign w:val="bottom"/>
            <w:gridSpan w:val="5"/>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6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
        </w:trPr>
        <w:tc>
          <w:tcPr>
            <w:tcW w:w="64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8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8"/>
                <w:szCs w:val="18"/>
                <w:color w:val="auto"/>
              </w:rPr>
              <w:t>$12,651</w:t>
            </w:r>
          </w:p>
        </w:tc>
        <w:tc>
          <w:tcPr>
            <w:tcW w:w="1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$11,478</w:t>
            </w:r>
          </w:p>
        </w:tc>
        <w:tc>
          <w:tcPr>
            <w:tcW w:w="100" w:type="dxa"/>
            <w:vAlign w:val="bottom"/>
            <w:shd w:val="clear" w:color="auto" w:fill="CCEEFF"/>
          </w:tcPr>
          <w:p>
            <w:pPr>
              <w:spacing w:after="0"/>
              <w:rPr>
                <w:sz w:val="22"/>
                <w:szCs w:val="22"/>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Provision for income taxes increased by $1.2 million, or 10%, for the three months ended March 31, 2026 compared to the three months ended March 31, 2025. This increase was primarily due to higher operating profit, partially offset by a decrease in tax deficiencies related to stock-based compensation.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As of March 31, 2026, we had $131.6 million of cash and cash equivalents and $93.5 million of marketable securities. We have financed our operations primarily through cash generated from the sales of our solutions. Our cash and cash equivalents and working capital are affected by the timing of payments to third party providers and collections from clients and have increased as our revenue has increased. In particular, during the ramp up and onboarding of new clients who typically begin their benefits plan year as of January 1</w:t>
      </w:r>
      <w:r>
        <w:rPr>
          <w:rFonts w:ascii="Times New Roman" w:cs="Times New Roman" w:eastAsia="Times New Roman" w:hAnsi="Times New Roman"/>
          <w:sz w:val="23"/>
          <w:szCs w:val="23"/>
          <w:color w:val="auto"/>
          <w:vertAlign w:val="superscript"/>
        </w:rPr>
        <w:t>st</w:t>
      </w:r>
      <w:r>
        <w:rPr>
          <w:rFonts w:ascii="Times New Roman" w:cs="Times New Roman" w:eastAsia="Times New Roman" w:hAnsi="Times New Roman"/>
          <w:sz w:val="18"/>
          <w:szCs w:val="18"/>
          <w:color w:val="auto"/>
        </w:rPr>
        <w:t>, our accounts receivable has historically increased more than our accounts payable, accrued expenses and other current liabilities in the early part of each calendar year. Historically, these timing impacts have reversed throughout the remainder of the fiscal year. Accordingly, our working capital, and its impact on cash flow from operations, can fluctuate materially from period to period.</w:t>
      </w:r>
    </w:p>
    <w:p>
      <w:pPr>
        <w:spacing w:after="0" w:line="19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On July 1, 2025, we entered into a revolving credit facility (the “Facility”) pursuant to a Credit Agreement (the “Credit Agreement”) with the lenders and issuing banks, party thereto and JPMorgan Chase Bank, N.A., as administrative agent, collateral agent, and swingline lender. The Credit Agreement makes available a maximum aggregate amount of $200 million, subject to customary borrowing conditions, until its maturity on July 1, 2030. We are in compliance with all financial covenants under the Credit Agreement as of March 31, 2026. As of the date of this filing, no amounts were drawn under the Facility. Refer to Note 6 to the Consolidated Financial Statements included in this Quarterly Report on Form 10-Q for additional information.</w:t>
      </w:r>
    </w:p>
    <w:p>
      <w:pPr>
        <w:spacing w:after="0" w:line="170"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We believe that our existing cash and cash equivalents, including the proceeds from our marketable securities, cash flow from operations, and the availability of funds under the Facility will be sufficient to support working capital and capital expenditure requirements for at least the next 12 months. We also expect these sources of existing cash and cash equivalents will be sufficient to fund our long-term contractual obligations and capital needs. However, this is subject, to a certain extent, to general economic, financial, competitive, regulatory, and other factors that are beyond our control. Moreover, our future capital requirements will depend on many factors, including sales of our solutions and client renewals, the timing and the amount of cash received from clients, the amount of capital investment necessary to support our benefits offerings and growth strategy, the expansion of our sales and marketing activities and the continuing market adoption of our solutions. In addition, we may enter into arrangements to acquire or invest in complementary businesses, products, and technologies.</w:t>
      </w:r>
    </w:p>
    <w:p>
      <w:pPr>
        <w:spacing w:after="0" w:line="2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may, in the future, be required to seek additional equity or debt financing. In the event that we require additional financing, we may not be able to raise such financing on terms acceptable to us or at all. If we are unable to raise additional capital or generate cash flows necessary to expand our operations and invest in continued innovation, we may not be able to compete successfully, which would harm our business, operations and financial condition.</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following table summarizes our cash flows from operations for the periods presented:</w:t>
      </w:r>
    </w:p>
    <w:p>
      <w:pPr>
        <w:spacing w:after="0" w:line="251" w:lineRule="exact"/>
        <w:rPr>
          <w:sz w:val="20"/>
          <w:szCs w:val="20"/>
          <w:color w:val="auto"/>
        </w:rPr>
      </w:pP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8160"/>
        <w:spacing w:after="0"/>
        <w:rPr>
          <w:sz w:val="20"/>
          <w:szCs w:val="20"/>
          <w:color w:val="auto"/>
        </w:rPr>
      </w:pPr>
      <w:r>
        <w:rPr>
          <w:rFonts w:ascii="Times New Roman" w:cs="Times New Roman" w:eastAsia="Times New Roman" w:hAnsi="Times New Roman"/>
          <w:sz w:val="14"/>
          <w:szCs w:val="14"/>
          <w:b w:val="1"/>
          <w:bCs w:val="1"/>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5191125</wp:posOffset>
            </wp:positionH>
            <wp:positionV relativeFrom="paragraph">
              <wp:posOffset>22225</wp:posOffset>
            </wp:positionV>
            <wp:extent cx="194564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945640" cy="8255"/>
                    </a:xfrm>
                    <a:prstGeom prst="rect">
                      <a:avLst/>
                    </a:prstGeom>
                    <a:noFill/>
                  </pic:spPr>
                </pic:pic>
              </a:graphicData>
            </a:graphic>
          </wp:anchor>
        </w:drawing>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0" w:type="dxa"/>
            <w:vAlign w:val="bottom"/>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2025</w:t>
            </w:r>
          </w:p>
        </w:tc>
      </w:tr>
      <w:tr>
        <w:trPr>
          <w:trHeight w:val="23"/>
        </w:trPr>
        <w:tc>
          <w:tcPr>
            <w:tcW w:w="81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7"/>
        </w:trPr>
        <w:tc>
          <w:tcPr>
            <w:tcW w:w="81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72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000" w:type="dxa"/>
            <w:vAlign w:val="bottom"/>
          </w:tcPr>
          <w:p>
            <w:pPr>
              <w:spacing w:after="0"/>
              <w:rPr>
                <w:sz w:val="23"/>
                <w:szCs w:val="23"/>
                <w:color w:val="auto"/>
              </w:rPr>
            </w:pPr>
          </w:p>
        </w:tc>
      </w:tr>
      <w:tr>
        <w:trPr>
          <w:trHeight w:val="23"/>
        </w:trPr>
        <w:tc>
          <w:tcPr>
            <w:tcW w:w="81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7"/>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provided by operating activities</w:t>
            </w:r>
          </w:p>
        </w:tc>
        <w:tc>
          <w:tcPr>
            <w:tcW w:w="340" w:type="dxa"/>
            <w:vAlign w:val="bottom"/>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45,949</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49,808</w:t>
            </w:r>
          </w:p>
        </w:tc>
      </w:tr>
      <w:tr>
        <w:trPr>
          <w:trHeight w:val="250"/>
        </w:trPr>
        <w:tc>
          <w:tcPr>
            <w:tcW w:w="8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provided by (used in) investing activities</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96,594</w:t>
            </w:r>
          </w:p>
        </w:tc>
        <w:tc>
          <w:tcPr>
            <w:tcW w:w="1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(94,610)</w:t>
            </w:r>
          </w:p>
        </w:tc>
      </w:tr>
      <w:tr>
        <w:trPr>
          <w:trHeight w:val="263"/>
        </w:trPr>
        <w:tc>
          <w:tcPr>
            <w:tcW w:w="8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used in financing activities</w:t>
            </w:r>
          </w:p>
        </w:tc>
        <w:tc>
          <w:tcPr>
            <w:tcW w:w="34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(123,114)</w:t>
            </w:r>
          </w:p>
        </w:tc>
        <w:tc>
          <w:tcPr>
            <w:tcW w:w="100" w:type="dxa"/>
            <w:vAlign w:val="bottom"/>
            <w:shd w:val="clear" w:color="auto" w:fill="CCEEFF"/>
          </w:tcPr>
          <w:p>
            <w:pPr>
              <w:spacing w:after="0"/>
              <w:rPr>
                <w:sz w:val="22"/>
                <w:szCs w:val="22"/>
                <w:color w:val="auto"/>
              </w:rPr>
            </w:pPr>
          </w:p>
        </w:tc>
        <w:tc>
          <w:tcPr>
            <w:tcW w:w="48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(3,288)</w:t>
            </w:r>
          </w:p>
        </w:tc>
      </w:tr>
      <w:tr>
        <w:trPr>
          <w:trHeight w:val="250"/>
        </w:trPr>
        <w:tc>
          <w:tcPr>
            <w:tcW w:w="81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Effect of exchange rate changes on cash, cash equivalents and restricted cash</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Borders>
              <w:bottom w:val="single" w:sz="8" w:color="CCEEFF"/>
            </w:tcBorders>
          </w:tcPr>
          <w:p>
            <w:pPr>
              <w:spacing w:after="0"/>
              <w:rPr>
                <w:sz w:val="21"/>
                <w:szCs w:val="21"/>
                <w:color w:val="auto"/>
              </w:rPr>
            </w:pPr>
          </w:p>
        </w:tc>
        <w:tc>
          <w:tcPr>
            <w:tcW w:w="48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82"/>
        </w:trPr>
        <w:tc>
          <w:tcPr>
            <w:tcW w:w="81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19,378</w:t>
            </w:r>
          </w:p>
        </w:tc>
        <w:tc>
          <w:tcPr>
            <w:tcW w:w="1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(48,075)</w:t>
            </w:r>
          </w:p>
        </w:tc>
      </w:tr>
      <w:tr>
        <w:trPr>
          <w:trHeight w:val="20"/>
        </w:trPr>
        <w:tc>
          <w:tcPr>
            <w:tcW w:w="81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Net cash provided by operating activities was $45.9 million for the three months ended March 31, 2026, primarily consisting of net income of $24.2 million adjusted for certain items, which includes $19.7 million of stock-based compensation expense, $4.4 million of bad debt expense, $1.5 million of depreciation and amortization, $1.2 million of net accretion of discounts on marketable securities, $0.3 million of non-cash interest expense, and $0.1 million of loss on disposal of property and equipment. Changes in operating assets and liabilities resulted in cash used in operating activities from an increase in accounts receivable of $47.8 million and other noncurrent assets and liabilities of $2.4 million, partially offset by cash provided by operating activities from an increase in accounts payable of $33.6 million and accrued expenses and other current liabilities of $1.5 million, and a decrease in prepaid expenses and other current assets of $9.6 million. These changes were a result of the impact of revenue growth and our operating results as well as the</w:t>
      </w:r>
    </w:p>
    <w:p>
      <w:pPr>
        <w:spacing w:after="0" w:line="1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timing of cash collections and payments to third parties, including $0.6 million of cash paid for income taxes, net of refunds received for the period ended March 31, 2026.</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Net cash provided by operating activities was $49.8 million for the three months ended March 31, 2025, primarily consisting of net income of $15.1 million adjusted for certain items, which includes $32.5 million of stock-based compensation expense, $5.7 million of bad debt expense, $1.1 million of depreciation and amortization, $1.1 million of net accretion of discounts on marketable securities, and $0.1 million of loss on disposal of property and equipment. Changes in operating assets and liabilities resulted in cash used in operating activities from increases in accounts receivable of $69.7 million, prepaid expenses and other current assets of $2.4 million, and other noncurrent assets and liabilities of $0.7 million, partially offset by cash provided by operating activities from increases in accounts payable of $49.6 million and accrued expenses and other current liabilities of $17.5 million. These changes were a result of the impact of revenue growth and our operating results as well as the timing of cash collections and payments to third parties, including $0.4 million of cash paid for income taxes, net of refunds received for the period ended March 31, 2025.</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was $96.6 million for the three months ended March 31, 2026 which primarily consisted of net proceeds from marketable securities of $102.9 million. The remainder of the activity consisted of purchases of computers, software, including capitalized software development costs, leasehold improvements, and furniture and fixtures.</w:t>
      </w:r>
    </w:p>
    <w:p>
      <w:pPr>
        <w:spacing w:after="0" w:line="21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net cash used in investing activities was $94.6 million for the three months ended March 31, 2025 which primarily consisted of net investments in marketable securities of $82.4 million and $9.3 million of cash used in a business acquisition, net of cash acquired. The remainder of the activity consisted of purchases of computers, software, including capitalized software development costs, and furniture and fixtures.</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Our capital investments, including investments in technology and the development of software, are expected to increase over the next 12 months as we continue to invest in our benefits offerings and growth strategy.</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21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Net cash used in financing activities was $123.1 million for the three months ended March 31, 2026, consisting of $118.6 million of cash paid for repurchases of common stock under the November 2025 share repurchase program, inclusive of $0.2 million in trading fees, payments of $4.8 million for employee taxes related to equity awards, partially offset by $0.3 million in proceeds from contributions to our employee stock purchase plan.</w:t>
      </w:r>
    </w:p>
    <w:p>
      <w:pPr>
        <w:spacing w:after="0" w:line="19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$3.3 million for the three months ended March 31, 2025, consisting of payments of $3.6 million for employee taxes related to equity awards, partially offset by $0.3 million in proceeds from contributions to our employee stock purchase plan.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Share Repurchase Program</w:t>
      </w:r>
    </w:p>
    <w:p>
      <w:pPr>
        <w:spacing w:after="0" w:line="216"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In November 2025, our Board of Directors authorized a share repurchase program of up to $200 million in shares of common stock (the “November 2025 share repurchase program”).</w:t>
      </w:r>
    </w:p>
    <w:p>
      <w:pPr>
        <w:spacing w:after="0" w:line="16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2026, we repurchased a total of 5,511,824 shares of common stock under the November 2025 share repurchase program at an average price per share of $21.13 and a total cost of $116.6 million, inclusive of $0.2 million in trading fees. In addition, we recognized $1.1 million of excise taxes related to the share repurchases. As of March 31, 2026, the November 2025 share repurchase program was completed, and no amounts remained available for repurchase under the program.</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 Commitments</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In September 2019, we commenced a sublease agreement for our corporate offices in New York, New York. The sublease is for a 25,212 square foot office and will expire in May 2029. Pursuant to the sublease, we will pay the base rent of approximately $1.3 million per year through the end of the fifth lease year and approximately $1.4 million per year thereafter through the expiration date.</w:t>
      </w:r>
    </w:p>
    <w:p>
      <w:pPr>
        <w:spacing w:after="0" w:line="176"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In February 2022, we entered into a lease agreement for leases commencing in February 2023 and March 2025 for additional space in our corporate offices in New York, New York, consisting of a 24,099 square foot office and a 21,262 square foot office, respectively. The lease agreement also provides for continued occupancy of the 25,212 square foot office after the expiration of the current sublease. For the 24,099 square foot office, we pay the base rent of approximately $1.4 million per year through the end of the fifth year and approximately $1.5 million per year thereafter through April 2036, the expiration date. For the 21,262 square foot office, we will pay the base rent of approximately $1.3 million per year starting in April 2026 through the end of the fifth year and approximately $1.4 million per year thereafter through April 2036, the expiration date. For our current 25,212 square foot office, we will pay the base rent of approximately $1.6 million per year beginning in June 2029, which is the lease commencement date, through April 2036, the expiration date.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and accompanying notes have been prepared in accordance with U.S. GAAP. The preparation of these consolidated financial statements requires us to make estimates and assumptions that affect the reported amounts of assets, liabilities, revenue and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pacing w:after="0" w:line="18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believe that the assumptions and estimates associated with our accrued receivables related to revenue recognition, accrued claims payable, stock-based compensation expense, and accounting for income taxes have the greatest potential impact on our financial statements. Therefore, we consider these to be our critical accounting estimates.</w:t>
      </w:r>
    </w:p>
    <w:p>
      <w:pPr>
        <w:spacing w:after="0" w:line="17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For additional information about our significant accounting policies and estimates, see the disclosure included in our Annual Report on Form 10-K as well as "Financial Statements (Unaudited) — Note 1 – Business and Basis of Presentation" and "Financial Statements (Unaudited) — Note 2 – Significant Accounting Policies" in the notes to the unaudited consolidated financial statements included in Part I, Item 1 of this Quarterly Report on Form 10-Q. There have been no material changes to the Company’s critical accounting policies and estimates since our Annual Report on Form 10-K.</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For a full discussion of recently adopted accounting pronouncements, see "Financial Statements (Unaudited) — Note 2 – Significant Accounting Policies", to the consolidated financial statements included in Part I, Item 1 of this Quarterly Report on Form 10-Q.</w:t>
      </w: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interest rates.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21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Interest rate risk is highly sensitive due to many factors, including U.S. monetary and tax policies, U.S. and international economic factors and other factors beyond our control.</w:t>
      </w:r>
    </w:p>
    <w:p>
      <w:pPr>
        <w:spacing w:after="0" w:line="16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At March 31, 2026, we had cash and cash equivalents of $131.6 million and marketable securities of $93.5 million. Interest-earning instruments carry a degree of interest rate risk. We do not enter into investments for trading or speculative purposes and have not used any derivative financial instruments to manage our interest rate risk exposure. Our investments are exposed to market risk due to a fluctuation in interest rates, which may affect our interest income and the fair market value of our investments. A hypothetical 1% change in interest rates would not result in a material impact on our consolidated financial statements.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Rate Risk</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it is difficult to accurately measure the impact of inflation on our results of operations and financial condition, we do not believe that inflation has had a material effect on our business, financial condition or results of operations. Nonetheless,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Effectiveness of Controls and Procedures</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 Company maintains disclosure controls and procedures (as that term is defined in Rules 13a-15(e) and 15d-15(e) under the Exchange Act) that are designed to ensure that information required to be disclosed in the Company’s reports under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has evaluated, as of the end of the period covered by this Quarterly Report on Form 10-Q, the effectiveness of our disclosure controls and procedures (as that term is defined in Rules 13a-15(e) and 15d-15(e) under the Exchange Act). Based on this evaluation, our principal executive officer and principal financial officer concluded that our disclosure controls and procedures were effective at the reasonable assurance level as of March 31, 2026.</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that term is defined in Rules 13a-15(f) and 15d-15(f) under the Exchange Act) that occurred during the quarter ended March 31, 2026 that materially affected, or are reasonably likely to materially affect, our internal control over financial reporting.</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See Part I, Item 1 “Financial Statements (Unaudited) — Note 7 — Commitments and Contingencies.”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i w:val="1"/>
          <w:iCs w:val="1"/>
          <w:color w:val="auto"/>
        </w:rPr>
        <w:t>Investing in our common stock involves a high degree of risk. You should carefully consider all of the information contained in this Quarterly Report on Form 10-Q, including the sections titled “Cautionary Note Regarding Forward-Looking Statements” and Part I, Item 2. “Management’s Discussion and Analysis of Financial Condition and Results of Operations” and our unaudited consolidated financial statements and the accompanying notes included elsewhere in this Quarterly Report on Form 10-Q. The risks and uncertainties described below are not the only ones we face. Any of the following risks could materially and adversely affect our business, financial condition and results of operations, the actual outcome of matters as to which forward-looking statements are made in this Quarterly Report on Form 10-Q and could cause the trading price of our common stock to decline, which would cause you to lose all or part of your investment. Our business, financial condition and results of operations could also be harmed by risks and uncertainties not currently known to us or that we currently do not believe are material.</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Business and Industry</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fail to meet our publicly announced guidance or other expectations about our business and future results of operations, which would cause our stock price to decline.</w:t>
      </w:r>
    </w:p>
    <w:p>
      <w:pPr>
        <w:spacing w:after="0" w:line="15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We have provided, and may continue to provide, guidance about our business and future results of operations. On May 7, 2026, we issued guidance for the second quarter of 2026 and full year 2026. Our guidance, which consists of forward-looking statements, is qualified by, and subject to, such assumptions, estimates and expectations as of the date such guidance is given and may be revised at a later time, solely in our discretion, as we learn more information. Such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 developing guidance, our management must make certain assumptions and judgments about, among other things, our business strategy, plans, and goals; expectations concerning our market position and future operations; and other financial and operating information, as well as the impact of events beyond our control, such as macroeconomic conditions, shortages of fertility medications or trends in utilization or consumption, that are inherently difficult to predict. While the guidance may be presented with numerical specificity, it is necessarily speculative in nature. Accordingly, our guidance is only an estimate of what management believes is realizable as of the date of release of such guidance. Furthermore, analysts and investors may develop and publish their own projections of our business, which may form a consensus about our future performance. Our actual business results may vary significantly from such guidance or consensus due to a number of factors, many of which are outside of our control and which could adversely affect our business and future results of operations. In addition, if we make downward revisions of our previously announced guidance, or if our publicly announced guidance of our future results of operations fails to meet expectations of securities analysts, investors or other interested parties, the price of our common stock would decline.</w:t>
      </w:r>
    </w:p>
    <w:p>
      <w:pPr>
        <w:spacing w:after="0" w:line="19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market in which we operate is highly competitive, and, if we do not continue to compete effectively, our business, financial condition and results of operations could be harmed.</w:t>
      </w:r>
    </w:p>
    <w:p>
      <w:pPr>
        <w:spacing w:after="0" w:line="18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operate in a highly competitive market and compete on the basis of several factors, including: the value and comprehensiveness of our solutions and the Smart Cycle (our unique approach to benefits plan design that ensures that members always have coverage for a full treatment cycle as their access to treatment is not limited by a dollar maximum that could be exhausted mid-treatment), superior outcomes, access for all employee groups and covered dependents, equitable access to care across geographic areas, quality of the member experience and comprehensive member support, access to our selective Center of Excellence network of high-quality fertility specialists, data reporting and analysis and access to an integrated pharmacy solution. While we do not believe any single competitor offers similarly robust and integrated fertility and family building benefits solutions, there are alternative solutions in the market offered by health insurance companies, entities owned or sponsored by health insurance companies, and venture capital or private equity-backed companies that focus on maternity and reproductive health services more broadly or that provide fertility-specific benefits solutions.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we market our solutions to potential clients that currently utilize other fertility benefits vendors, we may fail to convince their internal stakeholders that our offerings and our model are superior to their current solutions. Some of our competitors are more established, benefit from greater brand recognition and have substantially greater financial, technical and marketing resources. Our competitors may develop or integrate solutions and services that may be more efficient or appealing to our existing and potential clients. For example, fertility-focused PBMs could emerge that would compete with Progyny Rx. In addition, we believe one of our key competitive advantages is our purpose-built, data-driven platform. While we do not believe any competitors have developed a similarly robust data collection, sharing and reporting process at this time, current or future competitors may be successful in doing so in the future.</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As the market in which we operate matures and more competitors enter the market and introduce differentiated solutions or services that compete with our solutions, our success depends on our ability to: compete effectively in our market, identify and effectively respond to changes in market dynamics and client and member preferences, maintain or increase our market share, and differentiate our offerings by innovating and delivering products and services that provide enhanced value to our clients and members. As we market our solutions to existing and potential clients, we must convince them that our solutions and our model are superior to our competitors. As a result of these and other factors, we may be unable to continue to compete successfully, which would have an adverse effect on our business, financial condition and results of operations. We also could be adversely affected if we fail to identify or effectively respond to changes in market dynamics. As a result of any of these factors, we may not be able to continue to compete successfully against our current or future competitors, and this competition could result in declining market share, which would harm our business, financial condition and results of operations.</w:t>
      </w:r>
    </w:p>
    <w:p>
      <w:pPr>
        <w:spacing w:after="0" w:line="21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 addition, many healthcare industry participants are consolidating to create larger and more integrated healthcare delivery systems with greater market power, and we expect regulatory and economic conditions to result in additional consolidation in the healthcare industry. Financial investors are acquiring fertility practices, and this may accelerate consolidation within the fertility industry. Although comprehensive, our solution is a standalone fertility benefit, and clients may prefer a single healthcare solution, which could adversely affect our ability to retain existing clients or grow our client base. We work with partner organizations to market our benefit to potential clients. As consolidation accelerates, the economies of scale of our partner organizations may grow. If a partner experiences sizable growth following consolidation, it may determine that it no longer needs to rely on us and may reduce demand for our services. Furthermore, as healthcare providers consolidate to create larger and more integrated healthcare delivery systems with greater market power, these providers may try to use their market power to negotiate fee increases for their services. Finally, consolidation may also result in the acquisition of our partners by competitors or development by our partners of products and services that compete with our products and services. Any of these potential results of consolidation could also have a material adverse effect on our business, financial condition and results of operations.</w:t>
      </w:r>
    </w:p>
    <w:p>
      <w:pPr>
        <w:spacing w:after="0" w:line="182"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Unfavorable conditions in the global economy or our industry could limit our ability to grow our business and negatively affect our results of operations.</w:t>
      </w:r>
    </w:p>
    <w:p>
      <w:pPr>
        <w:spacing w:after="0" w:line="145" w:lineRule="exact"/>
        <w:rPr>
          <w:sz w:val="20"/>
          <w:szCs w:val="20"/>
          <w:color w:val="auto"/>
        </w:rPr>
      </w:pPr>
    </w:p>
    <w:p>
      <w:pPr>
        <w:jc w:val="both"/>
        <w:ind w:firstLine="648"/>
        <w:spacing w:after="0" w:line="239" w:lineRule="auto"/>
        <w:rPr>
          <w:sz w:val="20"/>
          <w:szCs w:val="20"/>
          <w:color w:val="auto"/>
        </w:rPr>
      </w:pPr>
      <w:r>
        <w:rPr>
          <w:rFonts w:ascii="Times New Roman" w:cs="Times New Roman" w:eastAsia="Times New Roman" w:hAnsi="Times New Roman"/>
          <w:sz w:val="18"/>
          <w:szCs w:val="18"/>
          <w:color w:val="auto"/>
        </w:rPr>
        <w:t>Market volatility and uncertainty related to general economic conditions remain widespread, making it very difficult for our clients and us to accurately forecast and plan future business activities. Negative conditions in the general economy in the United States and elsewhere, including conditions resulting from changes in gross domestic product growth, financial and credit market fluctuations, inflation, consumer confidence, international trade relations, tariffs, export controls and other trade barriers, global trade wars or domestic preferences, geopolitical conflict, political turmoil, natural catastrophes, epidemics, pandemics or outbreaks of contagious diseases, warfare and terrorist attacks, could cause a decrease in business investments, including spending on employee benefits, and negatively affect the growth of our business. In addition, economic conditions, including inflation, interest rate fluctuations, changes in capital market conditions, disruptions in the banking industry and other parts of the financial services sector, and regulatory changes, such as the taxability of medical benefits like ours, may affect our ability to obtain necessary financing on acceptable terms.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Unfavorable changes in our industry, including reductions in general healthcare spending, or in the United States and global economy could have a negative effect on our and our existing clients’ and potential clients’ results of operations. This could result in the delay or cancellation by certain clients, including if adoption of our solutions are perceived by existing clients and potential clients to be discretionary, if they experience a reduction in their employee headcount, whether due to reductions in force or turnover, or are unable to grow employee headcount or there are material defaults by members on past amounts due. An increase in the cost of obtaining fertility medication or general medical cost inflation could also negatively impact our results of operations. In addition, the increased pace of consolidation in the healthcare industry may result in competitors with greater market power, which may adversely affect our ability to retain existing clients and attract new clients. Many economists believe the global economy will likely experience a recessionary environment in the near future. The Federal Reserve’s efforts to tame inflation have led to, and may continue to lead to, increased interest rates. A significant escalation or expansion of economic disruption could have a material adverse effect on our results of operations. We cannot predict the timing, strength, or duration of any economic slowdown, instability, or recovery, generally or within any particular industry, nor its impact on us or our clients.</w:t>
      </w:r>
    </w:p>
    <w:p>
      <w:pPr>
        <w:spacing w:after="0" w:line="202"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The global economy has also been impacted by geopolitical tensions. There is currently significant uncertainty about future trade relationships between the United States and various other countries. Further escalation of specific trade tensions, or more broadly in global trade conflicts, could materially and adversely affect the Company’s business and operations. The U.S. government and other governments may impose tariffs on certain pharmaceutical drugs and their components that may impact pharmaceutical imports into the United States, and we, our customers, suppliers, and our pharmacy program partners may then become subject to additional tariffs and adverse business impacts. If we are not successful in mitigating the impact of tariffs, trade barriers, and other geopolitical disruptions, our business, financial condition and results of operations may be adversely affected.</w:t>
      </w:r>
    </w:p>
    <w:p>
      <w:pPr>
        <w:spacing w:after="0" w:line="19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retain our existing clients and increase the adoption of our services within our client base. Any failure to do so would harm our business, financial condition and results of operations.</w:t>
      </w:r>
    </w:p>
    <w:p>
      <w:pPr>
        <w:spacing w:after="0" w:line="15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part of our growth strategy, we are focused on retaining and expanding our services within our existing client base. Our clients can expand the benefits they offer their employees in a number of ways, including by adding egg freezing, increasing the number of Smart Cycle units, and adding our Progyny Rx solution or any of our other solutions and services. We went live with Progyny Rx in 2018, and 93% of our current clients have now launched this solution, including approximately 97% of the clients we signed in 2025.</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Factors that may affect our ability to retain our existing clients and sell additional solutions to them include, but are not limited to, the following:</w:t>
      </w:r>
    </w:p>
    <w:p>
      <w:pPr>
        <w:spacing w:after="0" w:line="225" w:lineRule="exact"/>
        <w:rPr>
          <w:sz w:val="20"/>
          <w:szCs w:val="20"/>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timeliness and outcomes of our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price, timeliness, outcomes, performance and functionality of competing solutions;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appropriately expand our Center of Excellence network of high-quality fertility specialists;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offer complementary solutions and services that will enhance our comprehensive fertility and family building offering;</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healthcare laws and regulations, the enforcement of such laws and regulations, or healthcare trends;</w:t>
      </w:r>
    </w:p>
    <w:p>
      <w:pPr>
        <w:spacing w:after="0" w:line="22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economic conditions, including any material increase in unemployment rates, and the business environment of our clients and, in particular, slowing growth or reduction in our clients’ headcount or spending on employee benefits; and</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of our clients, resulting in a change to their benefits program or a shift to one of our competitors.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Any of the above factors, alone or together, could negatively affect our ability to retain existing clients and sell additional solutions to them, which would have an adverse effect on our business, revenue growth and results of operations.</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Our largest clients account for a significant portion of our revenue. In addition, a significant number of our clients are in the technology industry, and we generate a significant portion of our revenue from these clients. The loss of one or more of these clients, changes to pricing terms with these clients or changes within the technology industry could negatively impact our business, financial condition and results of operations.</w:t>
      </w:r>
    </w:p>
    <w:p>
      <w:pPr>
        <w:spacing w:after="0" w:line="17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currently have contracts to serve over 590 employers with at least 1,000 covered lives in the United States across more than 40 industries. Our largest clients account for a significant portion of our revenue. In addition, a significant number of our clients are in the technology industry, and we generate a significant portion of our revenue from these clients. For the three months ended March 31, 2026 and March 31, 2025, no client accounted for more than 10% of our total revenue. Engagement with our clients is generally covered through contracts that are multi-year in duration. Our clients may terminate early, decline to renew their existing contracts with us upon expiration, or renegotiate pricing terms at the time of renewal, any of which could have a negative impact on our business, financial condition and results of operations. In addition, changes in the technology industry, including reductions in workforce or heightened employee attrition, changes in economic conditions, mergers or consolidations, reduced spending on benefits programs and other factors, could adversely affect our business, financial condition and results of operations.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are unable to attract new clients, our business, financial condition and results of operations would be adversely affected.</w:t>
      </w:r>
    </w:p>
    <w:p>
      <w:pPr>
        <w:spacing w:after="0" w:line="24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To increase our revenue, we must continue to attract new clients. Our ability to do so depends in large part on the success of our sales and marketing efforts and our ability to attract industry leaders in diversified sectors, which could prompt others in the same sectors to follow suit in order to remain competitive. Potential clients may seek out other options; therefore, we must demonstrate that our solutions are valuable and superior to alternatives. If we fail to provide high-quality solutions and convince clients of the benefits of our model and value proposition, we may not be able to attract new clients. The market for our solutions could decline or grow more slowly than we expect, including due to general economic conditions, high unemployment rates, reductions in workforce or employee attrition, impacts related to epidemics, pandemics, and outbreaks of contagious diseases, a decrease in business investments, including spending on employee benefits, and other factors. If the market for our solutions declines or grows more slowly than we expect, or if the number of clients that contract with us for our solutions declines or fails to increase as we expect, our financial results could be adversely impacted. As the markets in which we participate mature, fertility solutions and services evolve and competitors begin to enter the market and introduce differentiated solutions or services that are perceived to compete with our solutions, particularly if such competing solutions are adopted by an industry leader in a particular sector, our ability to sell our solutions could be impaired. As a result of these and other factors, we may be unable to attract new clients, which would have an adverse effect on our business, financial condition and results of operations.</w:t>
      </w:r>
    </w:p>
    <w:p>
      <w:pPr>
        <w:spacing w:after="0" w:line="200"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change in the utilization of our solutions, including the consumption rate or the mix of utilization, could have an adverse effect on our business, financial condition and results of operations.</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cannot control or predict the consumption rate of our solutions or the mix of utilization of our solutions by our clients, in particular as it relates to newer clients. A significant reduction in the number of members using our solutions could adversely affect our business, financial condition and results of operations. Factors that have and could continue to contribute to a reduction in the use of our solutions include: reductions in workforce by existing clients; general economic downturns that result in business failures and high unemployment rates; impacts related to public health emergencies; employers no longer offering comprehensive health coverage or offering alternative solutions such as coverage on a voluntary, employee-funded basis; labor shortages at our provider clinics; changes to the taxability of medical benefits; failure to adapt and respond effectively to changes in the medical landscape, laws, regulations and government enforcement priorities, or client and member needs, requirements or preferences; premium increases and benefits changes; or negative publicity.</w:t>
      </w:r>
    </w:p>
    <w:p>
      <w:pPr>
        <w:spacing w:after="0" w:line="219" w:lineRule="exact"/>
        <w:rPr>
          <w:sz w:val="20"/>
          <w:szCs w:val="20"/>
          <w:color w:val="auto"/>
        </w:rPr>
      </w:pPr>
    </w:p>
    <w:p>
      <w:pPr>
        <w:jc w:val="both"/>
        <w:ind w:firstLine="648"/>
        <w:spacing w:after="0" w:line="262" w:lineRule="auto"/>
        <w:rPr>
          <w:sz w:val="20"/>
          <w:szCs w:val="20"/>
          <w:color w:val="auto"/>
        </w:rPr>
      </w:pPr>
      <w:r>
        <w:rPr>
          <w:rFonts w:ascii="Times New Roman" w:cs="Times New Roman" w:eastAsia="Times New Roman" w:hAnsi="Times New Roman"/>
          <w:sz w:val="18"/>
          <w:szCs w:val="18"/>
          <w:color w:val="auto"/>
        </w:rPr>
        <w:t>It is also difficult for us to control or predict the consumption rate or mix of utilization of our solutions at the member level. If the actual utilization of our solutions by members is significantly greater than budgeted, our clients may be responsible for costs that exceed their planned expenditure. If we cannot help our clients accurately predict the rate of consumption by their employees, our clients may turn to alternative solutions, and our business and profitability would be adversely impacted. In addition, higher clinical success rates and other factors could also impact timing and treatment paths, which may result in lower revenue per utilizing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Acquisitions, strategic investments, or partnerships could be difficult to identify, pose integration challenges, divert the attention of management, disrupt our business, dilute stockholder value, and adversely affect our business, financial condition and results of operations.</w:t>
      </w:r>
    </w:p>
    <w:p>
      <w:pPr>
        <w:spacing w:after="0" w:line="18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From time to time, we may acquire or invest in businesses, joint ventures, products and services, or technologies that we believe could complement or expand our solutions, enhance our technical capabilities, or otherwise offer growth opportunities. For example, we acquired Apryl GmbH, a Berlin-based fertility benefits platform provider, in June 2024 and Benefit Bump LLC, a company that provides a comprehensive parental leave benefits navigation program for new and growing families, in January 2025. We have also expanded our offerings to include pregnancy and postpartum, menopause and midlife care, benefit and leave navigation and parent and child wellbeing solutions. We expect to make additional investments as we continue to introduce new solutions and services that complement our comprehensive family building offering and as we continue to enhance our technology infrastructure, including systems architecture, scalability, availability, performance and security. Any acquisition or investment may divert the attention of management and cause us to incur expenses in identifying, investigating and pursuing suitable opportunities, whether or not the transactions are completed, and may result in unforeseen operating difficulties and expenditures. In particular, we may encounter difficulties integrating the businesses, technologies, products and services, personnel or operations of any acquired companies, particularly if key personnel of an acquired company choose not to work for us, an acquired company is operationally difficult to integrate, or we have difficulty retaining the clients of any acquired business due to changes in ownership, management or otherwise. Any transactions that we are able to complete may not result in any synergies or other benefits we had expected to achieve, which could result in impairment charges that could be substantial. In addition, certain transactions could also result in dilutive issuances of equity securities or the incurrence of debt, which could adversely affect our results of operations. If the resulting business from a transaction fails to meet our expectations, or we fail to successfully integrate such businesses into our own, our business, financial condition and results of operations may be adversely affected, or we may be exposed to unknown risks or liabilities.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limited operating history with our current platform of solutions, which makes it difficult to predict our future results of operations.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went live with our fertility benefits solution in 2016, Progyny Rx in 2018 and more recently with our newer solutions. As a result of our limited operating history with our current platform of solutions, as well as a limited amount of time serving a majority of our client base, our ability to accurately forecast our future results of operations is limited and subject to a number of uncertainties, including our ability to plan for and model future growth. Our historical revenue growth should not be considered indicative of our future performance. Further, in future periods, our revenue growth could slow or decline for a number of reasons, including slowing demand for our solutions and fertility and women's health benefits in general, change in utilization trends by our members, general economic slowdown, an increase in unemployment rates, increased competition, changes in healthcare trends and regulations, changes to science relating to the fertility market, a decrease in the growth of the fertility market, or our failure to anticipate and adapt to changing market trends and to take advantage of growth opportunities. If our assumptions regarding these risks and uncertainties and our future revenue growth are incorrect or change, or if we do not address these risks effectively, our operating and financial results could differ materially from our expectations, and our business could suffer.</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have a history of operating losses and may not sustain profitability in the future.</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experienced net losses from 2015 to 2019. For example, our net loss was $8.6 million for the year ended December 31, 2019. While we have experienced significant revenue growth since 2016, achieved profitability starting in 2020 and currently project future profitability, we cannot guarantee that we will have sufficient sales to sustain our growth or maintain profitability in the future. We also expect our costs and expenses to increase in future periods, which could negatively affect our future results of operations if our revenue does not increase sufficiently to cover increased costs. In particular, we expect to continue to invest in our sales and client success teams to educate potential clients and drive new client adoption, as well as expand the scope of Progyny benefits within our existing client base. We also expect to incur additional costs as we continue to introduce new solutions and services to enhance our comprehensive women's health and family building offerings and as we continue to invest in enhancing our technology infrastructure, including systems architecture, scalability, availability, performance and security. We will face increased compliance costs associated with our growth and the expansion of our client base. In addition, we incur significant legal, accounting and other expenses related to being a public company. Our efforts to grow our business may be costlier than we expect, and we may not be able to increase our revenue enough to offset our increased operating expenses. We may incur significant losses in the future for a number of reasons, including the other risks described herein, and unforeseen expenses, difficulties, complications and delays, and other unknown events. If we are unable to sustain profitability, the value of our business and common stock may significantly decrease.</w:t>
      </w: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7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health benefits industry may be subject to negative publicity, which could adversely affect our business, financial condition and results of operations.</w:t>
      </w:r>
    </w:p>
    <w:p>
      <w:pPr>
        <w:spacing w:after="0" w:line="15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The health benefits industry may be subject to negative publicity, which can arise from, among other things, increases in premium rates, industry consolidation, cost of care initiatives, and drug prices. In addition, negative publicity may result in increased regulation and legislative review of industry practices, which may further increase our costs of doing business and adversely affect our profitability. For example, PBM reform, increased disclosure requirements or additional review of benefit administrators by the Department of Health and Human Services' Office of Inspector General, or OIG, could potentially affect our business and operations. Negative public perception or publicity of the health benefits industry in general, the insurance carriers with whom we integrate our solutions, our self-insured employer clients, or us could adversely affect our business, financial condition and results of operations.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If our information technology systems, or those of third parties with whom we do business, including our provider clinics, specialty pharmacies or other vendors, lag, fail or suffer cybersecurity breaches, we may experience a material disruption of our services or suffer a loss or inappropriate disclosure of confidential information, which could materially impact our business and results of operations.</w:t>
      </w:r>
    </w:p>
    <w:p>
      <w:pPr>
        <w:spacing w:after="0" w:line="20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business is increasingly dependent on critical, complex and interdependent information technology systems, including cloud-based systems, to support business processes as well as internal and external communications. Therefore, our success is dependent in part on our ability to secure, integrate, develop, redesign and enhance our (or contract with vendors to provide) information technology systems that support our business strategy initiatives and processes in a compliant, secure, and cost and resource efficient manner. If we or the third parties with whom we do business, including our provider clinics, specialty pharmacies or other vendors, experience an issue with our or their information technology systems, it may result in a disruption to our operations or downstream disruption to our relationships with our clients or our provider clinics. Additionally, if we choose to in source any of the services currently handled by a third-party vendor, it may result in technological or operational disruptions.</w:t>
      </w:r>
    </w:p>
    <w:p>
      <w:pPr>
        <w:spacing w:after="0" w:line="208"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the current environment, there are numerous and evolving risks to cybersecurity and data privacy, including criminal hackers, hacktivists, denial-of-service attacks, ransomware, state-sponsored intrusions, industrial espionage, employee malfeasance and human or technological errors. High-profile cybersecurity breaches at other companies and government agencies have increased in recent years, and there remains the possibility of targeted cyberattacks by foreign countries or entities that could impact United States government and private companies’ technological infrastructures, some of which we utilize to provide our services. The healthcare industry has experienced a shift towards an increased use of and reliance on digital and technological platforms. As a result of this shift, there have been, and may continue to be, more targeted cyberattacks and threats directed at us, our vendors, provider clinics and specialty pharmacies. Despite the implementation of security measures, including steps designed to secure our technology infrastructure and sensitive data, we cannot provide assurance that our current information technology system or any updates or upgrades thereto or the current or future information technology systems of the third parties with whom we do business, including our provider clinics, specialty pharmacies or other vendors, are fully protected against malicious intrusion, malware, computer viruses, unauthorized access, natural disasters, terrorism, war, telecommunication and electrical failures, information or data theft or other similar risks. Furthermore, because the techniques used to obtain unauthorized access to, or to sabotage, systems change frequently and often are not recognized until launched against a target, we may be unable to anticipate these techniques or implement adequate preventative measures. We may also experience cybersecurity breaches that may remain undetected for an extended period. Even if identified, we may be unable to adequately investigate or remediate incidents or breaches due to attackers increasingly using tools and techniques that are designed to circumvent controls, to avoid detection, and to remove or obfuscate forensic evidence.</w:t>
      </w: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have experienced in the past and expect to continue to experience actual and attempted cyberattacks of our information technology systems, such as through email phishing scams, spoofing attempts and malicious attachments. Although none of these actual or attempted cyberattacks has had a material adverse impact on our operations or financial condition, we cannot guarantee that such incidents will not have such an impact in the future. In addition, to the extent that any disruption or cybersecurity breach were to result in a loss or inappropriate disclosure of confidential or proprietary information, we could incur liability. We have access to sensitive information relating to our members, our employees and our business partners in the ordinary course of our business. Any failure or perceived failure by us, or our third-party vendors on our behalf, to comply with U.S. and foreign data privacy and cybersecurity laws, rules and regulations, as well as contractual commitments in this respect, may result in governmental enforcement actions, fines, or litigation, which could have an adverse effect on our reputation and business. If a significant data breach occurred, our reputation could be materially and adversely affected, confidence among our clients and members may be diminished, or we may be subject to legal claims, any of which may contribute to the loss of clients and have a material adverse effect on us. We maintain cyber liability insurance, however, this insurance may not be sufficient to cover the financial, legal, business or reputational losses that may result from an interruption or breach of our systems, and we cannot be sure that such coverage will continue to be available on commercially reasonable terms or at all. To the extent such disruptions or uncertainties result in the theft, destruction, loss or misappropriation or release of our confidential data or our intellectual property, our business and results of operations could be materially and adversely affected. See “Risks Related to Legal and Regulatory Requirements—We operate in a highly regulated industry and must comply with a significant number of evolving legal and regulatory requirements, as well as complex judicial mandates, which could have an adverse impact on our business—Data Protection and Breaches.”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use of artificial intelligence may subject us to new or heightened legal, regulatory, ethical, operational or other challenges.</w:t>
      </w:r>
    </w:p>
    <w:p>
      <w:pPr>
        <w:spacing w:after="0" w:line="22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We use, and may in the future continue to use, artificial intelligence (“AI”), including generative AI, in connection with our business and operations, including for internal operational and productivity improvement business purposes. There are significant risks involved in utilizing AI, the development and use of which is still in its early stages, and no assurance can be provided that such use will enhance our business or operations or result in our business or operations being more efficient or profitable. AI models and algorithms, and the data, prompts and other material or content on which it relies, as well as the output thereof, could be flawed, insufficient, of poor quality, reflect unwanted forms of bias, or contain other errors or inadequacies, any of which may not be easily detectable. AI has also been known to produce false or “hallucinatory” inferences or outputs, and AI can subject users to new or heightened legal, regulatory, ethical, operational, reputational or other challenges. Inappropriate or controversial data practices by developers and end-users, or other factors adversely affecting public opinion of AI, could impair the acceptance of AI solutions. If the AI solutions that we use are or are perceived to be deficient, inaccurate or controversial, we could suffer operational inefficiencies, competitive harm, legal liability, brand or reputational harm, or other adverse impacts on our business, operations and financial results. The use of AI solutions by companies has also resulted in, and may in the future result in, failures, interruptions and security breaches of their information technology systems and data privacy violations that implicate the personal data or confidential information of users of such AI solutions. If any of our employees, contractors, vendors or service providers use any third-party AI solutions in connection with the services they provide to us, it may lead to the inadvertent disclosure of our confidential information, including personal information of our clients and members, which may impact our ability to secure such information, or adequately protect and enforce our intellectual property rights, harming our competitive position and business. Further, any content created by us using generative AI may not be subject to copyright protection which may adversely affect our intellectual property rights in, or ability to commercialize or use, any such content.</w:t>
      </w:r>
    </w:p>
    <w:p>
      <w:pPr>
        <w:spacing w:after="0" w:line="213"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Regulation of AI is rapidly evolving worldwide and may change the competitive landscape of our and many other industries. AI is also an area of increased focus for legislators and regulators as this emerging technology develops. The technologies underlying AI and its uses are already subject to a variety of laws and regulations, including intellectual property, data privacy and security, consumer protection, competition, and equal opportunity laws and regulations, and are expected to be subject to increased regulation and new laws or new applications of existing laws and regulations. It is possible that we will not be able to anticipate how to respond to these rapidly evolving frameworks, and we could be required to expend resources to adjust our offerings in certain jurisdictions if the legal frameworks are inconsistent across jurisdictions. If we do not have sufficient rights to use the models, algorithms, data, prompts or other material or content on which our AI solutions rely, or the output thereof, we could also incur liability through the violation of applicable laws and regulations, third-party intellectual property, privacy or other rights, or contracts to which we are a party. Furthermore, because AI technology itself is highly complex, costly, and rapidly developing, it is not possible to predict all of the legal, operational or technological risks that may arise relating to the use of AI.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offer high-quality support, our reputation could suffer.</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Our clients rely on our client success personnel and our members rely on our PCAs to resolve issues and realize the full benefits that our solutions and services provide. High-quality support is also important for the renewal and expansion of our services to existing clients. The importance of our support functions will increase as we expand our business and pursue new clients. If we do not help our clients quickly resolve issues and provide effective ongoing support, our ability to maintain and expand our offerings to existing and new clients could suffer, and our reputation with existing or potential clients could suffer. Further, to the extent that we are unsuccessful in hiring, training and retaining adequate PCAs and client success personnel, our ability to provide adequate and timely support to our members and clients would be negatively impacted, and our members’ and clients’ satisfaction with our solutions and services would be adversely affected.</w:t>
      </w:r>
    </w:p>
    <w:p>
      <w:pPr>
        <w:spacing w:after="0" w:line="2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Failure to effectively develop and expand our marketing and sales capabilities could harm our ability to increase our client base and achieve broader market acceptance of the solutions we provide.</w:t>
      </w:r>
    </w:p>
    <w:p>
      <w:pPr>
        <w:spacing w:after="0" w:line="17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ability to increase our client base and achieve broader market acceptance of the solutions we provide will depend to a significant extent on our ability to expand our marketing and sales capabilities. We plan to continue expanding our direct sales force and to dedicate significant resources to sales and marketing programs, including direct sales, inside sales, targeted direct marketing, advertising, digital marketing, e-newsletter and conference sponsorships. All of these efforts will require us to invest significant financial and other resources. Our business and results of operations could be harmed if our sales and marketing efforts do not generate significant increases in revenue. We may not achieve anticipated revenue growth from expanding our sales and marketing efforts if we are unable to hire, develop, integrate and retain talented and effective sales personnel, if our new and existing sales personnel, on the whole, are unable to achieve desired productivity levels in a reasonable period of time, or if our sales and marketing programs are not effective.</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future revenue and client base may not grow at the rates they historically have, or at all.</w:t>
      </w:r>
    </w:p>
    <w:p>
      <w:pPr>
        <w:spacing w:after="0" w:line="243" w:lineRule="exact"/>
        <w:rPr>
          <w:sz w:val="20"/>
          <w:szCs w:val="20"/>
          <w:color w:val="auto"/>
        </w:rPr>
      </w:pPr>
    </w:p>
    <w:p>
      <w:pPr>
        <w:jc w:val="both"/>
        <w:ind w:right="20" w:firstLine="648"/>
        <w:spacing w:after="0" w:line="266" w:lineRule="auto"/>
        <w:rPr>
          <w:sz w:val="20"/>
          <w:szCs w:val="20"/>
          <w:color w:val="auto"/>
        </w:rPr>
      </w:pPr>
      <w:r>
        <w:rPr>
          <w:rFonts w:ascii="Times New Roman" w:cs="Times New Roman" w:eastAsia="Times New Roman" w:hAnsi="Times New Roman"/>
          <w:sz w:val="18"/>
          <w:szCs w:val="18"/>
          <w:color w:val="auto"/>
        </w:rPr>
        <w:t>We have experienced significant growth since the launch of our fertility benefits solution in 2016. Revenue and our client base may not grow at the same rates they historically have, or they may decline in the future. Our future growth will depend, in part, on our ability to:</w:t>
      </w:r>
    </w:p>
    <w:p>
      <w:pPr>
        <w:spacing w:after="0" w:line="184"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continue to attract new clients and maintain existing clients;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price our solutions and services effectively so that we are able to attract new clients, expand sales to our existing clients and maintain profitability;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provide our clients and members with client support that meets their needs, including through dedicated PCAs;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maintain successful collection of member cost shares and other applicable receivable balances directly from members;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retain and maintain relationships with high-quality and respected fertility specialists;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attract and retain highly qualified personnel to support all clients and members;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maintain satisfactory relationships with insurance carriers;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27"/>
        </w:numPr>
        <w:rPr>
          <w:rFonts w:ascii="Arial" w:cs="Arial" w:eastAsia="Arial" w:hAnsi="Arial"/>
          <w:sz w:val="22"/>
          <w:szCs w:val="22"/>
          <w:color w:val="auto"/>
        </w:rPr>
      </w:pPr>
      <w:r>
        <w:rPr>
          <w:rFonts w:ascii="Times New Roman" w:cs="Times New Roman" w:eastAsia="Times New Roman" w:hAnsi="Times New Roman"/>
          <w:sz w:val="18"/>
          <w:szCs w:val="18"/>
          <w:color w:val="auto"/>
        </w:rPr>
        <w:t>increase awareness of our brand and successfully compete with other companies.</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may not successfully accomplish all or any of these objectives, which may affect our future revenue, and which makes it difficult for us to forecast our future results of operations. In addition, if the assumptions that we use to plan our business are incorrect or change in reaction to changes in our market, it may be difficult for us to maintain profitability. You should not rely on our revenue for any prior quarterly or annual periods as any indication of our future revenue or revenue growth.</w:t>
      </w:r>
    </w:p>
    <w:p>
      <w:pPr>
        <w:spacing w:after="0" w:line="204"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addition, we expect to continue to expend substantial financial and other resources on:</w:t>
      </w:r>
    </w:p>
    <w:p>
      <w:pPr>
        <w:spacing w:after="0" w:line="247"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22"/>
          <w:szCs w:val="22"/>
          <w:color w:val="auto"/>
        </w:rPr>
      </w:pPr>
      <w:r>
        <w:rPr>
          <w:rFonts w:ascii="Times New Roman" w:cs="Times New Roman" w:eastAsia="Times New Roman" w:hAnsi="Times New Roman"/>
          <w:sz w:val="18"/>
          <w:szCs w:val="18"/>
          <w:color w:val="auto"/>
        </w:rPr>
        <w:t>sales and marketing;</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our technology infrastructure, including systems architecture, scalability, availability, performance and security; and</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29"/>
        </w:numPr>
        <w:rPr>
          <w:rFonts w:ascii="Arial" w:cs="Arial" w:eastAsia="Arial" w:hAnsi="Arial"/>
          <w:sz w:val="22"/>
          <w:szCs w:val="22"/>
          <w:color w:val="auto"/>
        </w:rPr>
      </w:pPr>
      <w:r>
        <w:rPr>
          <w:rFonts w:ascii="Times New Roman" w:cs="Times New Roman" w:eastAsia="Times New Roman" w:hAnsi="Times New Roman"/>
          <w:sz w:val="18"/>
          <w:szCs w:val="18"/>
          <w:color w:val="auto"/>
        </w:rPr>
        <w:t>general administration, including increased legal and accounting expenses associated with being a public company.</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These investments may not result in increased revenue growth in our business. If we are unable to increase our revenue at a rate sufficient to offset the expected increase in our costs, our business, financial position, and results of operations will be harmed, and we may not be able to maintain profitability over the long term. Additionally, we may encounter unforeseen operating expenses, difficulties, complications, delays and other unknown factors that may result in losses in future periods.</w:t>
      </w:r>
    </w:p>
    <w:p>
      <w:pPr>
        <w:spacing w:after="0" w:line="218"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our revenue growth does not meet our expectations in future periods, we may not maintain profitability in the future, and our business, financial position and results of operations may be harmed.</w:t>
      </w:r>
    </w:p>
    <w:p>
      <w:pPr>
        <w:spacing w:after="0" w:line="18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the estimates and assumptions we use to determine the size of the target markets for our services are inaccurate, our future growth rate may be impacted, and our business would be harmed.</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Market opportunity estimates and growth forecasts, including those we have generated ourselves, are subject to significant uncertainty and are based on assumptions and estimates that may not prove to be accurate, including the risks described herein. Even if the market in which we operate achieves the forecasted growth, our business could fail to grow at similar rates, if at all.</w:t>
      </w:r>
    </w:p>
    <w:p>
      <w:pPr>
        <w:spacing w:after="0" w:line="217"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Our estimates of the market opportunity for our services are based on the assumption that the purpose-built, data-driven and disruptive fertility benefits platform with the Smart Cycle plan design we offer will continue to be attractive to employers. Employers may pursue alternatives or may not see the value in providing enhanced fertility-related coverage and services to their employees. In addition, we believe we are helping to expand the size of the fertility market as we enhance demand and increase awareness for fertility benefits. If these assumptions prove inaccurate, or if the increase in awareness of fertility benefits attracts potential competitors to enter the market and results in greater competition, our business, financial condition and results of operations could be adversely affected.</w:t>
      </w:r>
    </w:p>
    <w:p>
      <w:pPr>
        <w:spacing w:after="0" w:line="222"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Furthermore, the healthcare industry is rapidly evolving and the markets for fertility benefits management and the related fertility pharmacy benefits management are relatively immature. It is difficult to predict member utilization rates and demand for our solutions, the entry of competitive solutions or the future growth rate and size of the fertility market, and more specifically the fertility benefits management market and the pharmacy benefits management market. The expansion of the fertility market depends on a number of factors, including, but not limited to: the continued trend of individuals starting families later in life, increase in number of single mothers by choice, adoption of non-traditional paths to parenthood and continued de-stigmatization of infertility. Further, the expansion of the fertility benefits management market and the pharmacy benefits market both depend on a number of factors, including, but not limited to: the continued trends of a competitive workforce with employers competing for talent based on benefits that they provide and employers’ focus on benefits to attract and retain top talent.</w:t>
      </w:r>
    </w:p>
    <w:p>
      <w:pPr>
        <w:spacing w:after="0" w:line="200" w:lineRule="exact"/>
        <w:rPr>
          <w:sz w:val="20"/>
          <w:szCs w:val="20"/>
          <w:color w:val="auto"/>
        </w:rPr>
      </w:pPr>
    </w:p>
    <w:p>
      <w:pPr>
        <w:jc w:val="both"/>
        <w:ind w:firstLine="648"/>
        <w:spacing w:after="0"/>
        <w:rPr>
          <w:sz w:val="20"/>
          <w:szCs w:val="20"/>
          <w:color w:val="auto"/>
        </w:rPr>
      </w:pPr>
      <w:r>
        <w:rPr>
          <w:rFonts w:ascii="Times New Roman" w:cs="Times New Roman" w:eastAsia="Times New Roman" w:hAnsi="Times New Roman"/>
          <w:sz w:val="18"/>
          <w:szCs w:val="18"/>
          <w:color w:val="auto"/>
        </w:rPr>
        <w:t>Additionally, in June 2022 the U.S. Supreme Court in Dobbs v. Jackson Women's Health Organization reversed Roe v. Wade by holding that there is no constitutional right to abortion. Consequently, certain states have enacted or proposed restrictive abortion laws that may also implicate fertility procedures and travel reimbursement programs, which may decrease the demand for, or availability of, certain fertility services. The enactment of certain state laws restricting abortion care and other changes in laws, or in interpretation of laws through court decisions, affecting fertility benefits may conflict with, and ultimately limit, the covered benefits offered by a company to its employees and the types of fertility treatment services available at provider clinics. We cannot predict the timing or impact of any future rule making, executive orders, court decisions or other changes in the law, or in how such laws, once enacted, would be interpreted and enforced.</w:t>
      </w:r>
    </w:p>
    <w:p>
      <w:pPr>
        <w:spacing w:after="0" w:line="21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If fertility benefits management or pharmacy benefits management do not continue to achieve market acceptance, or if there is a reduction in demand caused by a lack of client or member acceptance, a reduction in employers’ focus on enhancing benefits to employees, weakening economic conditions, data security or privacy concerns, governmental regulation, competing offerings or otherwise, the market for our solutions and services might not continue to develop or might develop more slowly than we expect, which would adversely affect our business, financial condition and results of operations. Any losses, costs or liabilities may not be covered by, or may exceed the coverage limits of, any or all applicable insurance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successfully manage our growth, and if we are not able to grow efficiently, our business, financial condition and results of operations could be harmed</w:t>
      </w:r>
      <w:r>
        <w:rPr>
          <w:rFonts w:ascii="Times New Roman" w:cs="Times New Roman" w:eastAsia="Times New Roman" w:hAnsi="Times New Roman"/>
          <w:sz w:val="18"/>
          <w:szCs w:val="18"/>
          <w:b w:val="1"/>
          <w:bCs w:val="1"/>
          <w:color w:val="auto"/>
        </w:rPr>
        <w:t>.</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As usage of our solutions grows, we will need to devote additional resources to improving and maintaining our infrastructure. In addition, we will need to appropriately scale our internal business systems and our client success and member services personnel to serve our growing client base. Any failure of or delay in these efforts could result in reduced client and member satisfaction, resulting in decreased sales to new clients and lower renewal and utilization rates by existing clients, which could hurt our revenue growth and our reputation. Even if we are successful in these efforts, they will require the dedication of management time and attention. We could also face inefficiencies or service disruptions as a result of our efforts to scale our internal infrastructure. We cannot be sure that the expansion and improvements to our internal infrastructure will be effectively implemented on a timely basis, and such failures could harm our business, financial condition and results of operations.</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experiences seasonality, which may cause fluctuations in our revenue and results of operations.</w:t>
      </w:r>
    </w:p>
    <w:p>
      <w:pPr>
        <w:spacing w:after="0" w:line="216"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Our business experiences moderate seasonality in revenue with a slightly higher proportion of revenue during the second half of the year as compared to the first half. Given that the majority of our clients contract with us for a January 1 benefits plan start date and that the average cost of treatments earlier in the overall treatment process is somewhat lower than the average cost as treatment progresses, our revenue from treatment services tends to grow as the year continues, particularly for new clients. In addition, as with most medical benefits plans, members will typically seek to maximize the use of their benefits once they have reached their annual deductible and/or annual out-of-pocket maximums, thereby increasing treatments in the latter part of the year. We expect that this seasonality will continue to affect our revenue and results of operations in the future as we continue to target larger enterprise clients.</w:t>
      </w:r>
    </w:p>
    <w:p>
      <w:pPr>
        <w:spacing w:after="0" w:line="18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seasonality of our business could create cash flow management risks if we do not adequately anticipate and plan for periods of comparatively decreased cash flow, which could negatively impact our ability to execute on our strategy, which in turn could harm our results of operations. Accordingly, our results for any particular quarter may vary for a number of reasons, and we caution investors to evaluate our quarterly results in light of these factors.</w:t>
      </w:r>
    </w:p>
    <w:p>
      <w:pPr>
        <w:spacing w:after="0" w:line="199"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our new solutions and services are not adopted by our clients or members, or if we fail to innovate and develop new offerings that are adopted by our clients, our revenue and results of operations may be adversely affected.</w:t>
      </w:r>
    </w:p>
    <w:p>
      <w:pPr>
        <w:spacing w:after="0" w:line="19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To date, we have derived a substantial majority of our revenue from sales of our fertility benefits and Progyny Rx solutions. As we operate in an evolving industry and new market, our long-term results of operations and continued growth will depend on our ability to successfully develop and market new solutions and services to our clients. If our existing clients and members do not value and/or are not willing to adopt such new solutions or services, it could adversely affect our business, financial condition and results of operations. If we are unable to accurately predict clients’ or members’ preferences, if the market in which we operate changes, including in response to government regulation, or if we are unable to modify our solutions and services on a timely basis, we may lose clients. Our results of operations would also suffer if our innovations are not responsive to the needs of our members, appropriately timed with market opportunity or effectively brought to market.</w:t>
      </w:r>
    </w:p>
    <w:p>
      <w:pPr>
        <w:spacing w:after="0" w:line="204"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adapt and respond effectively to the changing medical landscape, changing laws, regulations or government actions or enforcement priorities, or changing client needs, requirements or preferences, our offerings may become less competitive.</w:t>
      </w:r>
    </w:p>
    <w:p>
      <w:pPr>
        <w:spacing w:after="0" w:line="18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market in which we compete is subject to a changing medical landscape and changing laws, regulations and government actions and enforcement priorities, as well as changing client needs, requirements and preferences. The success of our business will depend, in part, on our ability to adapt and respond effectively to these changes on a timely basis. Our business strategy may not effectively respond to these changes, and we may fail to recognize and position ourselves to capitalize on market opportunities. We may not have sufficient advance notice and resources to develop and effectively implement an alternative strategy. There may be scientific or clinical changes that require us to change our solutions or that make our solutions, including the Smart Cycles, less competitive in the marketplace. If there are sensitivities to our model or our existing competitors and new entrants create new disruptive business models and/or develop new solutions that clients and members prefer to our solutions, we may lose clients and members, and our results of operations, cash flows and/or prospects may be adversely affected. The future performance of our business will depend in large part on our ability to design and implement market appropriate strategic initiatives, some of which will occur over several years in a dynamic industry. If these initiatives do not achieve their objectives, our results of operations could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right="16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and enhance our brand, our ability to expand our client base will be impaired, and our business, financial condition and results of operations may suffer.</w:t>
      </w:r>
    </w:p>
    <w:p>
      <w:pPr>
        <w:spacing w:after="0" w:line="185"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We believe that maintaining and enhancing the Progyny brand is important to support the marketing and sale of our existing and future solutions to new clients and expand sales of our solutions to existing clients. We also believe that the importance of brand recognition will increase as competition in our market increases. Successfully maintaining and enhancing our brand will depend largely on the effectiveness of our marketing efforts, our ability to provide reliable services that continue to meet the needs of our clients at competitive prices, our ability to maintain our clients’ trust, our ability to continue to develop new solutions, and our ability to successfully differentiate our platform from competitive solutions and services. Our brand promotion activities may not generate client awareness or yield increased revenue, and even if they do, any increased revenue may not offset the expenses we incur in building our brand. If we fail to successfully promote and maintain our brand, our business, financial condition and results of operations may suffer.</w:t>
      </w:r>
    </w:p>
    <w:p>
      <w:pPr>
        <w:spacing w:after="0" w:line="21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retain members of our management team or other key employees or fail to attract additional qualified personnel, our business and future growth may be negatively impacted.</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Our success and future growth depend, in part, on the continued services of our management team and other key employees as well as our ability to continue to identify, attract, and retain additional highly-qualified personnel. Competition for talent is intense, and many of the companies with which we compete for talent have greater resources than we do. There is no guarantee that we will be able to attract such personnel on terms that are favorable to us or at all. In addition, our management team and other key employees are employed on an at-will basis, which means that these personnel could terminate their employment with us at any time. If we fail to retain one or more members of our management team or other key employees, or fail to attract and retain new personnel, our business and future growth may be negatively impacted.</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Any litigation against us could be costly and time-consuming to defend and could harm our business, financial condition and results of operations.</w:t>
      </w:r>
    </w:p>
    <w:p>
      <w:pPr>
        <w:spacing w:after="0" w:line="25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have in the past and may in the future become subject to legal proceedings and claims that arise in the ordinary course of business, such as claims brought by our clients or vendors in connection with commercial disputes or employment claims made by our current or former employees. We are unable to predict the outcome of any legal proceedings. Such proceedings might result in substantial costs, regardless of the outcome, and may divert management’s attention and resources, which might seriously harm our business, financial condition and results of operations. Insurance might not cover litigation claims, might not provide sufficient payments to cover all the costs to resolve one or more such claims, and might not continue to be available on terms acceptable to us. A claim brought against us that is uninsured or under insured could result in unanticipated costs, including negative publicity, regardless of whether the allegations are valid or we are ultimately liable, which could damage our reputation and have a material adverse impact on our business, financial condition and results of operations.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are exposed to credit risk from our members.</w:t>
      </w:r>
    </w:p>
    <w:p>
      <w:pPr>
        <w:spacing w:after="0" w:line="24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collect co-payments, co-insurance and deductibles directly from our members. We do not require collateral for such receivables. Our failure to collect a significant portion of the amount due on such receivables directly from members could adversely affect our business, financial condition and results of operations.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with government entities is subject to a number of challenges and risks.</w:t>
      </w:r>
    </w:p>
    <w:p>
      <w:pPr>
        <w:spacing w:after="0" w:line="2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We may sell our services or solutions to U.S. federal, state, and local government and agency clients. Sales to such entities are subject to a number of challenges and risks. Selling to such entities can be highly competitive, expensive, and time-consuming, often requiring significant upfront time and expense without any assurance that these efforts will generate a sale. Government contracting requirements may change and in doing so restrict our ability to sell into the government sector until we have attained a revised certification. Government demand and payment for our offerings are dependent on many factors beyond our control, including general economic conditions, public sector budgetary constraints and funding authorizations, and general political priorities, with funding reductions or delays adversely affecting public sector demand for our offerings.</w:t>
      </w:r>
    </w:p>
    <w:p>
      <w:pPr>
        <w:spacing w:after="0" w:line="22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Further, governmental and highly regulated entities may demand contract terms that differ from our standard arrangements. Such entities may have statutory, contractual, or other legal rights to terminate contracts with us or our partners due to a default or for other reasons. Any such termination may adversely affect our reputation,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Failure to enforce our intellectual property rights could impair our ability to protect our proprietary technology and our brand.</w:t>
      </w:r>
    </w:p>
    <w:p>
      <w:pPr>
        <w:spacing w:after="0" w:line="22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Our success depends in part on our ability to protect our brand, trade secrets and confidential information, including unpatented know-how, technology and other proprietary information, and maintaining, defending and enforcing our intellectual property rights. We rely on our agreements with our clients, non-disclosure and confidentiality agreements with employees and third parties, and our trademarks, trade secrets, and copyrights to protect our intellectual property rights. However, any of these parties may breach such agreements and disclose our confidential or proprietary information, and we may not be able to obtain adequate remedies for such breaches. In addition, we may not be able to detect or prevent the unauthorized use of such information or take appropriate and timely steps to protect and enforce our intellectual property rights. There is no assurance that we will be able to obtain, maintain, defend and enforce our intellectual property rights or that such intellectual property rights will not be challenged, narrowed, held unenforceable or circumvented. Therefore, these legal protections and precautions may not prevent infringement, misappropriation, dilution or other violations of our intellectual property. Any litigation and any infringement, misappropriation, dilution or other violations of our intellectual property could hinder our ability to market and sell our solutions, and our business, financial condition and results of operations could be adversely affected.</w:t>
      </w:r>
    </w:p>
    <w:p>
      <w:pPr>
        <w:spacing w:after="0" w:line="233"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If any of our trade secrets were to be lawfully obtained or independently developed by a competitor or other third party, we would have no right to prevent them from using that technology or information to compete with us, and our competitive position would be harmed.</w:t>
      </w:r>
    </w:p>
    <w:p>
      <w:pPr>
        <w:spacing w:after="0" w:line="203"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Third parties may allege that our products and services, or the conduct of our business, infringe, misappropriate or otherwise violate such third party’s intellectual property rights. Even if such claims are without merit, defending such claims would cause us to incur substantial expenses and could cause us to pay substantial damages or seek a costly license if we are found to be infringing, misappropriating, or otherwise violating a third party’s intellectual property rights. If we are unable to enter into a license on acceptable terms or at all, we could be forced to cease some aspect of our business operations or be forced to redesign our products or services so that we no longer infringe a third-party's intellectual property rights, which may result in significant cost and delay to us or which redesign could be technically infeasible. Even if resolved in our favor, litigation or other legal proceedings relating to intellectual property claims may cause us to incur significant expenses and could distract our employees and management from their normal responsibilities.</w:t>
      </w:r>
    </w:p>
    <w:p>
      <w:pPr>
        <w:spacing w:after="0" w:line="21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Moreover, although we take measures to ensure that our employees do not use the confidential or proprietary information or know-how of others in their work for us, we may be subject to claims that we or our employees have used or disclosed intellectual property, including trade secrets or other confidential or proprietary information, of third parties, including such individual’s former employer. If we fail in defending any such claims, in addition to paying monetary damages, we may lose valuable intellectual property rights or personnel. Even if we are successful in defending against such claims, litigation could result in substantial costs and be a distraction to management.</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Furthermore, we currently own registered trademarks. Any of our trademarks or trade names, whether registered or unregistered, may be challenged, opposed, infringed, cancelled, circumvented or declared generic or determined to be infringing on other marks, as applicable. We may not be able to protect our rights to these trademarks and trade names, which we need to continue to build name recognition with potential partners or clients in our markets of interest.</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utilize a portion of our net operating loss carryforwards, which could adversely affect our profitability.</w:t>
      </w:r>
    </w:p>
    <w:p>
      <w:pPr>
        <w:spacing w:after="0" w:line="256"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Under Section 382 of the Internal Revenue Code of 1986, as amended, our ability to utilize net operating loss carryforwards or other tax attributes in any taxable year may be limited if we experience an “ownership change.” A Section 382 “ownership change” generally occurs if one or more stockholders or groups of stockholders who own at least 5% of our stock increase their ownership by more than 50 percentage points over their lowest ownership percentage within a rolling three-year period. Similar rules may apply under state tax laws. Future issuances of our stock could cause an “ownership change.” Any future ownership change, which could be outside of our control, could affect the use of our net operating loss carryforwards or other tax attributes existing at the time of the ownership change, which could adversely affect our profitability.</w:t>
      </w: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our effective tax rate or tax liabilities may have an adverse effect on our results of operations.</w:t>
      </w:r>
    </w:p>
    <w:p>
      <w:pPr>
        <w:spacing w:after="0" w:line="2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effective tax rate could be impacted due to several factors, including, but not limited to:</w:t>
      </w:r>
    </w:p>
    <w:p>
      <w:pPr>
        <w:spacing w:after="0" w:line="233" w:lineRule="exact"/>
        <w:rPr>
          <w:sz w:val="20"/>
          <w:szCs w:val="20"/>
          <w:color w:val="auto"/>
        </w:rPr>
      </w:pPr>
    </w:p>
    <w:p>
      <w:pPr>
        <w:ind w:left="660" w:hanging="328"/>
        <w:spacing w:after="0"/>
        <w:tabs>
          <w:tab w:leader="none" w:pos="660" w:val="left"/>
        </w:tabs>
        <w:numPr>
          <w:ilvl w:val="0"/>
          <w:numId w:val="30"/>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relative amounts of income before taxes in the various jurisdictions in which we operate that have differing statutory tax rates;</w:t>
      </w:r>
    </w:p>
    <w:p>
      <w:pPr>
        <w:spacing w:after="0" w:line="200" w:lineRule="exact"/>
        <w:rPr>
          <w:rFonts w:ascii="Arial" w:cs="Arial" w:eastAsia="Arial" w:hAnsi="Arial"/>
          <w:sz w:val="22"/>
          <w:szCs w:val="22"/>
          <w:color w:val="auto"/>
        </w:rPr>
      </w:pPr>
    </w:p>
    <w:p>
      <w:pPr>
        <w:spacing w:after="0" w:line="389" w:lineRule="exact"/>
        <w:rPr>
          <w:rFonts w:ascii="Arial" w:cs="Arial" w:eastAsia="Arial" w:hAnsi="Arial"/>
          <w:sz w:val="22"/>
          <w:szCs w:val="22"/>
          <w:color w:val="auto"/>
        </w:rPr>
      </w:pPr>
    </w:p>
    <w:p>
      <w:pPr>
        <w:ind w:left="5540"/>
        <w:spacing w:after="0"/>
        <w:rPr>
          <w:rFonts w:ascii="Arial" w:cs="Arial" w:eastAsia="Arial" w:hAnsi="Arial"/>
          <w:sz w:val="22"/>
          <w:szCs w:val="22"/>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left="660" w:hanging="328"/>
        <w:spacing w:after="0" w:line="220" w:lineRule="auto"/>
        <w:tabs>
          <w:tab w:leader="none" w:pos="65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tax laws, tax treaties, or regulations or the interpretation of them (such as the One Big Beautiful Bill Act, which, among other changes, makes permanent the immediate expensing of certain domestic research and development costs and 100% bonus depreciation for eligible property);</w:t>
      </w:r>
    </w:p>
    <w:p>
      <w:pPr>
        <w:spacing w:after="0" w:line="225"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changes to our assessment about our ability to realize our deferred tax assets that are based on estimates of our future results, the prudence and feasibility of possible tax planning strategies, and the economic and political environments in which we do business;</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the outcome of future tax audits, examinations, or administrative appeals;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limitations or adverse findings regarding our ability to do business in some jurisdictions;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1"/>
        </w:numPr>
        <w:rPr>
          <w:rFonts w:ascii="Arial" w:cs="Arial" w:eastAsia="Arial" w:hAnsi="Arial"/>
          <w:sz w:val="22"/>
          <w:szCs w:val="22"/>
          <w:color w:val="auto"/>
        </w:rPr>
      </w:pPr>
      <w:r>
        <w:rPr>
          <w:rFonts w:ascii="Times New Roman" w:cs="Times New Roman" w:eastAsia="Times New Roman" w:hAnsi="Times New Roman"/>
          <w:sz w:val="18"/>
          <w:szCs w:val="18"/>
          <w:color w:val="auto"/>
        </w:rPr>
        <w:t>discrete impact tax items, including items resulting from the amount and timing of equity exercises and our stock price.</w:t>
      </w:r>
    </w:p>
    <w:p>
      <w:pPr>
        <w:spacing w:after="0" w:line="22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Any of these factors could have an adverse effect on our results of operations.</w:t>
      </w:r>
    </w:p>
    <w:p>
      <w:pPr>
        <w:spacing w:after="0" w:line="23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Certain U.S. state tax authorities may assert that we have a state nexus and seek to impose state and local taxes, which could adversely affect our results of operations.</w:t>
      </w:r>
    </w:p>
    <w:p>
      <w:pPr>
        <w:spacing w:after="0" w:line="19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currently file tax returns in certain states. There is a risk that certain state tax authorities, where we do not currently file a tax return, could assert that we are liable for state and local taxes based on income or gross receipts allocable to such states. States are becoming increasingly aggressive in asserting a nexus for state tax purposes. We could be subject to state and local taxation, including penalties and interest attributable to prior periods, if a state tax authority where we do not currently file a state tax return successfully asserts that our activities give rise to a taxable nexus. Such tax assessments, penalties and interest may adversely affect our results of operations.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reported financial results may be adversely affected by changes in accounting principles generally accepted in the United States.</w:t>
      </w:r>
    </w:p>
    <w:p>
      <w:pPr>
        <w:spacing w:after="0" w:line="2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Accounting principles generally accepted in the United States are subject to interpretation by the Financial Accounting Standards Board, or FASB, the SEC and various bodies formed to promulgate and interpret appropriate accounting principles. A change in accounting principles or interpretations, including the adoption of new or revised accounting principles, may require us to make changes to our systems, processes and controls, which could have a significant effect on our reported financial results, cause unexpected financial reporting fluctuations, retroactively affect previously reported results or require us to make costly changes to our operational processes and accounting systems upon or following the adoption of these standards. See Note 2 – Significant Accounting Policies included in the notes to the consolidated financial statements of this Quarterly Report on Form 10-Q for additional information on recently issued but not yet adopted accounting standards.</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our estimates or judgments relating to our critical accounting policies prove to be incorrect, our results of operations could be adversely affected.</w:t>
      </w:r>
    </w:p>
    <w:p>
      <w:pPr>
        <w:spacing w:after="0" w:line="243"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generally accepted accounting principles, or U.S. GAAP, requires management to make estimates and assumptions that affect the amounts reported in our consolidated financial statements and accompanying notes included elsewhere in this Quarterly Report on Form 10-Q. We base our estimates on historical experience and on various other assumptions that we believe to be reasonable under the circumstances, as provided in Part I, Item 2. “Management’s Discussion and Analysis of Financial Condition and Results of Operations-Critical Accounting Estimates” of this Quarterly Report on Form 10-Q. The results of these estimates form the basis for making judgments about the carrying values of assets, liabilities and equity and the amount of revenue and expenses that are not readily apparent from other sources. We believe that the assumptions and estimates associated with our accrued receivables related to revenue recognition, accrued claims payable, stock-based compensation expense, and accounting for income taxes have the greatest potential impact on our consolidated financial statements, and therefore, we consider these to be our critical accounting policies and estimates. Our results of operations may be adversely affected if our assumptions change or if actual circumstances differ from those in our assumptions, which could cause our results of operations to fall below the expectations of securities analysts and investors, resulting in a decline in the market price of our common stock.</w:t>
      </w: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Our Relationships with Third Parties</w:t>
      </w:r>
    </w:p>
    <w:p>
      <w:pPr>
        <w:spacing w:after="0" w:line="22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business depends on our ability to maintain our Center of Excellence network of high-quality fertility specialists and other healthcare providers. If we are unable to do so, our future growth would be limited and our business, financial condition and results of operations would be harmed.</w:t>
      </w:r>
    </w:p>
    <w:p>
      <w:pPr>
        <w:spacing w:after="0" w:line="18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Our success is dependent upon our continued ability to maintain a selective Center of Excellence, our proprietary, credentialed network of high-quality fertility specialists. Fertility specialists and our other network providers could refuse to continue to contract with us, demand higher payments or take other actions that could result in higher medical costs, less attractive service for our members or difficulty meeting regulatory or accreditation requirements. Identifying high-quality fertility specialists and other healthcare providers; credentialing and negotiating contracts with them; and evaluating, monitoring and maintaining our network requires significant time and resources. Our network provider contractual arrangements generally may be terminated or not renewed by either party without cause upon prior written notice. We cannot provide any assurance that we will be able to continue to renew our existing contracts or enter into new contracts on a timely basis or under favorable terms enabling us to service our members in a profitable manner. If we are not successful in maintaining our relationships with top fertility specialists, they may refuse to renew their contracts with us, and potential competitors may be effective in onboarding these or other high-quality fertility specialists to create a similar high-quality network. Any of these events could have a material adverse effect on our operations and the provision of services to our members.</w:t>
      </w:r>
    </w:p>
    <w:p>
      <w:pPr>
        <w:spacing w:after="0" w:line="226"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There may be additional shifts in the fertility specialty provider space as the fertility market matures, and high-quality fertility specialists may become more demanding in re-negotiating to remain in our network. Our ability to develop and maintain satisfactory relationships with high-quality fertility specialists and other healthcare providers also may be negatively impacted by other factors beyond our control, such as legal and regulatory changes, including changes in government enforcement priorities, impacting providers or consolidation activity among hospitals, physician groups and healthcare providers. In addition, in some markets and geographic areas, certain organizations of physicians or healthcare providers, such as practice management companies (which group together physician practices for administrative efficiency and marketing leverage), accountable care organizations, clinically integrated networks, independent practice associations, and other organizational structures that physicians and other healthcare providers choose may change the way in which these providers do business with us, as well as the competitive landscape. Such organizations or groups of healthcare providers may compete directly with us, which could force us to incur costs to change our business operations, adversely impact our relationships with our providers, or affect how we price our products and estimate our costs, all of which could adversely affect our results of operations, financial position, and cash flows. Healthcare providers in our network may consolidate or merge into other groups or healthcare systems, resulting in a reduction of providers in our network and in the competitive environment. In addition, if these providers refuse to contract with us, use their market position to negotiate contracts unfavorable to us or place us at a competitive disadvantage, our ability to market our solutions or to be profitable in those areas could be materially and adversely affected.</w:t>
      </w:r>
    </w:p>
    <w:p>
      <w:pPr>
        <w:spacing w:after="0" w:line="210"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From time to time, our network providers may assert, or threaten to assert, claims seeking to terminate our contractual arrangements. If enough provider agreements are terminated, such terminations could adversely impact the adequacy of our network to service our members and adversely impact our ability to market our solutions. If we are unable to retain our current provider contract terms or enter into new provider contracts timely or on favorable terms, our profitability may be harmed. In addition, from time to time, we may in the future be subject to class action or other lawsuits by healthcare providers with respect to claims payment procedures, reimbursement policies, network participation, or similar matters. Regardless of whether any such lawsuits brought against us are successful or have merit, they will be time-consuming and costly and could have an adverse impact on our reputation. As a result, under such circumstances, we may be unable to operate our business effectively.</w:t>
      </w:r>
    </w:p>
    <w:p>
      <w:pPr>
        <w:spacing w:after="0" w:line="208"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perceived value of our solutions and our reputation may be negatively impacted if the services provided by one or more of our fertility specialists or another network healthcare provider are not satisfactory to our members, including as a result of provider error, which could result in litigation. For example, if a provider within our network experiences an issue with its cryopreservation techniques or releases sensitive member information, it could result in us incurring substantial additional expenses, expose us to public scrutiny, adversely affect our brand and reputation, expose us to litigation and/or regulatory action, and otherwise make our operations vulnerable. In addition, if a fertility specialist provides services that result in less than favorable outcomes, this could cause us to fail to meet our contractually guaranteed performance metrics, and we could be obligated to provide the affected client with a fee reduction. The failure to maintain our selective network of high-quality fertility specialists and other healthcare providers, or the failure of such providers to meet and exceed our members’ expectations, may result in a loss of or inability to grow or maintain our client base, which could adversely affect our business, financial condition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growth depends in part on the success of our strategic relationships with, and monitoring of, third parties, including channel partners and vendors, as well as insurance carriers.</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In order to grow our business, we anticipate that we will continue to depend on our relationships with third parties, including channel partners, vendors and insurance carriers, among others. As the fertility industry and our client base grow, if we do not successfully maintain our relationships with insurance carriers, they may make integration more difficult or expensive, such as implementing an onerous fee structure in exchange for our ability to continue to integrate our solutions with their platforms. If we are unsuccessful in establishing or maintaining our relationships with third parties, our ability to compete in the marketplace or to grow our revenue could be impaired and our results of operations may suffer.</w:t>
      </w:r>
    </w:p>
    <w:p>
      <w:pPr>
        <w:spacing w:after="0" w:line="204"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addition, our arrangements with such third parties may expose us to public scrutiny, adversely affect our brand and reputation, expose us to litigation and/or regulatory action, or otherwise make our operations vulnerable if we fail to adequately monitor their performance or if they fail to meet their contractual obligations to us or to comply with applicable laws or regulations.</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we fail to maintain an efficient pharmacy distribution network or if there is a disruption to our network of specialty pharmacies or their supply chains or business economics, our business, financial condition and results of operations could suffer.</w:t>
      </w:r>
    </w:p>
    <w:p>
      <w:pPr>
        <w:spacing w:after="0" w:line="198"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 timely delivery of fertility medication is essential for fertility treatments. If medication is delivered late or becomes unavailable, it may result in postponement of a member’s treatment cycle and member dissatisfaction with our solutions. We believe that our ability to continue to maintain and grow the adoption of Progyny Rx by our clients is highly dependent on our success in maintaining an efficient pharmacy distribution network and our on-time delivery record. The specialty pharmacies in our network could refuse to contract with us, demand higher drug pricing or take other actions in response to industry actions that could result in higher medical costs or less attractive services for our members, thereby limiting our commercial opportunities.</w:t>
      </w:r>
    </w:p>
    <w:p>
      <w:pPr>
        <w:spacing w:after="0" w:line="20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In addition, specialty pharmacies could face supply chain issues or regulatory delays impacting the availability or distribution of certain fertility medication requiring drug substitutions that could result in higher medical costs or negatively impact our revenues, rebates and results of operations. We do not control the pricing strategies or supply chains of our specialty pharmacy partners, each of which may be impacted by general economic considerations, including inflation and other independent considerations and drivers beyond our control, and each of which has the ability to set or impact market price for different prescription medications. We cannot provide any assurance that we will be able to continue to renew our existing contracts, maintain our current negotiated pricing or discounts, or enter into new contracts on a timely basis or under favorable terms enabling us to service our members profitably. If we are not successful in maintaining our relationships with the specialty pharmacies in our network, are otherwise unable to maintain an efficient pharmacy distribution network, or if a significant disruption thereto should occur, it may adversely affect our business, financial condition and results of operations. From time to time, we experience supply chain disruptions, and we may in the future experience material supply chain changes and disruptions that impact the production and availability of medications relied on by Progyny members, which could negatively impact our revenue and results of operations.</w:t>
      </w:r>
    </w:p>
    <w:p>
      <w:pPr>
        <w:spacing w:after="0" w:line="20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we lose our relationship with one or more key pharmacy program partners, or if the rebates provided by pharmacy program partners decline, our business and results of operations could be adversely affected.</w:t>
      </w:r>
    </w:p>
    <w:p>
      <w:pPr>
        <w:spacing w:after="0" w:line="172"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We maintain contractual relationships with select pharmacy program partners, which provide us access to limited distribution specialty pharmaceutical rebates for drugs we purchase. While we have contractual relationships with such pharmacy program partners, they in turn often negotiate complex, multi-national and multi-party pricing structures with other industry participants, and we have no control over the policies and strategies utilized in negotiating these pricing structures. Such structures may set or significantly impact market prices for prescription drugs that we purchase and the associated rebates for such drugs. Pharmacy program partners generally direct medication pricing by setting medication list prices and offering rebates and/or discounts for their medications. Various market considerations, such as the number of competitor medications, the availability of fertility medications and alternative treatment options, negotiated rates among industry participants, cost to import, and distribution of materials and finished products, impact the list prices for medications. Our ability to obtain and maintain specialty pharmaceutical rebates, our relative bargaining power, the value of any such rebates and our ability to generate revenue are directly affected by the pricing structures in place among the various industry participants, and changes in medication pricing and in the general pricing structures, whether due to regulatory requirements, competitive pressures or otherwise, could have an adverse effect on our business, financial condition and results of operations. Further, the consolidation of pharmaceutical manufacturers, shortages of drugs provided by such manufacturers, the termination or material alteration of our contractual relationships, or our failure to renew such contracts on favorable terms could also have a material adverse effect on our business and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Our marketing efforts depend on our ability to maintain our relationships with benefits consultants and receive positive references from our existing clients, channel partners and benefits consultants.</w:t>
      </w:r>
    </w:p>
    <w:p>
      <w:pPr>
        <w:spacing w:after="0" w:line="18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We sell our solutions through our sales organization, and, in many cases, we leverage our relationships with top benefits consultants to establish relationships with potential clients. Our sales team has broad experience in health benefits management and extensive pre-existing long-term relationships with industry participants and benefits executives at large employers. If we fail to maintain our relationships with benefits consultants, our marketing efforts, business and profitability would be adversely impacted.</w:t>
      </w:r>
    </w:p>
    <w:p>
      <w:pPr>
        <w:spacing w:after="0" w:line="21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Our marketing efforts also depend significantly on our ability to call on our current clients, channel partners and benefits consultants to provide positive references to new, potential clients. Given our limited number of long-term clients, the loss or dissatisfaction of any client, channel partnership or benefit consulting relationship could substantially harm our brand and reputation, inhibit the adoption of our offerings and impair our ability to attract new clients and retain existing clients. Any of these consequences could have an adverse effect on our business, financial condition and results of operations.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Legal and Regulatory Requirements</w:t>
      </w:r>
    </w:p>
    <w:p>
      <w:pPr>
        <w:spacing w:after="0" w:line="25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operate in a highly regulated industry and must comply with a significant number of new and evolving legal and regulatory requirements, as well as complex judicial mandates, which could have an adverse impact on our business.</w:t>
      </w:r>
    </w:p>
    <w:p>
      <w:pPr>
        <w:spacing w:after="0" w:line="19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We have structured our operations to comply with all laws, regulations and other requirements applicable to us directly and to our clients and vendors, but there can be no assurance that our operations will not be challenged or impacted by regulatory authorities or enforcement initiatives. We have been, and in the future may become, involved in governmental investigations, audits, reviews and assessments. Any changes in law or future determinations by a court or agency that our corporate structure, solutions or services violate, or cause our clients or network partners to violate, applicable laws, regulations or other requirements could subject us or our clients to significant administrative, civil or criminal penalties. Such changes may also impact our ability to offer our products in the same manner to our clients, which may require us to change, reduce, or terminate portions of our business, disqualify us from serving clients in certain states or clients that do business with government entities, or to refund some or all of our service fees or otherwise compensate our clients.</w:t>
      </w:r>
    </w:p>
    <w:p>
      <w:pPr>
        <w:spacing w:after="0" w:line="200" w:lineRule="exact"/>
        <w:rPr>
          <w:sz w:val="20"/>
          <w:szCs w:val="20"/>
          <w:color w:val="auto"/>
        </w:rPr>
      </w:pPr>
    </w:p>
    <w:p>
      <w:pPr>
        <w:jc w:val="both"/>
        <w:ind w:firstLine="648"/>
        <w:spacing w:after="0" w:line="238" w:lineRule="auto"/>
        <w:rPr>
          <w:sz w:val="20"/>
          <w:szCs w:val="20"/>
          <w:color w:val="auto"/>
        </w:rPr>
      </w:pPr>
      <w:r>
        <w:rPr>
          <w:rFonts w:ascii="Times New Roman" w:cs="Times New Roman" w:eastAsia="Times New Roman" w:hAnsi="Times New Roman"/>
          <w:sz w:val="18"/>
          <w:szCs w:val="18"/>
          <w:color w:val="auto"/>
        </w:rPr>
        <w:t>As we continue to execute on our growth strategy, we may be subject to new laws, regulations, and other requirements. We announced that we anticipate offering our fertility solution to large group fully insured employers, which will subject us to additional laws, regulations and other requirements. We expect to devote a significant amount of management time and resources related to ensuring regulatory compliance in connection this new offering, and such compliance costs will be ongoing and may increase in the future. We are unable to predict how new legislation, regulation, judicial action or executive action will ultimately impact the healthcare industry at large or our business and our relationships with existing and future clients, insurance carriers, and healthcare providers in particular. We also cannot predict the timing or impact of any future rule making, court decisions or other changes in law. If we are unable to comply with new laws and regulations or provide adequate assistance to our clients who may be subject to such laws or regulations, or if such changes impact our current business model and operations, we may be exposed to litigation or other government action and our business, financial condition and results of operations may be adversely impacted.</w:t>
      </w:r>
    </w:p>
    <w:p>
      <w:pPr>
        <w:spacing w:after="0" w:line="218"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addition, failure to comply with laws, regulations or other requirements could adversely affect demand for our solutions and force us to expend significant capital, research and development and other resources to address such failure. Even an unsuccessful challenge by regulatory, judicial and other authorities or parties could be expensive and time-consuming; could result in loss of business, exposure to negative publicity, and injury to our reputation; and could adversely affect our ability to retain and attract clients. If we fail to comply with applicable laws, regulations and other requirements, including, but not limited to the following, our business, financial condition and results of operations could be adversely affected and require significant investment to address, which may be costly. For more information on regulations affecting our business, see “Business—Government Regulation” in Part I, Item 1. Business of our Annual Report on Form 10-K.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Changes in State and Federal Laws Related to Reproductive Rights and Fertility Benefits</w:t>
      </w:r>
    </w:p>
    <w:p>
      <w:pPr>
        <w:spacing w:after="0" w:line="24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State and federal legislation has been adopted or proposed that would impact our business operations, products, and solutions. In the absence of overarching federal law, states are increasingly proposing or adopting laws that directly or indirectly impact our operations. We cannot predict which laws will ultimately be adopted, and whether, and to what extent, such laws will impact our ability to maintain our current operations. Such laws could have a material adverse effect on our business and results of operations. In addition, a patchwork of state laws and mandates could impact our ability to offer a uniform and streamlined benefit across states, which could reduce efficiency across our business operations and adversely impact our financial performance and our ability to grow in such states.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Licensing Requirements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Many states have licensure or registration requirements for entities acting as a third party administrator, or TPA, or pharmacy benefit manager, or PBM. We are licensed, are exempt from licensure or registration, or believe that we are otherwise authorized in the states where we provide TPA and PBM services. These licenses require us to comply with the rules and regulations of the governmental bodies that issued such licenses, including maintaining certain solvency or bond requirements. Our failure to comply with such rules and regulations could result in significant administrative penalties, including monetary penalties and corrective action plans, the suspension of a license, or the loss of a license, all of which could negatively impact our business.</w:t>
      </w:r>
    </w:p>
    <w:p>
      <w:pPr>
        <w:spacing w:after="0" w:line="204"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Certain states also impose licensing requirements on entities that provide utilization review services. We are licensed, are exempt from licensure or registration, or believe that we are otherwise authorized in the states where we provide utilization review services. However, we are unable to predict how our services may be viewed by regulators over time, how these laws and regulations will be interpreted and enforced, or the full extent of their application. If a regulatory authority in any state determines that the nature of our business requires that we be licensed under applicable state laws, we may need to restructure our business to comply with any related requirements, such as maintaining adequate reserves, creating new compliance processes, hiring additional personnel to help manage our compliance, and paying additional regulatory fees or penalties, which could adversely affect our results of operations. We may need to cease operations until we are able to obtain appropriate licensure, which may adversely affect our revenue for a period of time that we cannot estimate.</w:t>
      </w:r>
    </w:p>
    <w:p>
      <w:pPr>
        <w:spacing w:after="0" w:line="213"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In addition, we employ PCAs to support and guide our members. Our PCAs do not provide any licensed healthcare services, and in turn, are not licensed by any regulatory body to provide such services. We otherwise do not employ individuals to provide any healthcare services requiring licensure. If a professional board in any state determines that the services provided by our PCAs require a license, we may need to conduct additional training and credentialing, replace personnel, obtain additional insurance, pay increased salaries, and suspend PCA services while our personnel obtain the necessary licensure, which may adversely affect our results of operations, our relationships with our clients and members, and cause us to be in breach of our contractual arrangements.</w:t>
      </w:r>
    </w:p>
    <w:p>
      <w:pPr>
        <w:spacing w:after="0" w:line="20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HIPAA Privacy and Security Requirements</w:t>
      </w:r>
    </w:p>
    <w:p>
      <w:pPr>
        <w:spacing w:after="0" w:line="25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When acting as a “Business Associate” under the Health Insurance Portability and Accountability Act of 1996, as amended, or HIPAA, to the extent permitted by applicable privacy regulations and our contractual arrangements with our clients, we are permitted to use and disclose protected health information to perform our services and for other limited purposes, but other uses and disclosures, such as marketing communications, require written authorization from the member or must meet an exception specified under HIPAA. If we, or any of our downstream Business Associates, are unable to properly protect the privacy and security of protected health information entrusted to us, we could be in breach of contractual arrangements with our clients and be subject to investigation by HHS' Office for Civil Rights, or OCR. In the event the OCR finds that we have failed to comply with applicable HIPAA privacy and security standards, we could face civil and criminal penalties.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1" w:lineRule="auto"/>
        <w:rPr>
          <w:sz w:val="20"/>
          <w:szCs w:val="20"/>
          <w:color w:val="auto"/>
        </w:rPr>
      </w:pPr>
      <w:r>
        <w:rPr>
          <w:rFonts w:ascii="Times New Roman" w:cs="Times New Roman" w:eastAsia="Times New Roman" w:hAnsi="Times New Roman"/>
          <w:sz w:val="18"/>
          <w:szCs w:val="18"/>
          <w:color w:val="auto"/>
        </w:rPr>
        <w:t>In addition, OCR performs compliance audits of Covered Entities and Business Associates in order to proactively enforce the HIPAA privacy and security standards. The OCR has become an increasingly active regulator and has signaled its intention to continue this trend. The OCR has the discretion to impose penalties and may require companies to enter into resolution agreements and corrective action plans, which impose ongoing compliance requirements. The OCR enforcement activity, or a third-party audit related to a HIPAA incident regarding us or a downstream Business Associate, can result in financial liability and reputational harm, and responses to such enforcement activity can consume significant internal resources. In addition to enforcement by the OCR, state attorneys general are authorized to bring civil actions under either HIPAA or relevant state laws seeking either injunctions or damages in response to violations that threaten the privacy of state residents’ identifiable health information. Although we have implemented and maintain policies, processes and compliance program infrastructure to assist us in complying with HIPAA and our contractual obligations, we cannot provide assurance regarding how these laws and regulations will be interpreted, enforced or applied to our operations. In addition to the risks associated with enforcement activities and potential contractual liabilities, our ongoing efforts to comply with evolving laws and regulations at the federal and state levels also may require us to make costly system purchases and/or modifications or otherwise divert significant resources to HIPAA compliance initiatives from time to time.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Other Data Privacy and Cybersecurity Requirements</w:t>
      </w:r>
    </w:p>
    <w:p>
      <w:pPr>
        <w:spacing w:after="0" w:line="229" w:lineRule="exact"/>
        <w:rPr>
          <w:sz w:val="20"/>
          <w:szCs w:val="20"/>
          <w:color w:val="auto"/>
        </w:rPr>
      </w:pPr>
    </w:p>
    <w:p>
      <w:pPr>
        <w:jc w:val="both"/>
        <w:ind w:firstLine="648"/>
        <w:spacing w:after="0" w:line="236" w:lineRule="auto"/>
        <w:rPr>
          <w:sz w:val="20"/>
          <w:szCs w:val="20"/>
          <w:color w:val="auto"/>
        </w:rPr>
      </w:pPr>
      <w:r>
        <w:rPr>
          <w:rFonts w:ascii="Times New Roman" w:cs="Times New Roman" w:eastAsia="Times New Roman" w:hAnsi="Times New Roman"/>
          <w:sz w:val="18"/>
          <w:szCs w:val="18"/>
          <w:color w:val="auto"/>
        </w:rPr>
        <w:t>In addition to HIPAA, numerous other federal and state laws, rules, regulations and standards govern the collection, dissemination, use, handling, transfer, processing, access to and confidentiality of personal information, some of which may be applicable to our business. Certain federal and state laws protect types of personal information that may be viewed as particularly sensitive. In many cases, state laws are more restrictive than, and not preempted by, HIPAA, and may allow personal rights of action with respect to data privacy or cybersecurity breaches, as well as fines. State laws are contributing to increased enforcement activity and may also be subject to interpretation by various courts and other governmental authorities. The California Consumer Privacy Act, as amended by the California Privacy Rights Act, or the CCPA, gives California residents certain rights to access and delete their personal information, opt out of certain personal information sharing, including certain sensitive personal information, and receive detailed information about how their personal information is used. The CCPA provides for civil penalties for violations, as well as a private right of action for data breaches, which has increased the likelihood and risks associated with data breach litigation. Additional investment in compliance and potential business process changes may be required. Similar laws have passed in other states and are continuing to be proposed at the state and federal level, reflecting a trend toward more stringent privacy legislation in the United States. The enactment of such laws could have potentially conflicting requirements that would make compliance challenging and could lead to additional liability risks.</w:t>
      </w:r>
    </w:p>
    <w:p>
      <w:pPr>
        <w:spacing w:after="0" w:line="231"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Certain of our solutions and services involve the transmission and storage of client and member data in various jurisdictions, which subjects the operation of those solutions and services to data privacy or data protection laws, rules and regulations in those jurisdictions. There can be no assurance that such requirements will not change or that we will not otherwise be subject to legal or regulatory actions. These laws, rules and regulations are rapidly evolving and changing and could have an adverse impact on our operations.</w:t>
      </w:r>
    </w:p>
    <w:p>
      <w:pPr>
        <w:spacing w:after="0" w:line="204"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These laws, rules and regulations are subject to uncertainty in how they may be interpreted and enforced by government authorities and regulators. The costs of compliance with, and the other burdens imposed by, these and other laws or regulatory actions may increase our operational costs, prevent us from providing our solutions, and/or impact our ability to invest in or jointly develop our solutions. We also may face audits or investigations by one or more government agencies relating to our compliance with these laws, rules and regulations. An adverse outcome under any such investigation or audit could result in fines, penalties, other liability, adverse publicity or a loss of reputation, and adversely affect our business. Moreover, if these laws, rules and regulations change, or are interpreted and applied in a manner that is inconsistent with our policies and processes or the operation of our solutions, we may need to expend resources in order to change our business operations, policies and processes or the manner in which we provide our solutions. This could adversely affect our business, financial condition and scope of operations.</w:t>
      </w:r>
    </w:p>
    <w:p>
      <w:pPr>
        <w:spacing w:after="0" w:line="20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Data Protection and Breaches</w:t>
      </w:r>
    </w:p>
    <w:p>
      <w:pPr>
        <w:spacing w:after="0" w:line="243"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recent years, there have been a number of well-publicized data breaches involving the improper dissemination of personal information of individuals both within and outside of the healthcare industry. Laws in all 50 states require businesses to provide notice to individuals whose personally identifiable information has been disclosed as a result of a data breach. These laws are not consistent, and compliance in the event of a widespread data breach is costly. States are also constantly amending existing laws, requiring attention to frequently changing regulatory requirements. Most states require holders of personal information to maintain safeguards and take certain actions in response to a data breach, such as providing prompt notification of the breach to affected individuals or the state’s attorney general. In some states, these laws are limited to electronic data, but states increasingly are enacting or considering stricter and broader requirements.</w:t>
      </w: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Under HIPAA, Covered Entities must report breaches of unsecured protected health information to affected individuals without unreasonable delay, not to exceed 60 days following discovery of the breach by a Covered Entity or its agents. Notification also must be made to the OCR and, in certain circumstances involving large breaches, to the media. Business Associates must report breaches of unsecured protected health information to Covered Entities within 60 days of discovery of the breach by the Business Associate or its agents or such shorter period as set forth in the applicable Business Associate Agreement. A non-permitted use or disclosure of protected health information is presumed to be a breach under HIPAA unless the Covered Entity or Business Associate establishes that there is a low probability that the information has been compromised consistent with requirements enumerated in HIPAA.</w:t>
      </w:r>
    </w:p>
    <w:p>
      <w:pPr>
        <w:spacing w:after="0" w:line="208"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Despite our security management efforts with respect to physical and technical safeguards, employee training, vendor (and sub-vendor) controls and contractual relationships, our infrastructure, data or other operation centers and systems used in our business operations, including the internet and related systems of our vendors (including vendors to whom we outsource data hosting, storage or processing functions), are vulnerable to, and from time to time may experience, data breaches of confidential or proprietary information due to a variety of causes. Techniques used to obtain unauthorized access to or compromise systems change frequently, are becoming increasingly sophisticated and complex, and are often not detected until after an incident has occurred. As a result, we might not be able to anticipate these techniques, implement adequate preventive measures, or immediately detect a potential compromise. If our cybersecurity measures, some of which are managed by third-party vendors, or the cybersecurity measures of third parties with whom we work, including our service providers or vendors, are breached or fail, it is possible that unauthorized or illegal access to or acquisition, disclosure, use or processing of personally identifiable information, confidential information, or other sensitive client, member, or employee data, including HIPAA-regulated protected health information, may occur. A cybersecurity breach or failure could result from a variety of circumstances and events, including third-party action, human negligence or error, malfeasance, employee theft or misuse, phishing and other social engineering schemes, computer viruses, attacks by computer hackers, failures during the process of upgrading or replacing software, databases or components thereof, power outages, hardware failures, telecommunication failures, and catastrophic events.</w:t>
      </w:r>
    </w:p>
    <w:p>
      <w:pPr>
        <w:spacing w:after="0" w:line="21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If our cybersecurity measures, or those of the third parties with whom we work, including our service providers or vendors, were to be breached or fail, our reputation could be severely damaged, adversely affecting client or investor confidence. As a result, clients may curtail their use of, or stop using our solutions, and our business may suffer. We could be subject to litigation, damages for breach of contract, penalties and regulatory actions for violations of HIPAA and other laws or regulations applicable to data privacy and data protection, as well as incur significant costs for remediation. In addition, any potential cybersecurity breach could result in increased costs associated with liability for stolen assets or information, repairing system damage that may have been caused by such breach, incentives offered to clients or other business partners in an effort to maintain the business relationships after a breach and implementing measures to prevent future occurrences, including organizational changes, deploying additional personnel and protection technologies, training employees and engaging third-party experts and consultants. Negative publicity may also result from real, threatened or perceived security breaches affecting us or our industry or clients, which could cause us to lose clients or partners and adversely affect our operations and future prospects. While we maintain cyber insurance providing coverage for certain cybersecurity and privacy related damages and claim expenses, we may not carry insurance or maintain coverage sufficient to compensate for all liability, and such insurance may not be available for renewal on acceptable terms or at all. However, in any event, insurance coverage will not address the reputational damage that could result from a security breach.</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Consumer Protection Laws</w:t>
      </w:r>
    </w:p>
    <w:p>
      <w:pPr>
        <w:spacing w:after="0" w:line="243"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Consumer protection laws require us to publish statements to users of our services that describe how we handle personal information and choices consumers may have about the way we handle personal information. If the information we publish is considered untrue, we may be subject to claims of unfair or deceptive trade practices, which could lead to significant liabilities and consequences, including, costs of defending against litigation or settling claims and loss of existing and future clients.</w:t>
      </w:r>
    </w:p>
    <w:p>
      <w:pPr>
        <w:spacing w:after="0" w:line="18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ERISA Regulation</w:t>
      </w:r>
    </w:p>
    <w:p>
      <w:pPr>
        <w:spacing w:after="0" w:line="24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Employee Retirement Income Security Act of 1974, or ERISA, regulates certain aspects of employee health plans, including both insured and self-funded health plans sponsored by our clients. In addition, as part of our agreements with a number of our clients, we also offer PBM services through Progyny Rx. We believe that the conduct of our business vis-à-vis our clients’ plans is not of a fiduciary nature, and, therefore, we are not subject in general to the fiduciary obligations imposed by ERISA. However, there can be no assurance that the Department of Labor, or DOL, the agency that enforces ERISA, will not in the future assert that the fiduciary obligations imposed by ERISA apply to certain aspects of our operations or courts will not reach such a ruling in private ERISA litigation.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ERISA’s prohibitions on certain forms of remuneration made to, or received by, health plan service providers or other persons are broadly written, and their application to particular cases is uncertain. ERISA plans are subject to certain rules, published by the DOL, including reporting requirements for direct and indirect compensation received by health plan service providers. If the DOL or the courts interpret these requirements in a manner that is inconsistent with our business operations, we could be subject to civil or criminal liability.</w:t>
      </w:r>
    </w:p>
    <w:p>
      <w:pPr>
        <w:spacing w:after="0" w:line="204"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Separately, although ERISA generally preempts state laws that would otherwise apply to ERISA plans, recent Supreme Court rulings continue to clarify ERISA preemption as it relates to PBMs. If the interpretation of ERISA preemption is further narrowed in the future, our contractual obligations with our self-insured clients would likely require us to comply more broadly with state laws applicable to health insurance that do not currently apply to us. This may adversely impact our ability to standardize our products, solutions, and services across states.</w:t>
      </w:r>
    </w:p>
    <w:p>
      <w:pPr>
        <w:spacing w:after="0" w:line="20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State Corporate Practice and Fee-Splitting Prohibitions</w:t>
      </w:r>
    </w:p>
    <w:p>
      <w:pPr>
        <w:spacing w:after="0" w:line="256"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These laws generally prohibit non-physician entities from practicing medicine, exercising control over physicians or engaging in certain practices, such as fee-splitting, with physicians. We have structured our operations and contracts with our network providers to comply with such laws. For example, our provider agreements explicitly recognize that providers retain sole authority for medical decision making. If a state’s corporate practice of medicine or fee-splitting laws are interpreted in a manner that is inconsistent with our contractual arrangements with our network providers, we could be required to restructure or terminate our contractual relationships with our network providers to comply with such laws; could be subject to disciplinary action, penalties, damages, and fines; and could experience a loss of revenue, any of which could have a material and adverse effect on our business, results of operations, and financial condition. In addition, this may discourage physicians from participating in our network of providers as these state laws often impose penalties on physicians, in their individual capacity, for aiding the corporate practice of medicine or unlawful fee-splitting.</w:t>
      </w:r>
    </w:p>
    <w:p>
      <w:pPr>
        <w:spacing w:after="0" w:line="20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i w:val="1"/>
          <w:iCs w:val="1"/>
          <w:color w:val="auto"/>
        </w:rPr>
        <w:t>Restrictions on Communication</w:t>
      </w:r>
    </w:p>
    <w:p>
      <w:pPr>
        <w:spacing w:after="0" w:line="256"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Communications with our members increasingly may be subject to and restricted by laws and regulations governing communications via telephone, fax, text, and email. We use email and social media platforms as marketing tools. For example, we maintain corporate social media accounts. As laws and regulations, including enforcement by the Federal Trade Commission, or FTC, rapidly evolve to govern the use of these platforms and devices, the failure by us, our employees or third parties acting at our direction to abide by applicable laws and regulations in connection with the use of these platforms and devices could adversely impact our business, financial condition and results of operations or subject us to fines or other penalties.</w:t>
      </w:r>
    </w:p>
    <w:p>
      <w:pPr>
        <w:spacing w:after="0" w:line="204"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part of the broader healthcare industry and subject to increasing scrutiny, disclosure requirements and regulation within our business, including with respect to Progyny Rx’s PBM operations, which may adversely affect our business, financial condition and results of operations.</w:t>
      </w:r>
    </w:p>
    <w:p>
      <w:pPr>
        <w:spacing w:after="0" w:line="198"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 healthcare industry is highly regulated and subject to frequently changing laws, regulations, government enforcement priorities, public policies, industry standards and other requirements. Many healthcare laws and regulations are complex, and their application to specific solutions, services and relationships may be unclear. Because our clients are subject to various legal and regulatory requirements, we may have obligations to comply with additional legal and regulatory requirements as a result of our arrangements with our clients, even if we are not directly subject to such requirements. In particular, many existing healthcare laws and regulations, when enacted, did not anticipate the solutions and services that we provide, and these laws and regulations may be applied to our solutions and services in ways that we do not anticipate. Federal and state efforts to reform or change aspects of the healthcare industry or to change or create additional legal and regulatory requirements could impact our operations, the use of our solutions and services, and our ability to market new solutions and services, or could create unexpected liabilities for us.</w:t>
      </w:r>
    </w:p>
    <w:p>
      <w:pPr>
        <w:spacing w:after="0" w:line="213"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PBM operations and business models are highly regulated and subject to frequently changing laws, regulations, government enforcement priorities, negative publicity, industry standards and other requirements. Recently, there have been a number of reform efforts focused on PBM regulation, program pricing, and transparency, from both federal and state legislatures and agencies, including, but not limited to, disclosure, receipt and retention of rebates and other payments received from pharmaceutical manufacturers or pharmacy program partners, rules governing contractual provisions between PBMs and their contracted payers and/or pharmacies, and registration or licensing of PBMs. If adopted, these proposals could affect our business by further restricting PBM practices critical to maintaining current levels of profitability or could impact our ability to meet future financial forecasts. For example, on February 3, 2026, the Consolidated Appropriations Act of 2026 was signed into law and includes PBM reforms that would, among other things, require PBMs to disclose information on their costs, fees and rebates; require 100% of the rebates to be passed on to consumers; and impose other disclosure, reporting and audit requirements on PBMs.</w:t>
      </w: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 xml:space="preserve">The Supreme Court’s ruling in </w:t>
      </w:r>
      <w:r>
        <w:rPr>
          <w:rFonts w:ascii="Times New Roman" w:cs="Times New Roman" w:eastAsia="Times New Roman" w:hAnsi="Times New Roman"/>
          <w:sz w:val="18"/>
          <w:szCs w:val="18"/>
          <w:i w:val="1"/>
          <w:iCs w:val="1"/>
          <w:color w:val="auto"/>
        </w:rPr>
        <w:t>Rutledge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Mckee Foods v. BFP Inc.</w:t>
      </w:r>
      <w:r>
        <w:rPr>
          <w:rFonts w:ascii="Times New Roman" w:cs="Times New Roman" w:eastAsia="Times New Roman" w:hAnsi="Times New Roman"/>
          <w:sz w:val="18"/>
          <w:szCs w:val="18"/>
          <w:color w:val="auto"/>
        </w:rPr>
        <w:t xml:space="preserve"> and other recent rulings have provided more clarity on the legality of state-level legislation regulating PBMs. However, new legislation aimed at controlling prescription drug costs and providing pricing transparency and regulatory oversight of PBMs continue to be enacted. A large majority of states have adopted some form of oversight legislation. In certain states, PBMs are required to file transparency reports or otherwise disclose contractual arrangements with health plans or health insurance issuers and regulators have begun to conduct audits of PBM operations.</w:t>
      </w:r>
    </w:p>
    <w:p>
      <w:pPr>
        <w:spacing w:after="0" w:line="206" w:lineRule="exact"/>
        <w:rPr>
          <w:sz w:val="20"/>
          <w:szCs w:val="20"/>
          <w:color w:val="auto"/>
        </w:rPr>
      </w:pPr>
    </w:p>
    <w:p>
      <w:pPr>
        <w:jc w:val="both"/>
        <w:ind w:firstLine="648"/>
        <w:spacing w:after="0" w:line="245" w:lineRule="auto"/>
        <w:rPr>
          <w:sz w:val="20"/>
          <w:szCs w:val="20"/>
          <w:color w:val="auto"/>
        </w:rPr>
      </w:pPr>
      <w:r>
        <w:rPr>
          <w:rFonts w:ascii="Times New Roman" w:cs="Times New Roman" w:eastAsia="Times New Roman" w:hAnsi="Times New Roman"/>
          <w:sz w:val="18"/>
          <w:szCs w:val="18"/>
          <w:color w:val="auto"/>
        </w:rPr>
        <w:t>In addition, certain quasi-regulatory organizations, including the National Association of Boards of Pharmacy and the National Association of Insurance Commissioners, have issued model regulations or may propose future model regulations related to PBM operations. PBM credentialing organizations may also establish voluntary standards regarding PBM activities. While the model regulations and standards of these quasi-regulatory or credentialing organizations are not legal requirements, federal and state lawmakers may be influenced to adopt similar legislation, and such model regulations and standards may also impact client expectations or requirements for PBM services. PBM operations may also be subject to federal and state fraud and abuse laws. Some states’ anti-kickback and false claims laws may be broader in scope than analogous federal laws and may apply to items and services reimbursed by a third-party payor, including private insurers, self-insured employers and patients on a cash basis, and may be applicable to us.</w:t>
      </w:r>
    </w:p>
    <w:p>
      <w:pPr>
        <w:spacing w:after="0" w:line="222"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Accordingly, our business operations and our results of operations could be materially and adversely affected by legislative, regulatory and public policy changes at the federal or state level, increased government involvement in drug reimbursement and pricing, and/or increased regulation of PBMs, including Progyny Rx. Such legal and regulatory changes may adversely affect our ability to conduct business on commercially reasonable terms in states where PBM legislation is in effect and our ability to standardize Progyny Rx PBM products and services across states. In addition, failure to comply with these laws or regulations could result in material fines and sanctions and could have a material adverse effect on our results of operations and cash flows.</w:t>
      </w:r>
    </w:p>
    <w:p>
      <w:pPr>
        <w:spacing w:after="0" w:line="20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As a result of being a public company, we are obligated to develop and maintain proper and effective internal control over financial reporting, and any failure to maintain the adequacy of these internal controls may adversely affect investor confidence in our company and, as a result, the value of our common stock.</w:t>
      </w:r>
    </w:p>
    <w:p>
      <w:pPr>
        <w:spacing w:after="0" w:line="195"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Pursuant to Section 404 of the Sarbanes-Oxley Act (“Section 404”), we are required to furnish a report by management on, among other things, the effectiveness of our internal control over financial reporting, and our independent registered public accounting firm is required to attest to the effectiveness of our internal control over financial reporting. To maintain compliance with Section 404, we perform system and process evaluation and testing of our internal control over financial reporting to allow management to report on the effectiveness of our internal control over financial reporting in our Annual Report on Form 10-K filing for each year, as required by Section 404. Our existing management team has and will continue to devote a substantial amount of time to these compliance initiatives, and we may need to hire additional accounting and financial personnel with appropriate public company experience to assist us in ongoing compliance with these requirements. Moreover, these rules and regulations have increased, and will continue to increase, our legal and financial reporting compliance costs and will make some activities more time consuming and costly.</w:t>
      </w:r>
    </w:p>
    <w:p>
      <w:pPr>
        <w:spacing w:after="0" w:line="227"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During the evaluation and testing process of our internal control, if we identify one or more material weaknesses in our internal control over financial reporting, we would be unable to certify that our internal control over financial reporting is effective. For example, in connection with our audit of the fiscal year 2018 consolidated financial statements, we and our independent registered public accounting firm identified one material weakness in our controls related to the lack of review and oversight of financial reporting, which we determined was remediated as of December 31, 2019. We cannot assure you that there will not be material weaknesses or significant deficiencies in our internal control over financial reporting in the future. Any failure to maintain internal control over financial reporting could severely inhibit our ability to accurately report our financial condition or results of operations. If we are unable to conclude that our internal control over financial reporting is effective, or if our independent registered public accounting firm determines we have a material weakness or significant deficiency in our internal control over financial reporting, we could lose investor confidence in the accuracy and completeness of our financial reports, the market price of our common stock could decline, and we could be subject to sanctions or investigations by the SEC or other regulatory authorities. Failure to remedy any material weakness in our internal control over financial reporting, or to implement or maintain other effective control systems required of public companies, could also restrict our future access to the capital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We are subject to anti-corruption, anti-bribery, anti-money laundering, and similar laws, and non-compliance with such laws can subject us to criminal or civil liability and harm our business, financial condition and results of operations.</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While we operate primarily in the United States, we remain subject to the U.S. Foreign Corrupt Practices Act, U.S. domestic anti-bribery laws, and other anti-corruption and anti-money laundering laws in the countries in which we conduct activities. We may engage with business partners and third-party intermediaries to market our services and to obtain the necessary permits, licenses, and other regulatory approvals for us. In addition, we or our third-party intermediaries may have direct or indirect interactions with officials and employees of government agencies or state-owned or affiliated entities. We can be held liable for the corrupt or other illegal activities of such third-party intermediaries as well as our employees, representatives, contractors, partners and agents, even if we do not explicitly authorize such activities.</w:t>
      </w:r>
    </w:p>
    <w:p>
      <w:pPr>
        <w:spacing w:after="0" w:line="20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Detecting, investigating, and resolving actual or alleged violations of anti-corruption laws can require a significant diversion of time, resources, and attention from senior management. In addition, noncompliance with anti-corruption, anti-bribery, or anti-money laundering laws could subject us to whistleblower complaints, investigations, prosecution, enforcement actions, sanctions, settlements, fines, damages, other civil or criminal penalties or injunctions, suspension or debarment from contracting with certain persons, reputational harm, adverse media coverage, and other collateral consequences. If any subpoenas or investigations are launched, or governmental or other sanctions are imposed, or if we do not prevail in any potential civil or criminal proceeding, our business, financial condition and results of operations could be harmed. In addition, responding to any action will likely result in a significant diversion of management’s attention and resources and significant defense costs and other professional fees, which could also adversely affect our business, financial condition and results of operations.</w:t>
      </w:r>
    </w:p>
    <w:p>
      <w:pPr>
        <w:spacing w:after="0" w:line="20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Changing rules and regulations regarding environmental, social and governance practices and reporting could cause us to incur additional costs, devote additional resources and expose us to additional risks, which could adversely impact our reputation, or otherwise adversely impact our business.</w:t>
      </w:r>
    </w:p>
    <w:p>
      <w:pPr>
        <w:spacing w:after="0" w:line="185" w:lineRule="exact"/>
        <w:rPr>
          <w:sz w:val="20"/>
          <w:szCs w:val="20"/>
          <w:color w:val="auto"/>
        </w:rPr>
      </w:pPr>
    </w:p>
    <w:p>
      <w:pPr>
        <w:jc w:val="both"/>
        <w:ind w:firstLine="648"/>
        <w:spacing w:after="0" w:line="237" w:lineRule="auto"/>
        <w:rPr>
          <w:sz w:val="20"/>
          <w:szCs w:val="20"/>
          <w:color w:val="auto"/>
        </w:rPr>
      </w:pPr>
      <w:r>
        <w:rPr>
          <w:rFonts w:ascii="Times New Roman" w:cs="Times New Roman" w:eastAsia="Times New Roman" w:hAnsi="Times New Roman"/>
          <w:sz w:val="18"/>
          <w:szCs w:val="18"/>
          <w:color w:val="auto"/>
        </w:rPr>
        <w:t>In addition to the changing rules and regulations related to environmental, social and governance, or ESG, matters imposed by governmental and self-regulatory organizations, companies across all industries are facing increasing scrutiny related to their ESG practices and reporting. Our stakeholders may disagree with our ESG policies and goals or, conversely, believe that these policies and goals are insufficient. This may lead to a decrease in demand for our products and services or damage to our reputation. We may also incur additional costs and require additional resources as we evolve our strategy, practices and related disclosures with respect to these matters. The changing rules, regulations and stakeholder expectations with respect to these matters have resulted in, and are likely to continue to result in, increased general and administrative expenses and increased management time and attention aimed at complying with such rules and regulations and meeting such expectations.</w:t>
      </w:r>
    </w:p>
    <w:p>
      <w:pPr>
        <w:spacing w:after="0" w:line="230"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Developing and acting on initiatives within the scope of ESG, and collecting, measuring and reporting ESG-related information and metrics can be costly, difficult and time consuming and is subject to evolving reporting standards. We may also communicate certain initiatives and goals related to ESG matters in our SEC filings or in other public disclosures. These initiatives and goals could be difficult and expensive to implement, the technologies needed to implement them may not be cost effective and may not advance at a sufficient pace, and we could be criticized for the accuracy, adequacy or completeness of the disclosure. In addition, statements about our ESG-related initiatives and goals, and progress against those goals, may be based on standards for measuring progress that are still developing and have not been harmonized, internal controls and processes that continue to evolve and assumptions that are subject to change in the future. We could be criticized for the scope or nature of such initiatives or goals or for any revisions to these goals. If our ESG-related data, processes and reporting are incomplete or inaccurate, our reputation, business, financial performance and growth could be adversely affected. In addition, in recent years, “anti-ESG” sentiment has gained momentum across the U.S., with several states, Congress, and most recently, the new U.S. presidential administration proposing or enacting “anti-ESG” policies, legislation, or initiatives or issuing related legal opinions, as well as executive actions in response to ESG-related initiatives in the private sector. Such anti-ESG-related policies, legislation, initiatives, litigation, legal opinions, and scrutiny could result in additional compliance obligations, becoming the subject of investigations and enforcement actions, or sustaining reputational harm.</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Ownership of Our Common Stock</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stock price may experience volatility, and the value of our common stock may decline.</w:t>
      </w:r>
    </w:p>
    <w:p>
      <w:pPr>
        <w:spacing w:after="0" w:line="25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market price of our common stock may be highly volatile and may fluctuate or decline substantially as a result of this and a variety of factors, some of which are beyond our control, including, but not limited to:</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high volume of direct sales into the market by large investors;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stock repurchases by us;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18"/>
          <w:szCs w:val="18"/>
          <w:color w:val="auto"/>
        </w:rPr>
        <w:t>actual or anticipated fluctuations in our financial condition or results of operations;</w:t>
      </w:r>
    </w:p>
    <w:p>
      <w:pPr>
        <w:spacing w:after="0" w:line="238" w:lineRule="exact"/>
        <w:rPr>
          <w:rFonts w:ascii="Times New Roman" w:cs="Times New Roman" w:eastAsia="Times New Roman" w:hAnsi="Times New Roman"/>
          <w:sz w:val="22"/>
          <w:szCs w:val="22"/>
          <w:color w:val="auto"/>
        </w:rPr>
      </w:pPr>
    </w:p>
    <w:p>
      <w:pPr>
        <w:ind w:left="660" w:hanging="328"/>
        <w:spacing w:after="0" w:line="227" w:lineRule="auto"/>
        <w:tabs>
          <w:tab w:leader="none" w:pos="655"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publications of research or other reports about us or our industry, including those that may contain inaccurate or misleading information, financial estimates about us, or changes in recommendations or withdrawal of research coverage by securities analysts;</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pricing of our solutions and services;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our projected operating and financial results;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industry, political and market conditions;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laws or regulations applicable to our products and solutions;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announcements by us or our competitors of significant business developments, acquisitions, or new offerings;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rumors and market speculation involving us or other companies in our industry;</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data breaches affecting our company, provider clinics, third-party vendors or pharmacy network partners;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our involvement in litigation or threats of litigation against us;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future sales of our common stock by us or our stockholders;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sales and purchases of our common stock by management;</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senior management or key personnel;</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the trading volume of our common stock;</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war, incidents of terrorism, or responses to these events;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2"/>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anticipated future size and growth rate of our market.</w:t>
      </w:r>
    </w:p>
    <w:p>
      <w:pPr>
        <w:spacing w:after="0" w:line="225"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These and other factors may cause the market price and demand for our common stock to fluctuate substantially, which may limit or prevent investors from readily selling their shares of common stock and may otherwise negatively affect the liquidity of our common stock. In the past, companies that have experienced volatility in the market price of their securities have been subject to securities class action litigation. We may be the target of this type of litigation in the future, which could result in substantial expenses and divert our management’s attention.</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An active trading market for our common stock may not be sustained.</w:t>
      </w:r>
    </w:p>
    <w:p>
      <w:pPr>
        <w:spacing w:after="0" w:line="25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An active public trading market for our common stock may not be sustained. The lack of an active market may impair your ability to sell your shares at the time you wish to sell them or at a price that you consider reasonable. The lack of an active market may also reduce the fair value of your shares. An inactive market may also impair our ability to raise capital to fund continuing operations through the sale of additional equity securities and may impair our ability to make strategic investments, including acquiring other companies or investing in technologies, using our equity as consideration.</w:t>
      </w:r>
    </w:p>
    <w:p>
      <w:pPr>
        <w:spacing w:after="0" w:line="200"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We have experienced and may in the future experience fluctuations in our financial results, making it difficult to project future results, and if we fail to meet the expectations of securities analysts or investors with respect to our results of operations, our stock price and the value of your investment could decline.</w:t>
      </w:r>
    </w:p>
    <w:p>
      <w:pPr>
        <w:spacing w:after="0" w:line="19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Our results of operations have in the past, and may in the future, fluctuate due to a variety of factors, many of which are beyond our control. As a result, our past results may not be indicative of our future performance. In addition to the other risks described herein, factors that may affect our results of operations include the following:</w:t>
      </w:r>
    </w:p>
    <w:p>
      <w:pPr>
        <w:sectPr>
          <w:pgSz w:w="11900" w:h="16838" w:orient="portrait"/>
          <w:cols w:equalWidth="0" w:num="1">
            <w:col w:w="11240"/>
          </w:cols>
          <w:pgMar w:left="320" w:top="256" w:right="339" w:bottom="1440" w:gutter="0" w:footer="0" w:header="0"/>
        </w:sect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fluctuations in demand for, or pricing of, our solutions;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level and mix of utilization of our solutions by members;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retain existing clients and attract new clients;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client expansion rates;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clients’ budgets and in the timing of their budget cycles and purchasing decisions;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our ability to control costs, including our operating expenses and healthcare costs;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amount and timing of payment for operating expenses, particularly sales and marketing expenses;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amount and timing of non-cash expenses, including stock-based compensation expense, goodwill impairments and other non-cash charges;</w:t>
      </w:r>
    </w:p>
    <w:p>
      <w:pPr>
        <w:spacing w:after="0" w:line="238" w:lineRule="exact"/>
        <w:rPr>
          <w:rFonts w:ascii="Arial" w:cs="Arial" w:eastAsia="Arial" w:hAnsi="Arial"/>
          <w:sz w:val="22"/>
          <w:szCs w:val="22"/>
          <w:color w:val="auto"/>
        </w:rPr>
      </w:pPr>
    </w:p>
    <w:p>
      <w:pPr>
        <w:ind w:left="660" w:hanging="328"/>
        <w:spacing w:after="0" w:line="227" w:lineRule="auto"/>
        <w:tabs>
          <w:tab w:leader="none" w:pos="655"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amount and timing of costs associated with recruiting, training and integrating new employees and retaining and motivating existing employees;</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general economic conditions, as well as economic conditions specifically affecting industries in which our clients operate;</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the impact of new accounting pronouncements;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changes in the competitive dynamics of our market, including consolidation among competitors or clients; and</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3"/>
        </w:numPr>
        <w:rPr>
          <w:rFonts w:ascii="Arial" w:cs="Arial" w:eastAsia="Arial" w:hAnsi="Arial"/>
          <w:sz w:val="22"/>
          <w:szCs w:val="22"/>
          <w:color w:val="auto"/>
        </w:rPr>
      </w:pPr>
      <w:r>
        <w:rPr>
          <w:rFonts w:ascii="Times New Roman" w:cs="Times New Roman" w:eastAsia="Times New Roman" w:hAnsi="Times New Roman"/>
          <w:sz w:val="18"/>
          <w:szCs w:val="18"/>
          <w:color w:val="auto"/>
        </w:rPr>
        <w:t>significant cybersecurity breaches of, technical difficulties with, or interruptions to, the delivery and use of our solutions and services.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Any of these and other factors, or the cumulative effect of some of these factors, may cause our results of operations to vary significantly. If our quarterly results of operations fall below the expectations of investors and securities analysts who follow our stock, the price of our common stock could decline substantially, and we could face costly lawsuits, including securities class action suits.</w:t>
      </w:r>
    </w:p>
    <w:p>
      <w:pPr>
        <w:spacing w:after="0" w:line="192"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Future sales of our common stock in the public market, including in connection with financings, acquisitions, our equity incentive plan or otherwise, could cause the market price of our common stock to decline.</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Future sales of a substantial number of shares of our common stock in the public market by us or our stockholders, or the perception that these sales might occur, could depress the market price of our common stock and could impair our ability to raise capital through the sale of additional equity securities. We are unable to predict the effect that such sales may have on the prevailing market price of our common stock.</w:t>
      </w:r>
    </w:p>
    <w:p>
      <w:pPr>
        <w:spacing w:after="0" w:line="217" w:lineRule="exact"/>
        <w:rPr>
          <w:sz w:val="20"/>
          <w:szCs w:val="20"/>
          <w:color w:val="auto"/>
        </w:rPr>
      </w:pPr>
    </w:p>
    <w:p>
      <w:pPr>
        <w:jc w:val="both"/>
        <w:ind w:firstLine="648"/>
        <w:spacing w:after="0" w:line="246" w:lineRule="auto"/>
        <w:rPr>
          <w:sz w:val="20"/>
          <w:szCs w:val="20"/>
          <w:color w:val="auto"/>
        </w:rPr>
      </w:pPr>
      <w:r>
        <w:rPr>
          <w:rFonts w:ascii="Times New Roman" w:cs="Times New Roman" w:eastAsia="Times New Roman" w:hAnsi="Times New Roman"/>
          <w:sz w:val="18"/>
          <w:szCs w:val="18"/>
          <w:color w:val="auto"/>
        </w:rPr>
        <w:t>We expect to issue additional capital stock in the future, which will result in dilution to all other stockholders. We expect to continue to grant equity awards to our employees, directors and consultants under our equity incentive plans. We may also raise capital through equity financings in the future. As part of our growth strategy, we may acquire or make investments in businesses, joint ventures, products and services, or technologies and issue equity securities to pay for any such acquisition or investment. Any such issuances of additional capital stock may cause stockholders to experience significant dilution of their ownership interests and the per share value of our common stock to decline.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If securities or industry analysts do not publish research, or publish unfavorable or inaccurate research, about our business, the market price and trading volume of our common stock could decline.</w:t>
      </w:r>
    </w:p>
    <w:p>
      <w:pPr>
        <w:spacing w:after="0" w:line="185" w:lineRule="exact"/>
        <w:rPr>
          <w:sz w:val="20"/>
          <w:szCs w:val="20"/>
          <w:color w:val="auto"/>
        </w:rPr>
      </w:pPr>
    </w:p>
    <w:p>
      <w:pPr>
        <w:jc w:val="both"/>
        <w:ind w:firstLine="648"/>
        <w:spacing w:after="0" w:line="247" w:lineRule="auto"/>
        <w:rPr>
          <w:sz w:val="20"/>
          <w:szCs w:val="20"/>
          <w:color w:val="auto"/>
        </w:rPr>
      </w:pPr>
      <w:r>
        <w:rPr>
          <w:rFonts w:ascii="Times New Roman" w:cs="Times New Roman" w:eastAsia="Times New Roman" w:hAnsi="Times New Roman"/>
          <w:sz w:val="18"/>
          <w:szCs w:val="18"/>
          <w:color w:val="auto"/>
        </w:rPr>
        <w:t>The market price and trading volume of our common stock is heavily influenced by analysts’ interpretation of our financial information and other disclosures. We do not have control over these analysts. If securities analysts or industry analysts cease coverage of us, our stock price would be negatively affected. If securities or industry analysts do not publish research or reports about our business, downgrade our common stock, or publish negative reports about our business, then our stock price would likely decline, and the trading volume of our common stock could decrease. We have experienced and may in the future experience analyst coverage reduction due to analysts leaving firms, changing firms or going on temporary leaves of absences. A reduction in analyst coverage, even if temporary, could lead to volatility in our stock price.</w:t>
      </w:r>
    </w:p>
    <w:p>
      <w:pPr>
        <w:spacing w:after="0" w:line="203"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do not intend to pay dividends for the foreseeable future, and, as a result, your ability to receive a return on your investment will depend on appreciation in the price of our common stock.</w:t>
      </w:r>
    </w:p>
    <w:p>
      <w:pPr>
        <w:spacing w:after="0" w:line="17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and we do not intend to pay any cash dividends in the foreseeable future. Any determination to pay dividends in the future will be at the discretion of our Board of Directors. Accordingly, you may need to rely on sales of our common stock after price appreciation, which may never occur, as the only way to realize any future gains on your investment.</w:t>
      </w:r>
    </w:p>
    <w:p>
      <w:pPr>
        <w:spacing w:after="0" w:line="192" w:lineRule="exact"/>
        <w:rPr>
          <w:sz w:val="20"/>
          <w:szCs w:val="20"/>
          <w:color w:val="auto"/>
        </w:rPr>
      </w:pPr>
    </w:p>
    <w:p>
      <w:pPr>
        <w:jc w:val="both"/>
        <w:ind w:right="20"/>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Anti-takeover provisions in our charter documents and under Delaware law could make an acquisition of our company more difficult, limit attempts by our stockholders to replace or remove our current management and limit the market price of our common stock.</w:t>
      </w:r>
    </w:p>
    <w:p>
      <w:pPr>
        <w:spacing w:after="0" w:line="19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18"/>
          <w:szCs w:val="18"/>
          <w:color w:val="auto"/>
        </w:rPr>
        <w:t>Provisions in our amended and restated certificate of incorporation and second amended and restated bylaws may have the effect of delaying or preventing a change of control or changes in our management. Our amended and restated certificate of incorporation and second amended and restated bylaws include provisions that:</w:t>
      </w:r>
    </w:p>
    <w:p>
      <w:pPr>
        <w:spacing w:after="0" w:line="231" w:lineRule="exact"/>
        <w:rPr>
          <w:sz w:val="20"/>
          <w:szCs w:val="20"/>
          <w:color w:val="auto"/>
        </w:rPr>
      </w:pPr>
    </w:p>
    <w:p>
      <w:pPr>
        <w:ind w:left="660" w:right="20" w:hanging="328"/>
        <w:spacing w:after="0" w:line="220"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authorize our Board of Directors to issue, without further action by stockholders, shares of undesignated preferred stock with terms, rights, and preferences determined by our Board of Directors and which may be senior to our common stock;</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require that any action to be taken by our stockholders be effected at a duly called annual or special meeting and not by written consent;</w:t>
      </w:r>
    </w:p>
    <w:p>
      <w:pPr>
        <w:spacing w:after="0" w:line="238" w:lineRule="exact"/>
        <w:rPr>
          <w:rFonts w:ascii="Arial" w:cs="Arial" w:eastAsia="Arial" w:hAnsi="Arial"/>
          <w:sz w:val="22"/>
          <w:szCs w:val="22"/>
          <w:color w:val="auto"/>
        </w:rPr>
      </w:pPr>
    </w:p>
    <w:p>
      <w:pPr>
        <w:ind w:left="660" w:right="240" w:hanging="328"/>
        <w:spacing w:after="0" w:line="227"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specify that special meetings of our stockholders can be called only by our Board of Directors, the chairperson of our Board of Directors, or our chief executive officer;</w:t>
      </w:r>
    </w:p>
    <w:p>
      <w:pPr>
        <w:spacing w:after="0" w:line="226" w:lineRule="exact"/>
        <w:rPr>
          <w:rFonts w:ascii="Arial" w:cs="Arial" w:eastAsia="Arial" w:hAnsi="Arial"/>
          <w:sz w:val="22"/>
          <w:szCs w:val="22"/>
          <w:color w:val="auto"/>
        </w:rPr>
      </w:pPr>
    </w:p>
    <w:p>
      <w:pPr>
        <w:ind w:left="660" w:right="20" w:hanging="328"/>
        <w:spacing w:after="0" w:line="227"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establish an advance notice procedure for stockholder proposals to be brought before an annual meeting, including proposed nominations of persons for election to our Board of Directors;</w:t>
      </w:r>
    </w:p>
    <w:p>
      <w:pPr>
        <w:spacing w:after="0" w:line="207"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establish that our Board of Directors is divided into three classes, with each class serving three-year staggered terms;</w:t>
      </w:r>
    </w:p>
    <w:p>
      <w:pPr>
        <w:spacing w:after="0" w:line="206"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prohibit cumulative voting in the election of directors;</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provide that our directors may be removed for cause only upon the vote of at least 66 and 2/3% of our outstanding shares of voting stock;</w:t>
      </w:r>
    </w:p>
    <w:p>
      <w:pPr>
        <w:spacing w:after="0" w:line="219" w:lineRule="exact"/>
        <w:rPr>
          <w:rFonts w:ascii="Arial" w:cs="Arial" w:eastAsia="Arial" w:hAnsi="Arial"/>
          <w:sz w:val="22"/>
          <w:szCs w:val="22"/>
          <w:color w:val="auto"/>
        </w:rPr>
      </w:pPr>
    </w:p>
    <w:p>
      <w:pPr>
        <w:ind w:left="660" w:hanging="328"/>
        <w:spacing w:after="0"/>
        <w:tabs>
          <w:tab w:leader="none" w:pos="660"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provide that vacancies on our Board of Directors may be filled only by a majority of directors then in office, even though less than a quorum; and</w:t>
      </w:r>
    </w:p>
    <w:p>
      <w:pPr>
        <w:spacing w:after="0" w:line="238" w:lineRule="exact"/>
        <w:rPr>
          <w:rFonts w:ascii="Arial" w:cs="Arial" w:eastAsia="Arial" w:hAnsi="Arial"/>
          <w:sz w:val="22"/>
          <w:szCs w:val="22"/>
          <w:color w:val="auto"/>
        </w:rPr>
      </w:pPr>
    </w:p>
    <w:p>
      <w:pPr>
        <w:ind w:left="660" w:right="20" w:hanging="328"/>
        <w:spacing w:after="0" w:line="227" w:lineRule="auto"/>
        <w:tabs>
          <w:tab w:leader="none" w:pos="655" w:val="left"/>
        </w:tabs>
        <w:numPr>
          <w:ilvl w:val="0"/>
          <w:numId w:val="34"/>
        </w:numPr>
        <w:rPr>
          <w:rFonts w:ascii="Arial" w:cs="Arial" w:eastAsia="Arial" w:hAnsi="Arial"/>
          <w:sz w:val="22"/>
          <w:szCs w:val="22"/>
          <w:color w:val="auto"/>
        </w:rPr>
      </w:pPr>
      <w:r>
        <w:rPr>
          <w:rFonts w:ascii="Times New Roman" w:cs="Times New Roman" w:eastAsia="Times New Roman" w:hAnsi="Times New Roman"/>
          <w:sz w:val="18"/>
          <w:szCs w:val="18"/>
          <w:color w:val="auto"/>
        </w:rPr>
        <w:t>require the approval of our Board of Directors or the holders of at least 66 and 2/3% of our outstanding shares of voting stock to amend our second amended and restated bylaws and certain provisions of our amended and restated certificate of incorporation.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both"/>
        <w:ind w:firstLine="648"/>
        <w:spacing w:after="0" w:line="243" w:lineRule="auto"/>
        <w:rPr>
          <w:sz w:val="20"/>
          <w:szCs w:val="20"/>
          <w:color w:val="auto"/>
        </w:rPr>
      </w:pPr>
      <w:r>
        <w:rPr>
          <w:rFonts w:ascii="Times New Roman" w:cs="Times New Roman" w:eastAsia="Times New Roman" w:hAnsi="Times New Roman"/>
          <w:sz w:val="18"/>
          <w:szCs w:val="18"/>
          <w:color w:val="auto"/>
        </w:rPr>
        <w:t>These provisions may frustrate or prevent any attempts by our stockholders to replace or remove our current management by making it more difficult for stockholders to replace members of our Board of Directors, which is responsible for appointing members of our management. In addition, because we are incorporated in Delaware, we are governed by the provisions of Section 203 of the Delaware General Corporation Law, or the DGCL, which generally, subject to certain exceptions, prohibits a Delaware corporation from engaging in any of a broad range of business combinations with any “interested” stockholder for a period of three years following the date on which the stockholder became an “interested” stockholder. Any of the foregoing provisions could limit the price that investors might be willing to pay in the future for shares of our common stock, and they could deter potential acquirers of our company, thereby reducing the likelihood that you would receive a premium for your shares of our common stock in an acquisition or other change of control transaction.</w:t>
      </w:r>
    </w:p>
    <w:p>
      <w:pPr>
        <w:spacing w:after="0" w:line="20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Our amended and restated certificate of incorporation designates the state courts in the State of Delaware or, if no state court located in the State of Delaware has jurisdiction, the federal court for the District of Delaware, as the sole and exclusive forum for certain types of actions and proceedings that may be initiated by our stockholders, which could discourage lawsuits against us or our directors, officers, or other employees.</w:t>
      </w:r>
    </w:p>
    <w:p>
      <w:pPr>
        <w:spacing w:after="0" w:line="195" w:lineRule="exact"/>
        <w:rPr>
          <w:sz w:val="20"/>
          <w:szCs w:val="20"/>
          <w:color w:val="auto"/>
        </w:rPr>
      </w:pPr>
    </w:p>
    <w:p>
      <w:pPr>
        <w:jc w:val="both"/>
        <w:ind w:firstLine="648"/>
        <w:spacing w:after="0" w:line="242"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that, to the fullest extent permitted by law, unless we consent in writing to the selection of an alternative forum, the Court of Chancery of the State of Delaware (or, if the Court of Chancery does not have jurisdiction, any state court located within the State of Delaware, or if all such state courts lack jurisdiction, the federal district court for the District of Delaware) will be the sole and exclusive forum for the following types of actions or proceedings under Delaware statutory or common law: (1) any derivative action or proceeding brought on our behalf; (2) any action asserting a breach of a fiduciary duty owed by any current or former director, officer or other employee to us or our stockholders; (3) any action or proceeding asserting a claim against us or any of our current or former directors, officers or other employees arising out of or pursuant to any provisions of the DGCL, our amended and restated certificate of incorporation, or our second amended and restated bylaws; (4) any action or proceeding to interpret, apply, enforce or determine the validity of our amended and restated certificate of incorporation or our second amended and restated bylaws; (5) any action or proceeding as to which the DGCL confers jurisdiction on the Court of Chancery of the State of Delaware; or (6) any action asserting a claim against us, or any of our directors, officers or other employees, that is governed by the internal affairs doctrine, in all cases to the fullest extent permitted by law and subject to the court having personal jurisdiction over the indispensable parties named as defendants. For the avoidance of doubt, these choice of forum provisions will not apply to suits brought to enforce a duty or liability created by the Securities Act, the Exchange Act or any other claim for which the federal courts have exclusive jurisdiction. In particular, Section 22 of the Securities Act creates concurrent jurisdiction for federal and state courts over all such Securities Act actions.</w:t>
      </w:r>
    </w:p>
    <w:p>
      <w:pPr>
        <w:spacing w:after="0" w:line="224" w:lineRule="exact"/>
        <w:rPr>
          <w:sz w:val="20"/>
          <w:szCs w:val="20"/>
          <w:color w:val="auto"/>
        </w:rPr>
      </w:pPr>
    </w:p>
    <w:p>
      <w:pPr>
        <w:jc w:val="both"/>
        <w:ind w:firstLine="648"/>
        <w:spacing w:after="0" w:line="244" w:lineRule="auto"/>
        <w:rPr>
          <w:sz w:val="20"/>
          <w:szCs w:val="20"/>
          <w:color w:val="auto"/>
        </w:rPr>
      </w:pPr>
      <w:r>
        <w:rPr>
          <w:rFonts w:ascii="Times New Roman" w:cs="Times New Roman" w:eastAsia="Times New Roman" w:hAnsi="Times New Roman"/>
          <w:sz w:val="18"/>
          <w:szCs w:val="18"/>
          <w:color w:val="auto"/>
        </w:rPr>
        <w:t>The exclusive forum provisions may limit a stockholder’s ability to bring a claim in a judicial forum that it finds favorable for disputes with us or our directors, officers, or other employees and may discourage these types of lawsuits. A stockholder may, nevertheless, seek to bring a claim in a venue other than that designated in our amended and restated certificate of incorporation. In such instance, we would expect to vigorously assert the validity and enforceability of the exclusive forum provisions, which may result in significant additional costs. Furthermore, if a court were to find the exclusive forum provisions contained in our amended and restated certificate of incorporation to be inapplicable or unenforceable in an action, we may also incur costs associated with resolving such action in other jurisdictions.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Purchases of Equity Securities by the Issuer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Settlement of Equity Awards</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Our restricted stock units are subject to vesting and the underlying shares of common stock are issued when the restricted stock units vest.</w:t>
      </w:r>
    </w:p>
    <w:p>
      <w:pPr>
        <w:spacing w:after="0" w:line="225"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In the first quarter of 2026, we withheld shares through net settlements (where the award holder receives the net of the shares vested, after surrendering a portion of the shares back to the Company for tax withholding) for certain restricted stock units that vested.</w:t>
      </w: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Share Repurchase Program</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On November 5, 2025, the Company announced the November 2025 share repurchase program (the "November 2025 share repurchase program") of up to $200 million in shares of common stock. As of March 31, 2026, the November 2025 share repurchase program was completed, and no amounts remained available under the program.</w:t>
      </w:r>
    </w:p>
    <w:p>
      <w:pPr>
        <w:spacing w:after="0" w:line="176" w:lineRule="exact"/>
        <w:rPr>
          <w:sz w:val="20"/>
          <w:szCs w:val="20"/>
          <w:color w:val="auto"/>
        </w:rPr>
      </w:pPr>
    </w:p>
    <w:p>
      <w:pPr>
        <w:jc w:val="both"/>
        <w:ind w:firstLine="648"/>
        <w:spacing w:after="0" w:line="294" w:lineRule="auto"/>
        <w:rPr>
          <w:sz w:val="20"/>
          <w:szCs w:val="20"/>
          <w:color w:val="auto"/>
        </w:rPr>
      </w:pPr>
      <w:r>
        <w:rPr>
          <w:rFonts w:ascii="Times New Roman" w:cs="Times New Roman" w:eastAsia="Times New Roman" w:hAnsi="Times New Roman"/>
          <w:sz w:val="18"/>
          <w:szCs w:val="18"/>
          <w:color w:val="auto"/>
        </w:rPr>
        <w:t>The following table provides a summary of shares surrendered back to the Company for tax withholding on restricted stock units that vested under our equity incentive plans in the three months ended March 31, 2026</w:t>
      </w:r>
      <w:r>
        <w:rPr>
          <w:rFonts w:ascii="Arial" w:cs="Arial" w:eastAsia="Arial" w:hAnsi="Arial"/>
          <w:sz w:val="21"/>
          <w:szCs w:val="21"/>
          <w:color w:val="auto"/>
        </w:rPr>
        <w:t>:</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Total Number of</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tcPr>
          <w:p>
            <w:pPr>
              <w:jc w:val="center"/>
              <w:ind w:right="39"/>
              <w:spacing w:after="0"/>
              <w:rPr>
                <w:sz w:val="20"/>
                <w:szCs w:val="20"/>
                <w:color w:val="auto"/>
              </w:rPr>
            </w:pPr>
            <w:r>
              <w:rPr>
                <w:rFonts w:ascii="Times New Roman" w:cs="Times New Roman" w:eastAsia="Times New Roman" w:hAnsi="Times New Roman"/>
                <w:sz w:val="14"/>
                <w:szCs w:val="14"/>
                <w:b w:val="1"/>
                <w:bCs w:val="1"/>
                <w:color w:val="auto"/>
              </w:rPr>
              <w:t>Maximum Dollar</w:t>
            </w:r>
          </w:p>
        </w:tc>
      </w:tr>
      <w:tr>
        <w:trPr>
          <w:trHeight w:val="162"/>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as</w:t>
            </w:r>
          </w:p>
        </w:tc>
        <w:tc>
          <w:tcPr>
            <w:tcW w:w="10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of Shares That</w:t>
            </w:r>
          </w:p>
        </w:tc>
      </w:tr>
      <w:tr>
        <w:trPr>
          <w:trHeight w:val="162"/>
        </w:trPr>
        <w:tc>
          <w:tcPr>
            <w:tcW w:w="4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Part of Publicly</w:t>
            </w:r>
          </w:p>
        </w:tc>
        <w:tc>
          <w:tcPr>
            <w:tcW w:w="100" w:type="dxa"/>
            <w:vAlign w:val="bottom"/>
          </w:tcPr>
          <w:p>
            <w:pPr>
              <w:spacing w:after="0"/>
              <w:rPr>
                <w:sz w:val="14"/>
                <w:szCs w:val="14"/>
                <w:color w:val="auto"/>
              </w:rPr>
            </w:pPr>
          </w:p>
        </w:tc>
        <w:tc>
          <w:tcPr>
            <w:tcW w:w="148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May Yet Be Purchased</w:t>
            </w:r>
          </w:p>
        </w:tc>
      </w:tr>
      <w:tr>
        <w:trPr>
          <w:trHeight w:val="160"/>
        </w:trPr>
        <w:tc>
          <w:tcPr>
            <w:tcW w:w="46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60" w:type="dxa"/>
            <w:vAlign w:val="bottom"/>
          </w:tcPr>
          <w:p>
            <w:pPr>
              <w:jc w:val="right"/>
              <w:ind w:right="136"/>
              <w:spacing w:after="0" w:line="160" w:lineRule="exact"/>
              <w:rPr>
                <w:sz w:val="20"/>
                <w:szCs w:val="20"/>
                <w:color w:val="auto"/>
              </w:rPr>
            </w:pPr>
            <w:r>
              <w:rPr>
                <w:rFonts w:ascii="Times New Roman" w:cs="Times New Roman" w:eastAsia="Times New Roman" w:hAnsi="Times New Roman"/>
                <w:sz w:val="14"/>
                <w:szCs w:val="14"/>
                <w:b w:val="1"/>
                <w:bCs w:val="1"/>
                <w:color w:val="auto"/>
              </w:rPr>
              <w:t>Total Number of</w:t>
            </w:r>
          </w:p>
        </w:tc>
        <w:tc>
          <w:tcPr>
            <w:tcW w:w="100" w:type="dxa"/>
            <w:vAlign w:val="bottom"/>
          </w:tcPr>
          <w:p>
            <w:pPr>
              <w:spacing w:after="0"/>
              <w:rPr>
                <w:sz w:val="13"/>
                <w:szCs w:val="13"/>
                <w:color w:val="auto"/>
              </w:rPr>
            </w:pPr>
          </w:p>
        </w:tc>
        <w:tc>
          <w:tcPr>
            <w:tcW w:w="1560" w:type="dxa"/>
            <w:vAlign w:val="bottom"/>
            <w:gridSpan w:val="3"/>
          </w:tcPr>
          <w:p>
            <w:pPr>
              <w:ind w:left="20"/>
              <w:spacing w:after="0" w:line="160" w:lineRule="exact"/>
              <w:rPr>
                <w:sz w:val="20"/>
                <w:szCs w:val="20"/>
                <w:color w:val="auto"/>
              </w:rPr>
            </w:pPr>
            <w:r>
              <w:rPr>
                <w:rFonts w:ascii="Times New Roman" w:cs="Times New Roman" w:eastAsia="Times New Roman" w:hAnsi="Times New Roman"/>
                <w:sz w:val="14"/>
                <w:szCs w:val="14"/>
                <w:b w:val="1"/>
                <w:bCs w:val="1"/>
                <w:color w:val="auto"/>
              </w:rPr>
              <w:t>Average Price Paid per</w:t>
            </w:r>
          </w:p>
        </w:tc>
        <w:tc>
          <w:tcPr>
            <w:tcW w:w="148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Announced Plans or</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80" w:type="dxa"/>
            <w:vAlign w:val="bottom"/>
          </w:tcPr>
          <w:p>
            <w:pPr>
              <w:jc w:val="center"/>
              <w:ind w:right="59"/>
              <w:spacing w:after="0" w:line="160" w:lineRule="exact"/>
              <w:rPr>
                <w:sz w:val="20"/>
                <w:szCs w:val="20"/>
                <w:color w:val="auto"/>
              </w:rPr>
            </w:pPr>
            <w:r>
              <w:rPr>
                <w:rFonts w:ascii="Times New Roman" w:cs="Times New Roman" w:eastAsia="Times New Roman" w:hAnsi="Times New Roman"/>
                <w:sz w:val="14"/>
                <w:szCs w:val="14"/>
                <w:b w:val="1"/>
                <w:bCs w:val="1"/>
                <w:color w:val="auto"/>
              </w:rPr>
              <w:t>Under the Program</w:t>
            </w:r>
          </w:p>
        </w:tc>
      </w:tr>
      <w:tr>
        <w:trPr>
          <w:trHeight w:val="23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4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9"/>
              </w:rPr>
              <w:t xml:space="preserve">Shares Repurchased </w:t>
            </w:r>
            <w:r>
              <w:rPr>
                <w:rFonts w:ascii="Times New Roman" w:cs="Times New Roman" w:eastAsia="Times New Roman" w:hAnsi="Times New Roman"/>
                <w:sz w:val="18"/>
                <w:szCs w:val="18"/>
                <w:b w:val="1"/>
                <w:bCs w:val="1"/>
                <w:color w:val="auto"/>
                <w:w w:val="99"/>
                <w:vertAlign w:val="superscript"/>
              </w:rPr>
              <w:t>(1)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tcPr>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34"/>
        </w:trPr>
        <w:tc>
          <w:tcPr>
            <w:tcW w:w="46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top w:val="single" w:sz="8" w:color="auto"/>
            </w:tcBorders>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top w:val="single" w:sz="8" w:color="auto"/>
            </w:tcBorders>
          </w:tcPr>
          <w:p>
            <w:pPr>
              <w:spacing w:after="0"/>
              <w:rPr>
                <w:sz w:val="2"/>
                <w:szCs w:val="2"/>
                <w:color w:val="auto"/>
              </w:rPr>
            </w:pPr>
          </w:p>
        </w:tc>
        <w:tc>
          <w:tcPr>
            <w:tcW w:w="1380" w:type="dxa"/>
            <w:vAlign w:val="bottom"/>
            <w:tcBorders>
              <w:top w:val="single" w:sz="8" w:color="auto"/>
            </w:tcBorders>
          </w:tcPr>
          <w:p>
            <w:pPr>
              <w:spacing w:after="0"/>
              <w:rPr>
                <w:sz w:val="2"/>
                <w:szCs w:val="2"/>
                <w:color w:val="auto"/>
              </w:rPr>
            </w:pPr>
          </w:p>
        </w:tc>
      </w:tr>
      <w:tr>
        <w:trPr>
          <w:trHeight w:val="257"/>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2026 through January 31, 2026</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1,603,452</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25.59</w:t>
            </w:r>
          </w:p>
        </w:tc>
        <w:tc>
          <w:tcPr>
            <w:tcW w:w="100" w:type="dxa"/>
            <w:vAlign w:val="bottom"/>
            <w:shd w:val="clear" w:color="auto" w:fill="CCEEFF"/>
          </w:tcPr>
          <w:p>
            <w:pPr>
              <w:spacing w:after="0"/>
              <w:rPr>
                <w:sz w:val="22"/>
                <w:szCs w:val="22"/>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1,562,893</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76,459,114</w:t>
            </w:r>
          </w:p>
        </w:tc>
      </w:tr>
      <w:tr>
        <w:trPr>
          <w:trHeight w:val="250"/>
        </w:trPr>
        <w:tc>
          <w:tcPr>
            <w:tcW w:w="4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2026 through February 28, 2026</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1,780,664</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21.34</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1,765,874</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38,789,841</w:t>
            </w:r>
          </w:p>
        </w:tc>
      </w:tr>
      <w:tr>
        <w:trPr>
          <w:trHeight w:val="257"/>
        </w:trPr>
        <w:tc>
          <w:tcPr>
            <w:tcW w:w="47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2026 through March 31, 2026</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2,333,441</w:t>
            </w:r>
          </w:p>
        </w:tc>
        <w:tc>
          <w:tcPr>
            <w:tcW w:w="4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100" w:type="dxa"/>
            <w:vAlign w:val="bottom"/>
            <w:shd w:val="clear" w:color="auto" w:fill="CCEEFF"/>
          </w:tcPr>
          <w:p>
            <w:pPr>
              <w:spacing w:after="0"/>
              <w:rPr>
                <w:sz w:val="22"/>
                <w:szCs w:val="22"/>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2,183,057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57"/>
        </w:trPr>
        <w:tc>
          <w:tcPr>
            <w:tcW w:w="47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Total shares repurchased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5,717,557</w:t>
            </w:r>
          </w:p>
        </w:tc>
        <w:tc>
          <w:tcPr>
            <w:tcW w:w="44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21.07</w:t>
            </w:r>
          </w:p>
        </w:tc>
        <w:tc>
          <w:tcPr>
            <w:tcW w:w="100" w:type="dxa"/>
            <w:vAlign w:val="bottom"/>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5,511,824</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380" w:type="dxa"/>
            <w:vAlign w:val="bottom"/>
          </w:tcPr>
          <w:p>
            <w:pPr>
              <w:spacing w:after="0"/>
              <w:rPr>
                <w:sz w:val="22"/>
                <w:szCs w:val="22"/>
                <w:color w:val="auto"/>
              </w:rPr>
            </w:pPr>
          </w:p>
        </w:tc>
      </w:tr>
      <w:tr>
        <w:trPr>
          <w:trHeight w:val="20"/>
        </w:trPr>
        <w:tc>
          <w:tcPr>
            <w:tcW w:w="4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r>
    </w:tbl>
    <w:p>
      <w:pPr>
        <w:spacing w:after="0" w:line="279" w:lineRule="exact"/>
        <w:rPr>
          <w:sz w:val="20"/>
          <w:szCs w:val="20"/>
          <w:color w:val="auto"/>
        </w:rPr>
      </w:pPr>
    </w:p>
    <w:p>
      <w:pPr>
        <w:ind w:left="160" w:hanging="152"/>
        <w:spacing w:after="0"/>
        <w:tabs>
          <w:tab w:leader="none" w:pos="160" w:val="left"/>
        </w:tabs>
        <w:numPr>
          <w:ilvl w:val="0"/>
          <w:numId w:val="35"/>
        </w:numPr>
        <w:rPr>
          <w:rFonts w:ascii="Times New Roman" w:cs="Times New Roman" w:eastAsia="Times New Roman" w:hAnsi="Times New Roman"/>
          <w:sz w:val="19"/>
          <w:szCs w:val="19"/>
          <w:color w:val="auto"/>
          <w:vertAlign w:val="superscript"/>
        </w:rPr>
      </w:pPr>
      <w:r>
        <w:rPr>
          <w:rFonts w:ascii="Times New Roman" w:cs="Times New Roman" w:eastAsia="Times New Roman" w:hAnsi="Times New Roman"/>
          <w:sz w:val="15"/>
          <w:szCs w:val="15"/>
          <w:color w:val="auto"/>
        </w:rPr>
        <w:t>Includes shares withheld on net settlements of restricted stock units that vested under our equity incentive plans.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40" w:hanging="308"/>
        <w:spacing w:after="0"/>
        <w:tabs>
          <w:tab w:leader="none" w:pos="6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w:t>
      </w:r>
    </w:p>
    <w:p>
      <w:pPr>
        <w:spacing w:after="0" w:line="225" w:lineRule="exact"/>
        <w:rPr>
          <w:rFonts w:ascii="Times New Roman" w:cs="Times New Roman" w:eastAsia="Times New Roman" w:hAnsi="Times New Roman"/>
          <w:sz w:val="18"/>
          <w:szCs w:val="18"/>
          <w:color w:val="auto"/>
        </w:rPr>
      </w:pPr>
    </w:p>
    <w:p>
      <w:pPr>
        <w:ind w:left="660" w:hanging="328"/>
        <w:spacing w:after="0" w:line="282" w:lineRule="auto"/>
        <w:tabs>
          <w:tab w:leader="none" w:pos="65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2026, certain of our officers and directors adopted or terminated Rule 10b5-1 trading arrangements as follows:</w:t>
      </w:r>
    </w:p>
    <w:p>
      <w:pPr>
        <w:spacing w:after="0" w:line="161" w:lineRule="exact"/>
        <w:rPr>
          <w:rFonts w:ascii="Times New Roman" w:cs="Times New Roman" w:eastAsia="Times New Roman" w:hAnsi="Times New Roman"/>
          <w:sz w:val="18"/>
          <w:szCs w:val="18"/>
          <w:color w:val="auto"/>
        </w:rPr>
      </w:pPr>
    </w:p>
    <w:p>
      <w:pPr>
        <w:jc w:val="both"/>
        <w:ind w:left="6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26, 2026, Peter Anevski, our Chief Executive Officer, terminated the trading plan that was intended to satisfy the conditions under Rule 10b5-1(c) of the Exchange Act adopted by him on March 31, 2025. The plan provided for the sale of up to 1,244,220 shares of the Company’s common stock in amounts and prices determined in accordance with a formula set forth in the plan.</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280" w:type="dxa"/>
            <w:vAlign w:val="bottom"/>
            <w:gridSpan w:val="5"/>
            <w:vMerge w:val="restart"/>
          </w:tcPr>
          <w:p>
            <w:pPr>
              <w:jc w:val="right"/>
              <w:ind w:right="2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80" w:type="dxa"/>
            <w:vAlign w:val="bottom"/>
            <w:vMerge w:val="restart"/>
          </w:tcPr>
          <w:p>
            <w:pPr>
              <w:spacing w:after="0"/>
              <w:rPr>
                <w:sz w:val="13"/>
                <w:szCs w:val="13"/>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00" w:type="dxa"/>
            <w:vAlign w:val="bottom"/>
            <w:vMerge w:val="restart"/>
          </w:tcPr>
          <w:p>
            <w:pPr>
              <w:spacing w:after="0"/>
              <w:rPr>
                <w:sz w:val="13"/>
                <w:szCs w:val="13"/>
                <w:color w:val="auto"/>
              </w:rPr>
            </w:pPr>
          </w:p>
        </w:tc>
        <w:tc>
          <w:tcPr>
            <w:tcW w:w="124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0" w:type="dxa"/>
            <w:vAlign w:val="bottom"/>
            <w:vMerge w:val="restart"/>
          </w:tcPr>
          <w:p>
            <w:pPr>
              <w:spacing w:after="0"/>
              <w:rPr>
                <w:sz w:val="13"/>
                <w:szCs w:val="13"/>
                <w:color w:val="auto"/>
              </w:rPr>
            </w:pPr>
          </w:p>
        </w:tc>
        <w:tc>
          <w:tcPr>
            <w:tcW w:w="7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00" w:type="dxa"/>
            <w:vAlign w:val="bottom"/>
            <w:vMerge w:val="restart"/>
          </w:tcPr>
          <w:p>
            <w:pPr>
              <w:spacing w:after="0"/>
              <w:rPr>
                <w:sz w:val="13"/>
                <w:szCs w:val="13"/>
                <w:color w:val="auto"/>
              </w:rPr>
            </w:pPr>
          </w:p>
        </w:tc>
        <w:tc>
          <w:tcPr>
            <w:tcW w:w="13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Filed/Furnished</w:t>
            </w:r>
          </w:p>
        </w:tc>
        <w:tc>
          <w:tcPr>
            <w:tcW w:w="0" w:type="dxa"/>
            <w:vAlign w:val="bottom"/>
          </w:tcPr>
          <w:p>
            <w:pPr>
              <w:spacing w:after="0"/>
              <w:rPr>
                <w:sz w:val="1"/>
                <w:szCs w:val="1"/>
                <w:color w:val="auto"/>
              </w:rPr>
            </w:pPr>
          </w:p>
        </w:tc>
      </w:tr>
      <w:tr>
        <w:trPr>
          <w:trHeight w:val="196"/>
        </w:trPr>
        <w:tc>
          <w:tcPr>
            <w:tcW w:w="2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8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3280" w:type="dxa"/>
            <w:vAlign w:val="bottom"/>
            <w:tcBorders>
              <w:bottom w:val="single" w:sz="8" w:color="auto"/>
            </w:tcBorders>
            <w:gridSpan w:val="5"/>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70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760" w:type="dxa"/>
            <w:vAlign w:val="bottom"/>
            <w:tcBorders>
              <w:bottom w:val="single" w:sz="8" w:color="auto"/>
            </w:tcBorders>
            <w:vMerge w:val="continue"/>
          </w:tcPr>
          <w:p>
            <w:pPr>
              <w:spacing w:after="0"/>
              <w:rPr>
                <w:sz w:val="17"/>
                <w:szCs w:val="17"/>
                <w:color w:val="auto"/>
              </w:rPr>
            </w:pPr>
          </w:p>
        </w:tc>
        <w:tc>
          <w:tcPr>
            <w:tcW w:w="100" w:type="dxa"/>
            <w:vAlign w:val="bottom"/>
            <w:vMerge w:val="continue"/>
          </w:tcPr>
          <w:p>
            <w:pPr>
              <w:spacing w:after="0"/>
              <w:rPr>
                <w:sz w:val="17"/>
                <w:szCs w:val="17"/>
                <w:color w:val="auto"/>
              </w:rPr>
            </w:pPr>
          </w:p>
        </w:tc>
        <w:tc>
          <w:tcPr>
            <w:tcW w:w="12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00" w:type="dxa"/>
            <w:vAlign w:val="bottom"/>
          </w:tcPr>
          <w:p>
            <w:pPr>
              <w:spacing w:after="0"/>
              <w:rPr>
                <w:sz w:val="17"/>
                <w:szCs w:val="17"/>
                <w:color w:val="auto"/>
              </w:rPr>
            </w:pPr>
          </w:p>
        </w:tc>
        <w:tc>
          <w:tcPr>
            <w:tcW w:w="1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202"/>
        </w:trPr>
        <w:tc>
          <w:tcPr>
            <w:tcW w:w="1000" w:type="dxa"/>
            <w:vAlign w:val="bottom"/>
            <w:gridSpan w:val="2"/>
          </w:tcPr>
          <w:p>
            <w:pPr>
              <w:ind w:left="20"/>
              <w:spacing w:after="0" w:line="202" w:lineRule="exact"/>
              <w:rPr>
                <w:sz w:val="20"/>
                <w:szCs w:val="20"/>
                <w:color w:val="auto"/>
              </w:rPr>
            </w:pPr>
            <w:r>
              <w:rPr>
                <w:rFonts w:ascii="Times New Roman" w:cs="Times New Roman" w:eastAsia="Times New Roman" w:hAnsi="Times New Roman"/>
                <w:sz w:val="18"/>
                <w:szCs w:val="18"/>
                <w:color w:val="auto"/>
              </w:rPr>
              <w:t>31.1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800" w:type="dxa"/>
            <w:vAlign w:val="bottom"/>
            <w:gridSpan w:val="8"/>
          </w:tcPr>
          <w:p>
            <w:pPr>
              <w:spacing w:after="0" w:line="202" w:lineRule="exact"/>
              <w:rPr>
                <w:sz w:val="20"/>
                <w:szCs w:val="20"/>
                <w:color w:val="auto"/>
              </w:rPr>
            </w:pPr>
            <w:r>
              <w:rPr>
                <w:rFonts w:ascii="Times New Roman" w:cs="Times New Roman" w:eastAsia="Times New Roman" w:hAnsi="Times New Roman"/>
                <w:sz w:val="18"/>
                <w:szCs w:val="18"/>
                <w:color w:val="0000FF"/>
              </w:rPr>
              <w:t>Certification of Chief Executive Officer pursuant to Exchange</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40" w:type="dxa"/>
            <w:vAlign w:val="bottom"/>
          </w:tcPr>
          <w:p>
            <w:pPr>
              <w:jc w:val="center"/>
              <w:spacing w:after="0" w:line="202" w:lineRule="exact"/>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Act Rule 13a-14(a).</w:t>
            </w:r>
          </w:p>
        </w:tc>
        <w:tc>
          <w:tcPr>
            <w:tcW w:w="3040" w:type="dxa"/>
            <w:vAlign w:val="bottom"/>
            <w:tcBorders>
              <w:top w:val="single" w:sz="8" w:color="0000FF"/>
            </w:tcBorders>
            <w:gridSpan w:val="3"/>
          </w:tcPr>
          <w:p>
            <w:pPr>
              <w:spacing w:after="0"/>
              <w:rPr>
                <w:sz w:val="15"/>
                <w:szCs w:val="15"/>
                <w:color w:val="auto"/>
              </w:rPr>
            </w:pPr>
          </w:p>
        </w:tc>
        <w:tc>
          <w:tcPr>
            <w:tcW w:w="20" w:type="dxa"/>
            <w:vAlign w:val="bottom"/>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Exchange</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40" w:type="dxa"/>
            <w:vAlign w:val="bottom"/>
            <w:tcBorders>
              <w:top w:val="single" w:sz="8" w:color="0000FF"/>
              <w:bottom w:val="single" w:sz="8" w:color="0000FF"/>
            </w:tcBorders>
            <w:gridSpan w:val="2"/>
          </w:tcPr>
          <w:p>
            <w:pPr>
              <w:spacing w:after="0" w:line="182" w:lineRule="exact"/>
              <w:rPr>
                <w:sz w:val="20"/>
                <w:szCs w:val="20"/>
                <w:color w:val="auto"/>
              </w:rPr>
            </w:pPr>
            <w:r>
              <w:rPr>
                <w:rFonts w:ascii="Times New Roman" w:cs="Times New Roman" w:eastAsia="Times New Roman" w:hAnsi="Times New Roman"/>
                <w:sz w:val="18"/>
                <w:szCs w:val="18"/>
                <w:color w:val="0000FF"/>
                <w:w w:val="98"/>
              </w:rPr>
              <w:t>Act Rule 13a-14(a).</w:t>
            </w:r>
          </w:p>
        </w:tc>
        <w:tc>
          <w:tcPr>
            <w:tcW w:w="3000" w:type="dxa"/>
            <w:vAlign w:val="bottom"/>
            <w:tcBorders>
              <w:top w:val="single" w:sz="8" w:color="0000FF"/>
            </w:tcBorders>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gridSpan w:val="2"/>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pursuant to 18 U.S.C.</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Section 1350.</w:t>
            </w:r>
          </w:p>
        </w:tc>
        <w:tc>
          <w:tcPr>
            <w:tcW w:w="3500" w:type="dxa"/>
            <w:vAlign w:val="bottom"/>
            <w:tcBorders>
              <w:top w:val="single" w:sz="8" w:color="0000FF"/>
            </w:tcBorders>
            <w:gridSpan w:val="5"/>
          </w:tcPr>
          <w:p>
            <w:pPr>
              <w:spacing w:after="0"/>
              <w:rPr>
                <w:sz w:val="15"/>
                <w:szCs w:val="15"/>
                <w:color w:val="auto"/>
              </w:rPr>
            </w:pPr>
          </w:p>
        </w:tc>
        <w:tc>
          <w:tcPr>
            <w:tcW w:w="300" w:type="dxa"/>
            <w:vAlign w:val="bottom"/>
            <w:gridSpan w:val="2"/>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0"/>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32.2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Certification of Chief Financial Officer pursuant to 18 U.S.C.</w:t>
            </w:r>
          </w:p>
        </w:tc>
        <w:tc>
          <w:tcPr>
            <w:tcW w:w="7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183"/>
        </w:trPr>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8"/>
              </w:rPr>
              <w:t>Section 1350.</w:t>
            </w:r>
          </w:p>
        </w:tc>
        <w:tc>
          <w:tcPr>
            <w:tcW w:w="3460" w:type="dxa"/>
            <w:vAlign w:val="bottom"/>
            <w:tcBorders>
              <w:top w:val="single" w:sz="8" w:color="0000FF"/>
            </w:tcBorders>
            <w:gridSpan w:val="3"/>
          </w:tcPr>
          <w:p>
            <w:pPr>
              <w:spacing w:after="0"/>
              <w:rPr>
                <w:sz w:val="15"/>
                <w:szCs w:val="15"/>
                <w:color w:val="auto"/>
              </w:rPr>
            </w:pPr>
          </w:p>
        </w:tc>
        <w:tc>
          <w:tcPr>
            <w:tcW w:w="340" w:type="dxa"/>
            <w:vAlign w:val="bottom"/>
            <w:gridSpan w:val="4"/>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91"/>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101.INS</w:t>
            </w:r>
          </w:p>
        </w:tc>
        <w:tc>
          <w:tcPr>
            <w:tcW w:w="20" w:type="dxa"/>
            <w:vAlign w:val="bottom"/>
          </w:tcPr>
          <w:p>
            <w:pPr>
              <w:spacing w:after="0"/>
              <w:rPr>
                <w:sz w:val="24"/>
                <w:szCs w:val="24"/>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56"/>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101.SCH</w:t>
            </w:r>
          </w:p>
        </w:tc>
        <w:tc>
          <w:tcPr>
            <w:tcW w:w="20" w:type="dxa"/>
            <w:vAlign w:val="bottom"/>
          </w:tcPr>
          <w:p>
            <w:pPr>
              <w:spacing w:after="0"/>
              <w:rPr>
                <w:sz w:val="22"/>
                <w:szCs w:val="22"/>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101.CAL</w:t>
            </w:r>
          </w:p>
        </w:tc>
        <w:tc>
          <w:tcPr>
            <w:tcW w:w="20" w:type="dxa"/>
            <w:vAlign w:val="bottom"/>
          </w:tcPr>
          <w:p>
            <w:pPr>
              <w:spacing w:after="0"/>
              <w:rPr>
                <w:sz w:val="19"/>
                <w:szCs w:val="19"/>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101.DEF</w:t>
            </w:r>
          </w:p>
        </w:tc>
        <w:tc>
          <w:tcPr>
            <w:tcW w:w="20" w:type="dxa"/>
            <w:vAlign w:val="bottom"/>
          </w:tcPr>
          <w:p>
            <w:pPr>
              <w:spacing w:after="0"/>
              <w:rPr>
                <w:sz w:val="19"/>
                <w:szCs w:val="19"/>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101.LAB</w:t>
            </w:r>
          </w:p>
        </w:tc>
        <w:tc>
          <w:tcPr>
            <w:tcW w:w="20" w:type="dxa"/>
            <w:vAlign w:val="bottom"/>
          </w:tcPr>
          <w:p>
            <w:pPr>
              <w:spacing w:after="0"/>
              <w:rPr>
                <w:sz w:val="22"/>
                <w:szCs w:val="22"/>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25"/>
        </w:trPr>
        <w:tc>
          <w:tcPr>
            <w:tcW w:w="108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101.PRE</w:t>
            </w:r>
          </w:p>
        </w:tc>
        <w:tc>
          <w:tcPr>
            <w:tcW w:w="20" w:type="dxa"/>
            <w:vAlign w:val="bottom"/>
          </w:tcPr>
          <w:p>
            <w:pPr>
              <w:spacing w:after="0"/>
              <w:rPr>
                <w:sz w:val="19"/>
                <w:szCs w:val="19"/>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Document</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5"/>
        </w:trPr>
        <w:tc>
          <w:tcPr>
            <w:tcW w:w="10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8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2"/>
        </w:trPr>
        <w:tc>
          <w:tcPr>
            <w:tcW w:w="5540" w:type="dxa"/>
            <w:vAlign w:val="bottom"/>
            <w:gridSpan w:val="7"/>
          </w:tcPr>
          <w:p>
            <w:pPr>
              <w:spacing w:after="0"/>
              <w:rPr>
                <w:sz w:val="20"/>
                <w:szCs w:val="20"/>
                <w:color w:val="auto"/>
              </w:rPr>
            </w:pPr>
            <w:r>
              <w:rPr>
                <w:rFonts w:ascii="Times New Roman" w:cs="Times New Roman" w:eastAsia="Times New Roman" w:hAnsi="Times New Roman"/>
                <w:sz w:val="18"/>
                <w:szCs w:val="18"/>
                <w:color w:val="auto"/>
              </w:rPr>
              <w:t>_____________________________</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80" w:type="dxa"/>
            <w:vAlign w:val="bottom"/>
            <w:gridSpan w:val="11"/>
          </w:tcPr>
          <w:p>
            <w:pPr>
              <w:ind w:left="60"/>
              <w:spacing w:after="0"/>
              <w:rPr>
                <w:sz w:val="20"/>
                <w:szCs w:val="20"/>
                <w:color w:val="auto"/>
              </w:rPr>
            </w:pPr>
            <w:r>
              <w:rPr>
                <w:rFonts w:ascii="Times New Roman" w:cs="Times New Roman" w:eastAsia="Times New Roman" w:hAnsi="Times New Roman"/>
                <w:sz w:val="18"/>
                <w:szCs w:val="18"/>
                <w:color w:val="auto"/>
              </w:rPr>
              <w:t>Filed herewith.</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680" w:type="dxa"/>
            <w:vAlign w:val="bottom"/>
            <w:gridSpan w:val="11"/>
          </w:tcPr>
          <w:p>
            <w:pPr>
              <w:ind w:left="140"/>
              <w:spacing w:after="0"/>
              <w:rPr>
                <w:sz w:val="20"/>
                <w:szCs w:val="20"/>
                <w:color w:val="auto"/>
              </w:rPr>
            </w:pPr>
            <w:r>
              <w:rPr>
                <w:rFonts w:ascii="Times New Roman" w:cs="Times New Roman" w:eastAsia="Times New Roman" w:hAnsi="Times New Roman"/>
                <w:sz w:val="18"/>
                <w:szCs w:val="18"/>
                <w:color w:val="auto"/>
              </w:rPr>
              <w:t>Furnished herewith.</w:t>
            </w:r>
          </w:p>
        </w:tc>
        <w:tc>
          <w:tcPr>
            <w:tcW w:w="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4"/>
        </w:trPr>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740" w:type="dxa"/>
            <w:vAlign w:val="bottom"/>
            <w:gridSpan w:val="8"/>
          </w:tcPr>
          <w:p>
            <w:pPr>
              <w:jc w:val="right"/>
              <w:ind w:right="100"/>
              <w:spacing w:after="0"/>
              <w:rPr>
                <w:sz w:val="20"/>
                <w:szCs w:val="20"/>
                <w:color w:val="auto"/>
              </w:rPr>
            </w:pPr>
            <w:r>
              <w:rPr>
                <w:rFonts w:ascii="Times New Roman" w:cs="Times New Roman" w:eastAsia="Times New Roman" w:hAnsi="Times New Roman"/>
                <w:sz w:val="18"/>
                <w:szCs w:val="18"/>
                <w:color w:val="auto"/>
              </w:rPr>
              <w:t>67</w:t>
            </w: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220" w:type="dxa"/>
            <w:vAlign w:val="bottom"/>
            <w:tcBorders>
              <w:bottom w:val="single" w:sz="8" w:color="9A9A9A"/>
            </w:tcBorders>
          </w:tcPr>
          <w:p>
            <w:pPr>
              <w:spacing w:after="0"/>
              <w:rPr>
                <w:sz w:val="8"/>
                <w:szCs w:val="8"/>
                <w:color w:val="auto"/>
              </w:rPr>
            </w:pPr>
          </w:p>
        </w:tc>
        <w:tc>
          <w:tcPr>
            <w:tcW w:w="78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440" w:type="dxa"/>
            <w:vAlign w:val="bottom"/>
            <w:tcBorders>
              <w:bottom w:val="single" w:sz="8" w:color="9A9A9A"/>
            </w:tcBorders>
          </w:tcPr>
          <w:p>
            <w:pPr>
              <w:spacing w:after="0"/>
              <w:rPr>
                <w:sz w:val="8"/>
                <w:szCs w:val="8"/>
                <w:color w:val="auto"/>
              </w:rPr>
            </w:pPr>
          </w:p>
        </w:tc>
        <w:tc>
          <w:tcPr>
            <w:tcW w:w="300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7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256"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86"/>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29"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Progyny, Inc.</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Registrant</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20"/>
        <w:spacing w:after="0"/>
        <w:tabs>
          <w:tab w:leader="none" w:pos="5680" w:val="left"/>
          <w:tab w:leader="none" w:pos="806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23151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818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pacing w:after="0" w:line="315" w:lineRule="exact"/>
        <w:rPr>
          <w:sz w:val="20"/>
          <w:szCs w:val="20"/>
          <w:color w:val="auto"/>
        </w:rPr>
      </w:pPr>
    </w:p>
    <w:p>
      <w:pPr>
        <w:ind w:left="20"/>
        <w:spacing w:after="0"/>
        <w:tabs>
          <w:tab w:leader="none" w:pos="5680" w:val="left"/>
          <w:tab w:leader="none" w:pos="796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26035</wp:posOffset>
            </wp:positionV>
            <wp:extent cx="32315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43"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8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and Accounting Officer</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ectPr>
          <w:pgSz w:w="11900" w:h="16838" w:orient="portrait"/>
          <w:cols w:equalWidth="0" w:num="1">
            <w:col w:w="11240"/>
          </w:cols>
          <w:pgMar w:left="320" w:top="256" w:right="3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Peter Anevski, certify that:</w:t>
      </w:r>
    </w:p>
    <w:p>
      <w:pPr>
        <w:spacing w:after="0" w:line="225"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Progyny,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4440" w:val="left"/>
          <w:tab w:leader="none" w:pos="748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3176905</wp:posOffset>
            </wp:positionH>
            <wp:positionV relativeFrom="paragraph">
              <wp:posOffset>26035</wp:posOffset>
            </wp:positionV>
            <wp:extent cx="396049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960495" cy="8890"/>
                    </a:xfrm>
                    <a:prstGeom prst="rect">
                      <a:avLst/>
                    </a:prstGeom>
                    <a:noFill/>
                  </pic:spPr>
                </pic:pic>
              </a:graphicData>
            </a:graphic>
          </wp:anchor>
        </w:drawing>
      </w:r>
    </w:p>
    <w:p>
      <w:pPr>
        <w:spacing w:after="0" w:line="43"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26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1143" w:right="3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Mark Livingston, certify that:</w:t>
      </w:r>
    </w:p>
    <w:p>
      <w:pPr>
        <w:spacing w:after="0" w:line="225" w:lineRule="exact"/>
        <w:rPr>
          <w:sz w:val="20"/>
          <w:szCs w:val="20"/>
          <w:color w:val="auto"/>
        </w:rPr>
      </w:pPr>
    </w:p>
    <w:p>
      <w:pPr>
        <w:ind w:left="660" w:hanging="328"/>
        <w:spacing w:after="0"/>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Progyny, Inc.;</w:t>
      </w:r>
    </w:p>
    <w:p>
      <w:pPr>
        <w:spacing w:after="0" w:line="225"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7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left="980" w:right="20" w:hanging="324"/>
        <w:spacing w:after="0" w:line="282" w:lineRule="auto"/>
        <w:tabs>
          <w:tab w:leader="none" w:pos="977"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980" w:hanging="324"/>
        <w:spacing w:after="0" w:line="282" w:lineRule="auto"/>
        <w:tabs>
          <w:tab w:leader="none" w:pos="974" w:val="left"/>
        </w:tabs>
        <w:numPr>
          <w:ilvl w:val="1"/>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6" w:lineRule="exact"/>
        <w:rPr>
          <w:sz w:val="20"/>
          <w:szCs w:val="20"/>
          <w:color w:val="auto"/>
        </w:rPr>
      </w:pPr>
    </w:p>
    <w:p>
      <w:pPr>
        <w:ind w:left="20"/>
        <w:spacing w:after="0"/>
        <w:tabs>
          <w:tab w:leader="none" w:pos="4860" w:val="left"/>
          <w:tab w:leader="none" w:pos="758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26035</wp:posOffset>
            </wp:positionV>
            <wp:extent cx="37033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703320" cy="8890"/>
                    </a:xfrm>
                    <a:prstGeom prst="rect">
                      <a:avLst/>
                    </a:prstGeom>
                    <a:noFill/>
                  </pic:spPr>
                </pic:pic>
              </a:graphicData>
            </a:graphic>
          </wp:anchor>
        </w:drawing>
      </w:r>
    </w:p>
    <w:p>
      <w:pPr>
        <w:spacing w:after="0" w:line="43" w:lineRule="exact"/>
        <w:rPr>
          <w:sz w:val="20"/>
          <w:szCs w:val="20"/>
          <w:color w:val="auto"/>
        </w:rPr>
      </w:pPr>
    </w:p>
    <w:p>
      <w:pPr>
        <w:ind w:left="772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4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43"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Progyny, Inc. (the “Company”) for the period ended March 31, 2026,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4600" w:val="left"/>
          <w:tab w:leader="none" w:pos="752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Peter Anevski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26035</wp:posOffset>
            </wp:positionV>
            <wp:extent cx="392620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926205" cy="8255"/>
                    </a:xfrm>
                    <a:prstGeom prst="rect">
                      <a:avLst/>
                    </a:prstGeom>
                    <a:noFill/>
                  </pic:spPr>
                </pic:pic>
              </a:graphicData>
            </a:graphic>
          </wp:anchor>
        </w:drawing>
      </w:r>
    </w:p>
    <w:p>
      <w:pPr>
        <w:spacing w:after="0" w:line="43"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8"/>
          <w:szCs w:val="18"/>
          <w:color w:val="auto"/>
        </w:rPr>
        <w:t>Peter Anevski</w:t>
      </w:r>
    </w:p>
    <w:p>
      <w:pPr>
        <w:spacing w:after="0" w:line="63" w:lineRule="exact"/>
        <w:rPr>
          <w:sz w:val="20"/>
          <w:szCs w:val="20"/>
          <w:color w:val="auto"/>
        </w:rPr>
      </w:pPr>
    </w:p>
    <w:p>
      <w:pPr>
        <w:ind w:left="72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7" w:lineRule="exact"/>
        <w:rPr>
          <w:sz w:val="20"/>
          <w:szCs w:val="20"/>
          <w:color w:val="auto"/>
        </w:rPr>
      </w:pPr>
    </w:p>
    <w:p>
      <w:pPr>
        <w:ind w:left="71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executive officer</w:t>
      </w:r>
      <w:r>
        <w:rPr>
          <w:rFonts w:ascii="Times New Roman" w:cs="Times New Roman" w:eastAsia="Times New Roman" w:hAnsi="Times New Roman"/>
          <w:sz w:val="18"/>
          <w:szCs w:val="18"/>
          <w:color w:val="auto"/>
        </w:rPr>
        <w:t>)</w:t>
      </w:r>
    </w:p>
    <w:p>
      <w:pPr>
        <w:sectPr>
          <w:pgSz w:w="11900" w:h="16838" w:orient="portrait"/>
          <w:cols w:equalWidth="0" w:num="1">
            <w:col w:w="11240"/>
          </w:cols>
          <w:pgMar w:left="320" w:top="1143"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spacing w:after="0" w:line="9" w:lineRule="exact"/>
        <w:rPr>
          <w:sz w:val="20"/>
          <w:szCs w:val="20"/>
          <w:color w:val="auto"/>
        </w:rPr>
      </w:pP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441"/>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on Form 10-Q of Progyny, Inc. (the “Company”) for the period ended March 31, 2026, as filed with the Securities and Exchange Commission on the date hereof (the “Report”), I certify, pursuant to 18 U.S.C. § 1350, as adopted pursuant to § 906 of the Sarbanes-Oxley Act of 2002, that, to my knowledge:</w:t>
      </w:r>
    </w:p>
    <w:p>
      <w:pPr>
        <w:spacing w:after="0" w:line="176" w:lineRule="exact"/>
        <w:rPr>
          <w:sz w:val="20"/>
          <w:szCs w:val="20"/>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640" w:hanging="308"/>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79" w:lineRule="exact"/>
        <w:rPr>
          <w:sz w:val="20"/>
          <w:szCs w:val="20"/>
          <w:color w:val="auto"/>
        </w:rPr>
      </w:pPr>
    </w:p>
    <w:p>
      <w:pPr>
        <w:ind w:left="20"/>
        <w:spacing w:after="0"/>
        <w:tabs>
          <w:tab w:leader="none" w:pos="4640" w:val="left"/>
          <w:tab w:leader="none" w:pos="7440" w:val="left"/>
        </w:tabs>
        <w:rPr>
          <w:sz w:val="20"/>
          <w:szCs w:val="20"/>
          <w:color w:val="auto"/>
        </w:rPr>
      </w:pPr>
      <w:r>
        <w:rPr>
          <w:rFonts w:ascii="Times New Roman" w:cs="Times New Roman" w:eastAsia="Times New Roman" w:hAnsi="Times New Roman"/>
          <w:sz w:val="18"/>
          <w:szCs w:val="18"/>
          <w:color w:val="auto"/>
        </w:rPr>
        <w:t>Date: May 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Mark Livingston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3236595</wp:posOffset>
            </wp:positionH>
            <wp:positionV relativeFrom="paragraph">
              <wp:posOffset>26035</wp:posOffset>
            </wp:positionV>
            <wp:extent cx="390017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900170" cy="8255"/>
                    </a:xfrm>
                    <a:prstGeom prst="rect">
                      <a:avLst/>
                    </a:prstGeom>
                    <a:noFill/>
                  </pic:spPr>
                </pic:pic>
              </a:graphicData>
            </a:graphic>
          </wp:anchor>
        </w:drawing>
      </w:r>
    </w:p>
    <w:p>
      <w:pPr>
        <w:spacing w:after="0" w:line="43" w:lineRule="exact"/>
        <w:rPr>
          <w:sz w:val="20"/>
          <w:szCs w:val="20"/>
          <w:color w:val="auto"/>
        </w:rPr>
      </w:pPr>
    </w:p>
    <w:p>
      <w:pPr>
        <w:ind w:left="7560"/>
        <w:spacing w:after="0"/>
        <w:rPr>
          <w:sz w:val="20"/>
          <w:szCs w:val="20"/>
          <w:color w:val="auto"/>
        </w:rPr>
      </w:pPr>
      <w:r>
        <w:rPr>
          <w:rFonts w:ascii="Times New Roman" w:cs="Times New Roman" w:eastAsia="Times New Roman" w:hAnsi="Times New Roman"/>
          <w:sz w:val="18"/>
          <w:szCs w:val="18"/>
          <w:color w:val="auto"/>
        </w:rPr>
        <w:t>Mark Livingston</w:t>
      </w:r>
    </w:p>
    <w:p>
      <w:pPr>
        <w:spacing w:after="0" w:line="63" w:lineRule="exact"/>
        <w:rPr>
          <w:sz w:val="20"/>
          <w:szCs w:val="20"/>
          <w:color w:val="auto"/>
        </w:rPr>
      </w:pPr>
    </w:p>
    <w:p>
      <w:pPr>
        <w:ind w:left="734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7" w:lineRule="exact"/>
        <w:rPr>
          <w:sz w:val="20"/>
          <w:szCs w:val="20"/>
          <w:color w:val="auto"/>
        </w:rPr>
      </w:pPr>
    </w:p>
    <w:p>
      <w:pPr>
        <w:ind w:left="718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114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36C6125"/>
    <w:multiLevelType w:val="hybridMultilevel"/>
    <w:lvl w:ilvl="0">
      <w:lvlJc w:val="left"/>
      <w:lvlText w:val="x"/>
      <w:numFmt w:val="bullet"/>
      <w:start w:val="1"/>
    </w:lvl>
  </w:abstractNum>
  <w:abstractNum w:abstractNumId="1">
    <w:nsid w:val="628C895D"/>
    <w:multiLevelType w:val="hybridMultilevel"/>
    <w:lvl w:ilvl="0">
      <w:lvlJc w:val="left"/>
      <w:lvlText w:val="o"/>
      <w:numFmt w:val="bullet"/>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1."/>
      <w:numFmt w:val="decimal"/>
      <w:start w:val="1"/>
    </w:lvl>
  </w:abstractNum>
  <w:abstractNum w:abstractNumId="5">
    <w:nsid w:val="2D1D5AE9"/>
    <w:multiLevelType w:val="hybridMultilevel"/>
    <w:lvl w:ilvl="0">
      <w:lvlJc w:val="left"/>
      <w:lvlText w:val="(%1)"/>
      <w:numFmt w:val="decimal"/>
      <w:start w:val="3"/>
    </w:lvl>
  </w:abstractNum>
  <w:abstractNum w:abstractNumId="6">
    <w:nsid w:val="6763845E"/>
    <w:multiLevelType w:val="hybridMultilevel"/>
    <w:lvl w:ilvl="0">
      <w:lvlJc w:val="left"/>
      <w:lvlText w:val="%1."/>
      <w:numFmt w:val="decimal"/>
      <w:start w:val="2"/>
    </w:lvl>
  </w:abstractNum>
  <w:abstractNum w:abstractNumId="7">
    <w:nsid w:val="75A2A8D4"/>
    <w:multiLevelType w:val="hybridMultilevel"/>
    <w:lvl w:ilvl="0">
      <w:lvlJc w:val="left"/>
      <w:lvlText w:val="•"/>
      <w:numFmt w:val="bullet"/>
      <w:start w:val="1"/>
    </w:lvl>
  </w:abstractNum>
  <w:abstractNum w:abstractNumId="8">
    <w:nsid w:val="8EDBDAB"/>
    <w:multiLevelType w:val="hybridMultilevel"/>
    <w:lvl w:ilvl="0">
      <w:lvlJc w:val="left"/>
      <w:lvlText w:val="%1."/>
      <w:numFmt w:val="decimal"/>
      <w:start w:val="3"/>
    </w:lvl>
  </w:abstractNum>
  <w:abstractNum w:abstractNumId="9">
    <w:nsid w:val="79838CB2"/>
    <w:multiLevelType w:val="hybridMultilevel"/>
    <w:lvl w:ilvl="0">
      <w:lvlJc w:val="left"/>
      <w:lvlText w:val="(%1)"/>
      <w:numFmt w:val="decimal"/>
      <w:start w:val="1"/>
    </w:lvl>
  </w:abstractNum>
  <w:abstractNum w:abstractNumId="10">
    <w:nsid w:val="4353D0CD"/>
    <w:multiLevelType w:val="hybridMultilevel"/>
    <w:lvl w:ilvl="0">
      <w:lvlJc w:val="left"/>
      <w:lvlText w:val="%1."/>
      <w:numFmt w:val="decimal"/>
      <w:start w:val="4"/>
    </w:lvl>
  </w:abstractNum>
  <w:abstractNum w:abstractNumId="11">
    <w:nsid w:val="B03E0C6"/>
    <w:multiLevelType w:val="hybridMultilevel"/>
    <w:lvl w:ilvl="0">
      <w:lvlJc w:val="left"/>
      <w:lvlText w:val="%1."/>
      <w:numFmt w:val="decimal"/>
      <w:start w:val="5"/>
    </w:lvl>
  </w:abstractNum>
  <w:abstractNum w:abstractNumId="12">
    <w:nsid w:val="189A769B"/>
    <w:multiLevelType w:val="hybridMultilevel"/>
    <w:lvl w:ilvl="0">
      <w:lvlJc w:val="left"/>
      <w:lvlText w:val="%1."/>
      <w:numFmt w:val="decimal"/>
      <w:start w:val="6"/>
    </w:lvl>
  </w:abstractNum>
  <w:abstractNum w:abstractNumId="13">
    <w:nsid w:val="54E49EB4"/>
    <w:multiLevelType w:val="hybridMultilevel"/>
    <w:lvl w:ilvl="0">
      <w:lvlJc w:val="left"/>
      <w:lvlText w:val="%1."/>
      <w:numFmt w:val="decimal"/>
      <w:start w:val="7"/>
    </w:lvl>
  </w:abstractNum>
  <w:abstractNum w:abstractNumId="14">
    <w:nsid w:val="71F32454"/>
    <w:multiLevelType w:val="hybridMultilevel"/>
    <w:lvl w:ilvl="0">
      <w:lvlJc w:val="left"/>
      <w:lvlText w:val="%1."/>
      <w:numFmt w:val="decimal"/>
      <w:start w:val="8"/>
    </w:lvl>
  </w:abstractNum>
  <w:abstractNum w:abstractNumId="15">
    <w:nsid w:val="2CA88611"/>
    <w:multiLevelType w:val="hybridMultilevel"/>
    <w:lvl w:ilvl="0">
      <w:lvlJc w:val="left"/>
      <w:lvlText w:val="(%1)"/>
      <w:numFmt w:val="decimal"/>
      <w:start w:val="1"/>
    </w:lvl>
  </w:abstractNum>
  <w:abstractNum w:abstractNumId="16">
    <w:nsid w:val="836C40E"/>
    <w:multiLevelType w:val="hybridMultilevel"/>
    <w:lvl w:ilvl="0">
      <w:lvlJc w:val="left"/>
      <w:lvlText w:val="%1."/>
      <w:numFmt w:val="decimal"/>
      <w:start w:val="9"/>
    </w:lvl>
  </w:abstractNum>
  <w:abstractNum w:abstractNumId="17">
    <w:nsid w:val="2901D82"/>
    <w:multiLevelType w:val="hybridMultilevel"/>
    <w:lvl w:ilvl="0">
      <w:lvlJc w:val="left"/>
      <w:lvlText w:val="%1."/>
      <w:numFmt w:val="decimal"/>
      <w:start w:val="10"/>
    </w:lvl>
  </w:abstractNum>
  <w:abstractNum w:abstractNumId="18">
    <w:nsid w:val="3A95F874"/>
    <w:multiLevelType w:val="hybridMultilevel"/>
    <w:lvl w:ilvl="0">
      <w:lvlJc w:val="left"/>
      <w:lvlText w:val="%1."/>
      <w:numFmt w:val="decimal"/>
      <w:start w:val="11"/>
    </w:lvl>
  </w:abstractNum>
  <w:abstractNum w:abstractNumId="19">
    <w:nsid w:val="8138641"/>
    <w:multiLevelType w:val="hybridMultilevel"/>
    <w:lvl w:ilvl="0">
      <w:lvlJc w:val="left"/>
      <w:lvlText w:val="(%1)"/>
      <w:numFmt w:val="decimal"/>
      <w:start w:val="1"/>
    </w:lvl>
  </w:abstractNum>
  <w:abstractNum w:abstractNumId="20">
    <w:nsid w:val="1E7FF521"/>
    <w:multiLevelType w:val="hybridMultilevel"/>
    <w:lvl w:ilvl="0">
      <w:lvlJc w:val="left"/>
      <w:lvlText w:val="(%1)"/>
      <w:numFmt w:val="decimal"/>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1"/>
    </w:lvl>
  </w:abstractNum>
  <w:abstractNum w:abstractNumId="23">
    <w:nsid w:val="6CEAF087"/>
    <w:multiLevelType w:val="hybridMultilevel"/>
    <w:lvl w:ilvl="0">
      <w:lvlJc w:val="left"/>
      <w:lvlText w:val="(%1)"/>
      <w:numFmt w:val="decimal"/>
      <w:start w:val="1"/>
    </w:lvl>
  </w:abstractNum>
  <w:abstractNum w:abstractNumId="24">
    <w:nsid w:val="22221A70"/>
    <w:multiLevelType w:val="hybridMultilevel"/>
    <w:lvl w:ilvl="0">
      <w:lvlJc w:val="left"/>
      <w:lvlText w:val="(%1)"/>
      <w:numFmt w:val="decimal"/>
      <w:start w:val="2"/>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
      <w:numFmt w:val="bullet"/>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1)"/>
      <w:numFmt w:val="decimal"/>
      <w:start w:val="1"/>
    </w:lvl>
  </w:abstractNum>
  <w:abstractNum w:abstractNumId="35">
    <w:nsid w:val="5C482A97"/>
    <w:multiLevelType w:val="hybridMultilevel"/>
    <w:lvl w:ilvl="0">
      <w:lvlJc w:val="left"/>
      <w:lvlText w:val="%1."/>
      <w:numFmt w:val="lowerLetter"/>
      <w:start w:val="1"/>
    </w:lvl>
  </w:abstractNum>
  <w:abstractNum w:abstractNumId="36">
    <w:nsid w:val="2463B9EA"/>
    <w:multiLevelType w:val="hybridMultilevel"/>
    <w:lvl w:ilvl="0">
      <w:lvlJc w:val="left"/>
      <w:lvlText w:val="%1."/>
      <w:numFmt w:val="decimal"/>
      <w:start w:val="1"/>
    </w:lvl>
    <w:lvl w:ilvl="1">
      <w:lvlJc w:val="left"/>
      <w:lvlText w:val="(%2)"/>
      <w:numFmt w:val="lowerLetter"/>
      <w:start w:val="1"/>
    </w:lvl>
  </w:abstractNum>
  <w:abstractNum w:abstractNumId="37">
    <w:nsid w:val="5E884ADC"/>
    <w:multiLevelType w:val="hybridMultilevel"/>
    <w:lvl w:ilvl="0">
      <w:lvlJc w:val="left"/>
      <w:lvlText w:val="%1."/>
      <w:numFmt w:val="decimal"/>
      <w:start w:val="1"/>
    </w:lvl>
    <w:lvl w:ilvl="1">
      <w:lvlJc w:val="left"/>
      <w:lvlText w:val="(%2)"/>
      <w:numFmt w:val="lowerLetter"/>
      <w:start w:val="1"/>
    </w:lvl>
  </w:abstractNum>
  <w:abstractNum w:abstractNumId="38">
    <w:nsid w:val="51EAD36B"/>
    <w:multiLevelType w:val="hybridMultilevel"/>
    <w:lvl w:ilvl="0">
      <w:lvlJc w:val="left"/>
      <w:lvlText w:val="(%1)"/>
      <w:numFmt w:val="decimal"/>
      <w:start w:val="1"/>
    </w:lvl>
  </w:abstractNum>
  <w:abstractNum w:abstractNumId="39">
    <w:nsid w:val="2D51779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2026-05-08T07:53:41Z</dcterms:created>
  <dcterms:modified xsi:type="dcterms:W3CDTF">2026-05-08T07:53:41Z</dcterms:modified>
</cp:coreProperties>
</file>