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9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9686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HOLSTEIN ROGER C</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Progyny,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PGNY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PROGYNY, INC.</w:t>
            </w:r>
          </w:p>
        </w:tc>
        <w:tc>
          <w:tcPr>
            <w:tcW w:w="120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1359 BROADWAY, 2ND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10018</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05/21/2026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6,792</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28,729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24.69</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4,003</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05/20/2036</w:t>
            </w: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4,003</w:t>
            </w:r>
          </w:p>
        </w:tc>
        <w:tc>
          <w:tcPr>
            <w:tcW w:w="760" w:type="dxa"/>
            <w:vAlign w:val="bottom"/>
            <w:gridSpan w:val="2"/>
            <w:vMerge w:val="restart"/>
          </w:tcPr>
          <w:p>
            <w:pPr>
              <w:jc w:val="center"/>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12.49</w:t>
            </w:r>
            <w:r>
              <w:rPr>
                <w:rFonts w:ascii="Times New Roman" w:cs="Times New Roman" w:eastAsia="Times New Roman" w:hAnsi="Times New Roman"/>
                <w:sz w:val="21"/>
                <w:szCs w:val="21"/>
                <w:color w:val="008000"/>
                <w:vertAlign w:val="superscript"/>
              </w:rPr>
              <w:t>(2)</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4,003</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24.69</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0000FF"/>
              </w:rPr>
              <w:t>29,289</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05/20/2036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3"/>
              <w:spacing w:after="0" w:line="194" w:lineRule="exact"/>
              <w:rPr>
                <w:sz w:val="20"/>
                <w:szCs w:val="20"/>
                <w:color w:val="auto"/>
              </w:rPr>
            </w:pPr>
            <w:r>
              <w:rPr>
                <w:rFonts w:ascii="Times New Roman" w:cs="Times New Roman" w:eastAsia="Times New Roman" w:hAnsi="Times New Roman"/>
                <w:sz w:val="17"/>
                <w:szCs w:val="17"/>
                <w:color w:val="0000FF"/>
                <w:w w:val="94"/>
              </w:rPr>
              <w:t>29,289</w:t>
            </w:r>
          </w:p>
        </w:tc>
        <w:tc>
          <w:tcPr>
            <w:tcW w:w="760" w:type="dxa"/>
            <w:vAlign w:val="bottom"/>
            <w:gridSpan w:val="2"/>
          </w:tcPr>
          <w:p>
            <w:pPr>
              <w:jc w:val="center"/>
              <w:ind w:right="2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29,289</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jc w:val="both"/>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Issuer common stock underlying restricted stock units ("RSUs"). Each RSU represents a contingent right to receive one share of Issuer common stock. The RSUs will vest on the earlier of (i) May 21, 2027 or (ii) the calendar day immediately preceding the date of the Issuer's first annual meeting of stockholders following the grant date, subject to the Reporting Person's continued service on such date.</w:t>
      </w:r>
    </w:p>
    <w:p>
      <w:pPr>
        <w:spacing w:after="0" w:line="26"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to the Reporting Person in lieu of an annual cash retainer of $49,978 for board and committee service. The shares subject to the option will vest on the earlier of (i) May 21, 2027 or (ii) the calendar day immediately preceding the date of the Issuer's first annual meeting of stockholders following the grant date, subject to the Reporting Person's continued service on such date.</w:t>
      </w:r>
    </w:p>
    <w:p>
      <w:pPr>
        <w:spacing w:after="0" w:line="17"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21, 2027 or (ii) the calendar day immediately preceding the date of the Issuer's first annual meeting of stockholders following the grant date, subject to the Reporting Person's continued service on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Livingston,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0619" TargetMode="External"/><Relationship Id="rId14" Type="http://schemas.openxmlformats.org/officeDocument/2006/relationships/hyperlink" Target="http://www.sec.gov/cgi-bin/browse-edgar?action=getcompany&amp;CIK=0001551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2026-05-26T15:38:59Z</dcterms:created>
  <dcterms:modified xsi:type="dcterms:W3CDTF">2026-05-26T15:38:59Z</dcterms:modified>
</cp:coreProperties>
</file>