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7"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37" w:lineRule="exact"/>
        <w:rPr>
          <w:sz w:val="24"/>
          <w:szCs w:val="24"/>
          <w:color w:val="auto"/>
        </w:rPr>
      </w:pPr>
    </w:p>
    <w:p>
      <w:pPr>
        <w:jc w:val="both"/>
        <w:ind w:right="20" w:firstLine="648"/>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4"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17"/>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x</w:t>
            </w: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o</w:t>
            </w: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bl>
    <w:p>
      <w:pPr>
        <w:spacing w:after="0" w:line="188" w:lineRule="exact"/>
        <w:rPr>
          <w:sz w:val="24"/>
          <w:szCs w:val="24"/>
          <w:color w:val="auto"/>
        </w:rPr>
      </w:pPr>
    </w:p>
    <w:p>
      <w:pPr>
        <w:ind w:right="20" w:firstLine="648"/>
        <w:spacing w:after="0" w:line="30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64" w:lineRule="exact"/>
        <w:rPr>
          <w:sz w:val="24"/>
          <w:szCs w:val="24"/>
          <w:color w:val="auto"/>
        </w:rPr>
      </w:pPr>
    </w:p>
    <w:p>
      <w:pPr>
        <w:ind w:left="660" w:right="3380"/>
        <w:spacing w:after="0" w:line="46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As of July 31, 2022, the registrant had 92,080,926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6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0" w:type="dxa"/>
            <w:vAlign w:val="bottom"/>
            <w:tcBorders>
              <w:bottom w:val="single" w:sz="8" w:color="0000FF"/>
            </w:tcBorders>
            <w:gridSpan w:val="9"/>
            <w:vMerge w:val="continue"/>
          </w:tcPr>
          <w:p>
            <w:pPr>
              <w:spacing w:after="0"/>
              <w:rPr>
                <w:sz w:val="15"/>
                <w:szCs w:val="15"/>
                <w:color w:val="auto"/>
              </w:rPr>
            </w:pPr>
          </w:p>
        </w:tc>
        <w:tc>
          <w:tcPr>
            <w:tcW w:w="6760" w:type="dxa"/>
            <w:vAlign w:val="bottom"/>
            <w:gridSpan w:val="11"/>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June 30,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Three and Six Months Ended June 30, 2022 and 2021</w:t>
            </w:r>
          </w:p>
        </w:tc>
        <w:tc>
          <w:tcPr>
            <w:tcW w:w="1740" w:type="dxa"/>
            <w:vAlign w:val="bottom"/>
            <w:gridSpan w:val="3"/>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Six Months Ended June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and Six Months Ended June 30, 2022 and 2021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80" w:type="dxa"/>
            <w:vAlign w:val="bottom"/>
            <w:tcBorders>
              <w:top w:val="single" w:sz="8" w:color="0000FF"/>
            </w:tcBorders>
            <w:gridSpan w:val="5"/>
          </w:tcPr>
          <w:p>
            <w:pPr>
              <w:spacing w:after="0"/>
              <w:rPr>
                <w:sz w:val="20"/>
                <w:szCs w:val="20"/>
                <w:color w:val="auto"/>
              </w:rPr>
            </w:pPr>
          </w:p>
        </w:tc>
        <w:tc>
          <w:tcPr>
            <w:tcW w:w="2460" w:type="dxa"/>
            <w:vAlign w:val="bottom"/>
            <w:gridSpan w:val="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700" w:type="dxa"/>
            <w:vAlign w:val="bottom"/>
            <w:gridSpan w:val="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40" w:type="dxa"/>
            <w:vAlign w:val="bottom"/>
            <w:gridSpan w:val="21"/>
          </w:tcPr>
          <w:p>
            <w:pPr>
              <w:ind w:left="58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Borders>
              <w:bottom w:val="single" w:sz="8" w:color="0000FF"/>
            </w:tcBorders>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8"/>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20" w:type="dxa"/>
            <w:vAlign w:val="bottom"/>
            <w:gridSpan w:val="1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8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Borders>
              <w:top w:val="single" w:sz="8" w:color="0000FF"/>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1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700" w:type="dxa"/>
            <w:vAlign w:val="bottom"/>
            <w:gridSpan w:val="11"/>
          </w:tcPr>
          <w:p>
            <w:pPr>
              <w:jc w:val="right"/>
              <w:ind w:right="11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general economic and market trends; and ongoing impacts of the COVID-19 pandemic, including variants, on our business, operations, and the markets and communities in which we and our clients, members and providers operate are forward-looking statements and the potential impact of evolving laws and regulations, including any laws and regulations restricting reproductive rights.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0"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sustain profitability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vendors and insurance carriers.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our business, financial condition and results of operations could suffer.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$23,476 and $17,379 of allowances at June 30, 2022 and December 31, 2021,</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151,852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7)</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June 30, 2022 and December 31, 2021;</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92,056,816 and 91,088,781 shares issued and outstanding at June 30, 2022 and December 31, 2021,</w:t>
            </w:r>
          </w:p>
        </w:tc>
        <w:tc>
          <w:tcPr>
            <w:tcW w:w="3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255,339</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615,980 shares at June 30, 2022 and December 31, 2021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311,024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462,876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128,651</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250,784</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151,117</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99,030</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290,385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192,256</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43,887</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8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91,964,978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88,165,158</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91,578,707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87,783,894</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99,672,769</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99,808,085</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99,725,564</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99,977,518</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2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90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2022:</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91,741,481</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278,083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279,619</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315,335</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23,822</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8,768</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92,056,816</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300,691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311,024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2021:</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87,732,302</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238,695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(53,027)</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184,618</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802,791</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Warrants exercise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824,991</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18,727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18,727</w:t>
            </w: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89,360,084</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240,111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204,541</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2022:</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91,088,781</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255,339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251,822</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968,035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48,525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48,525</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92,056,816</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300,691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11,315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311,024</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2021:</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87,054,329</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236,139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(68,193)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166,947</w:t>
            </w:r>
          </w:p>
        </w:tc>
        <w:tc>
          <w:tcPr>
            <w:tcW w:w="0" w:type="dxa"/>
            <w:vAlign w:val="bottom"/>
          </w:tcPr>
          <w:p>
            <w:pPr>
              <w:spacing w:after="0"/>
              <w:rPr>
                <w:sz w:val="1"/>
                <w:szCs w:val="1"/>
                <w:color w:val="auto"/>
              </w:rPr>
            </w:pPr>
          </w:p>
        </w:tc>
      </w:tr>
      <w:tr>
        <w:trPr>
          <w:trHeight w:val="166"/>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1,480,764</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11,563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11,563</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824,991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33,893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33,893</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89,360,084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240,111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204,541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5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13,739</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33,893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(10,177)</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48,154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11,551</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Bad debt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4,805</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(69,908)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11,091</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9,537</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(6,941)</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(83,481)</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76,984</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(7,296)</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employee taxes related to equity awards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(9,291)</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contributions to employee stock purchase plan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(7,321)</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(36,683)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(21,558)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70,305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54,730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48,747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of property and equipment, net included in accounts payable and accrued expenses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r>
      <w:tr>
        <w:trPr>
          <w:trHeight w:val="22"/>
        </w:trPr>
        <w:tc>
          <w:tcPr>
            <w:tcW w:w="8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our financial position as of June 30, 2022, the results of our operations for the three and six months ended June 30, 2022 and 2021 and the results of our cash flows for the six months ended June 30, 2022 and 2021. Therefore, these unaudited consolidated financial statements should be read in conjunction with the audited consolidated financial statements and related footnotes included in the Company’s Annual Report on Form 10-K for the year ended December 31, 2021, filed with the SEC on March 1, 2022 (the “Annual Report on Form 10-K”).</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for the three and six months ended June 30, 2022 are not necessarily indicative of the operating results expected for the year ending December 31, 2022 or any other future period. 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contract asset or contract liability balances as of June 30, 2022 and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accrued receivables were $61.2 million and $30.2 million, respectively. Accrued receivables are included within accounts receivable in the consolidated balance sheet.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Accrued claims payable of $38.5 million and $20.0 million as of June 30, 2022 and December 31, 2021, respectively, are included within accrued expenses and other current liabilities in the consolidated balance sheet. Claims payable are generally paid within 30 days based on contractual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unbilled receivables, which represent claims received and approved but unbilled at the end of the reporting period, were $36.2 million and $23.7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23,476</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our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our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standard is intended to simplify the accounting for income taxes by removing certain exceptions to the general principles in Topic 740, as well as improve consistent application of and simplify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2021, the FASB issued ASU No. 2021-04 (“ASU 2021-04”) “</w:t>
      </w:r>
      <w:r>
        <w:rPr>
          <w:rFonts w:ascii="Times New Roman" w:cs="Times New Roman" w:eastAsia="Times New Roman" w:hAnsi="Times New Roman"/>
          <w:sz w:val="18"/>
          <w:szCs w:val="18"/>
          <w:i w:val="1"/>
          <w:iCs w:val="1"/>
          <w:color w:val="auto"/>
        </w:rPr>
        <w:t>Earnings Per Share (Topic 260), Debt-Modifications and Extinguishments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470-50), Compensation- Stock Compensation (Topic 718), and Derivatives and Hedging-Contracts in Entity’s Own Equity (Subtopic 815- 40)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126,790</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92,266</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181,120</w:t>
            </w:r>
          </w:p>
        </w:tc>
      </w:tr>
      <w:tr>
        <w:trPr>
          <w:trHeight w:val="25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36,385</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129,513</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69,664</w:t>
            </w:r>
          </w:p>
        </w:tc>
      </w:tr>
      <w:tr>
        <w:trPr>
          <w:trHeight w:val="282"/>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128,651</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2022 and December 31, 2021, the Company had $57.0 million and $93.7 million, respectively, in financial assets held in money market accounts and $67.7 million and $28.0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the Company did not have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lease agreement for its corporate headquarters commenced and is scheduled to expire in May 2029. Pursuant to the 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each of the three months ended June 30, 2022 and 2021 was $0.3 million. For each of the six months ended June 30, 2022 and 2021, lease expense was $0.6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 for each of the six months ended June 30, 2022 and 2021 was $0.6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our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220" w:type="dxa"/>
            <w:vAlign w:val="bottom"/>
          </w:tcPr>
          <w:p>
            <w:pPr>
              <w:spacing w:after="0"/>
              <w:rPr>
                <w:sz w:val="21"/>
                <w:szCs w:val="21"/>
                <w:color w:val="auto"/>
              </w:rPr>
            </w:pPr>
          </w:p>
        </w:tc>
        <w:tc>
          <w:tcPr>
            <w:tcW w:w="13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6.9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June 30, 2022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0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Operating Lease Payments as of June 30, 2022</w:t>
            </w:r>
          </w:p>
        </w:tc>
      </w:tr>
      <w:tr>
        <w:trPr>
          <w:trHeight w:val="23"/>
        </w:trPr>
        <w:tc>
          <w:tcPr>
            <w:tcW w:w="8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6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36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for additional space in its corporate offices in New York, New York, consisting of a 24,099 square foot office and a 21,262 square foot office, and also for continued occupancy of the 25,212 square foot office after the expiration of the current sublease. For the 24,099 square foot office, the lease commencement date, which is when the premises will become available to the Company for use, is currently expected to be in the first quarter of 2023. The Company is obligated to pay the base rent of approximately $1.4 million per year starting in the first quarter of 2024 for five years and approximately $1.5 million per year thereafter through the first quarter of 2035, the expiration date.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first quarter of 2025 for five years and approximately $1.4 million per year thereafter through the first quarter of 2035, the expiration date. For the current 25,212 square foot office, the Company is obligated to pay the base rent of approximately $1.6 million per year beginning in June 2029, which is the lease commencement, through the first quarter of 2035, the expiration date.</w:t>
      </w:r>
    </w:p>
    <w:p>
      <w:pPr>
        <w:spacing w:after="0" w:line="19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2021, the Company recorded interest expense on the SVB Line of Credit of $18,750.</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12,335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25,977</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Pr>
          <w:p>
            <w:pPr>
              <w:spacing w:after="0"/>
              <w:rPr>
                <w:sz w:val="21"/>
                <w:szCs w:val="21"/>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4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48,154</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2022 Executive Equity Grants</w:t>
      </w:r>
    </w:p>
    <w:p>
      <w:pPr>
        <w:spacing w:after="0" w:line="25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On November 4, 2021, the Company announced that David Schlanger would transition to the role of Executive Chairman, effective as of January 1, 2022, and would continue to serve as a director. In connection with this transition, the Company entered into an amended and restated employment agreement with Mr. Schlanger, effective as of January 1, 2022. Pursuant to this agreement, Mr. Schlanger received an equity award for fiscal year 2022 comprised of 333,000 non-qualified stock options and 84,000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83,000 shares that are eligible to be earned based on the achievement of specified revenue targets.</w:t>
      </w:r>
    </w:p>
    <w:p>
      <w:pPr>
        <w:spacing w:after="0" w:line="20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Peter Anevski, who served as President and Chief Operating Officer, succeeded Mr. Schlanger as Chief Executive Officer, effective as of January 1, 2022. In connection with this transition, the Company entered into an amended and restated employment agreement with Mr. Anevski, effective as of January 1, 2022. Pursuant to this agreement, Mr. Anevski received an equity award for fiscal year 2022 comprised of 1,000,000 non-qualified stock options and 250,000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250,000 shares that are eligible to be earned based on the achievement of specified revenue targets.</w:t>
      </w:r>
    </w:p>
    <w:p>
      <w:pPr>
        <w:spacing w:after="0" w:line="18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six months ended June 30, 2022 and 2021, the Company recorded a benefit for taxes of $5.0 million and $10.2 million, respectively, primarily due to equity compensation activity that occurred during the period.</w:t>
      </w:r>
    </w:p>
    <w:p>
      <w:pPr>
        <w:spacing w:after="0" w:line="40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 average number of common shares outstanding for the period, including potential dilutive common shares assuming dilutive effect of outstanding common stock options, restricted stock units, and common stock warrants.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18,727</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13,739</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33,893</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91,964,978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88,165,158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91,578,707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87,783,894</w:t>
            </w:r>
          </w:p>
        </w:tc>
        <w:tc>
          <w:tcPr>
            <w:tcW w:w="0" w:type="dxa"/>
            <w:vAlign w:val="bottom"/>
          </w:tcPr>
          <w:p>
            <w:pPr>
              <w:spacing w:after="0"/>
              <w:rPr>
                <w:sz w:val="1"/>
                <w:szCs w:val="1"/>
                <w:color w:val="auto"/>
              </w:rPr>
            </w:pPr>
          </w:p>
        </w:tc>
      </w:tr>
      <w:tr>
        <w:trPr>
          <w:trHeight w:val="23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8,768</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18,727</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13,739</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33,893</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91,964,978</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88,165,158</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91,578,707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87,783,894</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7,707,791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11,642,927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8,146,857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12,193,624</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6"/>
                <w:szCs w:val="16"/>
                <w:color w:val="auto"/>
              </w:rPr>
              <w:t>Weighted-average shares used in computing diluted net income per</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99,672,769</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99,808,085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99,725,564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99,977,518</w:t>
            </w:r>
          </w:p>
        </w:tc>
        <w:tc>
          <w:tcPr>
            <w:tcW w:w="0" w:type="dxa"/>
            <w:vAlign w:val="bottom"/>
          </w:tcPr>
          <w:p>
            <w:pPr>
              <w:spacing w:after="0"/>
              <w:rPr>
                <w:sz w:val="1"/>
                <w:szCs w:val="1"/>
                <w:color w:val="auto"/>
              </w:rPr>
            </w:pPr>
          </w:p>
        </w:tc>
      </w:tr>
      <w:tr>
        <w:trPr>
          <w:trHeight w:val="234"/>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0"/>
        </w:trPr>
        <w:tc>
          <w:tcPr>
            <w:tcW w:w="4860" w:type="dxa"/>
            <w:vAlign w:val="bottom"/>
          </w:tcPr>
          <w:p>
            <w:pPr>
              <w:spacing w:after="0"/>
              <w:rPr>
                <w:sz w:val="16"/>
                <w:szCs w:val="16"/>
                <w:color w:val="auto"/>
              </w:rPr>
            </w:pPr>
          </w:p>
        </w:tc>
        <w:tc>
          <w:tcPr>
            <w:tcW w:w="2000" w:type="dxa"/>
            <w:vAlign w:val="bottom"/>
            <w:gridSpan w:val="3"/>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15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8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7,427,360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1,016,843</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7,160,965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705,906</w:t>
            </w: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2,137,741</w:t>
            </w:r>
          </w:p>
        </w:tc>
        <w:tc>
          <w:tcPr>
            <w:tcW w:w="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2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2,030,192</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57"/>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9,567,223</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1,023,911</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9,194,237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709,460</w:t>
            </w:r>
          </w:p>
        </w:tc>
      </w:tr>
      <w:tr>
        <w:trPr>
          <w:trHeight w:val="21"/>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98"/>
        </w:trPr>
        <w:tc>
          <w:tcPr>
            <w:tcW w:w="4860" w:type="dxa"/>
            <w:vAlign w:val="bottom"/>
          </w:tcPr>
          <w:p>
            <w:pPr>
              <w:spacing w:after="0"/>
              <w:rPr>
                <w:sz w:val="24"/>
                <w:szCs w:val="24"/>
                <w:color w:val="auto"/>
              </w:rPr>
            </w:pPr>
          </w:p>
        </w:tc>
        <w:tc>
          <w:tcPr>
            <w:tcW w:w="150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486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year ended December 31, 2021, filed with the Securities and Exchange Commission, or the SEC, on March 1, 2022.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270 with at least 1,000 covered lives. We currently provide coverage to approximately 4.3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period is evidenced by our industry-leading Net Promoter Score, or NPS, of +81 for our fertility benefits solution and +79 for our integrated pharmacy benefits solution, Progyny Rx as of December 31, 2021. Our members experience healthier pregnancies and superior rates of pregnancy and live births, as well as reduced rates of miscarriages and multiple births, saving valuable time and money and limiting personal and professional disruption.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18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All Provider</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Clinics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Members Only</w:t>
            </w:r>
            <w:r>
              <w:rPr>
                <w:rFonts w:ascii="Times New Roman" w:cs="Times New Roman" w:eastAsia="Times New Roman" w:hAnsi="Times New Roman"/>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Live birth rate</w:t>
            </w:r>
            <w:r>
              <w:rPr>
                <w:rFonts w:ascii="Times New Roman" w:cs="Times New Roman" w:eastAsia="Times New Roman" w:hAnsi="Times New Roman"/>
                <w:sz w:val="23"/>
                <w:szCs w:val="23"/>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2019 National Summary Report, finalized in 2022.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2020 National Summary and Clinic Data Sets, published in 2022.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2021.</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270 employers with at least 1,000 covered lives in the United States across more than 30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500,000 employees, represent approximately 4.3 million covered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six months ended June 30, 2022 and 2021.</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There are approximately 8,000 employers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(excluding quasi-governmental entities, such as universities, school systems, and labor unions) who have a minimum of 1,000 employees, representing approximately 75 million potential covered lives in total. Our current member base of approximately 4.3 million covered lives represents a low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June 30, 2022 and December 31, 2021, we served 273 and 191 clients, respectively, representing 4,322,000 and 2,935,000 members, respectively.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color w:val="auto"/>
        </w:rPr>
        <w:t>. 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approximately 4.3 million members as of June 30, 2022.</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6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w:t>
            </w:r>
          </w:p>
        </w:tc>
      </w:tr>
      <w:tr>
        <w:trPr>
          <w:trHeight w:val="257"/>
        </w:trPr>
        <w:tc>
          <w:tcPr>
            <w:tcW w:w="5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r>
      <w:tr>
        <w:trPr>
          <w:trHeight w:val="257"/>
        </w:trPr>
        <w:tc>
          <w:tcPr>
            <w:tcW w:w="50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Members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2,735,000</w:t>
            </w:r>
          </w:p>
        </w:tc>
      </w:tr>
      <w:tr>
        <w:trPr>
          <w:trHeight w:val="3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6" w:lineRule="exact"/>
        <w:rPr>
          <w:sz w:val="20"/>
          <w:szCs w:val="20"/>
          <w:color w:val="auto"/>
        </w:rPr>
      </w:pPr>
    </w:p>
    <w:p>
      <w:pPr>
        <w:ind w:left="340" w:right="26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61"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We believe we have sufficient liquidity to satisfy our cash needs, however, we continue to monitor liquidity, as necessary, and ensure that our business can continue to operate during these uncertain times. COVID-19, including variants, and related restrictions continued to have a negative impact on our revenue growth for the six months ended June 30,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read Part II, Item 1A. Risk Factors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facilities costs. We anticipate that we will incur additional general and administrative expenses on an ongoing basis as a public company and to support growth in the business.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primarily includes investment income and losses as well as interest income and expense.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16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195,004</w:t>
            </w: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128,651</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367,221</w:t>
            </w:r>
          </w:p>
        </w:tc>
        <w:tc>
          <w:tcPr>
            <w:tcW w:w="100" w:type="dxa"/>
            <w:vAlign w:val="bottom"/>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250,784</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99,030</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290,385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192,256</w:t>
            </w: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76,836</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0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1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68,056</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35,065</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23,463</w:t>
            </w: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23,716</w:t>
            </w: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0" w:type="dxa"/>
            <w:vAlign w:val="bottom"/>
          </w:tcPr>
          <w:p>
            <w:pPr>
              <w:spacing w:after="0"/>
              <w:rPr>
                <w:sz w:val="1"/>
                <w:szCs w:val="1"/>
                <w:color w:val="auto"/>
              </w:rPr>
            </w:pPr>
          </w:p>
        </w:tc>
      </w:tr>
      <w:tr>
        <w:trPr>
          <w:trHeight w:val="257"/>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80" w:type="dxa"/>
            <w:vAlign w:val="bottom"/>
          </w:tcPr>
          <w:p>
            <w:pPr>
              <w:spacing w:after="0"/>
              <w:rPr>
                <w:sz w:val="22"/>
                <w:szCs w:val="22"/>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4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33,893</w:t>
            </w: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8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4"/>
                <w:szCs w:val="24"/>
                <w:color w:val="auto"/>
              </w:rPr>
            </w:pPr>
          </w:p>
        </w:tc>
        <w:tc>
          <w:tcPr>
            <w:tcW w:w="16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4"/>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780" w:type="dxa"/>
            <w:vAlign w:val="bottom"/>
            <w:gridSpan w:val="3"/>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80" w:type="dxa"/>
            <w:vAlign w:val="bottom"/>
          </w:tcPr>
          <w:p>
            <w:pPr>
              <w:spacing w:after="0"/>
              <w:rPr>
                <w:sz w:val="21"/>
                <w:szCs w:val="21"/>
                <w:color w:val="auto"/>
              </w:rPr>
            </w:pPr>
          </w:p>
        </w:tc>
        <w:tc>
          <w:tcPr>
            <w:tcW w:w="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w:t>
            </w:r>
          </w:p>
        </w:tc>
        <w:tc>
          <w:tcPr>
            <w:tcW w:w="6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2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25,977</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0" w:type="dxa"/>
            <w:vAlign w:val="bottom"/>
          </w:tcPr>
          <w:p>
            <w:pPr>
              <w:spacing w:after="0"/>
              <w:rPr>
                <w:sz w:val="1"/>
                <w:szCs w:val="1"/>
                <w:color w:val="auto"/>
              </w:rPr>
            </w:pPr>
          </w:p>
        </w:tc>
      </w:tr>
      <w:tr>
        <w:trPr>
          <w:trHeight w:val="256"/>
        </w:trPr>
        <w:tc>
          <w:tcPr>
            <w:tcW w:w="4880" w:type="dxa"/>
            <w:vAlign w:val="bottom"/>
            <w:gridSpan w:val="4"/>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48,154</w:t>
            </w: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918"/>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ind w:right="255"/>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5520" w:type="dxa"/>
            <w:vAlign w:val="bottom"/>
            <w:gridSpan w:val="2"/>
          </w:tcPr>
          <w:p>
            <w:pPr>
              <w:ind w:left="524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5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7"/>
        </w:trPr>
        <w:tc>
          <w:tcPr>
            <w:tcW w:w="46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w:t>
            </w:r>
          </w:p>
        </w:tc>
        <w:tc>
          <w:tcPr>
            <w:tcW w:w="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4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w:t>
            </w: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r>
      <w:tr>
        <w:trPr>
          <w:trHeight w:val="25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r>
      <w:tr>
        <w:trPr>
          <w:trHeight w:val="25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r>
      <w:tr>
        <w:trPr>
          <w:trHeight w:val="25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21"/>
        </w:trPr>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expense, net, interest income, net, and provision (benefit) for income taxes. The following table presents a reconciliation of Adjusted EBITDA to net income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7"/>
        </w:trPr>
        <w:tc>
          <w:tcPr>
            <w:tcW w:w="4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18,727</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57"/>
        </w:trPr>
        <w:tc>
          <w:tcPr>
            <w:tcW w:w="49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w:t>
            </w: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(6,807)</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18,469</w:t>
            </w:r>
          </w:p>
        </w:tc>
        <w:tc>
          <w:tcPr>
            <w:tcW w:w="24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35,732</w:t>
            </w:r>
          </w:p>
        </w:tc>
      </w:tr>
      <w:tr>
        <w:trPr>
          <w:trHeight w:val="21"/>
        </w:trPr>
        <w:tc>
          <w:tcPr>
            <w:tcW w:w="4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$195,004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increased by $66.4 million, or 52%, for the three months ended June 30, 2022 compared to the three months ended June 30, 2021. This increase is primarily due to a $34.5 million, or 37%, increase in revenue from our fertility benefits solution and a $31.8 million, or 87%,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$151,117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$99,030</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$52.1 million, or 53%, for the three months ended June 30, 2022 compared to the three months ended June 30, 2021 primarily due to an increase in medical treatment and pharmacy prescription costs associated with fertility treatments delivered. This increase in cost of services was also attributable to an increase in personnel-related costs primarily due to incremental headcount as well as a $4.7 million increase in stock-based compensation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$43,887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$14.3 million, or 48%, for the three months ended June 30, 2022 compared to the three months ended June 30, 2021.</w:t>
      </w:r>
    </w:p>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Gross margin decreased 50 basis points for the three months ended June 30, 2022 compared to the three months ended June 30, 2021, primarily due to an increase in stock-based compensation expense for employees supporting our care management service functions, partially offset by ongoing efficiencies realized in the delivery of our care management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980" w:type="dxa"/>
            <w:vAlign w:val="bottom"/>
            <w:gridSpan w:val="3"/>
          </w:tcPr>
          <w:p>
            <w:pPr>
              <w:jc w:val="center"/>
              <w:ind w:left="10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$7.5 million, or 185% for the three months ended June 30, 2022 compared to the three months ended June 30, 2021. This increase was primarily due to a $6.6 million increase in personnel-related costs attributable to an increase in stock-based compensation expense of $4.3 million, incremental headcount and an increase in sales commissions, as well as a $0.9 million increase in other related sales and marketing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$23,553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$9.6 million, or 69%, for the three months ended June 30, 2022 compared to the three months ended June 30, 2021. This increase was primarily due to an $8.0 million increase in personnel-related costs resulting from an increase in stock-based compensation expense and a $1.5 million increase in bad debt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52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500" w:type="dxa"/>
            <w:vAlign w:val="bottom"/>
          </w:tcPr>
          <w:p>
            <w:pPr>
              <w:spacing w:after="0"/>
              <w:rPr>
                <w:sz w:val="23"/>
                <w:szCs w:val="23"/>
                <w:color w:val="auto"/>
              </w:rPr>
            </w:pPr>
          </w:p>
        </w:tc>
        <w:tc>
          <w:tcPr>
            <w:tcW w:w="2520" w:type="dxa"/>
            <w:vAlign w:val="bottom"/>
            <w:gridSpan w:val="4"/>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00" w:type="dxa"/>
            <w:vAlign w:val="bottom"/>
            <w:gridSpan w:val="2"/>
            <w:shd w:val="clear" w:color="auto" w:fill="CCEEFF"/>
          </w:tcPr>
          <w:p>
            <w:pPr>
              <w:jc w:val="right"/>
              <w:ind w:right="5368"/>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by $0.2 million, or 75%, for the three months ended June 30, 2022 compared to the three months ended June 30, 2021, primarily due to a decrease in interest income.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20" w:type="dxa"/>
            <w:vAlign w:val="bottom"/>
            <w:gridSpan w:val="2"/>
            <w:shd w:val="clear" w:color="auto" w:fill="CCEEFF"/>
          </w:tcPr>
          <w:p>
            <w:pPr>
              <w:jc w:val="right"/>
              <w:ind w:right="4728"/>
              <w:spacing w:after="0"/>
              <w:rPr>
                <w:sz w:val="20"/>
                <w:szCs w:val="20"/>
                <w:color w:val="auto"/>
              </w:rPr>
            </w:pPr>
            <w:r>
              <w:rPr>
                <w:rFonts w:ascii="Times New Roman" w:cs="Times New Roman" w:eastAsia="Times New Roman" w:hAnsi="Times New Roman"/>
                <w:sz w:val="18"/>
                <w:szCs w:val="18"/>
                <w:color w:val="auto"/>
                <w:w w:val="99"/>
              </w:rPr>
              <w:t>(Provision) benefit for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we recorded a provision for income taxes of $0.1 million, as compared to a benefit for income taxes of $6.8 million for the three months ended June 30, 2021 primarily due to less equity compensation activity that occurred during the current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$367,221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$250,784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increased by $116.4 million, or 46%, for the six months ended June 30, 2022 compared to the six months ended June 30, 2021. This increase is primarily due to a $56.6 million, or 31%, increase in revenue from our fertility benefits solution and a $59.8 million, or 86%,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six months ended June 30, 2022 and June 30, 2021 was negatively impacted by COVID-19.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$290,385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$192,256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$98.1 million, or 51%, for the six months ended June 30, 2022 compared to the six months ended June 30, 2021 primarily due to an increase in medical treatment and pharmacy prescription costs associated with fertility treatments delivered. This increase in cost of services was also attributable to an increase in personnel-related costs primarily due to incremental headcount as well as a $9.6 million increase in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$76,836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$58,528</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Gross profit increased by $18.3 million, or 31%, for the six months ended June 30, 2022 compared to the six months ended June 30, 2021.</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Gross margin decreased 240 basis points for the six months ended June 30, 2022 compared to the six months ended June 30, 2021, primarily due to an increase in stock-based compensation expense for employees supporting our care management service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$21,511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$13.5 million, or 167% for the six months ended June 30, 2022 compared to the six months ended June 30, 2021. This increase was primarily due to a $12.3 million increase in personnel-related costs attributable to an increase in stock-based compensation expense of $8.4 million, incremental headcount and an increase in sales commissions, as well as a $1.2 million increase in other related sales and marketing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40" w:type="dxa"/>
            <w:vAlign w:val="bottom"/>
            <w:gridSpan w:val="3"/>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$46,545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$19.5 million, or 72%, for the six months ended June 30, 2022 compared to the six months ended June 30, 2021. This increase was primarily due to a $19.1 increase in personnel-related costs relating to incremental headcount attributable to an increase in stock-based compensation expense of $18.7 million, as well as a $1.3 million increase in bad debt expense. This increase was partially offset by a $0.9 million decrease in other related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54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00" w:type="dxa"/>
            <w:vAlign w:val="bottom"/>
            <w:gridSpan w:val="2"/>
            <w:shd w:val="clear" w:color="auto" w:fill="CCEEFF"/>
          </w:tcPr>
          <w:p>
            <w:pPr>
              <w:jc w:val="right"/>
              <w:ind w:right="5268"/>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decreased by $0.3 million, or 108%, for the six months ended June 30, 2022 compared to the six months ended June 30, 2021, primarily due to a decrease in investment and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2"/>
            <w:shd w:val="clear" w:color="auto" w:fill="CCEEFF"/>
          </w:tcPr>
          <w:p>
            <w:pPr>
              <w:jc w:val="right"/>
              <w:ind w:right="5508"/>
              <w:spacing w:after="0"/>
              <w:rPr>
                <w:sz w:val="20"/>
                <w:szCs w:val="20"/>
                <w:color w:val="auto"/>
              </w:rPr>
            </w:pPr>
            <w:r>
              <w:rPr>
                <w:rFonts w:ascii="Times New Roman" w:cs="Times New Roman" w:eastAsia="Times New Roman" w:hAnsi="Times New Roman"/>
                <w:sz w:val="18"/>
                <w:szCs w:val="18"/>
                <w:color w:val="auto"/>
              </w:rPr>
              <w:t>Benefit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$4,978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we recorded a benefit for income taxes of $5.0 million as compared to a benefit for income taxes of $10.2 million for the six months ended June 30, 2021 primarily due to less equity compensation activity that occurred during the current year period.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June 30, 2022, we had $54.7 million of cash and cash equivalents and $67.7 million of marketable securities. Since inception, we have financed our operations primarily through sales of our solutions and the net proceeds we have received from sales of equity securities. Our cash and cash equivalents and working capital are affected by the timing of payments to third-party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29, 2019, we completed our initial public offering, or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We believe that our existing cash and cash equivalents, including the proceeds from our IPO and cash flow from operations,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Other than the impact on our revenue growth and the related cash flows resulting from the various restrictions on activities due to the COVID-19 pandemic, our sources and uses of cash were not otherwise materially impacted by the COVID-19 pandemic in the six months ended June 30, 2022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read Part II, Item 1A. Risk Factors included in this Quarterly Report on Form 10-Q.</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2018, we entered into an agreement with Silicon Valley Bank to replace our then-outstanding term loan with a revolving line of credit of up to $15 million, which was amended in April 2019, January 2020, June 2020, and February 2021. The line of credit matured on June 8,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(21,558)</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$8.0 million for the six months ended June 30, 2022, primarily consisting of net income of $13.7 million adjusted for certain non-cash items, which include $48.2 million of stock-based compensation expense, $6.1 million of bad debt expense, $5.1 million of deferred tax benefit, and $0.8 million of depreciation and amortization. Changes in operating assets and liabilities resulted in cash used in operating activities from increases in accounts receivable of $101.4 million and other noncurrent assets and liabilities of $1.4 million, partially offset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cash provided by operating activities from increases in accounts payable of $31.1 million and accrued expenses and other current liabilities of $15.6 million, and a decrease in prepaid expenses and other current assets of $0.4 million. These changes were a result of the impact of revenue growth and our operating results as well as the timing of cash collections and payments to third parties.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$6.9 million for the six months ended June 30, 2021, primarily consisting of net income of $33.9 million adjusted for certain non-cash items, which include $11.6 million of stock-based compensation expense, $10.2 million of deferred tax benefit, $4.8 million of bad debt expense, and $0.7 million of depreciation and amortization. Changes in operating assets and liabilities resulted in cash used in operating activities from an increase in accounts receivable of $69.9 million, partially offset by cash provided by operating activities from increases in accounts payable of $11.1 million and accrued expenses and other current liabilities of $9.5 million, and a decrease in prepaid expenses and other current assets of $1.5 million. These changes were a result of the impact of revenue growth and our operating results as well as the timing of payments to third-party providers and collections from customers. Net cash used in operating activities for the six months ended June 30, 2021 was affected by timing items, including revisions to the payment terms with our pharmacy program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$40.8 million and $7.3 million for the six months ended June 30, 2022 and June 30, 2021, respectively, which primarily consisted of net investments in marketable securities of $39.5 million and $6.5 million, respectively. The remainder of the activity for each of the six months ended June 30, 2022 and June 30, 2021 consisted of purchases of computers, software, including capitalized software development costs, and leasehold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$3.9 million for the six months ended June 30, 2022, consisting of payments of $5.6 million for employee taxes related to equity awards, partially offset by $1.2 million in proceeds from stock option exercises and $0.6 million in proceeds from contributions to our employee stock purchase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$7.3 million for the six months ended June 30, 2021, consisting of payments of $9.3 million for employee taxes related to equity awards, partially offset by $1.2 million in proceeds from stock option exercises and $0.8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the first quarter of 2024 for five years and approximately $1.5 million per year thereafter through the first quarter of 2035, the expiration date. For the 21,262 square foot office, we will pay the base rent of approximately $1.3 million starting in the first quarter of 2025 for five years and approximately $1.4 million per year thereafter through the first quarter of 2035, the expiration date. For our current 25,212 square foot office, we will pay the base rent of approximately $1.6 million per year beginning in June 2029 through the first quarter of 2035, the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To the extent that there are material differences between these estimates and our actual results, our future financial statements will be affected.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Note 1 – Business and Basis of Presentation and Note 2 – Significant Accounting Policies in the notes to the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we had cash and cash equivalents of $54.7 million and marketable securities of $67.7 million.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The rate of inflation may, however, affect our expenses, including fees paid to providers within our network, fees for prescription drugs and clinical services provided by our specialty pharmacy partners, care management costs related to providing our services, as well as other operating expenses. To the extent inflation has a significant impact on our expenses, which we are unable to recover from our customers, it may adversely affect our results of operations and finance condition. In addition,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7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in this Quarterly Report on Form 10-Q, including the sections titled “Cautionary Note Regarding Forward-Looking Statements” and Part I, Item 2. “Management’s Discussion and Analysis of Financial Condition and Results of Operation” and our consolidated financial statements and the accompanying notes included elsewhere in this Quarterly Report on Form 10-Q. The risks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ongoing COVID-19 pandemic, including variants, has adversely impacted, and may continue to adversely impact, many aspects of our business. Our revenue growth for the six months ended June 30, 2022 and 2021 was negatively impacted by COVID-19, including variants,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Emerging research and the lack of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potential direct impacts to our business, the economy may continue to be impacted as a result of the actions taken in response to COVID-19.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implemented a work-from-home policy for all of our employees in March 2020 and have re-opened our corporate offices to employees on a hybrid basis, while implementing additional safety measures and protocols.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partially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and in some cases, relative to our previous expectations, delays in onboarding new clients, responding to members,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postpone or cancel planned investments in our business in response to changes in our business as a result of the spread of COVID-19, which may impact our member utilization and rate of growth, either of which could seriously harm our business.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global impact of COVID-19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the effectiveness of vaccine rollout plans, including any mandates;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spread of COVID-19 may eventually be contained or mitigated, there is no guarantee that a future outbreak of this or any other widespread epidemics or pandemics will not occur, or that the global economy will recover, either of which could seriously harm our business.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operating results. On August 4, 2022, we issued guidance for the third quarter of 2022 and full year 2022. In developing this guidance, our management must make certain assumptions and judgments about its future performance. Some of those key assumptions relate to the impact of the COVID-19 pandemic, the associated economic uncertainty on our business, the timing and scope of economic recovery globally and the impact on the volumes and behavior of both clinics and members which are inherently difficult to predict. This guidance, which consists of forward-looking statements, is qualified by, and subject to, such assumptions, estimates and expectations as of the date such guidance is given and may be revised at a later time, solely in our discretion, as we learn more information.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economic conditions or member behavior,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financial market conditions and member behavior caused by the COVID-19 pandemic, and which could adversely affect our business and future operating results. There are no comparable recent events that provide insights as to the probable effect of the COVID-19 pandemic, and, as a result, the ultimate impact of the COVID-19 pandemic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In addition,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Progyny Rx in 2018 and 84% of our clients have now launched this solution, including approximately 93% of the clients we signed in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fertility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unemployment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clients and, in particular, reduction in our clients’ headcount;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serve over 270 employers with at least 1,000 covered lives in the United States across more than 30 industries. For the six months ended June 30, 2022, two of our clients accounted for 17% and 11%, or a combined 28%, of our total revenue. For the six months ended June 30, 2021, two clients accounted for 17% and 15%, or a combined 32%, of our total revenue. No other clients accounted for more than 10% of our total revenue for the six months ended June 30, 2022 and 2021.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including our two largest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Our net loss from continuing operations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ongoing COVID-19 pandemic.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We operate in a highly regulated industry and must comply with a significant number of complex and evolving legal and regulatory requirements—Data Protection and Breaches.”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Additionally, in June 2022 the U.S. Supreme Court in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recently enacted or proposed restrictive abortion laws that may also implicate fertility procedures and travel reimbursement programs, which may decrease the demand for, or availability of, certain fertility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court decisions or other changes in the law, or in how such laws, once enacted, would be interpreted and enforced.</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Reductions in employee benefits spending or price pressures due to unfavorable conditions in our industry or the United States economy could limit our ability to grow our business and negatively affect our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ongoing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and regulatory changes, such as the taxability of medical benefits like ours, may affect our ability to obtain necessary financing on acceptable terms.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especially if purchases of our solution are perceived by clients and potential clients to be discretionary, or if they experience a reduction in their employee headcounts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 Specialty pharmacies could face supply chain issues that could result in higher medical costs or negatively impact our rebates and results of operations. We do not control the pricing strategies of our specialty pharmacy partners, each of whom may be motivated by general economic considerations including inflation and other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 with benefits consultants.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complex and evolving legal and regulatory requirements.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83"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8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establish privacy and security standards that limit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2" w:lineRule="exact"/>
        <w:rPr>
          <w:sz w:val="20"/>
          <w:szCs w:val="20"/>
          <w:color w:val="auto"/>
        </w:rPr>
      </w:pPr>
    </w:p>
    <w:p>
      <w:pPr>
        <w:jc w:val="both"/>
        <w:ind w:left="660" w:hanging="328"/>
        <w:spacing w:after="0" w:line="25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9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3" w:lineRule="exact"/>
        <w:rPr>
          <w:sz w:val="20"/>
          <w:szCs w:val="20"/>
          <w:color w:val="auto"/>
        </w:rPr>
      </w:pPr>
    </w:p>
    <w:p>
      <w:pPr>
        <w:jc w:val="both"/>
        <w:ind w:left="66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9" w:lineRule="exact"/>
        <w:rPr>
          <w:sz w:val="20"/>
          <w:szCs w:val="20"/>
          <w:color w:val="auto"/>
        </w:rPr>
      </w:pPr>
    </w:p>
    <w:p>
      <w:pPr>
        <w:jc w:val="both"/>
        <w:ind w:left="660" w:hanging="328"/>
        <w:spacing w:after="0" w:line="257"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6"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where applicable,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 Care 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use of these platforms and devices could adversely impact our business, financial condition and results of operations or subject us to fines or other penalties.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2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operating results could be materially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ruling, for example, New York reintroduced previously vetoed PBM legislation and former Governor Andrew Cuomo issued an Executive Budget for 2022 that highlights the need for PBM accountability.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bribery laws, and other anti-corruption and anti-money laundering laws in the countries in which we conduct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660" w:right="1620" w:hanging="328"/>
        <w:spacing w:after="0" w:line="49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share price. Any of these developments could have an adverse effect on our results of operations.</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260), Debt-Modifications and Extinguishments (Subtopic 470-50), Compensation- Stock Compensation (Topic 718), and Derivatives and Hedging-Contracts in Entity’s Own Equity (Subtopic 815- 40) </w:t>
      </w:r>
      <w:r>
        <w:rPr>
          <w:rFonts w:ascii="Times New Roman" w:cs="Times New Roman" w:eastAsia="Times New Roman" w:hAnsi="Times New Roman"/>
          <w:sz w:val="18"/>
          <w:szCs w:val="18"/>
          <w:color w:val="auto"/>
        </w:rPr>
        <w:t>and ASC No. 2019-12,</w:t>
      </w:r>
      <w:r>
        <w:rPr>
          <w:rFonts w:ascii="Times New Roman" w:cs="Times New Roman" w:eastAsia="Times New Roman" w:hAnsi="Times New Roman"/>
          <w:sz w:val="18"/>
          <w:szCs w:val="18"/>
          <w:i w:val="1"/>
          <w:iCs w:val="1"/>
          <w:color w:val="auto"/>
        </w:rPr>
        <w:t xml:space="preserve"> Income Taxes (Topic 740): Simplifying the Accounting for Income </w:t>
      </w:r>
      <w:r>
        <w:rPr>
          <w:rFonts w:ascii="Times New Roman" w:cs="Times New Roman" w:eastAsia="Times New Roman" w:hAnsi="Times New Roman"/>
          <w:sz w:val="18"/>
          <w:szCs w:val="18"/>
          <w:color w:val="auto"/>
        </w:rPr>
        <w:t>Taxes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2022 and January 1, 2021, respectively. Neither accounting pronouncement had a material impact on our consolidated financial statements. See Note 2 – Significant Accounting Policies included in Part I, Item I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previously reported results or require us to make costly changes to our operational processes and accounting systems upon or following the adoption of these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ongoing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ongoing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bylaws and certain provisions of our certificate of incorporation.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243"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our environmental practices and reporting could cause us to incur additional costs, devote additional resources and expose us to additional risks, which could adversely impact our reputation, as well as our investor attraction and retention.</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The SEC has focused increasingly on ESG practices and placed increasing importance on the implications and social cost of ESG reporting. With this increased focus and demand, public reporting regarding ESG practices is becoming more broadly expected. If our ESG practices and reporting do not meet SEC expectations, which continue to evolve, our brand, reputation and investor retention may be negatively impacted.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achieve any ESG objective is subject to numerous risks, many of which are outside of our control. Examples of such risks include:</w:t>
      </w:r>
    </w:p>
    <w:p>
      <w:pPr>
        <w:spacing w:after="0" w:line="25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sustainability standards</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we fail, or are perceived to be failing, to meet the standards included in any sustainability disclosure or the expectations of our various stakeholders, it could negatively impact our reputation, as well as our investor attraction and retention. In addition, new sustainability rules and regulations have been adopted and may continue to be introduced in various states and other jurisdictions, and our failure to comply with any applicable rules or regulations could lead to penalties and adversely impact our reputation, as well as our investor attraction and retention.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Settlement of Equity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2022, we withheld shares through net settlements (where the award holder receives the net of the shares vested, after surrendering a portion of the shares back to the Company for tax withholding) for certain restricted stock units that vested.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June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0"/>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58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9"/>
                <w:szCs w:val="19"/>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through June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2"/>
                <w:szCs w:val="22"/>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shares withheld on net settlements of restricted stock units that vested under our equity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28"/>
        </w:trPr>
        <w:tc>
          <w:tcPr>
            <w:tcW w:w="10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1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1"/>
                <w:szCs w:val="11"/>
                <w:color w:val="auto"/>
              </w:rPr>
            </w:pPr>
          </w:p>
        </w:tc>
        <w:tc>
          <w:tcPr>
            <w:tcW w:w="6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220" w:type="dxa"/>
            <w:vAlign w:val="bottom"/>
            <w:tcBorders>
              <w:top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1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8"/>
          </w:tcPr>
          <w:p>
            <w:pPr>
              <w:spacing w:after="0" w:line="202"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Certificate of Incorporation of Progyny,</w:t>
              </w:r>
            </w:hyperlink>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001-39100</w:t>
            </w:r>
          </w:p>
        </w:tc>
        <w:tc>
          <w:tcPr>
            <w:tcW w:w="80" w:type="dxa"/>
            <w:vAlign w:val="bottom"/>
          </w:tcPr>
          <w:p>
            <w:pPr>
              <w:spacing w:after="0"/>
              <w:rPr>
                <w:sz w:val="17"/>
                <w:szCs w:val="17"/>
                <w:color w:val="auto"/>
              </w:rPr>
            </w:pPr>
          </w:p>
        </w:tc>
        <w:tc>
          <w:tcPr>
            <w:tcW w:w="760" w:type="dxa"/>
            <w:vAlign w:val="bottom"/>
          </w:tcPr>
          <w:p>
            <w:pPr>
              <w:jc w:val="right"/>
              <w:ind w:right="432"/>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10/31/2019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w:t>
              </w:r>
            </w:hyperlink>
          </w:p>
        </w:tc>
        <w:tc>
          <w:tcPr>
            <w:tcW w:w="2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Amended and Restated By-laws of Progyny,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1"/>
                <w:szCs w:val="21"/>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9/27/2019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of common stock certificate</w:t>
              </w:r>
            </w:hyperlink>
          </w:p>
        </w:tc>
        <w:tc>
          <w:tcPr>
            <w:tcW w:w="1060" w:type="dxa"/>
            <w:vAlign w:val="bottom"/>
            <w:tcBorders>
              <w:top w:val="single" w:sz="8" w:color="0000EE"/>
            </w:tcBorders>
            <w:gridSpan w:val="2"/>
          </w:tcPr>
          <w:p>
            <w:pPr>
              <w:spacing w:after="0"/>
              <w:rPr>
                <w:sz w:val="20"/>
                <w:szCs w:val="20"/>
                <w:color w:val="auto"/>
              </w:rPr>
            </w:pPr>
          </w:p>
        </w:tc>
        <w:tc>
          <w:tcPr>
            <w:tcW w:w="1260" w:type="dxa"/>
            <w:vAlign w:val="bottom"/>
            <w:gridSpan w:val="10"/>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2013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2014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2015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Warrant to Purchase Stock issued to Silicon Valley Bank dated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October 9, 2013.</w:t>
              </w:r>
            </w:hyperlink>
          </w:p>
        </w:tc>
        <w:tc>
          <w:tcPr>
            <w:tcW w:w="3300" w:type="dxa"/>
            <w:vAlign w:val="bottom"/>
            <w:tcBorders>
              <w:top w:val="single" w:sz="8" w:color="0000EE"/>
            </w:tcBorders>
            <w:gridSpan w:val="12"/>
          </w:tcPr>
          <w:p>
            <w:pPr>
              <w:spacing w:after="0"/>
              <w:rPr>
                <w:sz w:val="15"/>
                <w:szCs w:val="15"/>
                <w:color w:val="auto"/>
              </w:rPr>
            </w:pPr>
          </w:p>
        </w:tc>
        <w:tc>
          <w:tcPr>
            <w:tcW w:w="26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between</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Progyny, Inc. and Mark Livingston dated June 7, 2022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10"/>
          </w:tcPr>
          <w:p>
            <w:pPr>
              <w:spacing w:after="0"/>
              <w:rPr>
                <w:sz w:val="15"/>
                <w:szCs w:val="15"/>
                <w:color w:val="auto"/>
              </w:rPr>
            </w:pPr>
          </w:p>
        </w:tc>
        <w:tc>
          <w:tcPr>
            <w:tcW w:w="3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w:t>
            </w:r>
          </w:p>
        </w:tc>
        <w:tc>
          <w:tcPr>
            <w:tcW w:w="260" w:type="dxa"/>
            <w:vAlign w:val="bottom"/>
            <w:gridSpan w:val="2"/>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11"/>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100" w:right="5480" w:hanging="1074"/>
        <w:spacing w:after="0" w:line="266"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5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1859915" cy="6343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As of June 7, 2022</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Mark Livingston</w:t>
      </w:r>
    </w:p>
    <w:p>
      <w:pPr>
        <w:spacing w:after="0" w:line="229" w:lineRule="auto"/>
        <w:rPr>
          <w:sz w:val="20"/>
          <w:szCs w:val="20"/>
          <w:color w:val="auto"/>
        </w:rPr>
      </w:pPr>
      <w:r>
        <w:rPr>
          <w:rFonts w:ascii="Arial" w:cs="Arial" w:eastAsia="Arial" w:hAnsi="Arial"/>
          <w:sz w:val="20"/>
          <w:szCs w:val="20"/>
          <w:color w:val="auto"/>
        </w:rPr>
        <w:t>Via DocuSign</w:t>
      </w:r>
    </w:p>
    <w:p>
      <w:pPr>
        <w:spacing w:after="0" w:line="193" w:lineRule="auto"/>
        <w:rPr>
          <w:sz w:val="20"/>
          <w:szCs w:val="20"/>
          <w:color w:val="auto"/>
        </w:rPr>
      </w:pPr>
      <w:r>
        <w:rPr>
          <w:rFonts w:ascii="Calibri" w:cs="Calibri" w:eastAsia="Calibri" w:hAnsi="Calibri"/>
          <w:sz w:val="22"/>
          <w:szCs w:val="22"/>
          <w:color w:val="auto"/>
        </w:rPr>
        <w:t>mark.livingston@progyny.com</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Dear Mark: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This letter agreement (this “Agreement”) confirms the terms and conditions of your ongoing employment with Progyny, Inc.</w:t>
      </w:r>
    </w:p>
    <w:p>
      <w:pPr>
        <w:spacing w:after="0" w:line="222" w:lineRule="auto"/>
        <w:rPr>
          <w:sz w:val="20"/>
          <w:szCs w:val="20"/>
          <w:color w:val="auto"/>
        </w:rPr>
      </w:pPr>
      <w:r>
        <w:rPr>
          <w:rFonts w:ascii="Arial" w:cs="Arial" w:eastAsia="Arial" w:hAnsi="Arial"/>
          <w:sz w:val="19"/>
          <w:szCs w:val="19"/>
          <w:color w:val="auto"/>
        </w:rPr>
        <w:t>(“Progyny” or the “Company”) and replaces your previous employment letter dated September 15, 2020 (the “Prior Agreement”).</w:t>
      </w:r>
    </w:p>
    <w:p>
      <w:pPr>
        <w:spacing w:after="0"/>
        <w:rPr>
          <w:sz w:val="20"/>
          <w:szCs w:val="20"/>
          <w:color w:val="auto"/>
        </w:rPr>
      </w:pPr>
      <w:r>
        <w:rPr>
          <w:rFonts w:ascii="Arial" w:cs="Arial" w:eastAsia="Arial" w:hAnsi="Arial"/>
          <w:sz w:val="20"/>
          <w:szCs w:val="20"/>
          <w:color w:val="auto"/>
        </w:rPr>
        <w:t>This Agreement will be effective as of June 7, 2022 (the “Effective Date).</w:t>
      </w:r>
    </w:p>
    <w:p>
      <w:pPr>
        <w:spacing w:after="0" w:line="182" w:lineRule="exact"/>
        <w:rPr>
          <w:sz w:val="20"/>
          <w:szCs w:val="20"/>
          <w:color w:val="auto"/>
        </w:rPr>
      </w:pPr>
    </w:p>
    <w:p>
      <w:pPr>
        <w:jc w:val="both"/>
        <w:ind w:firstLine="8"/>
        <w:spacing w:after="0" w:line="213" w:lineRule="auto"/>
        <w:tabs>
          <w:tab w:leader="none" w:pos="412"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Position</w:t>
      </w:r>
      <w:r>
        <w:rPr>
          <w:rFonts w:ascii="Arial" w:cs="Arial" w:eastAsia="Arial" w:hAnsi="Arial"/>
          <w:sz w:val="20"/>
          <w:szCs w:val="20"/>
          <w:color w:val="auto"/>
        </w:rPr>
        <w:t>. You were promoted to the position of</w:t>
      </w:r>
      <w:r>
        <w:rPr>
          <w:rFonts w:ascii="Arial" w:cs="Arial" w:eastAsia="Arial" w:hAnsi="Arial"/>
          <w:sz w:val="20"/>
          <w:szCs w:val="20"/>
          <w:b w:val="1"/>
          <w:bCs w:val="1"/>
          <w:color w:val="auto"/>
        </w:rPr>
        <w:t xml:space="preserve"> Chief Financial Officer</w:t>
      </w:r>
      <w:r>
        <w:rPr>
          <w:rFonts w:ascii="Arial" w:cs="Arial" w:eastAsia="Arial" w:hAnsi="Arial"/>
          <w:sz w:val="20"/>
          <w:szCs w:val="20"/>
          <w:color w:val="auto"/>
        </w:rPr>
        <w:t>, effective</w:t>
      </w:r>
      <w:r>
        <w:rPr>
          <w:rFonts w:ascii="Arial" w:cs="Arial" w:eastAsia="Arial" w:hAnsi="Arial"/>
          <w:sz w:val="20"/>
          <w:szCs w:val="20"/>
          <w:b w:val="1"/>
          <w:bCs w:val="1"/>
          <w:color w:val="auto"/>
        </w:rPr>
        <w:t xml:space="preserve"> Tuesday, September 15, 2020 </w:t>
      </w:r>
      <w:r>
        <w:rPr>
          <w:rFonts w:ascii="Arial" w:cs="Arial" w:eastAsia="Arial" w:hAnsi="Arial"/>
          <w:sz w:val="20"/>
          <w:szCs w:val="20"/>
          <w:color w:val="auto"/>
        </w:rPr>
        <w:t>and you</w:t>
      </w:r>
      <w:r>
        <w:rPr>
          <w:rFonts w:ascii="Arial" w:cs="Arial" w:eastAsia="Arial" w:hAnsi="Arial"/>
          <w:sz w:val="20"/>
          <w:szCs w:val="20"/>
          <w:b w:val="1"/>
          <w:bCs w:val="1"/>
          <w:color w:val="auto"/>
        </w:rPr>
        <w:t xml:space="preserve"> </w:t>
      </w:r>
      <w:r>
        <w:rPr>
          <w:rFonts w:ascii="Arial" w:cs="Arial" w:eastAsia="Arial" w:hAnsi="Arial"/>
          <w:sz w:val="20"/>
          <w:szCs w:val="20"/>
          <w:color w:val="auto"/>
        </w:rPr>
        <w:t>report to Pete Anevski, Chief Executive Officer or such other officer as may be designated by the Company. Your principal place of employment is Progyny’s New York office.</w:t>
      </w:r>
    </w:p>
    <w:p>
      <w:pPr>
        <w:spacing w:after="0" w:line="1" w:lineRule="exact"/>
        <w:rPr>
          <w:rFonts w:ascii="Arial" w:cs="Arial" w:eastAsia="Arial" w:hAnsi="Arial"/>
          <w:sz w:val="20"/>
          <w:szCs w:val="20"/>
          <w:b w:val="1"/>
          <w:bCs w:val="1"/>
          <w:color w:val="auto"/>
        </w:rPr>
      </w:pPr>
    </w:p>
    <w:p>
      <w:pPr>
        <w:ind w:left="400" w:hanging="392"/>
        <w:spacing w:after="0"/>
        <w:tabs>
          <w:tab w:leader="none" w:pos="40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 and Benefits</w:t>
      </w:r>
      <w:r>
        <w:rPr>
          <w:rFonts w:ascii="Arial" w:cs="Arial" w:eastAsia="Arial" w:hAnsi="Arial"/>
          <w:sz w:val="20"/>
          <w:szCs w:val="20"/>
          <w:color w:val="auto"/>
        </w:rPr>
        <w:t>: As an employee of Progyny, you will receive the following compensation and benefits: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Your annual base salary is</w:t>
      </w:r>
      <w:r>
        <w:rPr>
          <w:rFonts w:ascii="Arial" w:cs="Arial" w:eastAsia="Arial" w:hAnsi="Arial"/>
          <w:sz w:val="19"/>
          <w:szCs w:val="19"/>
          <w:b w:val="1"/>
          <w:bCs w:val="1"/>
          <w:color w:val="auto"/>
        </w:rPr>
        <w:t xml:space="preserve"> $425,000</w:t>
      </w:r>
      <w:r>
        <w:rPr>
          <w:rFonts w:ascii="Arial" w:cs="Arial" w:eastAsia="Arial" w:hAnsi="Arial"/>
          <w:sz w:val="19"/>
          <w:szCs w:val="19"/>
          <w:color w:val="auto"/>
        </w:rPr>
        <w:t>, less applicable deductions authorized by you and required by law, which will</w:t>
      </w:r>
    </w:p>
    <w:p>
      <w:pPr>
        <w:spacing w:after="0" w:line="4" w:lineRule="exact"/>
        <w:rPr>
          <w:sz w:val="20"/>
          <w:szCs w:val="20"/>
          <w:color w:val="auto"/>
        </w:rPr>
      </w:pPr>
    </w:p>
    <w:p>
      <w:pPr>
        <w:spacing w:after="0" w:line="225" w:lineRule="auto"/>
        <w:rPr>
          <w:sz w:val="20"/>
          <w:szCs w:val="20"/>
          <w:color w:val="auto"/>
        </w:rPr>
      </w:pPr>
      <w:r>
        <w:rPr>
          <w:rFonts w:ascii="Arial" w:cs="Arial" w:eastAsia="Arial" w:hAnsi="Arial"/>
          <w:sz w:val="20"/>
          <w:szCs w:val="20"/>
          <w:color w:val="auto"/>
        </w:rPr>
        <w:t>be paid in accordance with the Company’s normal payroll practices. The Company, in its sole judgement and discretion, may modify your salary upon periodic review.</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Variable Compensation</w:t>
      </w:r>
      <w:r>
        <w:rPr>
          <w:rFonts w:ascii="Arial" w:cs="Arial" w:eastAsia="Arial" w:hAnsi="Arial"/>
          <w:sz w:val="20"/>
          <w:szCs w:val="20"/>
          <w:color w:val="auto"/>
        </w:rPr>
        <w:t>. You are eligible for an annual discretionary bonus up to a maximum of</w:t>
      </w:r>
      <w:r>
        <w:rPr>
          <w:rFonts w:ascii="Arial" w:cs="Arial" w:eastAsia="Arial" w:hAnsi="Arial"/>
          <w:sz w:val="20"/>
          <w:szCs w:val="20"/>
          <w:b w:val="1"/>
          <w:bCs w:val="1"/>
          <w:color w:val="auto"/>
        </w:rPr>
        <w:t xml:space="preserve"> 60% </w:t>
      </w:r>
      <w:r>
        <w:rPr>
          <w:rFonts w:ascii="Arial" w:cs="Arial" w:eastAsia="Arial" w:hAnsi="Arial"/>
          <w:sz w:val="20"/>
          <w:szCs w:val="20"/>
          <w:color w:val="auto"/>
        </w:rPr>
        <w:t>of your base salary (the</w:t>
      </w:r>
    </w:p>
    <w:p>
      <w:pPr>
        <w:spacing w:after="0" w:line="20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beginning with fiscal year 2021. For fiscal year 2020, your annual bonus was calculated on a pro-rated basis based on an assessment of your two different roles (applying the applicable target bonus percentage for your period of service</w:t>
      </w:r>
    </w:p>
    <w:p>
      <w:pPr>
        <w:spacing w:after="0" w:line="211" w:lineRule="auto"/>
        <w:rPr>
          <w:sz w:val="20"/>
          <w:szCs w:val="20"/>
          <w:color w:val="auto"/>
        </w:rPr>
      </w:pPr>
      <w:r>
        <w:rPr>
          <w:rFonts w:ascii="Arial" w:cs="Arial" w:eastAsia="Arial" w:hAnsi="Arial"/>
          <w:sz w:val="20"/>
          <w:szCs w:val="20"/>
          <w:color w:val="auto"/>
        </w:rPr>
        <w:t>in each role). In order to receive the Target Bonus or any portion of the Target Bonus, you must achieve certain individual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performance goals, Progyny must achieve certain performance targets, and you must be employed with the Company on the date the bonus is paid. The actual amount of your annual bonus will be determined by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in its</w:t>
      </w:r>
    </w:p>
    <w:p>
      <w:pPr>
        <w:spacing w:after="0"/>
        <w:rPr>
          <w:sz w:val="20"/>
          <w:szCs w:val="20"/>
          <w:color w:val="auto"/>
        </w:rPr>
      </w:pPr>
      <w:r>
        <w:rPr>
          <w:rFonts w:ascii="Arial" w:cs="Arial" w:eastAsia="Arial" w:hAnsi="Arial"/>
          <w:sz w:val="20"/>
          <w:szCs w:val="20"/>
          <w:color w:val="auto"/>
        </w:rPr>
        <w:t>sole discretion.</w:t>
      </w:r>
    </w:p>
    <w:p>
      <w:pPr>
        <w:spacing w:after="0" w:line="196" w:lineRule="exact"/>
        <w:rPr>
          <w:sz w:val="20"/>
          <w:szCs w:val="20"/>
          <w:color w:val="auto"/>
        </w:rPr>
      </w:pPr>
    </w:p>
    <w:p>
      <w:pPr>
        <w:spacing w:after="0" w:line="214" w:lineRule="auto"/>
        <w:rPr>
          <w:sz w:val="20"/>
          <w:szCs w:val="20"/>
          <w:color w:val="auto"/>
        </w:rPr>
      </w:pPr>
      <w:r>
        <w:rPr>
          <w:rFonts w:ascii="Arial" w:cs="Arial" w:eastAsia="Arial" w:hAnsi="Arial"/>
          <w:sz w:val="20"/>
          <w:szCs w:val="20"/>
          <w:b w:val="1"/>
          <w:bCs w:val="1"/>
          <w:u w:val="single" w:color="auto"/>
          <w:color w:val="auto"/>
        </w:rPr>
        <w:t>Stock Options</w:t>
      </w:r>
      <w:r>
        <w:rPr>
          <w:rFonts w:ascii="Arial" w:cs="Arial" w:eastAsia="Arial" w:hAnsi="Arial"/>
          <w:sz w:val="20"/>
          <w:szCs w:val="20"/>
          <w:color w:val="auto"/>
        </w:rPr>
        <w:t>. You have previously been granted options to purchase shares of the Company’s Common Stock (such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with any other stock options that may be granted to you in the future, shall collectively be referred to in this Agreement</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as “</w:t>
      </w:r>
      <w:r>
        <w:rPr>
          <w:rFonts w:ascii="Arial" w:cs="Arial" w:eastAsia="Arial" w:hAnsi="Arial"/>
          <w:sz w:val="20"/>
          <w:szCs w:val="20"/>
          <w:b w:val="1"/>
          <w:bCs w:val="1"/>
          <w:i w:val="1"/>
          <w:iCs w:val="1"/>
          <w:color w:val="auto"/>
        </w:rPr>
        <w:t>Options</w:t>
      </w:r>
      <w:r>
        <w:rPr>
          <w:rFonts w:ascii="Arial" w:cs="Arial" w:eastAsia="Arial" w:hAnsi="Arial"/>
          <w:sz w:val="20"/>
          <w:szCs w:val="20"/>
          <w:i w:val="1"/>
          <w:iCs w:val="1"/>
          <w:color w:val="auto"/>
        </w:rPr>
        <w:t>”</w:t>
      </w:r>
      <w:r>
        <w:rPr>
          <w:rFonts w:ascii="Arial" w:cs="Arial" w:eastAsia="Arial" w:hAnsi="Arial"/>
          <w:sz w:val="20"/>
          <w:szCs w:val="20"/>
          <w:color w:val="auto"/>
        </w:rPr>
        <w:t>) and shall continue in full force and effect in accordance with their respective terms and the terms of the applicable equity plan.</w:t>
      </w:r>
    </w:p>
    <w:p>
      <w:pPr>
        <w:spacing w:after="0" w:line="170" w:lineRule="exact"/>
        <w:rPr>
          <w:sz w:val="20"/>
          <w:szCs w:val="20"/>
          <w:color w:val="auto"/>
        </w:rPr>
      </w:pPr>
    </w:p>
    <w:p>
      <w:pPr>
        <w:spacing w:after="0" w:line="233" w:lineRule="auto"/>
        <w:rPr>
          <w:sz w:val="20"/>
          <w:szCs w:val="20"/>
          <w:color w:val="auto"/>
        </w:rPr>
      </w:pPr>
      <w:r>
        <w:rPr>
          <w:rFonts w:ascii="Arial" w:cs="Arial" w:eastAsia="Arial" w:hAnsi="Arial"/>
          <w:sz w:val="19"/>
          <w:szCs w:val="19"/>
          <w:b w:val="1"/>
          <w:bCs w:val="1"/>
          <w:u w:val="single" w:color="auto"/>
          <w:color w:val="auto"/>
        </w:rPr>
        <w:t>Employee Benefits</w:t>
      </w:r>
      <w:r>
        <w:rPr>
          <w:rFonts w:ascii="Arial" w:cs="Arial" w:eastAsia="Arial" w:hAnsi="Arial"/>
          <w:sz w:val="19"/>
          <w:szCs w:val="19"/>
          <w:color w:val="auto"/>
        </w:rPr>
        <w:t>. You will continue to be eligible to participate in the Company’s employee benefit plans as they may exist</w:t>
      </w:r>
      <w:r>
        <w:rPr>
          <w:rFonts w:ascii="Arial" w:cs="Arial" w:eastAsia="Arial" w:hAnsi="Arial"/>
          <w:sz w:val="19"/>
          <w:szCs w:val="19"/>
          <w:b w:val="1"/>
          <w:bCs w:val="1"/>
          <w:color w:val="auto"/>
        </w:rPr>
        <w:t xml:space="preserve"> </w:t>
      </w:r>
      <w:r>
        <w:rPr>
          <w:rFonts w:ascii="Arial" w:cs="Arial" w:eastAsia="Arial" w:hAnsi="Arial"/>
          <w:sz w:val="19"/>
          <w:szCs w:val="19"/>
          <w:color w:val="auto"/>
        </w:rPr>
        <w:t>from time to time, subject to any eligibility requirements imposed by such plans, including its health and welfare and paid time off</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benefits. The Company reserves the right to modify or terminate its employee benefit plans, in whole or in part, at any time in its sole discretion.</w:t>
      </w:r>
    </w:p>
    <w:p>
      <w:pPr>
        <w:spacing w:after="0" w:line="156" w:lineRule="exact"/>
        <w:rPr>
          <w:sz w:val="20"/>
          <w:szCs w:val="20"/>
          <w:color w:val="auto"/>
        </w:rPr>
      </w:pPr>
    </w:p>
    <w:p>
      <w:pPr>
        <w:jc w:val="both"/>
        <w:ind w:firstLine="8"/>
        <w:spacing w:after="0" w:line="217" w:lineRule="auto"/>
        <w:tabs>
          <w:tab w:leader="none" w:pos="466"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Non-Disclosure and Non-Compete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an employee of the Company, you will continue to have access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certain confidential information of the Company and you may, during the course of your employment, develop certain information or inventions that will be the property of the Company. To protect the interests of the Company, you have previously signed the Company's standard “Non-Disclosure and Non-Compete Agreement, which signed agreement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incorporated herein by reference. By signing this Agreement, you hereby ratify the obligations in the Non-Disclosure and Non-Compete Agreement and agree to continue to abide by its terms.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94" w:right="339" w:bottom="1440" w:gutter="0" w:footer="0" w:header="0"/>
        </w:sectPr>
      </w:pPr>
    </w:p>
    <w:bookmarkStart w:id="70" w:name="page71"/>
    <w:bookmarkEnd w:id="70"/>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13335</wp:posOffset>
            </wp:positionV>
            <wp:extent cx="1859915" cy="6343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8"/>
        <w:spacing w:after="0" w:line="213" w:lineRule="auto"/>
        <w:tabs>
          <w:tab w:leader="none" w:pos="412"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Your employment with the Company continues to be “at will”, which means that it is for no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term or duration. You may terminate your employment with Company at any time and for any reason whatsoever simply by notifying the Company, subject to the notice provisions required to resign for Good Reason (as defined below). Likewise, the Company may terminate your employment at any time, with or without Cause (as defined below) or advance notice, subject to the consequences set forth in Section 5. Neither the vesting of the Options described in this Agreement (nor any other provision of this Agreement or any other agreement between you and the Company), nor your participation in any stock option, incentive bonus, or other benefit program in the future, is to be regarded as assuring you of continuing employment for any particular period of time. Your employment at-will status can only be modified in a written agreement signed by you and by an officer of Progyny.</w:t>
      </w:r>
    </w:p>
    <w:p>
      <w:pPr>
        <w:spacing w:after="0" w:line="161" w:lineRule="exact"/>
        <w:rPr>
          <w:rFonts w:ascii="Arial" w:cs="Arial" w:eastAsia="Arial" w:hAnsi="Arial"/>
          <w:sz w:val="20"/>
          <w:szCs w:val="20"/>
          <w:b w:val="1"/>
          <w:bCs w:val="1"/>
          <w:color w:val="auto"/>
        </w:rPr>
      </w:pPr>
    </w:p>
    <w:p>
      <w:pPr>
        <w:ind w:left="400" w:hanging="392"/>
        <w:spacing w:after="0"/>
        <w:tabs>
          <w:tab w:leader="none" w:pos="4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 Severance.</w:t>
      </w:r>
    </w:p>
    <w:p>
      <w:pPr>
        <w:spacing w:after="0" w:line="202" w:lineRule="exact"/>
        <w:rPr>
          <w:rFonts w:ascii="Arial" w:cs="Arial" w:eastAsia="Arial" w:hAnsi="Arial"/>
          <w:sz w:val="20"/>
          <w:szCs w:val="20"/>
          <w:b w:val="1"/>
          <w:bCs w:val="1"/>
          <w:color w:val="auto"/>
        </w:rPr>
      </w:pPr>
    </w:p>
    <w:p>
      <w:pPr>
        <w:jc w:val="both"/>
        <w:ind w:firstLine="324"/>
        <w:spacing w:after="0" w:line="219" w:lineRule="auto"/>
        <w:rPr>
          <w:rFonts w:ascii="Arial" w:cs="Arial" w:eastAsia="Arial" w:hAnsi="Arial"/>
          <w:sz w:val="20"/>
          <w:szCs w:val="20"/>
          <w:b w:val="1"/>
          <w:bCs w:val="1"/>
          <w:color w:val="auto"/>
        </w:rPr>
      </w:pPr>
      <w:r>
        <w:rPr>
          <w:rFonts w:ascii="Arial" w:cs="Arial" w:eastAsia="Arial" w:hAnsi="Arial"/>
          <w:sz w:val="20"/>
          <w:szCs w:val="20"/>
          <w:b w:val="1"/>
          <w:bCs w:val="1"/>
          <w:color w:val="000101"/>
        </w:rPr>
        <w:t xml:space="preserve">a. Termination Without Cause </w:t>
      </w:r>
      <w:r>
        <w:rPr>
          <w:rFonts w:ascii="Arial" w:cs="Arial" w:eastAsia="Arial" w:hAnsi="Arial"/>
          <w:sz w:val="20"/>
          <w:szCs w:val="20"/>
          <w:b w:val="1"/>
          <w:bCs w:val="1"/>
          <w:color w:val="000000"/>
        </w:rPr>
        <w:t>or Resignation for Good Reason</w:t>
      </w:r>
      <w:r>
        <w:rPr>
          <w:rFonts w:ascii="Arial" w:cs="Arial" w:eastAsia="Arial" w:hAnsi="Arial"/>
          <w:sz w:val="20"/>
          <w:szCs w:val="20"/>
          <w:b w:val="1"/>
          <w:bCs w:val="1"/>
          <w:color w:val="000101"/>
        </w:rPr>
        <w:t xml:space="preserve">. </w:t>
      </w:r>
      <w:r>
        <w:rPr>
          <w:rFonts w:ascii="Arial" w:cs="Arial" w:eastAsia="Arial" w:hAnsi="Arial"/>
          <w:sz w:val="20"/>
          <w:szCs w:val="20"/>
          <w:color w:val="000000"/>
        </w:rPr>
        <w:t>In the event your employment with the Company (or its</w:t>
      </w:r>
      <w:r>
        <w:rPr>
          <w:rFonts w:ascii="Arial" w:cs="Arial" w:eastAsia="Arial" w:hAnsi="Arial"/>
          <w:sz w:val="20"/>
          <w:szCs w:val="20"/>
          <w:b w:val="1"/>
          <w:bCs w:val="1"/>
          <w:color w:val="000101"/>
        </w:rPr>
        <w:t xml:space="preserve"> </w:t>
      </w:r>
      <w:r>
        <w:rPr>
          <w:rFonts w:ascii="Arial" w:cs="Arial" w:eastAsia="Arial" w:hAnsi="Arial"/>
          <w:sz w:val="20"/>
          <w:szCs w:val="20"/>
          <w:color w:val="000000"/>
        </w:rPr>
        <w:t xml:space="preserve">subsidiaries) is terminated by the Company (or its subsidiaries) without Cause or you resign for Good Reason, then provided such termination constitutes a “separation from service” (as defined under Treasury Regulation Section 1.409A-1(h), without regard to any alternative definition thereunder, a </w:t>
      </w:r>
      <w:r>
        <w:rPr>
          <w:rFonts w:ascii="Arial" w:cs="Arial" w:eastAsia="Arial" w:hAnsi="Arial"/>
          <w:sz w:val="20"/>
          <w:szCs w:val="20"/>
          <w:color w:val="000101"/>
        </w:rPr>
        <w:t>“</w:t>
      </w:r>
      <w:r>
        <w:rPr>
          <w:rFonts w:ascii="Arial" w:cs="Arial" w:eastAsia="Arial" w:hAnsi="Arial"/>
          <w:sz w:val="20"/>
          <w:szCs w:val="20"/>
          <w:b w:val="1"/>
          <w:bCs w:val="1"/>
          <w:i w:val="1"/>
          <w:iCs w:val="1"/>
          <w:color w:val="000101"/>
        </w:rPr>
        <w:t>Separation from Service</w:t>
      </w:r>
      <w:r>
        <w:rPr>
          <w:rFonts w:ascii="Arial" w:cs="Arial" w:eastAsia="Arial" w:hAnsi="Arial"/>
          <w:sz w:val="20"/>
          <w:szCs w:val="20"/>
          <w:color w:val="000101"/>
        </w:rPr>
        <w:t>”),</w:t>
      </w:r>
      <w:r>
        <w:rPr>
          <w:rFonts w:ascii="Arial" w:cs="Arial" w:eastAsia="Arial" w:hAnsi="Arial"/>
          <w:sz w:val="20"/>
          <w:szCs w:val="20"/>
          <w:color w:val="000000"/>
        </w:rPr>
        <w:t xml:space="preserve"> and provided that you remain in compliance with the terms of this Agreement (including, without limitation, the Non-Disclosure and Non-Compete Agreement), the Company shall provide you with the following severance payments and benefits:</w:t>
      </w:r>
    </w:p>
    <w:p>
      <w:pPr>
        <w:spacing w:after="0" w:line="171" w:lineRule="exact"/>
        <w:rPr>
          <w:rFonts w:ascii="Arial" w:cs="Arial" w:eastAsia="Arial" w:hAnsi="Arial"/>
          <w:sz w:val="20"/>
          <w:szCs w:val="20"/>
          <w:b w:val="1"/>
          <w:bCs w:val="1"/>
          <w:color w:val="auto"/>
        </w:rPr>
      </w:pPr>
    </w:p>
    <w:p>
      <w:pPr>
        <w:jc w:val="both"/>
        <w:ind w:left="980" w:hanging="324"/>
        <w:spacing w:after="0" w:line="216" w:lineRule="auto"/>
        <w:tabs>
          <w:tab w:leader="none" w:pos="984" w:val="left"/>
        </w:tabs>
        <w:numPr>
          <w:ilvl w:val="2"/>
          <w:numId w:val="38"/>
        </w:numPr>
        <w:rPr>
          <w:rFonts w:ascii="Arial" w:cs="Arial" w:eastAsia="Arial" w:hAnsi="Arial"/>
          <w:sz w:val="20"/>
          <w:szCs w:val="20"/>
          <w:color w:val="000101"/>
        </w:rPr>
      </w:pPr>
      <w:r>
        <w:rPr>
          <w:rFonts w:ascii="Arial" w:cs="Arial" w:eastAsia="Arial" w:hAnsi="Arial"/>
          <w:sz w:val="20"/>
          <w:szCs w:val="20"/>
          <w:b w:val="1"/>
          <w:bCs w:val="1"/>
          <w:color w:val="000101"/>
        </w:rPr>
        <w:t xml:space="preserve">Severance Pay. </w:t>
      </w:r>
      <w:r>
        <w:rPr>
          <w:rFonts w:ascii="Arial" w:cs="Arial" w:eastAsia="Arial" w:hAnsi="Arial"/>
          <w:sz w:val="20"/>
          <w:szCs w:val="20"/>
          <w:color w:val="000101"/>
        </w:rPr>
        <w:t>The Company shall pay you, as severance, the equivalent of six (6) months of your base salary in</w:t>
      </w:r>
      <w:r>
        <w:rPr>
          <w:rFonts w:ascii="Arial" w:cs="Arial" w:eastAsia="Arial" w:hAnsi="Arial"/>
          <w:sz w:val="20"/>
          <w:szCs w:val="20"/>
          <w:b w:val="1"/>
          <w:bCs w:val="1"/>
          <w:color w:val="000101"/>
        </w:rPr>
        <w:t xml:space="preserve"> </w:t>
      </w:r>
      <w:r>
        <w:rPr>
          <w:rFonts w:ascii="Arial" w:cs="Arial" w:eastAsia="Arial" w:hAnsi="Arial"/>
          <w:sz w:val="20"/>
          <w:szCs w:val="20"/>
          <w:color w:val="000101"/>
        </w:rPr>
        <w:t>effect as of your employment termination date, subject to standard payroll deductions and withholdings. This severance amount will be paid in equal installments in the form of continuation of your base salary payments, paid on the Company’s ordinary payroll dates, commencing on the Company’s first regular payroll date that is 60 days following such termination of your employment (the “</w:t>
      </w:r>
      <w:r>
        <w:rPr>
          <w:rFonts w:ascii="Arial" w:cs="Arial" w:eastAsia="Arial" w:hAnsi="Arial"/>
          <w:sz w:val="20"/>
          <w:szCs w:val="20"/>
          <w:b w:val="1"/>
          <w:bCs w:val="1"/>
          <w:i w:val="1"/>
          <w:iCs w:val="1"/>
          <w:color w:val="000101"/>
        </w:rPr>
        <w:t>Starting Date</w:t>
      </w:r>
      <w:r>
        <w:rPr>
          <w:rFonts w:ascii="Arial" w:cs="Arial" w:eastAsia="Arial" w:hAnsi="Arial"/>
          <w:sz w:val="20"/>
          <w:szCs w:val="20"/>
          <w:color w:val="000101"/>
        </w:rPr>
        <w:t>”), with the first payment of severance to include any accrued base salary from the Starting Date until the first payment of severance. All salary continuation payments thereafter shall be made on the Company’s regular payroll dates.</w:t>
      </w:r>
    </w:p>
    <w:p>
      <w:pPr>
        <w:spacing w:after="0" w:line="184" w:lineRule="exact"/>
        <w:rPr>
          <w:rFonts w:ascii="Arial" w:cs="Arial" w:eastAsia="Arial" w:hAnsi="Arial"/>
          <w:sz w:val="20"/>
          <w:szCs w:val="20"/>
          <w:color w:val="000101"/>
        </w:rPr>
      </w:pPr>
    </w:p>
    <w:p>
      <w:pPr>
        <w:jc w:val="both"/>
        <w:ind w:left="980" w:hanging="324"/>
        <w:spacing w:after="0" w:line="232" w:lineRule="auto"/>
        <w:tabs>
          <w:tab w:leader="none" w:pos="974" w:val="left"/>
        </w:tabs>
        <w:numPr>
          <w:ilvl w:val="2"/>
          <w:numId w:val="38"/>
        </w:numPr>
        <w:rPr>
          <w:rFonts w:ascii="Arial" w:cs="Arial" w:eastAsia="Arial" w:hAnsi="Arial"/>
          <w:sz w:val="19"/>
          <w:szCs w:val="19"/>
          <w:color w:val="000101"/>
        </w:rPr>
      </w:pPr>
      <w:r>
        <w:rPr>
          <w:rFonts w:ascii="Arial" w:cs="Arial" w:eastAsia="Arial" w:hAnsi="Arial"/>
          <w:sz w:val="19"/>
          <w:szCs w:val="19"/>
          <w:b w:val="1"/>
          <w:bCs w:val="1"/>
          <w:color w:val="000101"/>
        </w:rPr>
        <w:t>Bonus</w:t>
      </w:r>
      <w:r>
        <w:rPr>
          <w:rFonts w:ascii="Arial" w:cs="Arial" w:eastAsia="Arial" w:hAnsi="Arial"/>
          <w:sz w:val="19"/>
          <w:szCs w:val="19"/>
          <w:color w:val="000101"/>
        </w:rPr>
        <w:t>. The Company shall pay you your Target Bonus for the year in which your termination occurs, prorated</w:t>
      </w:r>
      <w:r>
        <w:rPr>
          <w:rFonts w:ascii="Arial" w:cs="Arial" w:eastAsia="Arial" w:hAnsi="Arial"/>
          <w:sz w:val="19"/>
          <w:szCs w:val="19"/>
          <w:b w:val="1"/>
          <w:bCs w:val="1"/>
          <w:color w:val="000101"/>
        </w:rPr>
        <w:t xml:space="preserve"> </w:t>
      </w:r>
      <w:r>
        <w:rPr>
          <w:rFonts w:ascii="Arial" w:cs="Arial" w:eastAsia="Arial" w:hAnsi="Arial"/>
          <w:sz w:val="19"/>
          <w:szCs w:val="19"/>
          <w:color w:val="000101"/>
        </w:rPr>
        <w:t>(based on completed months of service) to the date of termination. Such amount will be paid on the Starting Date. For any annual bonus relating to the prior year that has not yet been paid, you will be eligible to receive such bonus calculated under the terms and conditions set forth in Section 2, as determined by the Board in its sole discretion, payable on the Starting Date, or if not yet determined, then within sixty (60) days following such Board determination.</w:t>
      </w:r>
    </w:p>
    <w:p>
      <w:pPr>
        <w:spacing w:after="0" w:line="172" w:lineRule="exact"/>
        <w:rPr>
          <w:rFonts w:ascii="Arial" w:cs="Arial" w:eastAsia="Arial" w:hAnsi="Arial"/>
          <w:sz w:val="19"/>
          <w:szCs w:val="19"/>
          <w:color w:val="000101"/>
        </w:rPr>
      </w:pPr>
    </w:p>
    <w:p>
      <w:pPr>
        <w:jc w:val="both"/>
        <w:ind w:left="980" w:hanging="324"/>
        <w:spacing w:after="0" w:line="211" w:lineRule="auto"/>
        <w:tabs>
          <w:tab w:leader="none" w:pos="978" w:val="left"/>
        </w:tabs>
        <w:numPr>
          <w:ilvl w:val="2"/>
          <w:numId w:val="38"/>
        </w:numPr>
        <w:rPr>
          <w:rFonts w:ascii="Arial" w:cs="Arial" w:eastAsia="Arial" w:hAnsi="Arial"/>
          <w:sz w:val="20"/>
          <w:szCs w:val="20"/>
          <w:color w:val="000101"/>
        </w:rPr>
      </w:pPr>
      <w:r>
        <w:rPr>
          <w:rFonts w:ascii="Arial" w:cs="Arial" w:eastAsia="Arial" w:hAnsi="Arial"/>
          <w:sz w:val="20"/>
          <w:szCs w:val="20"/>
          <w:b w:val="1"/>
          <w:bCs w:val="1"/>
          <w:color w:val="000101"/>
        </w:rPr>
        <w:t xml:space="preserve">Health Insurance. </w:t>
      </w:r>
      <w:r>
        <w:rPr>
          <w:rFonts w:ascii="Arial" w:cs="Arial" w:eastAsia="Arial" w:hAnsi="Arial"/>
          <w:sz w:val="20"/>
          <w:szCs w:val="20"/>
          <w:color w:val="000101"/>
        </w:rPr>
        <w:t>Provided that you timely elect continued coverage under COBRA, the Company shall pay your</w:t>
      </w:r>
      <w:r>
        <w:rPr>
          <w:rFonts w:ascii="Arial" w:cs="Arial" w:eastAsia="Arial" w:hAnsi="Arial"/>
          <w:sz w:val="20"/>
          <w:szCs w:val="20"/>
          <w:b w:val="1"/>
          <w:bCs w:val="1"/>
          <w:color w:val="000101"/>
        </w:rPr>
        <w:t xml:space="preserve"> </w:t>
      </w:r>
      <w:r>
        <w:rPr>
          <w:rFonts w:ascii="Arial" w:cs="Arial" w:eastAsia="Arial" w:hAnsi="Arial"/>
          <w:sz w:val="20"/>
          <w:szCs w:val="20"/>
          <w:color w:val="000101"/>
        </w:rPr>
        <w:t>COBRA premiums to continue your coverage (including coverage for eligible dependents, if applicable) (“</w:t>
      </w:r>
      <w:r>
        <w:rPr>
          <w:rFonts w:ascii="Arial" w:cs="Arial" w:eastAsia="Arial" w:hAnsi="Arial"/>
          <w:sz w:val="20"/>
          <w:szCs w:val="20"/>
          <w:b w:val="1"/>
          <w:bCs w:val="1"/>
          <w:i w:val="1"/>
          <w:iCs w:val="1"/>
          <w:color w:val="000101"/>
        </w:rPr>
        <w:t>COBRA</w:t>
      </w:r>
      <w:r>
        <w:rPr>
          <w:rFonts w:ascii="Arial" w:cs="Arial" w:eastAsia="Arial" w:hAnsi="Arial"/>
          <w:sz w:val="20"/>
          <w:szCs w:val="20"/>
          <w:color w:val="000101"/>
        </w:rPr>
        <w:t xml:space="preserve"> </w:t>
      </w:r>
      <w:r>
        <w:rPr>
          <w:rFonts w:ascii="Arial" w:cs="Arial" w:eastAsia="Arial" w:hAnsi="Arial"/>
          <w:sz w:val="20"/>
          <w:szCs w:val="20"/>
          <w:b w:val="1"/>
          <w:bCs w:val="1"/>
          <w:i w:val="1"/>
          <w:iCs w:val="1"/>
          <w:color w:val="000101"/>
        </w:rPr>
        <w:t>Premiums</w:t>
      </w:r>
      <w:r>
        <w:rPr>
          <w:rFonts w:ascii="Arial" w:cs="Arial" w:eastAsia="Arial" w:hAnsi="Arial"/>
          <w:sz w:val="20"/>
          <w:szCs w:val="20"/>
          <w:color w:val="000101"/>
        </w:rPr>
        <w:t>”) through the period (the “</w:t>
      </w:r>
      <w:r>
        <w:rPr>
          <w:rFonts w:ascii="Arial" w:cs="Arial" w:eastAsia="Arial" w:hAnsi="Arial"/>
          <w:sz w:val="20"/>
          <w:szCs w:val="20"/>
          <w:b w:val="1"/>
          <w:bCs w:val="1"/>
          <w:i w:val="1"/>
          <w:iCs w:val="1"/>
          <w:color w:val="000101"/>
        </w:rPr>
        <w:t>COBRA Premium Period</w:t>
      </w:r>
      <w:r>
        <w:rPr>
          <w:rFonts w:ascii="Arial" w:cs="Arial" w:eastAsia="Arial" w:hAnsi="Arial"/>
          <w:sz w:val="20"/>
          <w:szCs w:val="20"/>
          <w:color w:val="000101"/>
        </w:rPr>
        <w:t>”) starting on the date of your termination of</w:t>
      </w:r>
      <w:r>
        <w:rPr>
          <w:rFonts w:ascii="Arial" w:cs="Arial" w:eastAsia="Arial" w:hAnsi="Arial"/>
          <w:sz w:val="20"/>
          <w:szCs w:val="20"/>
          <w:b w:val="1"/>
          <w:bCs w:val="1"/>
          <w:i w:val="1"/>
          <w:iCs w:val="1"/>
          <w:color w:val="000101"/>
        </w:rPr>
        <w:t xml:space="preserve"> </w:t>
      </w:r>
      <w:r>
        <w:rPr>
          <w:rFonts w:ascii="Arial" w:cs="Arial" w:eastAsia="Arial" w:hAnsi="Arial"/>
          <w:sz w:val="20"/>
          <w:szCs w:val="20"/>
          <w:color w:val="000101"/>
        </w:rPr>
        <w:t>employment and ending on the earliest to occur of: (i) the duration of the salary continuation period set forth in Section 5(a)(i) above; (ii) the date you become eligible for group health insurance coverage through a new employer; and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to you, on the first day of each calendar month, a fully taxable cash payment equal to the applicable COBRA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9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1859915" cy="6343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80"/>
        <w:spacing w:after="0" w:line="213" w:lineRule="auto"/>
        <w:rPr>
          <w:sz w:val="20"/>
          <w:szCs w:val="20"/>
          <w:color w:val="auto"/>
        </w:rPr>
      </w:pPr>
      <w:r>
        <w:rPr>
          <w:rFonts w:ascii="Arial" w:cs="Arial" w:eastAsia="Arial" w:hAnsi="Arial"/>
          <w:sz w:val="20"/>
          <w:szCs w:val="20"/>
          <w:color w:val="000101"/>
        </w:rPr>
        <w:t>premiums for that month (including premiums for you and your eligible dependents who have elected and remain enrolled in such COBRA coverage), subject to applicable tax withholdings (such amount, the “</w:t>
      </w:r>
      <w:r>
        <w:rPr>
          <w:rFonts w:ascii="Arial" w:cs="Arial" w:eastAsia="Arial" w:hAnsi="Arial"/>
          <w:sz w:val="20"/>
          <w:szCs w:val="20"/>
          <w:b w:val="1"/>
          <w:bCs w:val="1"/>
          <w:i w:val="1"/>
          <w:iCs w:val="1"/>
          <w:color w:val="000101"/>
        </w:rPr>
        <w:t>Special Cash</w:t>
      </w:r>
    </w:p>
    <w:p>
      <w:pPr>
        <w:ind w:left="980"/>
        <w:spacing w:after="0" w:line="212" w:lineRule="auto"/>
        <w:rPr>
          <w:sz w:val="20"/>
          <w:szCs w:val="20"/>
          <w:color w:val="auto"/>
        </w:rPr>
      </w:pPr>
      <w:r>
        <w:rPr>
          <w:rFonts w:ascii="Arial" w:cs="Arial" w:eastAsia="Arial" w:hAnsi="Arial"/>
          <w:sz w:val="20"/>
          <w:szCs w:val="20"/>
          <w:b w:val="1"/>
          <w:bCs w:val="1"/>
          <w:i w:val="1"/>
          <w:iCs w:val="1"/>
          <w:color w:val="000101"/>
        </w:rPr>
        <w:t>Payment</w:t>
      </w:r>
      <w:r>
        <w:rPr>
          <w:rFonts w:ascii="Arial" w:cs="Arial" w:eastAsia="Arial" w:hAnsi="Arial"/>
          <w:sz w:val="20"/>
          <w:szCs w:val="20"/>
          <w:color w:val="000101"/>
        </w:rPr>
        <w:t>”), for the remainder of the COBRA Premium Period. You may, but are not obligated to, use such Special</w:t>
      </w:r>
    </w:p>
    <w:p>
      <w:pPr>
        <w:spacing w:after="0" w:line="1" w:lineRule="exact"/>
        <w:rPr>
          <w:sz w:val="20"/>
          <w:szCs w:val="20"/>
          <w:color w:val="auto"/>
        </w:rPr>
      </w:pPr>
    </w:p>
    <w:p>
      <w:pPr>
        <w:jc w:val="both"/>
        <w:ind w:left="980"/>
        <w:spacing w:after="0" w:line="215" w:lineRule="auto"/>
        <w:rPr>
          <w:sz w:val="20"/>
          <w:szCs w:val="20"/>
          <w:color w:val="auto"/>
        </w:rPr>
      </w:pPr>
      <w:r>
        <w:rPr>
          <w:rFonts w:ascii="Arial" w:cs="Arial" w:eastAsia="Arial" w:hAnsi="Arial"/>
          <w:sz w:val="19"/>
          <w:szCs w:val="19"/>
          <w:color w:val="000101"/>
        </w:rPr>
        <w:t>Cash Payments toward the cost of COBRA premiums. In the event the Company opts for the Special Cash Payments, then on the Starting Date, the Company will make the first payment to you under this paragraph, in a lump</w:t>
      </w:r>
    </w:p>
    <w:p>
      <w:pPr>
        <w:ind w:left="980"/>
        <w:spacing w:after="0" w:line="211" w:lineRule="auto"/>
        <w:rPr>
          <w:sz w:val="20"/>
          <w:szCs w:val="20"/>
          <w:color w:val="auto"/>
        </w:rPr>
      </w:pPr>
      <w:r>
        <w:rPr>
          <w:rFonts w:ascii="Arial" w:cs="Arial" w:eastAsia="Arial" w:hAnsi="Arial"/>
          <w:sz w:val="20"/>
          <w:szCs w:val="20"/>
          <w:color w:val="000101"/>
        </w:rPr>
        <w:t>sum, equal to the aggregate Special Cash Payments that the Company would have paid to you through such date</w:t>
      </w:r>
    </w:p>
    <w:p>
      <w:pPr>
        <w:jc w:val="both"/>
        <w:ind w:left="980"/>
        <w:spacing w:after="0" w:line="225" w:lineRule="auto"/>
        <w:rPr>
          <w:sz w:val="20"/>
          <w:szCs w:val="20"/>
          <w:color w:val="auto"/>
        </w:rPr>
      </w:pPr>
      <w:r>
        <w:rPr>
          <w:rFonts w:ascii="Arial" w:cs="Arial" w:eastAsia="Arial" w:hAnsi="Arial"/>
          <w:sz w:val="20"/>
          <w:szCs w:val="20"/>
          <w:color w:val="000101"/>
        </w:rPr>
        <w:t>had the Special Cash Payments commenced on the first day of the first month following your termination date, with the balance of the Special Cash Payments paid thereafter on the schedule described above.</w:t>
      </w:r>
    </w:p>
    <w:p>
      <w:pPr>
        <w:spacing w:after="0" w:line="183" w:lineRule="exact"/>
        <w:rPr>
          <w:sz w:val="20"/>
          <w:szCs w:val="20"/>
          <w:color w:val="auto"/>
        </w:rPr>
      </w:pPr>
    </w:p>
    <w:p>
      <w:pPr>
        <w:jc w:val="both"/>
        <w:ind w:left="980" w:hanging="324"/>
        <w:spacing w:after="0" w:line="213" w:lineRule="auto"/>
        <w:tabs>
          <w:tab w:leader="none" w:pos="974" w:val="left"/>
        </w:tabs>
        <w:numPr>
          <w:ilvl w:val="2"/>
          <w:numId w:val="39"/>
        </w:numPr>
        <w:rPr>
          <w:rFonts w:ascii="Arial" w:cs="Arial" w:eastAsia="Arial" w:hAnsi="Arial"/>
          <w:sz w:val="20"/>
          <w:szCs w:val="20"/>
          <w:color w:val="000101"/>
        </w:rPr>
      </w:pPr>
      <w:r>
        <w:rPr>
          <w:rFonts w:ascii="Arial" w:cs="Arial" w:eastAsia="Arial" w:hAnsi="Arial"/>
          <w:sz w:val="20"/>
          <w:szCs w:val="20"/>
          <w:b w:val="1"/>
          <w:bCs w:val="1"/>
          <w:color w:val="000101"/>
        </w:rPr>
        <w:t>Vesting Acceleration; Extension of time to Exercise</w:t>
      </w:r>
      <w:r>
        <w:rPr>
          <w:rFonts w:ascii="Arial" w:cs="Arial" w:eastAsia="Arial" w:hAnsi="Arial"/>
          <w:sz w:val="20"/>
          <w:szCs w:val="20"/>
          <w:color w:val="000101"/>
        </w:rPr>
        <w:t>. The vesting of any then-unvested shares subject to the</w:t>
      </w:r>
      <w:r>
        <w:rPr>
          <w:rFonts w:ascii="Arial" w:cs="Arial" w:eastAsia="Arial" w:hAnsi="Arial"/>
          <w:sz w:val="20"/>
          <w:szCs w:val="20"/>
          <w:b w:val="1"/>
          <w:bCs w:val="1"/>
          <w:color w:val="000101"/>
        </w:rPr>
        <w:t xml:space="preserve"> </w:t>
      </w:r>
      <w:r>
        <w:rPr>
          <w:rFonts w:ascii="Arial" w:cs="Arial" w:eastAsia="Arial" w:hAnsi="Arial"/>
          <w:sz w:val="20"/>
          <w:szCs w:val="20"/>
          <w:color w:val="000101"/>
        </w:rPr>
        <w:t>Options shall be accelerated in an amount equal to that portion that would have vested over the six (6) month period following the date of termination, such that the accelerated vested shares subject to the Options shall be deemed vested and exercisable as of the date of termination (subject to execution of the release referred to below). Additionally, the vested Options shall be exercisable for twelve (12) months following your last day of employment. In addition, if any other form of equity compensation is awarded to you during your employment (“Other Equity”), the vesting of any of the then-unvested equity that would have vested over the following six (6) months shall be accelerated and deemed vested on the date of termination and paid or delivered in accordance with the award agreement, subject to Section 6).</w:t>
      </w:r>
    </w:p>
    <w:p>
      <w:pPr>
        <w:spacing w:after="0" w:line="188" w:lineRule="exact"/>
        <w:rPr>
          <w:rFonts w:ascii="Arial" w:cs="Arial" w:eastAsia="Arial" w:hAnsi="Arial"/>
          <w:sz w:val="20"/>
          <w:szCs w:val="20"/>
          <w:color w:val="000101"/>
        </w:rPr>
      </w:pPr>
    </w:p>
    <w:p>
      <w:pPr>
        <w:jc w:val="both"/>
        <w:ind w:firstLine="332"/>
        <w:spacing w:after="0" w:line="211" w:lineRule="auto"/>
        <w:tabs>
          <w:tab w:leader="none" w:pos="662" w:val="left"/>
        </w:tabs>
        <w:numPr>
          <w:ilvl w:val="1"/>
          <w:numId w:val="40"/>
        </w:numPr>
        <w:rPr>
          <w:rFonts w:ascii="Arial" w:cs="Arial" w:eastAsia="Arial" w:hAnsi="Arial"/>
          <w:sz w:val="20"/>
          <w:szCs w:val="20"/>
          <w:b w:val="1"/>
          <w:bCs w:val="1"/>
          <w:color w:val="000101"/>
        </w:rPr>
      </w:pPr>
      <w:r>
        <w:rPr>
          <w:rFonts w:ascii="Arial" w:cs="Arial" w:eastAsia="Arial" w:hAnsi="Arial"/>
          <w:sz w:val="20"/>
          <w:szCs w:val="20"/>
          <w:b w:val="1"/>
          <w:bCs w:val="1"/>
          <w:color w:val="000101"/>
        </w:rPr>
        <w:t xml:space="preserve">Termination Without Cause </w:t>
      </w:r>
      <w:r>
        <w:rPr>
          <w:rFonts w:ascii="Arial" w:cs="Arial" w:eastAsia="Arial" w:hAnsi="Arial"/>
          <w:sz w:val="20"/>
          <w:szCs w:val="20"/>
          <w:b w:val="1"/>
          <w:bCs w:val="1"/>
          <w:color w:val="000000"/>
        </w:rPr>
        <w:t>or Resignation for Good Reason in Connection with an Acquisition.</w:t>
      </w:r>
      <w:r>
        <w:rPr>
          <w:rFonts w:ascii="Arial" w:cs="Arial" w:eastAsia="Arial" w:hAnsi="Arial"/>
          <w:sz w:val="20"/>
          <w:szCs w:val="20"/>
          <w:b w:val="1"/>
          <w:bCs w:val="1"/>
          <w:color w:val="000101"/>
        </w:rPr>
        <w:t xml:space="preserve"> </w:t>
      </w:r>
      <w:r>
        <w:rPr>
          <w:rFonts w:ascii="Arial" w:cs="Arial" w:eastAsia="Arial" w:hAnsi="Arial"/>
          <w:sz w:val="20"/>
          <w:szCs w:val="20"/>
          <w:color w:val="000000"/>
        </w:rPr>
        <w:t>In the event your</w:t>
      </w:r>
      <w:r>
        <w:rPr>
          <w:rFonts w:ascii="Arial" w:cs="Arial" w:eastAsia="Arial" w:hAnsi="Arial"/>
          <w:sz w:val="20"/>
          <w:szCs w:val="20"/>
          <w:b w:val="1"/>
          <w:bCs w:val="1"/>
          <w:color w:val="000101"/>
        </w:rPr>
        <w:t xml:space="preserve"> </w:t>
      </w:r>
      <w:r>
        <w:rPr>
          <w:rFonts w:ascii="Arial" w:cs="Arial" w:eastAsia="Arial" w:hAnsi="Arial"/>
          <w:sz w:val="20"/>
          <w:szCs w:val="20"/>
          <w:color w:val="000000"/>
        </w:rPr>
        <w:t>employment with the Company (or its subsidiaries) is terminated by the Company (or its subsidiaries) without Cause or you resign for Good Reason, in either case during the period (the “</w:t>
      </w:r>
      <w:r>
        <w:rPr>
          <w:rFonts w:ascii="Arial" w:cs="Arial" w:eastAsia="Arial" w:hAnsi="Arial"/>
          <w:sz w:val="20"/>
          <w:szCs w:val="20"/>
          <w:b w:val="1"/>
          <w:bCs w:val="1"/>
          <w:i w:val="1"/>
          <w:iCs w:val="1"/>
          <w:color w:val="000000"/>
        </w:rPr>
        <w:t>Change of Control Severance Period</w:t>
      </w:r>
      <w:r>
        <w:rPr>
          <w:rFonts w:ascii="Arial" w:cs="Arial" w:eastAsia="Arial" w:hAnsi="Arial"/>
          <w:sz w:val="20"/>
          <w:szCs w:val="20"/>
          <w:color w:val="000000"/>
        </w:rPr>
        <w:t xml:space="preserve">”), (x) commencing with the date that is one (1) month prior to the execution of a definitive agreement for a transaction that, if consummated, would result in an Acquisition (as defined below) and ending on the two (2) year anniversary of the closing of the same Acquisition; so long as such Acquisition closes within two years of the date of such definitive agreement, or (y) within two (2) years after the closing of any other Acquisition, then provided such termination constitutes a Separation from Service, and provided that you remain in compliance with the terms of this Agreement (including, without limitation, the Non-Disclosure and Non-Compete Agreement), the Company shall provide you with (i) severance payments and benefits set forth in Section 5(a) above;(ii) all of the </w:t>
      </w:r>
      <w:r>
        <w:rPr>
          <w:rFonts w:ascii="Arial" w:cs="Arial" w:eastAsia="Arial" w:hAnsi="Arial"/>
          <w:sz w:val="20"/>
          <w:szCs w:val="20"/>
          <w:color w:val="000101"/>
        </w:rPr>
        <w:t>unvested Options held by you as of the date of your termination shall be accelerated such that 100% of the shares subject to</w:t>
      </w:r>
      <w:r>
        <w:rPr>
          <w:rFonts w:ascii="Arial" w:cs="Arial" w:eastAsia="Arial" w:hAnsi="Arial"/>
          <w:sz w:val="20"/>
          <w:szCs w:val="20"/>
          <w:color w:val="000000"/>
        </w:rPr>
        <w:t xml:space="preserve"> </w:t>
      </w:r>
      <w:r>
        <w:rPr>
          <w:rFonts w:ascii="Arial" w:cs="Arial" w:eastAsia="Arial" w:hAnsi="Arial"/>
          <w:sz w:val="20"/>
          <w:szCs w:val="20"/>
          <w:color w:val="000101"/>
        </w:rPr>
        <w:t>the Options shall be deemed fully and immediately vested and shall be exercisable for twelve (12) months following your last day of employment; and (iii) any Other Equity shall be deemed 100% vested on the date of termination and paid or delivered in accordance with the applicable award agreement, subject to Section 6.</w:t>
      </w:r>
    </w:p>
    <w:p>
      <w:pPr>
        <w:spacing w:after="0" w:line="179" w:lineRule="exact"/>
        <w:rPr>
          <w:rFonts w:ascii="Arial" w:cs="Arial" w:eastAsia="Arial" w:hAnsi="Arial"/>
          <w:sz w:val="20"/>
          <w:szCs w:val="20"/>
          <w:b w:val="1"/>
          <w:bCs w:val="1"/>
          <w:color w:val="000101"/>
        </w:rPr>
      </w:pPr>
    </w:p>
    <w:p>
      <w:pPr>
        <w:jc w:val="both"/>
        <w:ind w:firstLine="332"/>
        <w:spacing w:after="0" w:line="213" w:lineRule="auto"/>
        <w:tabs>
          <w:tab w:leader="none" w:pos="678" w:val="left"/>
        </w:tabs>
        <w:numPr>
          <w:ilvl w:val="1"/>
          <w:numId w:val="40"/>
        </w:numPr>
        <w:rPr>
          <w:rFonts w:ascii="Arial" w:cs="Arial" w:eastAsia="Arial" w:hAnsi="Arial"/>
          <w:sz w:val="20"/>
          <w:szCs w:val="20"/>
          <w:b w:val="1"/>
          <w:bCs w:val="1"/>
          <w:color w:val="000101"/>
        </w:rPr>
      </w:pPr>
      <w:r>
        <w:rPr>
          <w:rFonts w:ascii="Arial" w:cs="Arial" w:eastAsia="Arial" w:hAnsi="Arial"/>
          <w:sz w:val="20"/>
          <w:szCs w:val="20"/>
          <w:b w:val="1"/>
          <w:bCs w:val="1"/>
          <w:color w:val="000101"/>
        </w:rPr>
        <w:t xml:space="preserve">Resignation without Good Reason; Termination for Cause; Death or Disability. </w:t>
      </w:r>
      <w:r>
        <w:rPr>
          <w:rFonts w:ascii="Arial" w:cs="Arial" w:eastAsia="Arial" w:hAnsi="Arial"/>
          <w:sz w:val="20"/>
          <w:szCs w:val="20"/>
          <w:color w:val="000101"/>
        </w:rPr>
        <w:t>If at any time the Company</w:t>
      </w:r>
      <w:r>
        <w:rPr>
          <w:rFonts w:ascii="Arial" w:cs="Arial" w:eastAsia="Arial" w:hAnsi="Arial"/>
          <w:sz w:val="20"/>
          <w:szCs w:val="20"/>
          <w:b w:val="1"/>
          <w:bCs w:val="1"/>
          <w:color w:val="000101"/>
        </w:rPr>
        <w:t xml:space="preserve"> </w:t>
      </w:r>
      <w:r>
        <w:rPr>
          <w:rFonts w:ascii="Arial" w:cs="Arial" w:eastAsia="Arial" w:hAnsi="Arial"/>
          <w:sz w:val="20"/>
          <w:szCs w:val="20"/>
          <w:color w:val="000101"/>
        </w:rPr>
        <w:t>terminates your employment for Cause, you resign your employment without Good Reason, or your employment terminates upon your death or disability, then (i) you will no longer vest in the Options referenced in Section 2 above, or any Other Equity ,</w:t>
      </w:r>
    </w:p>
    <w:p>
      <w:pPr>
        <w:spacing w:after="0" w:line="1" w:lineRule="exact"/>
        <w:rPr>
          <w:rFonts w:ascii="Arial" w:cs="Arial" w:eastAsia="Arial" w:hAnsi="Arial"/>
          <w:sz w:val="20"/>
          <w:szCs w:val="20"/>
          <w:b w:val="1"/>
          <w:bCs w:val="1"/>
          <w:color w:val="000101"/>
        </w:rPr>
      </w:pPr>
    </w:p>
    <w:p>
      <w:pPr>
        <w:ind w:left="300" w:hanging="292"/>
        <w:spacing w:after="0" w:line="211" w:lineRule="auto"/>
        <w:tabs>
          <w:tab w:leader="none" w:pos="300" w:val="left"/>
        </w:tabs>
        <w:numPr>
          <w:ilvl w:val="0"/>
          <w:numId w:val="41"/>
        </w:numPr>
        <w:rPr>
          <w:rFonts w:ascii="Arial" w:cs="Arial" w:eastAsia="Arial" w:hAnsi="Arial"/>
          <w:sz w:val="20"/>
          <w:szCs w:val="20"/>
          <w:color w:val="000101"/>
        </w:rPr>
      </w:pPr>
      <w:r>
        <w:rPr>
          <w:rFonts w:ascii="Arial" w:cs="Arial" w:eastAsia="Arial" w:hAnsi="Arial"/>
          <w:sz w:val="20"/>
          <w:szCs w:val="20"/>
          <w:color w:val="000101"/>
        </w:rPr>
        <w:t>all payments of compensation by the Company to you hereunder will terminate immediately (except as to amounts already</w:t>
      </w:r>
    </w:p>
    <w:p>
      <w:pPr>
        <w:spacing w:after="0" w:line="211" w:lineRule="auto"/>
        <w:rPr>
          <w:sz w:val="20"/>
          <w:szCs w:val="20"/>
          <w:color w:val="auto"/>
        </w:rPr>
      </w:pPr>
      <w:r>
        <w:rPr>
          <w:rFonts w:ascii="Arial" w:cs="Arial" w:eastAsia="Arial" w:hAnsi="Arial"/>
          <w:sz w:val="20"/>
          <w:szCs w:val="20"/>
          <w:color w:val="000101"/>
        </w:rPr>
        <w:t>earned), and (iii) you will not be entitled to any severance benefits. In addition, you shall resign from all positions and terminate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000101"/>
        </w:rPr>
        <w:t>any relationships as an employee, advisor, officer or director with the Company and any of its affiliates (including without limitation any subsidiaries), each effective on the date of termination. Notwithstanding the foregoing, if your employment</w:t>
      </w:r>
    </w:p>
    <w:p>
      <w:pPr>
        <w:spacing w:after="0" w:line="211" w:lineRule="auto"/>
        <w:rPr>
          <w:sz w:val="20"/>
          <w:szCs w:val="20"/>
          <w:color w:val="auto"/>
        </w:rPr>
      </w:pPr>
      <w:r>
        <w:rPr>
          <w:rFonts w:ascii="Arial" w:cs="Arial" w:eastAsia="Arial" w:hAnsi="Arial"/>
          <w:sz w:val="20"/>
          <w:szCs w:val="20"/>
          <w:color w:val="000101"/>
        </w:rPr>
        <w:t>terminates (i) as a result of your Disability (as defined in the applicable option plan pursuant to which your Option is granted but</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000101"/>
        </w:rPr>
        <w:t>no later than the expiration of the original term), the Option shall be exercisable for twelve (12) months following your last day of employment and (ii) as a result of your death, the Options granted under the Company’s 2017 Equity Incentive Plan and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94" w:right="339" w:bottom="1440" w:gutter="0" w:footer="0" w:header="0"/>
        </w:sectPr>
      </w:pPr>
    </w:p>
    <w:bookmarkStart w:id="72" w:name="page73"/>
    <w:bookmarkEnd w:id="72"/>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13335</wp:posOffset>
            </wp:positionV>
            <wp:extent cx="1859915" cy="6343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34" w:lineRule="auto"/>
        <w:rPr>
          <w:sz w:val="20"/>
          <w:szCs w:val="20"/>
          <w:color w:val="auto"/>
        </w:rPr>
      </w:pPr>
      <w:r>
        <w:rPr>
          <w:rFonts w:ascii="Arial" w:cs="Arial" w:eastAsia="Arial" w:hAnsi="Arial"/>
          <w:sz w:val="20"/>
          <w:szCs w:val="20"/>
          <w:color w:val="000101"/>
        </w:rPr>
        <w:t>options or Other Equity granted under the Company’s 2019 Equity Incentive Plan shall be deemed vested pursuant to the terms of such plan.</w:t>
      </w:r>
    </w:p>
    <w:p>
      <w:pPr>
        <w:spacing w:after="0" w:line="177" w:lineRule="exact"/>
        <w:rPr>
          <w:sz w:val="20"/>
          <w:szCs w:val="20"/>
          <w:color w:val="auto"/>
        </w:rPr>
      </w:pPr>
    </w:p>
    <w:p>
      <w:pPr>
        <w:ind w:left="660" w:hanging="328"/>
        <w:spacing w:after="0"/>
        <w:tabs>
          <w:tab w:leader="none" w:pos="660" w:val="left"/>
        </w:tabs>
        <w:numPr>
          <w:ilvl w:val="1"/>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to Receipt of Severance Benefits. </w:t>
      </w:r>
      <w:r>
        <w:rPr>
          <w:rFonts w:ascii="Arial" w:cs="Arial" w:eastAsia="Arial" w:hAnsi="Arial"/>
          <w:sz w:val="20"/>
          <w:szCs w:val="20"/>
          <w:color w:val="auto"/>
        </w:rPr>
        <w:t>The receipt of any severance benefits as described in Sections 5(a) or</w:t>
      </w:r>
    </w:p>
    <w:p>
      <w:pPr>
        <w:jc w:val="both"/>
        <w:ind w:firstLine="8"/>
        <w:spacing w:after="0" w:line="213" w:lineRule="auto"/>
        <w:tabs>
          <w:tab w:leader="none" w:pos="304" w:val="left"/>
        </w:tabs>
        <w:numPr>
          <w:ilvl w:val="0"/>
          <w:numId w:val="43"/>
        </w:numPr>
        <w:rPr>
          <w:rFonts w:ascii="Arial" w:cs="Arial" w:eastAsia="Arial" w:hAnsi="Arial"/>
          <w:sz w:val="20"/>
          <w:szCs w:val="20"/>
          <w:color w:val="auto"/>
        </w:rPr>
      </w:pPr>
      <w:r>
        <w:rPr>
          <w:rFonts w:ascii="Arial" w:cs="Arial" w:eastAsia="Arial" w:hAnsi="Arial"/>
          <w:sz w:val="20"/>
          <w:szCs w:val="20"/>
          <w:color w:val="auto"/>
        </w:rPr>
        <w:t>above will be subject to and conditioned upon your signing (and not revoking, if such a right is afforded to you) a separation agreement and release of claims in a form reasonably satisfactory to the Company (the “</w:t>
      </w:r>
      <w:r>
        <w:rPr>
          <w:rFonts w:ascii="Arial" w:cs="Arial" w:eastAsia="Arial" w:hAnsi="Arial"/>
          <w:sz w:val="20"/>
          <w:szCs w:val="20"/>
          <w:b w:val="1"/>
          <w:bCs w:val="1"/>
          <w:i w:val="1"/>
          <w:iCs w:val="1"/>
          <w:color w:val="auto"/>
        </w:rPr>
        <w:t>Separation Agreement</w:t>
      </w:r>
      <w:r>
        <w:rPr>
          <w:rFonts w:ascii="Arial" w:cs="Arial" w:eastAsia="Arial" w:hAnsi="Arial"/>
          <w:sz w:val="20"/>
          <w:szCs w:val="20"/>
          <w:color w:val="auto"/>
        </w:rPr>
        <w:t>”) within the time period specified therein, but in any event no later than sixty (60) days following your termination date. No severance benefits of any kind will be paid or provided until the Separation Agreement becomes effective. Pursuant to or in connection with any termination of employment with the Company, you shall also resign from all positions and terminate any relationships as an employee, advisor, officer or director with the Company and any of its affiliates (including without limitation any subsidiaries), each effective on the date of termination.</w:t>
      </w:r>
    </w:p>
    <w:p>
      <w:pPr>
        <w:spacing w:after="0" w:line="171" w:lineRule="exact"/>
        <w:rPr>
          <w:rFonts w:ascii="Arial" w:cs="Arial" w:eastAsia="Arial" w:hAnsi="Arial"/>
          <w:sz w:val="20"/>
          <w:szCs w:val="20"/>
          <w:color w:val="auto"/>
        </w:rPr>
      </w:pPr>
    </w:p>
    <w:p>
      <w:pPr>
        <w:ind w:left="680" w:hanging="348"/>
        <w:spacing w:after="0"/>
        <w:tabs>
          <w:tab w:leader="none" w:pos="680" w:val="left"/>
        </w:tabs>
        <w:numPr>
          <w:ilvl w:val="1"/>
          <w:numId w:val="43"/>
        </w:numPr>
        <w:rPr>
          <w:rFonts w:ascii="Arial" w:cs="Arial" w:eastAsia="Arial" w:hAnsi="Arial"/>
          <w:sz w:val="20"/>
          <w:szCs w:val="20"/>
          <w:b w:val="1"/>
          <w:bCs w:val="1"/>
          <w:color w:val="000101"/>
        </w:rPr>
      </w:pPr>
      <w:r>
        <w:rPr>
          <w:rFonts w:ascii="Arial" w:cs="Arial" w:eastAsia="Arial" w:hAnsi="Arial"/>
          <w:sz w:val="20"/>
          <w:szCs w:val="20"/>
          <w:b w:val="1"/>
          <w:bCs w:val="1"/>
          <w:color w:val="000101"/>
        </w:rPr>
        <w:t>Definitions</w:t>
      </w:r>
      <w:r>
        <w:rPr>
          <w:rFonts w:ascii="Arial" w:cs="Arial" w:eastAsia="Arial" w:hAnsi="Arial"/>
          <w:sz w:val="20"/>
          <w:szCs w:val="20"/>
          <w:color w:val="000101"/>
        </w:rPr>
        <w:t>. For purposes of this Agreement:</w:t>
      </w:r>
    </w:p>
    <w:p>
      <w:pPr>
        <w:spacing w:after="0" w:line="215" w:lineRule="exact"/>
        <w:rPr>
          <w:rFonts w:ascii="Arial" w:cs="Arial" w:eastAsia="Arial" w:hAnsi="Arial"/>
          <w:sz w:val="20"/>
          <w:szCs w:val="20"/>
          <w:b w:val="1"/>
          <w:bCs w:val="1"/>
          <w:color w:val="000101"/>
        </w:rPr>
      </w:pPr>
    </w:p>
    <w:p>
      <w:pPr>
        <w:jc w:val="both"/>
        <w:ind w:left="980" w:hanging="324"/>
        <w:spacing w:after="0" w:line="223" w:lineRule="auto"/>
        <w:tabs>
          <w:tab w:leader="none" w:pos="971" w:val="left"/>
        </w:tabs>
        <w:numPr>
          <w:ilvl w:val="2"/>
          <w:numId w:val="43"/>
        </w:numPr>
        <w:rPr>
          <w:rFonts w:ascii="Arial" w:cs="Arial" w:eastAsia="Arial" w:hAnsi="Arial"/>
          <w:sz w:val="20"/>
          <w:szCs w:val="20"/>
          <w:color w:val="000101"/>
        </w:rPr>
      </w:pPr>
      <w:r>
        <w:rPr>
          <w:rFonts w:ascii="Arial" w:cs="Arial" w:eastAsia="Arial" w:hAnsi="Arial"/>
          <w:sz w:val="20"/>
          <w:szCs w:val="20"/>
          <w:color w:val="000101"/>
        </w:rPr>
        <w:t>“</w:t>
      </w:r>
      <w:r>
        <w:rPr>
          <w:rFonts w:ascii="Arial" w:cs="Arial" w:eastAsia="Arial" w:hAnsi="Arial"/>
          <w:sz w:val="20"/>
          <w:szCs w:val="20"/>
          <w:b w:val="1"/>
          <w:bCs w:val="1"/>
          <w:color w:val="000101"/>
        </w:rPr>
        <w:t>Acquisition</w:t>
      </w:r>
      <w:r>
        <w:rPr>
          <w:rFonts w:ascii="Arial" w:cs="Arial" w:eastAsia="Arial" w:hAnsi="Arial"/>
          <w:sz w:val="20"/>
          <w:szCs w:val="20"/>
          <w:color w:val="000101"/>
        </w:rPr>
        <w:t>” means either of the following transactions: (i) a Deemed Liquidation Event (as defined in the Company’s Restated Certificate of Incorporation currently in effect); or (ii) a sale by the Company’s stockholders of outstanding shares of the Company’s capital stock in one transaction, or a series of related transactions, representing a majority of voting power of the Company’s all then outstanding shares of capital stock.</w:t>
      </w:r>
    </w:p>
    <w:p>
      <w:pPr>
        <w:spacing w:after="0" w:line="184" w:lineRule="exact"/>
        <w:rPr>
          <w:rFonts w:ascii="Arial" w:cs="Arial" w:eastAsia="Arial" w:hAnsi="Arial"/>
          <w:sz w:val="20"/>
          <w:szCs w:val="20"/>
          <w:color w:val="000101"/>
        </w:rPr>
      </w:pPr>
    </w:p>
    <w:p>
      <w:pPr>
        <w:jc w:val="both"/>
        <w:ind w:left="980" w:hanging="324"/>
        <w:spacing w:after="0" w:line="211" w:lineRule="auto"/>
        <w:tabs>
          <w:tab w:leader="none" w:pos="989" w:val="left"/>
        </w:tabs>
        <w:numPr>
          <w:ilvl w:val="2"/>
          <w:numId w:val="43"/>
        </w:numPr>
        <w:rPr>
          <w:rFonts w:ascii="Arial" w:cs="Arial" w:eastAsia="Arial" w:hAnsi="Arial"/>
          <w:sz w:val="20"/>
          <w:szCs w:val="20"/>
          <w:color w:val="000101"/>
        </w:rPr>
      </w:pPr>
      <w:r>
        <w:rPr>
          <w:rFonts w:ascii="Arial" w:cs="Arial" w:eastAsia="Arial" w:hAnsi="Arial"/>
          <w:sz w:val="20"/>
          <w:szCs w:val="20"/>
          <w:color w:val="000101"/>
        </w:rPr>
        <w:t>“</w:t>
      </w:r>
      <w:r>
        <w:rPr>
          <w:rFonts w:ascii="Arial" w:cs="Arial" w:eastAsia="Arial" w:hAnsi="Arial"/>
          <w:sz w:val="20"/>
          <w:szCs w:val="20"/>
          <w:b w:val="1"/>
          <w:bCs w:val="1"/>
          <w:color w:val="000101"/>
        </w:rPr>
        <w:t>Cause</w:t>
      </w:r>
      <w:r>
        <w:rPr>
          <w:rFonts w:ascii="Arial" w:cs="Arial" w:eastAsia="Arial" w:hAnsi="Arial"/>
          <w:sz w:val="20"/>
          <w:szCs w:val="20"/>
          <w:color w:val="000101"/>
        </w:rPr>
        <w:t>” for your employment termination will be deemed to exist at any time after the occurrence of one of more of the following: (i) your commission of, conviction for, or guilty plea to, a felony or crime involving moral turpitude; (ii) a willful refusal by you to comply with the lawful, material and reasonable instructions of the Company (or its subsidiaries), or to otherwise materially perform your duties as lawfully and reasonably determined by the Company (or its subsidiaries), in each case that is not cured by you (if such refusal is of a type that is capable of being cured) within 15 days of written notice being given to you of such refusal; (iii) any willful act or acts of dishonesty undertaken by you and intended to result in your (or any other person’s) material gain or personal enrichment at the expense of the Company, its subsidiaries or any of its or their customers, partners, affiliates, or employees; (iv) any willful act of gross misconduct by you which is injurious to the Company or its subsidiaries; (v) any material breach by you of your obligations under any agreement between you and the Company or its subsidiaries, including without limitation this Agreement or your Non-Disclosure and Non-Compete Agreement, that is not cured by you (if such breach is of a type that is capable of being cured) within 15 days of written notice being given to you of such breach; (vi) or any material non-fulfillment of your primary role duties.</w:t>
      </w:r>
    </w:p>
    <w:p>
      <w:pPr>
        <w:spacing w:after="0" w:line="179" w:lineRule="exact"/>
        <w:rPr>
          <w:rFonts w:ascii="Arial" w:cs="Arial" w:eastAsia="Arial" w:hAnsi="Arial"/>
          <w:sz w:val="20"/>
          <w:szCs w:val="20"/>
          <w:color w:val="000101"/>
        </w:rPr>
      </w:pPr>
    </w:p>
    <w:p>
      <w:pPr>
        <w:jc w:val="both"/>
        <w:ind w:left="980" w:hanging="324"/>
        <w:spacing w:after="0" w:line="223" w:lineRule="auto"/>
        <w:tabs>
          <w:tab w:leader="none" w:pos="992" w:val="left"/>
        </w:tabs>
        <w:numPr>
          <w:ilvl w:val="2"/>
          <w:numId w:val="43"/>
        </w:numPr>
        <w:rPr>
          <w:rFonts w:ascii="Arial" w:cs="Arial" w:eastAsia="Arial" w:hAnsi="Arial"/>
          <w:sz w:val="19"/>
          <w:szCs w:val="19"/>
          <w:color w:val="000101"/>
        </w:rPr>
      </w:pPr>
      <w:r>
        <w:rPr>
          <w:rFonts w:ascii="Arial" w:cs="Arial" w:eastAsia="Arial" w:hAnsi="Arial"/>
          <w:sz w:val="19"/>
          <w:szCs w:val="19"/>
          <w:color w:val="000101"/>
        </w:rPr>
        <w:t>“</w:t>
      </w:r>
      <w:r>
        <w:rPr>
          <w:rFonts w:ascii="Arial" w:cs="Arial" w:eastAsia="Arial" w:hAnsi="Arial"/>
          <w:sz w:val="19"/>
          <w:szCs w:val="19"/>
          <w:b w:val="1"/>
          <w:bCs w:val="1"/>
          <w:color w:val="000101"/>
        </w:rPr>
        <w:t>Good Reason</w:t>
      </w:r>
      <w:r>
        <w:rPr>
          <w:rFonts w:ascii="Arial" w:cs="Arial" w:eastAsia="Arial" w:hAnsi="Arial"/>
          <w:sz w:val="19"/>
          <w:szCs w:val="19"/>
          <w:color w:val="000101"/>
        </w:rPr>
        <w:t>” means the occurrence of any of the following without your prior written consent: (i) a material reduction in your then-current annual base salary; except for a reduction (not to exceed 10%) that is part of a proportional reduction of the base salaries of all Company executives; (ii) relocation of your principal place of employment to a place that increases your one-way commute by more than thirty (30) miles as compared to your then-current principal place of employment immediately prior to such relocation; or (iii) a material and adverse change in your duties and responsibilities (it being agreed that a change in duties and responsibilities following an Acquisition that is inherent in the Company becoming part of a larger business organization shall not be an event of Good Reason); provided, however, that a resignation by you shall not be considered to be for a “Good Reason” under this Agreement unless: (1) you provide written notice to the Company of the occurrence of the event which you contend constitutes Good Reason within thirty (30) days after the date such event occurs, which notice states your intention to resign for a “Good Reason” under this Agreement as a result thereof, (2) the Company does not effect a cure with respect to such event within thirty (30) days after receipt of such written notice, and (3) you thereafter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40"/>
          </w:cols>
          <w:pgMar w:left="320" w:top="9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1859915" cy="6343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980"/>
        <w:spacing w:after="0" w:line="224" w:lineRule="auto"/>
        <w:rPr>
          <w:sz w:val="20"/>
          <w:szCs w:val="20"/>
          <w:color w:val="auto"/>
        </w:rPr>
      </w:pPr>
      <w:r>
        <w:rPr>
          <w:rFonts w:ascii="Arial" w:cs="Arial" w:eastAsia="Arial" w:hAnsi="Arial"/>
          <w:sz w:val="19"/>
          <w:szCs w:val="19"/>
          <w:color w:val="000101"/>
        </w:rPr>
        <w:t>resign and cease to perform services as an employee of the Company within ten (10) days after the expiration of the Company’s cure period. Good Reason shall also include you resigning from all Company positions for any reason</w:t>
      </w:r>
    </w:p>
    <w:p>
      <w:pPr>
        <w:spacing w:after="0" w:line="2" w:lineRule="exact"/>
        <w:rPr>
          <w:sz w:val="20"/>
          <w:szCs w:val="20"/>
          <w:color w:val="auto"/>
        </w:rPr>
      </w:pPr>
    </w:p>
    <w:p>
      <w:pPr>
        <w:jc w:val="both"/>
        <w:ind w:left="980"/>
        <w:spacing w:after="0" w:line="232" w:lineRule="auto"/>
        <w:rPr>
          <w:sz w:val="20"/>
          <w:szCs w:val="20"/>
          <w:color w:val="auto"/>
        </w:rPr>
      </w:pPr>
      <w:r>
        <w:rPr>
          <w:rFonts w:ascii="Arial" w:cs="Arial" w:eastAsia="Arial" w:hAnsi="Arial"/>
          <w:sz w:val="20"/>
          <w:szCs w:val="20"/>
          <w:color w:val="000101"/>
        </w:rPr>
        <w:t>during the Change of Control Severance Period but no earlier than nine months after an Acquisition. You agree to provide sixty (60) days’ prior written notice to the Company of your decision to resign pursuant to this provision.</w:t>
      </w:r>
    </w:p>
    <w:p>
      <w:pPr>
        <w:spacing w:after="0" w:line="170" w:lineRule="exact"/>
        <w:rPr>
          <w:sz w:val="20"/>
          <w:szCs w:val="20"/>
          <w:color w:val="auto"/>
        </w:rPr>
      </w:pPr>
    </w:p>
    <w:p>
      <w:pPr>
        <w:jc w:val="both"/>
        <w:ind w:firstLine="8"/>
        <w:spacing w:after="0" w:line="220" w:lineRule="auto"/>
        <w:tabs>
          <w:tab w:leader="none" w:pos="439"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b w:val="1"/>
          <w:bCs w:val="1"/>
          <w:color w:val="auto"/>
        </w:rPr>
        <w:t xml:space="preserve">. </w:t>
      </w:r>
      <w:r>
        <w:rPr>
          <w:rFonts w:ascii="Arial" w:cs="Arial" w:eastAsia="Arial" w:hAnsi="Arial"/>
          <w:sz w:val="19"/>
          <w:szCs w:val="19"/>
          <w:color w:val="auto"/>
        </w:rPr>
        <w:t>It is intended that all of the severance payments and benefits, and all other payments payable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satisfy, to the greatest extent possible, the exemptions from the application of Code Section 409A provided under Treasury Regulations 1.409A-1(b)(4), 1.409A-1(b)(5) and 1.409A-1(b)(9)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your right to receive any installment payments under this letter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you are deemed by the Company at the time of your Separation from Service to be a “specified employee” for purposes of Code Section 409A(a)</w:t>
      </w:r>
    </w:p>
    <w:p>
      <w:pPr>
        <w:spacing w:after="0" w:line="1" w:lineRule="exact"/>
        <w:rPr>
          <w:rFonts w:ascii="Arial" w:cs="Arial" w:eastAsia="Arial" w:hAnsi="Arial"/>
          <w:sz w:val="19"/>
          <w:szCs w:val="19"/>
          <w:b w:val="1"/>
          <w:bCs w:val="1"/>
          <w:color w:val="auto"/>
        </w:rPr>
      </w:pPr>
    </w:p>
    <w:p>
      <w:pPr>
        <w:jc w:val="both"/>
        <w:spacing w:after="0" w:line="210" w:lineRule="auto"/>
        <w:rPr>
          <w:rFonts w:ascii="Arial" w:cs="Arial" w:eastAsia="Arial" w:hAnsi="Arial"/>
          <w:sz w:val="19"/>
          <w:szCs w:val="19"/>
          <w:b w:val="1"/>
          <w:bCs w:val="1"/>
          <w:color w:val="auto"/>
        </w:rPr>
      </w:pPr>
      <w:r>
        <w:rPr>
          <w:rFonts w:ascii="Arial" w:cs="Arial" w:eastAsia="Arial" w:hAnsi="Arial"/>
          <w:sz w:val="20"/>
          <w:szCs w:val="20"/>
          <w:color w:val="auto"/>
        </w:rPr>
        <w:t>(2)(B)(i),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The parties agree that this Agreement may be amended as may be necessary to fully comply with Section 409A in order to preserve the payments and benefits provided hereunder. Notwithstanding the foregoing, the Company makes no representation or warranty and will have no liability to you or to any other person if any of the provisions of this Agreement are determined to constitute deferred compensation subject to Section 409A, but does not satisfy an exemption from, or the conditions of, Section 409A.</w:t>
      </w:r>
    </w:p>
    <w:p>
      <w:pPr>
        <w:spacing w:after="0" w:line="185" w:lineRule="exact"/>
        <w:rPr>
          <w:rFonts w:ascii="Arial" w:cs="Arial" w:eastAsia="Arial" w:hAnsi="Arial"/>
          <w:sz w:val="19"/>
          <w:szCs w:val="19"/>
          <w:b w:val="1"/>
          <w:bCs w:val="1"/>
          <w:color w:val="auto"/>
        </w:rPr>
      </w:pPr>
    </w:p>
    <w:p>
      <w:pPr>
        <w:jc w:val="both"/>
        <w:ind w:firstLine="8"/>
        <w:spacing w:after="0" w:line="210" w:lineRule="auto"/>
        <w:tabs>
          <w:tab w:leader="none" w:pos="49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your ongoing employment with the Company, you and the Company agree to submit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mandatory final, binding and confidential arbitration any and all disputes, claims or controversies arising out of, related to or connected with your employment with the Company, including, but not limited to, claims of discrimination, harassment, unpaid wages, breach of contract (express or implied), wrongful termination, torts, claims for stock or stock options, as well as claims based upon any federal, state or local ordinance, statute, regulation or constitutional provision, including, but not limited to, the Age Discrimination in Employment Act, 29 U.S.C. § 621,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the Employee Retirement Income Security Act (ERISA), 29 U.S.C. § 1001,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Title VII of the Civil Rights Act of 1964, 42 U.S.C. § 2000e, </w:t>
      </w:r>
      <w:r>
        <w:rPr>
          <w:rFonts w:ascii="Arial" w:cs="Arial" w:eastAsia="Arial" w:hAnsi="Arial"/>
          <w:sz w:val="20"/>
          <w:szCs w:val="20"/>
          <w:i w:val="1"/>
          <w:iCs w:val="1"/>
          <w:color w:val="auto"/>
        </w:rPr>
        <w:t>et seq.</w:t>
      </w:r>
      <w:r>
        <w:rPr>
          <w:rFonts w:ascii="Arial" w:cs="Arial" w:eastAsia="Arial" w:hAnsi="Arial"/>
          <w:sz w:val="20"/>
          <w:szCs w:val="20"/>
          <w:color w:val="auto"/>
        </w:rPr>
        <w:t>, and 42 U.S.C. § 1981, and any and all state or local laws prohibiting discrimination or regulating any terms or conditions of employment “</w:t>
      </w:r>
      <w:r>
        <w:rPr>
          <w:rFonts w:ascii="Arial" w:cs="Arial" w:eastAsia="Arial" w:hAnsi="Arial"/>
          <w:sz w:val="20"/>
          <w:szCs w:val="20"/>
          <w:b w:val="1"/>
          <w:bCs w:val="1"/>
          <w:i w:val="1"/>
          <w:iCs w:val="1"/>
          <w:color w:val="auto"/>
        </w:rPr>
        <w:t>Arbitrable Claims</w:t>
      </w:r>
      <w:r>
        <w:rPr>
          <w:rFonts w:ascii="Arial" w:cs="Arial" w:eastAsia="Arial" w:hAnsi="Arial"/>
          <w:sz w:val="20"/>
          <w:szCs w:val="20"/>
          <w:color w:val="auto"/>
        </w:rPr>
        <w:t>”). Arbitration shall be the exclusive method by which to resolve all Arbitrable Claims and shall be final and binding upon the parties. BY AGREEING TO THIS ARBITRATION PROCEDURE, YOU AND THE COMPANY HEREBY WAIVE ANY RIGHTS EITHER MAY HAVE TO TRIAL BY JURY IN REGARD TO ARBITRABLE CLAIMS. The arbitration shall be conducted pursuant to the Federal Arbitration Act, 9 U.S.C. § 1-16, and to the fullest extent permitted by law, in New York, New York by a single arbitrator conducted by JAMS, Inc. (“</w:t>
      </w:r>
      <w:r>
        <w:rPr>
          <w:rFonts w:ascii="Arial" w:cs="Arial" w:eastAsia="Arial" w:hAnsi="Arial"/>
          <w:sz w:val="20"/>
          <w:szCs w:val="20"/>
          <w:b w:val="1"/>
          <w:bCs w:val="1"/>
          <w:i w:val="1"/>
          <w:iCs w:val="1"/>
          <w:color w:val="auto"/>
        </w:rPr>
        <w:t>JAMS</w:t>
      </w:r>
      <w:r>
        <w:rPr>
          <w:rFonts w:ascii="Arial" w:cs="Arial" w:eastAsia="Arial" w:hAnsi="Arial"/>
          <w:sz w:val="20"/>
          <w:szCs w:val="20"/>
          <w:color w:val="auto"/>
        </w:rPr>
        <w:t>”) under the then-applicable JAMS rules (which can be found at http://www.jamsadr.com/rulesclauses). In addition, all claims, disputes, or causes of action under this section, whether by you or the Company, must be brought in an individual capacity, and shall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9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1859915" cy="6343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spacing w:after="0" w:line="213" w:lineRule="auto"/>
        <w:rPr>
          <w:sz w:val="20"/>
          <w:szCs w:val="20"/>
          <w:color w:val="auto"/>
        </w:rPr>
      </w:pPr>
      <w:r>
        <w:rPr>
          <w:rFonts w:ascii="Arial" w:cs="Arial" w:eastAsia="Arial" w:hAnsi="Arial"/>
          <w:sz w:val="20"/>
          <w:szCs w:val="20"/>
          <w:color w:val="auto"/>
        </w:rPr>
        <w:t>not be brought as a plaintiff (or claimant) or class member in any purported class or representative proceeding, nor joined or consolidated with the claims of any other person or entity. The Arbitrator may not consolidate the claims of more than one</w:t>
      </w:r>
    </w:p>
    <w:p>
      <w:pPr>
        <w:spacing w:after="0" w:line="212" w:lineRule="auto"/>
        <w:rPr>
          <w:sz w:val="20"/>
          <w:szCs w:val="20"/>
          <w:color w:val="auto"/>
        </w:rPr>
      </w:pPr>
      <w:r>
        <w:rPr>
          <w:rFonts w:ascii="Arial" w:cs="Arial" w:eastAsia="Arial" w:hAnsi="Arial"/>
          <w:sz w:val="20"/>
          <w:szCs w:val="20"/>
          <w:color w:val="auto"/>
        </w:rPr>
        <w:t>person or entity and may not preside over any form of representative or class proceeding. To the extent that the preceding</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sentences regarding class claims or proceedings are found to violate applicable law or are otherwise found unenforceable, any claim(s) alleged or brought on behalf of a class shall proceed in a court of law rather than by arbitration. In any arbitration</w:t>
      </w:r>
    </w:p>
    <w:p>
      <w:pPr>
        <w:spacing w:after="0" w:line="211" w:lineRule="auto"/>
        <w:rPr>
          <w:sz w:val="20"/>
          <w:szCs w:val="20"/>
          <w:color w:val="auto"/>
        </w:rPr>
      </w:pPr>
      <w:r>
        <w:rPr>
          <w:rFonts w:ascii="Arial" w:cs="Arial" w:eastAsia="Arial" w:hAnsi="Arial"/>
          <w:sz w:val="20"/>
          <w:szCs w:val="20"/>
          <w:color w:val="auto"/>
        </w:rPr>
        <w:t>proceeding, you will have the right to be represented by legal counsel at your own expense (subject to applicable law requiring</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that the Company pay the fees and/or costs of your legal counsel). The arbitrator shall: (a) have the authority to compel adequate discovery for the resolution of the dispute and to award such relief as would otherwise be available under applicable</w:t>
      </w:r>
    </w:p>
    <w:p>
      <w:pPr>
        <w:spacing w:after="0" w:line="211" w:lineRule="auto"/>
        <w:rPr>
          <w:sz w:val="20"/>
          <w:szCs w:val="20"/>
          <w:color w:val="auto"/>
        </w:rPr>
      </w:pPr>
      <w:r>
        <w:rPr>
          <w:rFonts w:ascii="Arial" w:cs="Arial" w:eastAsia="Arial" w:hAnsi="Arial"/>
          <w:sz w:val="20"/>
          <w:szCs w:val="20"/>
          <w:color w:val="auto"/>
        </w:rPr>
        <w:t>law in a court proceeding; and (b) issue a written statement signed by the arbitrator regarding the disposition of each claim and</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the relief, if any, awarded as to each claim, the reasons for the award, and the arbitrator’s essential findings and conclusions on which the award is based. The arbitrator, and not a court, shall also be authorized to determine whether the provisions of this</w:t>
      </w:r>
    </w:p>
    <w:p>
      <w:pPr>
        <w:spacing w:after="0" w:line="222" w:lineRule="auto"/>
        <w:rPr>
          <w:sz w:val="20"/>
          <w:szCs w:val="20"/>
          <w:color w:val="auto"/>
        </w:rPr>
      </w:pPr>
      <w:r>
        <w:rPr>
          <w:rFonts w:ascii="Arial" w:cs="Arial" w:eastAsia="Arial" w:hAnsi="Arial"/>
          <w:sz w:val="19"/>
          <w:szCs w:val="19"/>
          <w:color w:val="auto"/>
        </w:rPr>
        <w:t>paragraph apply to a dispute, controversy, or claim sought to be resolved in accordance with these arbitration proceedings. The</w:t>
      </w:r>
    </w:p>
    <w:p>
      <w:pPr>
        <w:jc w:val="both"/>
        <w:spacing w:after="0" w:line="204" w:lineRule="auto"/>
        <w:rPr>
          <w:sz w:val="20"/>
          <w:szCs w:val="20"/>
          <w:color w:val="auto"/>
        </w:rPr>
      </w:pPr>
      <w:r>
        <w:rPr>
          <w:rFonts w:ascii="Arial" w:cs="Arial" w:eastAsia="Arial" w:hAnsi="Arial"/>
          <w:sz w:val="20"/>
          <w:szCs w:val="20"/>
          <w:color w:val="auto"/>
        </w:rPr>
        <w:t>Company shall pay all costs and fees in excess of the amount of court fees that you would be required to incur if the dispute were filed or decided in a court of law. Nothing in this Agreement is intended to prevent either you or the Company from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obtaining injunctive relief in court to prevent irreparable harm pending the conclusion of any such arbitration.</w:t>
      </w:r>
    </w:p>
    <w:p>
      <w:pPr>
        <w:spacing w:after="0" w:line="196" w:lineRule="exact"/>
        <w:rPr>
          <w:sz w:val="20"/>
          <w:szCs w:val="20"/>
          <w:color w:val="auto"/>
        </w:rPr>
      </w:pPr>
    </w:p>
    <w:p>
      <w:pPr>
        <w:jc w:val="both"/>
        <w:ind w:firstLine="8"/>
        <w:spacing w:after="0" w:line="213" w:lineRule="auto"/>
        <w:tabs>
          <w:tab w:leader="none" w:pos="466"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Prior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We wish to impress upon you that we do not want you to, and we hereby direct you not to, use or</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 any confidential or proprietary material of any current or former employer in your work for the Company, bring onto Company premises any unpublished documents or property belonging to any former employer or other person to whom you have an obligation of confidentiality, or violate any other obligations you may have to any current or former employer or other third party. You agree that during the period that you render services to the Company, you will not (i) engage in any employment, business or activity that is in any way competitive with the business or proposed business of the Company, or (ii) assist any other person or organization in competing with the Company or in preparing to engage in competition with the business or proposed business of the Company. You represent that your signing of this Agreement and the Non-Disclosure and Non-Compete Agreement and your employment with the Company will not violate any agreement currently in place between you and any current or past employers, or between you and any other parties.</w:t>
      </w:r>
    </w:p>
    <w:p>
      <w:pPr>
        <w:spacing w:after="0" w:line="132" w:lineRule="exact"/>
        <w:rPr>
          <w:rFonts w:ascii="Arial" w:cs="Arial" w:eastAsia="Arial" w:hAnsi="Arial"/>
          <w:sz w:val="20"/>
          <w:szCs w:val="20"/>
          <w:b w:val="1"/>
          <w:bCs w:val="1"/>
          <w:color w:val="auto"/>
        </w:rPr>
      </w:pPr>
    </w:p>
    <w:p>
      <w:pPr>
        <w:jc w:val="both"/>
        <w:ind w:firstLine="8"/>
        <w:spacing w:after="0" w:line="217" w:lineRule="auto"/>
        <w:tabs>
          <w:tab w:leader="none" w:pos="601"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Agreement, together with Non-Disclosure and Non-Compete Agreement and the Options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that you have already signed and the corresponding equity plans, will form the complete and exclusive statement of your ongoing employment agreement with the Company. It supersedes any other agreements or promises with respect to your employment made to you by anyone, whether oral or written, and other than those changes expressly reserved to the Company’s discretion in this Agreement. This Agreement can only be modified in a written agreement signed by you and a duly authorized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1240"/>
          </w:cols>
          <w:pgMar w:left="320" w:top="9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wp:posOffset>
            </wp:positionV>
            <wp:extent cx="1859915" cy="6343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18599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To indicate your acceptance of the Company’s offer, and we hope that you do, please sign and date this Agreement. The existing Non-Disclosure and Non-Compete Agreement will be appended as an exhibit to this Agreement.</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Arial" w:cs="Arial" w:eastAsia="Arial" w:hAnsi="Arial"/>
          <w:sz w:val="20"/>
          <w:szCs w:val="20"/>
          <w:u w:val="single" w:color="auto"/>
          <w:color w:val="auto"/>
        </w:rPr>
        <w:t>/s/Peter Anevski</w:t>
      </w:r>
    </w:p>
    <w:p>
      <w:pPr>
        <w:ind w:left="4220"/>
        <w:spacing w:after="0" w:line="211" w:lineRule="auto"/>
        <w:rPr>
          <w:sz w:val="20"/>
          <w:szCs w:val="20"/>
          <w:color w:val="auto"/>
        </w:rPr>
      </w:pPr>
      <w:r>
        <w:rPr>
          <w:rFonts w:ascii="Arial" w:cs="Arial" w:eastAsia="Arial" w:hAnsi="Arial"/>
          <w:sz w:val="20"/>
          <w:szCs w:val="20"/>
          <w:b w:val="1"/>
          <w:bCs w:val="1"/>
          <w:color w:val="auto"/>
        </w:rPr>
        <w:t>Peter Anevski</w:t>
      </w:r>
    </w:p>
    <w:p>
      <w:pPr>
        <w:ind w:left="4220"/>
        <w:spacing w:after="0"/>
        <w:rPr>
          <w:sz w:val="20"/>
          <w:szCs w:val="20"/>
          <w:color w:val="auto"/>
        </w:rPr>
      </w:pPr>
      <w:r>
        <w:rPr>
          <w:rFonts w:ascii="Arial" w:cs="Arial" w:eastAsia="Arial" w:hAnsi="Arial"/>
          <w:sz w:val="20"/>
          <w:szCs w:val="20"/>
          <w:b w:val="1"/>
          <w:bCs w:val="1"/>
          <w:color w:val="auto"/>
        </w:rPr>
        <w:t>President &amp; Chief Operating Officer</w:t>
      </w:r>
    </w:p>
    <w:p>
      <w:pPr>
        <w:spacing w:after="0" w:line="19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Progyny, Inc.</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I have read and understood this Agreement and hereby acknowledge, accept and agree to the terms as set forth above.</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80" w:lineRule="auto"/>
        <w:rPr>
          <w:sz w:val="20"/>
          <w:szCs w:val="20"/>
          <w:color w:val="auto"/>
        </w:rPr>
      </w:pPr>
      <w:r>
        <w:rPr>
          <w:rFonts w:ascii="Arial" w:cs="Arial" w:eastAsia="Arial" w:hAnsi="Arial"/>
          <w:sz w:val="19"/>
          <w:szCs w:val="19"/>
          <w:color w:val="auto"/>
        </w:rPr>
        <w:t xml:space="preserve">_/s/ Mark Livingston______________________ </w:t>
      </w:r>
      <w:r>
        <w:rPr>
          <w:rFonts w:ascii="Arial" w:cs="Arial" w:eastAsia="Arial" w:hAnsi="Arial"/>
          <w:sz w:val="19"/>
          <w:szCs w:val="19"/>
          <w:b w:val="1"/>
          <w:bCs w:val="1"/>
          <w:color w:val="auto"/>
        </w:rPr>
        <w:t>SIGNED: MARK LIVINGSTON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Date: June 7, 2022</w:t>
      </w:r>
    </w:p>
    <w:p>
      <w:pPr>
        <w:spacing w:after="0" w:line="491" w:lineRule="exact"/>
        <w:rPr>
          <w:sz w:val="20"/>
          <w:szCs w:val="20"/>
          <w:color w:val="auto"/>
        </w:rPr>
      </w:pPr>
    </w:p>
    <w:p>
      <w:pPr>
        <w:sectPr>
          <w:pgSz w:w="11900" w:h="16838" w:orient="portrait"/>
          <w:cols w:equalWidth="0" w:num="2">
            <w:col w:w="4180" w:space="440"/>
            <w:col w:w="6620"/>
          </w:cols>
          <w:pgMar w:left="320" w:top="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40"/>
          </w:cols>
          <w:pgMar w:left="320" w:top="94"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Executive Chief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June 30, 2022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June 30, 2022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August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3"/>
    </w:lvl>
  </w:abstractNum>
  <w:abstractNum w:abstractNumId="8">
    <w:nsid w:val="2901D82"/>
    <w:multiLevelType w:val="hybridMultilevel"/>
    <w:lvl w:ilvl="0">
      <w:lvlJc w:val="left"/>
      <w:lvlText w:val="%1."/>
      <w:numFmt w:val="decimal"/>
      <w:start w:val="4"/>
    </w:lvl>
  </w:abstractNum>
  <w:abstractNum w:abstractNumId="9">
    <w:nsid w:val="3A95F874"/>
    <w:multiLevelType w:val="hybridMultilevel"/>
    <w:lvl w:ilvl="0">
      <w:lvlJc w:val="left"/>
      <w:lvlText w:val="%1."/>
      <w:numFmt w:val="decimal"/>
      <w:start w:val="5"/>
    </w:lvl>
  </w:abstractNum>
  <w:abstractNum w:abstractNumId="10">
    <w:nsid w:val="8138641"/>
    <w:multiLevelType w:val="hybridMultilevel"/>
    <w:lvl w:ilvl="0">
      <w:lvlJc w:val="left"/>
      <w:lvlText w:val="%1."/>
      <w:numFmt w:val="decimal"/>
      <w:start w:val="6"/>
    </w:lvl>
  </w:abstractNum>
  <w:abstractNum w:abstractNumId="11">
    <w:nsid w:val="1E7FF521"/>
    <w:multiLevelType w:val="hybridMultilevel"/>
    <w:lvl w:ilvl="0">
      <w:lvlJc w:val="left"/>
      <w:lvlText w:val="%1."/>
      <w:numFmt w:val="decimal"/>
      <w:start w:val="7"/>
    </w:lvl>
  </w:abstractNum>
  <w:abstractNum w:abstractNumId="12">
    <w:nsid w:val="7C3DBD3D"/>
    <w:multiLevelType w:val="hybridMultilevel"/>
    <w:lvl w:ilvl="0">
      <w:lvlJc w:val="left"/>
      <w:lvlText w:val="%1."/>
      <w:numFmt w:val="decimal"/>
      <w:start w:val="8"/>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04"/>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3"/>
    </w:lvl>
  </w:abstractNum>
  <w:abstractNum w:abstractNumId="37">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8">
    <w:nsid w:val="725A06F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9">
    <w:nsid w:val="2CD89A32"/>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0">
    <w:nsid w:val="57E4CCAF"/>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41">
    <w:nsid w:val="7A6D8D3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42">
    <w:nsid w:val="4B588F54"/>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5"/>
    </w:lvl>
  </w:abstractNum>
  <w:abstractNum w:abstractNumId="43">
    <w:nsid w:val="542289EC"/>
    <w:multiLevelType w:val="hybridMultilevel"/>
    <w:lvl w:ilvl="0">
      <w:lvlJc w:val="left"/>
      <w:lvlText w:val="%1."/>
      <w:numFmt w:val="decimal"/>
      <w:start w:val="6"/>
    </w:lvl>
  </w:abstractNum>
  <w:abstractNum w:abstractNumId="44">
    <w:nsid w:val="6DE91B18"/>
    <w:multiLevelType w:val="hybridMultilevel"/>
    <w:lvl w:ilvl="0">
      <w:lvlJc w:val="left"/>
      <w:lvlText w:val="%1."/>
      <w:numFmt w:val="decimal"/>
      <w:start w:val="8"/>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jpeg"/><Relationship Id="rId97" Type="http://schemas.openxmlformats.org/officeDocument/2006/relationships/image" Target="media/image83.jpeg"/><Relationship Id="rId98" Type="http://schemas.openxmlformats.org/officeDocument/2006/relationships/image" Target="media/image84.jpeg"/><Relationship Id="rId99" Type="http://schemas.openxmlformats.org/officeDocument/2006/relationships/image" Target="media/image85.jpeg"/><Relationship Id="rId100" Type="http://schemas.openxmlformats.org/officeDocument/2006/relationships/image" Target="media/image86.jpeg"/><Relationship Id="rId101" Type="http://schemas.openxmlformats.org/officeDocument/2006/relationships/image" Target="media/image87.jpe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85" Type="http://schemas.openxmlformats.org/officeDocument/2006/relationships/hyperlink" Target="http://www.sec.gov/Archives/edgar/data/1551306/000110465919058484/a19-21599_1ex3d1.htm" TargetMode="External"/><Relationship Id="rId86" Type="http://schemas.openxmlformats.org/officeDocument/2006/relationships/hyperlink" Target="http://www.sec.gov/Archives/edgar/data/1551306/000104746919005487/a2239750zex-3_4.htm" TargetMode="External"/><Relationship Id="rId87" Type="http://schemas.openxmlformats.org/officeDocument/2006/relationships/hyperlink" Target="http://www.sec.gov/Archives/edgar/data/1551306/000104746919005727/a2239825zex-4_1.htm" TargetMode="External"/><Relationship Id="rId88" Type="http://schemas.openxmlformats.org/officeDocument/2006/relationships/hyperlink" Target="http://www.sec.gov/Archives/edgar/data/1551306/000104746919005727/a2239825zex-4_2.htm" TargetMode="External"/><Relationship Id="rId89" Type="http://schemas.openxmlformats.org/officeDocument/2006/relationships/hyperlink" Target="http://www.sec.gov/Archives/edgar/data/1551306/000104746919005727/a2239825zex-4_3.htm" TargetMode="External"/><Relationship Id="rId90" Type="http://schemas.openxmlformats.org/officeDocument/2006/relationships/hyperlink" Target="http://www.sec.gov/Archives/edgar/data/1551306/000104746919005727/a2239825zex-4_4.htm" TargetMode="External"/><Relationship Id="rId91"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2022-08-05T06:05:40Z</dcterms:created>
  <dcterms:modified xsi:type="dcterms:W3CDTF">2022-08-05T06:05:40Z</dcterms:modified>
</cp:coreProperties>
</file>