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340360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408940</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77470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97155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2"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101" w:lineRule="exact"/>
        <w:rPr>
          <w:sz w:val="24"/>
          <w:szCs w:val="24"/>
          <w:color w:val="auto"/>
        </w:rPr>
      </w:pPr>
    </w:p>
    <w:p>
      <w:pPr>
        <w:ind w:left="3580"/>
        <w:spacing w:after="0"/>
        <w:rPr>
          <w:sz w:val="20"/>
          <w:szCs w:val="20"/>
          <w:color w:val="auto"/>
        </w:rPr>
      </w:pPr>
      <w:r>
        <w:rPr>
          <w:rFonts w:ascii="Arial" w:cs="Arial" w:eastAsia="Arial" w:hAnsi="Arial"/>
          <w:sz w:val="16"/>
          <w:szCs w:val="16"/>
          <w:b w:val="1"/>
          <w:bCs w:val="1"/>
          <w:color w:val="auto"/>
        </w:rPr>
        <w:t>For the quarterly period ended March 31, 2021</w:t>
      </w:r>
    </w:p>
    <w:p>
      <w:pPr>
        <w:spacing w:after="0" w:line="26" w:lineRule="exact"/>
        <w:rPr>
          <w:sz w:val="24"/>
          <w:szCs w:val="24"/>
          <w:color w:val="auto"/>
        </w:rPr>
      </w:pPr>
    </w:p>
    <w:p>
      <w:pPr>
        <w:ind w:left="4880"/>
        <w:spacing w:after="0"/>
        <w:rPr>
          <w:sz w:val="20"/>
          <w:szCs w:val="20"/>
          <w:color w:val="auto"/>
        </w:rPr>
      </w:pPr>
      <w:r>
        <w:rPr>
          <w:rFonts w:ascii="Arial" w:cs="Arial" w:eastAsia="Arial" w:hAnsi="Arial"/>
          <w:sz w:val="16"/>
          <w:szCs w:val="16"/>
          <w:b w:val="1"/>
          <w:bCs w:val="1"/>
          <w:color w:val="auto"/>
        </w:rPr>
        <w:t>or</w:t>
      </w:r>
    </w:p>
    <w:p>
      <w:pPr>
        <w:spacing w:after="0" w:line="19" w:lineRule="exact"/>
        <w:rPr>
          <w:sz w:val="24"/>
          <w:szCs w:val="24"/>
          <w:color w:val="auto"/>
        </w:rPr>
      </w:pPr>
    </w:p>
    <w:p>
      <w:pPr>
        <w:ind w:left="2240" w:right="1200" w:hanging="2232"/>
        <w:spacing w:after="0" w:line="382" w:lineRule="auto"/>
        <w:tabs>
          <w:tab w:leader="none" w:pos="484"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___________________ to ___________________</w:t>
      </w:r>
    </w:p>
    <w:p>
      <w:pPr>
        <w:ind w:left="36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88900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76"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Progyny, Inc.</w:t>
      </w:r>
    </w:p>
    <w:p>
      <w:pPr>
        <w:sectPr>
          <w:pgSz w:w="11900" w:h="16838" w:orient="portrait"/>
          <w:cols w:equalWidth="0" w:num="1">
            <w:col w:w="9940"/>
          </w:cols>
          <w:pgMar w:left="980" w:top="665" w:right="979" w:bottom="1440" w:gutter="0" w:footer="0" w:header="0"/>
        </w:sectPr>
      </w:pPr>
    </w:p>
    <w:p>
      <w:pPr>
        <w:spacing w:after="0" w:line="58"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86360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800"/>
        <w:spacing w:after="0"/>
        <w:rPr>
          <w:sz w:val="20"/>
          <w:szCs w:val="20"/>
          <w:color w:val="auto"/>
        </w:rPr>
      </w:pPr>
      <w:r>
        <w:rPr>
          <w:rFonts w:ascii="Arial" w:cs="Arial" w:eastAsia="Arial" w:hAnsi="Arial"/>
          <w:sz w:val="11"/>
          <w:szCs w:val="11"/>
          <w:b w:val="1"/>
          <w:bCs w:val="1"/>
          <w:color w:val="auto"/>
        </w:rPr>
        <w:t>(State or other jurisdiction of</w:t>
      </w:r>
    </w:p>
    <w:p>
      <w:pPr>
        <w:ind w:left="1780"/>
        <w:spacing w:after="0"/>
        <w:rPr>
          <w:sz w:val="20"/>
          <w:szCs w:val="20"/>
          <w:color w:val="auto"/>
        </w:rPr>
      </w:pPr>
      <w:r>
        <w:rPr>
          <w:rFonts w:ascii="Arial" w:cs="Arial" w:eastAsia="Arial" w:hAnsi="Arial"/>
          <w:sz w:val="11"/>
          <w:szCs w:val="11"/>
          <w:b w:val="1"/>
          <w:bCs w:val="1"/>
          <w:color w:val="auto"/>
        </w:rPr>
        <w:t>incorporation or organization)</w:t>
      </w:r>
    </w:p>
    <w:p>
      <w:pPr>
        <w:spacing w:after="0" w:line="2"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1359 Broadway</w:t>
      </w:r>
    </w:p>
    <w:p>
      <w:pPr>
        <w:spacing w:after="0" w:line="27" w:lineRule="exact"/>
        <w:rPr>
          <w:sz w:val="24"/>
          <w:szCs w:val="24"/>
          <w:color w:val="auto"/>
        </w:rPr>
      </w:pPr>
    </w:p>
    <w:p>
      <w:pPr>
        <w:jc w:val="center"/>
        <w:ind w:right="1800"/>
        <w:spacing w:after="0"/>
        <w:rPr>
          <w:sz w:val="20"/>
          <w:szCs w:val="20"/>
          <w:color w:val="auto"/>
        </w:rPr>
      </w:pPr>
      <w:r>
        <w:rPr>
          <w:rFonts w:ascii="Arial" w:cs="Arial" w:eastAsia="Arial" w:hAnsi="Arial"/>
          <w:sz w:val="14"/>
          <w:szCs w:val="14"/>
          <w:b w:val="1"/>
          <w:bCs w:val="1"/>
          <w:color w:val="auto"/>
        </w:rPr>
        <w:t>New York, 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27-2220139</w:t>
      </w:r>
    </w:p>
    <w:p>
      <w:pPr>
        <w:spacing w:after="0" w:line="44" w:lineRule="exact"/>
        <w:rPr>
          <w:sz w:val="24"/>
          <w:szCs w:val="24"/>
          <w:color w:val="auto"/>
        </w:rPr>
      </w:pPr>
    </w:p>
    <w:p>
      <w:pPr>
        <w:ind w:left="20"/>
        <w:spacing w:after="0"/>
        <w:rPr>
          <w:sz w:val="20"/>
          <w:szCs w:val="20"/>
          <w:color w:val="auto"/>
        </w:rPr>
      </w:pPr>
      <w:r>
        <w:rPr>
          <w:rFonts w:ascii="Arial" w:cs="Arial" w:eastAsia="Arial" w:hAnsi="Arial"/>
          <w:sz w:val="10"/>
          <w:szCs w:val="10"/>
          <w:b w:val="1"/>
          <w:bCs w:val="1"/>
          <w:color w:val="auto"/>
        </w:rPr>
        <w:t>(I.R.S. Employer</w:t>
      </w:r>
    </w:p>
    <w:p>
      <w:pPr>
        <w:spacing w:after="0" w:line="19"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Identification No.)</w:t>
      </w:r>
    </w:p>
    <w:p>
      <w:pPr>
        <w:spacing w:after="0" w:line="235" w:lineRule="exact"/>
        <w:rPr>
          <w:sz w:val="24"/>
          <w:szCs w:val="24"/>
          <w:color w:val="auto"/>
        </w:rPr>
      </w:pPr>
    </w:p>
    <w:p>
      <w:pPr>
        <w:ind w:left="220"/>
        <w:spacing w:after="0"/>
        <w:rPr>
          <w:sz w:val="20"/>
          <w:szCs w:val="20"/>
          <w:color w:val="auto"/>
        </w:rPr>
      </w:pPr>
      <w:r>
        <w:rPr>
          <w:rFonts w:ascii="Arial" w:cs="Arial" w:eastAsia="Arial" w:hAnsi="Arial"/>
          <w:sz w:val="16"/>
          <w:szCs w:val="16"/>
          <w:b w:val="1"/>
          <w:bCs w:val="1"/>
          <w:color w:val="auto"/>
        </w:rPr>
        <w:t>10018</w:t>
      </w:r>
    </w:p>
    <w:p>
      <w:pPr>
        <w:spacing w:after="0" w:line="86" w:lineRule="exact"/>
        <w:rPr>
          <w:sz w:val="24"/>
          <w:szCs w:val="24"/>
          <w:color w:val="auto"/>
        </w:rPr>
      </w:pPr>
    </w:p>
    <w:p>
      <w:pPr>
        <w:sectPr>
          <w:pgSz w:w="11900" w:h="16838" w:orient="portrait"/>
          <w:cols w:equalWidth="0" w:num="2">
            <w:col w:w="6760" w:space="260"/>
            <w:col w:w="2920"/>
          </w:cols>
          <w:pgMar w:left="980" w:top="665" w:right="979" w:bottom="1440" w:gutter="0" w:footer="0" w:header="0"/>
          <w:type w:val="continuous"/>
        </w:sectPr>
      </w:pPr>
    </w:p>
    <w:p>
      <w:pPr>
        <w:ind w:left="1580"/>
        <w:spacing w:after="0"/>
        <w:tabs>
          <w:tab w:leader="none" w:pos="7160" w:val="left"/>
        </w:tabs>
        <w:rPr>
          <w:sz w:val="20"/>
          <w:szCs w:val="20"/>
          <w:color w:val="auto"/>
        </w:rPr>
      </w:pPr>
      <w:r>
        <w:rPr>
          <w:rFonts w:ascii="Arial" w:cs="Arial" w:eastAsia="Arial" w:hAnsi="Arial"/>
          <w:sz w:val="11"/>
          <w:szCs w:val="11"/>
          <w:b w:val="1"/>
          <w:bCs w:val="1"/>
          <w:color w:val="auto"/>
        </w:rPr>
        <w:t>(Address of principal executive offices)</w:t>
      </w:r>
      <w:r>
        <w:rPr>
          <w:sz w:val="20"/>
          <w:szCs w:val="20"/>
          <w:color w:val="auto"/>
        </w:rPr>
        <w:tab/>
      </w:r>
      <w:r>
        <w:rPr>
          <w:rFonts w:ascii="Arial" w:cs="Arial" w:eastAsia="Arial" w:hAnsi="Arial"/>
          <w:sz w:val="10"/>
          <w:szCs w:val="10"/>
          <w:b w:val="1"/>
          <w:bCs w:val="1"/>
          <w:color w:val="auto"/>
        </w:rPr>
        <w:t>(Zip Code)</w:t>
      </w:r>
    </w:p>
    <w:p>
      <w:pPr>
        <w:spacing w:after="0" w:line="15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(212) 888-3124</w:t>
      </w:r>
    </w:p>
    <w:p>
      <w:pPr>
        <w:spacing w:after="0" w:line="26" w:lineRule="exact"/>
        <w:rPr>
          <w:sz w:val="24"/>
          <w:szCs w:val="24"/>
          <w:color w:val="auto"/>
        </w:rPr>
      </w:pPr>
    </w:p>
    <w:p>
      <w:pPr>
        <w:ind w:left="334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66" w:lineRule="exact"/>
        <w:rPr>
          <w:sz w:val="24"/>
          <w:szCs w:val="24"/>
          <w:color w:val="auto"/>
        </w:rPr>
      </w:pPr>
    </w:p>
    <w:p>
      <w:pPr>
        <w:ind w:left="4840"/>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74930</wp:posOffset>
            </wp:positionV>
            <wp:extent cx="6301105" cy="38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1105" cy="386080"/>
                    </a:xfrm>
                    <a:prstGeom prst="rect">
                      <a:avLst/>
                    </a:prstGeom>
                    <a:noFill/>
                  </pic:spPr>
                </pic:pic>
              </a:graphicData>
            </a:graphic>
          </wp:anchor>
        </w:drawing>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340" w:type="dxa"/>
            <w:vAlign w:val="bottom"/>
            <w:tcBorders>
              <w:top w:val="single" w:sz="8" w:color="auto"/>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89"/>
              </w:rPr>
              <w:t>Title of each class</w:t>
            </w:r>
          </w:p>
        </w:tc>
        <w:tc>
          <w:tcPr>
            <w:tcW w:w="2860" w:type="dxa"/>
            <w:vAlign w:val="bottom"/>
            <w:tcBorders>
              <w:top w:val="single" w:sz="8" w:color="auto"/>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2"/>
              </w:rPr>
              <w:t>Trading Symbol(s)</w:t>
            </w:r>
          </w:p>
        </w:tc>
        <w:tc>
          <w:tcPr>
            <w:tcW w:w="3740" w:type="dxa"/>
            <w:vAlign w:val="bottom"/>
            <w:tcBorders>
              <w:top w:val="single" w:sz="8" w:color="auto"/>
              <w:bottom w:val="single" w:sz="8" w:color="auto"/>
            </w:tcBorders>
          </w:tcPr>
          <w:p>
            <w:pPr>
              <w:jc w:val="center"/>
              <w:ind w:left="1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89"/>
        </w:trPr>
        <w:tc>
          <w:tcPr>
            <w:tcW w:w="3340" w:type="dxa"/>
            <w:vAlign w:val="bottom"/>
          </w:tcPr>
          <w:p>
            <w:pPr>
              <w:jc w:val="center"/>
              <w:ind w:left="88"/>
              <w:spacing w:after="0"/>
              <w:rPr>
                <w:sz w:val="20"/>
                <w:szCs w:val="20"/>
                <w:color w:val="auto"/>
              </w:rPr>
            </w:pPr>
            <w:r>
              <w:rPr>
                <w:rFonts w:ascii="Arial" w:cs="Arial" w:eastAsia="Arial" w:hAnsi="Arial"/>
                <w:sz w:val="14"/>
                <w:szCs w:val="14"/>
                <w:color w:val="auto"/>
                <w:w w:val="94"/>
              </w:rPr>
              <w:t>Common Stock,</w:t>
            </w:r>
          </w:p>
        </w:tc>
        <w:tc>
          <w:tcPr>
            <w:tcW w:w="2860" w:type="dxa"/>
            <w:vAlign w:val="bottom"/>
          </w:tcPr>
          <w:p>
            <w:pPr>
              <w:jc w:val="center"/>
              <w:ind w:left="348"/>
              <w:spacing w:after="0"/>
              <w:rPr>
                <w:sz w:val="20"/>
                <w:szCs w:val="20"/>
                <w:color w:val="auto"/>
              </w:rPr>
            </w:pPr>
            <w:r>
              <w:rPr>
                <w:rFonts w:ascii="Arial" w:cs="Arial" w:eastAsia="Arial" w:hAnsi="Arial"/>
                <w:sz w:val="14"/>
                <w:szCs w:val="14"/>
                <w:color w:val="auto"/>
              </w:rPr>
              <w:t>PGNY</w:t>
            </w:r>
          </w:p>
        </w:tc>
        <w:tc>
          <w:tcPr>
            <w:tcW w:w="3740" w:type="dxa"/>
            <w:vAlign w:val="bottom"/>
          </w:tcPr>
          <w:p>
            <w:pPr>
              <w:jc w:val="center"/>
              <w:ind w:left="188"/>
              <w:spacing w:after="0"/>
              <w:rPr>
                <w:sz w:val="20"/>
                <w:szCs w:val="20"/>
                <w:color w:val="auto"/>
              </w:rPr>
            </w:pPr>
            <w:r>
              <w:rPr>
                <w:rFonts w:ascii="Arial" w:cs="Arial" w:eastAsia="Arial" w:hAnsi="Arial"/>
                <w:sz w:val="14"/>
                <w:szCs w:val="14"/>
                <w:color w:val="auto"/>
                <w:w w:val="93"/>
              </w:rPr>
              <w:t>The Nasdaq Global Select Market</w:t>
            </w:r>
          </w:p>
        </w:tc>
      </w:tr>
    </w:tbl>
    <w:p>
      <w:pPr>
        <w:ind w:left="960"/>
        <w:spacing w:after="0"/>
        <w:rPr>
          <w:sz w:val="20"/>
          <w:szCs w:val="20"/>
          <w:color w:val="auto"/>
        </w:rPr>
      </w:pPr>
      <w:r>
        <w:rPr>
          <w:rFonts w:ascii="Arial" w:cs="Arial" w:eastAsia="Arial" w:hAnsi="Arial"/>
          <w:sz w:val="14"/>
          <w:szCs w:val="14"/>
          <w:color w:val="auto"/>
        </w:rPr>
        <w:t>$0.0001 par value per share</w:t>
      </w:r>
    </w:p>
    <w:p>
      <w:pPr>
        <w:spacing w:after="0" w:line="151" w:lineRule="exact"/>
        <w:rPr>
          <w:sz w:val="24"/>
          <w:szCs w:val="24"/>
          <w:color w:val="auto"/>
        </w:rPr>
      </w:pPr>
    </w:p>
    <w:p>
      <w:pPr>
        <w:jc w:val="both"/>
        <w:ind w:right="20" w:firstLine="518"/>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tabs>
          <w:tab w:leader="none" w:pos="460" w:val="left"/>
          <w:tab w:leader="none" w:pos="10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332" w:lineRule="exact"/>
        <w:rPr>
          <w:sz w:val="24"/>
          <w:szCs w:val="24"/>
          <w:color w:val="auto"/>
        </w:rPr>
      </w:pPr>
    </w:p>
    <w:p>
      <w:pPr>
        <w:jc w:val="both"/>
        <w:ind w:right="2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518"/>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1"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Accelerated filer</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14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2880" w:type="dxa"/>
            <w:vAlign w:val="bottom"/>
          </w:tcPr>
          <w:p>
            <w:pPr>
              <w:ind w:left="360"/>
              <w:spacing w:after="0"/>
              <w:rPr>
                <w:sz w:val="20"/>
                <w:szCs w:val="20"/>
                <w:color w:val="auto"/>
              </w:rPr>
            </w:pPr>
            <w:r>
              <w:rPr>
                <w:rFonts w:ascii="Arial" w:cs="Arial" w:eastAsia="Arial" w:hAnsi="Arial"/>
                <w:sz w:val="14"/>
                <w:szCs w:val="14"/>
                <w:color w:val="auto"/>
              </w:rPr>
              <w:t>Smaller reporting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2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80" w:type="dxa"/>
            <w:vAlign w:val="bottom"/>
          </w:tcPr>
          <w:p>
            <w:pPr>
              <w:ind w:left="360"/>
              <w:spacing w:after="0"/>
              <w:rPr>
                <w:sz w:val="20"/>
                <w:szCs w:val="20"/>
                <w:color w:val="auto"/>
              </w:rPr>
            </w:pPr>
            <w:r>
              <w:rPr>
                <w:rFonts w:ascii="Arial" w:cs="Arial" w:eastAsia="Arial" w:hAnsi="Arial"/>
                <w:sz w:val="14"/>
                <w:szCs w:val="14"/>
                <w:color w:val="auto"/>
              </w:rPr>
              <w:t>Emerging growth company</w:t>
            </w:r>
          </w:p>
        </w:tc>
        <w:tc>
          <w:tcPr>
            <w:tcW w:w="1060" w:type="dxa"/>
            <w:vAlign w:val="bottom"/>
          </w:tcPr>
          <w:p>
            <w:pPr>
              <w:ind w:left="9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5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5" w:lineRule="exact"/>
        <w:rPr>
          <w:sz w:val="24"/>
          <w:szCs w:val="24"/>
          <w:color w:val="auto"/>
        </w:rPr>
      </w:pPr>
    </w:p>
    <w:p>
      <w:pPr>
        <w:ind w:right="1820" w:firstLine="518"/>
        <w:spacing w:after="0" w:line="23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r>
        <w:rPr>
          <w:rFonts w:ascii="Arial" w:cs="Arial" w:eastAsia="Arial" w:hAnsi="Arial"/>
          <w:sz w:val="14"/>
          <w:szCs w:val="14"/>
          <w:color w:val="auto"/>
        </w:rPr>
        <w:t xml:space="preserve"> As of April 30, 2021, the registrant had 88,525,303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462280</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33655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76835</wp:posOffset>
            </wp:positionV>
            <wp:extent cx="629221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40"/>
          </w:cols>
          <w:pgMar w:left="980" w:top="665" w:right="97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60" w:type="dxa"/>
            <w:vAlign w:val="bottom"/>
            <w:gridSpan w:val="27"/>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 FINANCIAL INFORMATION</w:t>
              </w:r>
            </w:hyperlink>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460" w:type="dxa"/>
            <w:vAlign w:val="bottom"/>
            <w:gridSpan w:val="27"/>
            <w:vMerge w:val="continue"/>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20" w:type="dxa"/>
            <w:vAlign w:val="bottom"/>
            <w:gridSpan w:val="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100" w:type="dxa"/>
            <w:vAlign w:val="bottom"/>
            <w:gridSpan w:val="3"/>
          </w:tcPr>
          <w:p>
            <w:pPr>
              <w:spacing w:after="0"/>
              <w:rPr>
                <w:sz w:val="24"/>
                <w:szCs w:val="24"/>
                <w:color w:val="auto"/>
              </w:rPr>
            </w:pPr>
          </w:p>
        </w:tc>
        <w:tc>
          <w:tcPr>
            <w:tcW w:w="774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Statements (Unaudited)</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Balance Sheets as of March 31, 2021 and December 31, 2020</w:t>
              </w:r>
            </w:hyperlink>
          </w:p>
        </w:tc>
        <w:tc>
          <w:tcPr>
            <w:tcW w:w="3160" w:type="dxa"/>
            <w:vAlign w:val="bottom"/>
            <w:gridSpan w:val="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Statements of Operations for the Three Months Ended March 31, 2021 and 2020</w:t>
              </w:r>
            </w:hyperlink>
          </w:p>
        </w:tc>
        <w:tc>
          <w:tcPr>
            <w:tcW w:w="1800" w:type="dxa"/>
            <w:vAlign w:val="bottom"/>
            <w:gridSpan w:val="5"/>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7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Statements of Comprehensive Income for the Three Months Ended March 31, 2021 and 2020</w:t>
              </w:r>
            </w:hyperlink>
          </w:p>
        </w:tc>
        <w:tc>
          <w:tcPr>
            <w:tcW w:w="880" w:type="dxa"/>
            <w:vAlign w:val="bottom"/>
            <w:gridSpan w:val="2"/>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38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Statements of Changes in Stockholders’ Equity for the Three Months Ended March 31, 2021 and 2020</w:t>
              </w:r>
            </w:hyperlink>
          </w:p>
        </w:tc>
        <w:tc>
          <w:tcPr>
            <w:tcW w:w="220" w:type="dxa"/>
            <w:vAlign w:val="bottom"/>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Statements of Cash Flows for the Three Months Ended March 31, 2021 and 2020</w:t>
              </w:r>
            </w:hyperlink>
          </w:p>
        </w:tc>
        <w:tc>
          <w:tcPr>
            <w:tcW w:w="1740" w:type="dxa"/>
            <w:vAlign w:val="bottom"/>
            <w:gridSpan w:val="4"/>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gridSpan w:val="2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Notes to Financial Statements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22">
              <w:r>
                <w:rPr>
                  <w:rFonts w:ascii="Arial" w:cs="Arial" w:eastAsia="Arial" w:hAnsi="Arial"/>
                  <w:sz w:val="18"/>
                  <w:szCs w:val="18"/>
                  <w:color w:val="0000EE"/>
                  <w:w w:val="90"/>
                </w:rPr>
                <w:t>Item 2.</w:t>
              </w:r>
            </w:hyperlink>
          </w:p>
        </w:tc>
        <w:tc>
          <w:tcPr>
            <w:tcW w:w="200" w:type="dxa"/>
            <w:vAlign w:val="bottom"/>
            <w:gridSpan w:val="4"/>
          </w:tcPr>
          <w:p>
            <w:pPr>
              <w:spacing w:after="0"/>
              <w:rPr>
                <w:sz w:val="17"/>
                <w:szCs w:val="17"/>
                <w:color w:val="auto"/>
              </w:rPr>
            </w:pPr>
          </w:p>
        </w:tc>
        <w:tc>
          <w:tcPr>
            <w:tcW w:w="774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43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4"/>
          </w:tcPr>
          <w:p>
            <w:pPr>
              <w:spacing w:after="0"/>
              <w:rPr>
                <w:sz w:val="17"/>
                <w:szCs w:val="17"/>
                <w:color w:val="auto"/>
              </w:rPr>
            </w:pPr>
          </w:p>
        </w:tc>
        <w:tc>
          <w:tcPr>
            <w:tcW w:w="1280" w:type="dxa"/>
            <w:vAlign w:val="bottom"/>
            <w:gridSpan w:val="3"/>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774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60" w:type="dxa"/>
            <w:vAlign w:val="bottom"/>
            <w:gridSpan w:val="2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 OTHER INFORMATION</w:t>
              </w:r>
            </w:hyperlink>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1.</w:t>
              </w:r>
            </w:hyperlink>
          </w:p>
        </w:tc>
        <w:tc>
          <w:tcPr>
            <w:tcW w:w="180" w:type="dxa"/>
            <w:vAlign w:val="bottom"/>
            <w:tcBorders>
              <w:top w:val="single" w:sz="8" w:color="0000EE"/>
            </w:tcBorders>
            <w:gridSpan w:val="3"/>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57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80" w:type="dxa"/>
            <w:vAlign w:val="bottom"/>
            <w:gridSpan w:val="2"/>
          </w:tcPr>
          <w:p>
            <w:pPr>
              <w:spacing w:after="0"/>
              <w:rPr>
                <w:sz w:val="17"/>
                <w:szCs w:val="17"/>
                <w:color w:val="auto"/>
              </w:rPr>
            </w:pPr>
          </w:p>
        </w:tc>
        <w:tc>
          <w:tcPr>
            <w:tcW w:w="7740" w:type="dxa"/>
            <w:vAlign w:val="bottom"/>
            <w:gridSpan w:val="2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8">
              <w:r>
                <w:rPr>
                  <w:rFonts w:ascii="Arial" w:cs="Arial" w:eastAsia="Arial" w:hAnsi="Arial"/>
                  <w:sz w:val="18"/>
                  <w:szCs w:val="18"/>
                  <w:color w:val="0000EE"/>
                  <w:w w:val="90"/>
                </w:rPr>
                <w:t>Item 2.</w:t>
              </w:r>
            </w:hyperlink>
          </w:p>
        </w:tc>
        <w:tc>
          <w:tcPr>
            <w:tcW w:w="120" w:type="dxa"/>
            <w:vAlign w:val="bottom"/>
            <w:gridSpan w:val="2"/>
          </w:tcPr>
          <w:p>
            <w:pPr>
              <w:spacing w:after="0"/>
              <w:rPr>
                <w:sz w:val="17"/>
                <w:szCs w:val="17"/>
                <w:color w:val="auto"/>
              </w:rPr>
            </w:pPr>
          </w:p>
        </w:tc>
        <w:tc>
          <w:tcPr>
            <w:tcW w:w="80" w:type="dxa"/>
            <w:vAlign w:val="bottom"/>
            <w:gridSpan w:val="2"/>
          </w:tcPr>
          <w:p>
            <w:pPr>
              <w:spacing w:after="0"/>
              <w:rPr>
                <w:sz w:val="17"/>
                <w:szCs w:val="17"/>
                <w:color w:val="auto"/>
              </w:rPr>
            </w:pPr>
          </w:p>
        </w:tc>
        <w:tc>
          <w:tcPr>
            <w:tcW w:w="436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Unregistered Sales of Equity Securities and Use of Proceeds</w:t>
              </w:r>
            </w:hyperlink>
          </w:p>
        </w:tc>
        <w:tc>
          <w:tcPr>
            <w:tcW w:w="3380" w:type="dxa"/>
            <w:vAlign w:val="bottom"/>
            <w:gridSpan w:val="8"/>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520" w:type="dxa"/>
            <w:vAlign w:val="bottom"/>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3.</w:t>
              </w:r>
            </w:hyperlink>
          </w:p>
        </w:tc>
        <w:tc>
          <w:tcPr>
            <w:tcW w:w="200" w:type="dxa"/>
            <w:vAlign w:val="bottom"/>
            <w:gridSpan w:val="4"/>
          </w:tcPr>
          <w:p>
            <w:pPr>
              <w:spacing w:after="0"/>
              <w:rPr>
                <w:sz w:val="17"/>
                <w:szCs w:val="17"/>
                <w:color w:val="auto"/>
              </w:rPr>
            </w:pPr>
          </w:p>
        </w:tc>
        <w:tc>
          <w:tcPr>
            <w:tcW w:w="7740" w:type="dxa"/>
            <w:vAlign w:val="bottom"/>
            <w:gridSpan w:val="2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Defaults Upon Senior Securities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4.</w:t>
              </w:r>
            </w:hyperlink>
          </w:p>
        </w:tc>
        <w:tc>
          <w:tcPr>
            <w:tcW w:w="200" w:type="dxa"/>
            <w:vAlign w:val="bottom"/>
            <w:gridSpan w:val="4"/>
          </w:tcPr>
          <w:p>
            <w:pPr>
              <w:spacing w:after="0"/>
              <w:rPr>
                <w:sz w:val="17"/>
                <w:szCs w:val="17"/>
                <w:color w:val="auto"/>
              </w:rPr>
            </w:pP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Mine Safety Disclosures</w:t>
              </w:r>
            </w:hyperlink>
          </w:p>
        </w:tc>
        <w:tc>
          <w:tcPr>
            <w:tcW w:w="540" w:type="dxa"/>
            <w:vAlign w:val="bottom"/>
            <w:tcBorders>
              <w:top w:val="single" w:sz="8" w:color="0000EE"/>
            </w:tcBorders>
            <w:gridSpan w:val="3"/>
          </w:tcPr>
          <w:p>
            <w:pPr>
              <w:spacing w:after="0"/>
              <w:rPr>
                <w:sz w:val="17"/>
                <w:szCs w:val="17"/>
                <w:color w:val="auto"/>
              </w:rPr>
            </w:pPr>
          </w:p>
        </w:tc>
        <w:tc>
          <w:tcPr>
            <w:tcW w:w="5420" w:type="dxa"/>
            <w:vAlign w:val="bottom"/>
            <w:gridSpan w:val="11"/>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Item 5.</w:t>
              </w:r>
            </w:hyperlink>
          </w:p>
        </w:tc>
        <w:tc>
          <w:tcPr>
            <w:tcW w:w="200" w:type="dxa"/>
            <w:vAlign w:val="bottom"/>
            <w:gridSpan w:val="4"/>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Other Information</w:t>
              </w:r>
            </w:hyperlink>
          </w:p>
        </w:tc>
        <w:tc>
          <w:tcPr>
            <w:tcW w:w="6420" w:type="dxa"/>
            <w:vAlign w:val="bottom"/>
            <w:gridSpan w:val="16"/>
          </w:tcPr>
          <w:p>
            <w:pPr>
              <w:spacing w:after="0"/>
              <w:rPr>
                <w:sz w:val="17"/>
                <w:szCs w:val="17"/>
                <w:color w:val="auto"/>
              </w:rPr>
            </w:pPr>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20" w:type="dxa"/>
            <w:vAlign w:val="bottom"/>
            <w:gridSpan w:val="6"/>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Item 6.</w:t>
              </w:r>
            </w:hyperlink>
          </w:p>
        </w:tc>
        <w:tc>
          <w:tcPr>
            <w:tcW w:w="7740" w:type="dxa"/>
            <w:vAlign w:val="bottom"/>
            <w:gridSpan w:val="2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Exhibits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980" w:type="dxa"/>
            <w:vAlign w:val="bottom"/>
            <w:gridSpan w:val="18"/>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740" w:type="dxa"/>
            <w:vAlign w:val="bottom"/>
            <w:gridSpan w:val="2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Signatures</w:t>
              </w:r>
            </w:hyperlink>
          </w:p>
        </w:tc>
        <w:tc>
          <w:tcPr>
            <w:tcW w:w="44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the impact of the COVID-19 pandemic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1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48" w:lineRule="exact"/>
        <w:rPr>
          <w:sz w:val="20"/>
          <w:szCs w:val="20"/>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pacing w:after="0" w:line="129"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43"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83" w:lineRule="exact"/>
        <w:rPr>
          <w:rFonts w:ascii="Arial" w:cs="Arial" w:eastAsia="Arial" w:hAnsi="Arial"/>
          <w:sz w:val="16"/>
          <w:szCs w:val="16"/>
          <w:color w:val="auto"/>
        </w:rPr>
      </w:pPr>
    </w:p>
    <w:p>
      <w:pPr>
        <w:jc w:val="both"/>
        <w:ind w:left="720" w:right="79" w:hanging="319"/>
        <w:spacing w:after="0" w:line="259"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46"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change in the utilization of our solutions could have an adverse effect on our business, financial condition and results of operations.</w:t>
      </w:r>
    </w:p>
    <w:p>
      <w:pPr>
        <w:spacing w:after="0" w:line="129"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sustain profitability in the future.</w:t>
      </w:r>
    </w:p>
    <w:p>
      <w:pPr>
        <w:spacing w:after="0" w:line="184"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operating history with our current platform of solutions, which makes it difficult to predict our future results of operations.</w:t>
      </w:r>
    </w:p>
    <w:p>
      <w:pPr>
        <w:spacing w:after="0" w:line="14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the health insurance market could harm our business, financial condition and results of operations.</w:t>
      </w:r>
    </w:p>
    <w:p>
      <w:pPr>
        <w:spacing w:after="0" w:line="207"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p>
    <w:p>
      <w:pPr>
        <w:spacing w:after="0" w:line="15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43"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operate in a highly regulated industry and must comply with a significant number of complex and evolving requirements.</w:t>
      </w:r>
    </w:p>
    <w:p>
      <w:pPr>
        <w:spacing w:after="0" w:line="129"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Unless the context otherwise indicates, references in this Quarterly Report on Form 10-Q to the terms “Progyny,” “the Company,” “we,” “our” and “us” refer to Progyny, Inc.</w:t>
      </w:r>
    </w:p>
    <w:p>
      <w:pPr>
        <w:spacing w:after="0" w:line="170"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may announce material business and financial information to our investors using our investor relations website at investors.progyny.com. We therefore encourage investors and others interested in Progyny to review the information that we make available on our website, in addition to following our filings with the SEC, webcasts, press releases and conference calls.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939" w:firstLine="2876"/>
        <w:spacing w:after="0" w:line="282" w:lineRule="auto"/>
        <w:rPr>
          <w:sz w:val="20"/>
          <w:szCs w:val="20"/>
          <w:color w:val="auto"/>
        </w:rPr>
      </w:pPr>
      <w:r>
        <w:rPr>
          <w:rFonts w:ascii="Arial" w:cs="Arial" w:eastAsia="Arial" w:hAnsi="Arial"/>
          <w:sz w:val="18"/>
          <w:szCs w:val="18"/>
          <w:b w:val="1"/>
          <w:bCs w:val="1"/>
          <w:color w:val="auto"/>
        </w:rPr>
        <w:t>PART I – FINANCIAL INFORMATION ITEM 1. FINANCIAL STATEMENTS</w:t>
      </w:r>
    </w:p>
    <w:p>
      <w:pPr>
        <w:spacing w:after="0" w:line="9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PROGYNY, INC.</w:t>
      </w:r>
    </w:p>
    <w:p>
      <w:pPr>
        <w:spacing w:after="0" w:line="158"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371"/>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7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29,820</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$11,818 and $9,502 of allowance at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2021 and December 31, 2020, respectively</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116,666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3,583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11,880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41,341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0"/>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294,588</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57,306</w:t>
            </w:r>
          </w:p>
        </w:tc>
        <w:tc>
          <w:tcPr>
            <w:tcW w:w="3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100,998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Operating lease noncurrent liabilities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8,096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109,970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Common stock, $0.0001 par value; 1,000,000,000 shares authorized at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w w:val="90"/>
              </w:rPr>
              <w:t>March 31, 2021 and December 31, 2020; 87,732,302 and 87,054,329 shares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at March 31, 2021 and December 31, 2020,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238,695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236,139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at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March 31, 2021 and December 31, 2020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(53,027)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184,618</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294,588</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per share amounts)</w:t>
      </w:r>
    </w:p>
    <w:p>
      <w:pPr>
        <w:spacing w:after="0" w:line="216" w:lineRule="exact"/>
        <w:rPr>
          <w:sz w:val="20"/>
          <w:szCs w:val="20"/>
          <w:color w:val="auto"/>
        </w:rPr>
      </w:pPr>
    </w:p>
    <w:p>
      <w:pPr>
        <w:ind w:left="6460"/>
        <w:spacing w:after="0"/>
        <w:rPr>
          <w:sz w:val="20"/>
          <w:szCs w:val="20"/>
          <w:color w:val="auto"/>
        </w:rPr>
      </w:pPr>
      <w:r>
        <w:rPr>
          <w:rFonts w:ascii="Arial" w:cs="Arial" w:eastAsia="Arial" w:hAnsi="Arial"/>
          <w:sz w:val="14"/>
          <w:szCs w:val="14"/>
          <w:b w:val="1"/>
          <w:bCs w:val="1"/>
          <w:color w:val="auto"/>
        </w:rPr>
        <w:t>Three Months Ended</w:t>
      </w:r>
    </w:p>
    <w:p>
      <w:pPr>
        <w:ind w:left="68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0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3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81,024</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93,226</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28,907</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13,086</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11,807</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Benefit (provision) for income taxes</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common stockholders</w:t>
            </w:r>
          </w:p>
        </w:tc>
        <w:tc>
          <w:tcPr>
            <w:tcW w:w="24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15,166</w:t>
            </w:r>
          </w:p>
        </w:tc>
        <w:tc>
          <w:tcPr>
            <w:tcW w:w="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197"/>
        </w:trPr>
        <w:tc>
          <w:tcPr>
            <w:tcW w:w="500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Net income per share attributable to common stockholders:</w:t>
            </w: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ind w:right="24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0.17</w:t>
            </w:r>
          </w:p>
        </w:tc>
        <w:tc>
          <w:tcPr>
            <w:tcW w:w="620" w:type="dxa"/>
            <w:vAlign w:val="bottom"/>
            <w:gridSpan w:val="2"/>
          </w:tcPr>
          <w:p>
            <w:pPr>
              <w:jc w:val="right"/>
              <w:ind w:right="22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64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w w:val="92"/>
              </w:rPr>
              <w:t>Weighted-average shares used in computing net income per share:</w:t>
            </w: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87,404,287</w:t>
            </w:r>
          </w:p>
        </w:tc>
        <w:tc>
          <w:tcPr>
            <w:tcW w:w="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84,537,538</w:t>
            </w:r>
          </w:p>
        </w:tc>
        <w:tc>
          <w:tcPr>
            <w:tcW w:w="0" w:type="dxa"/>
            <w:vAlign w:val="bottom"/>
          </w:tcPr>
          <w:p>
            <w:pPr>
              <w:spacing w:after="0"/>
              <w:rPr>
                <w:sz w:val="1"/>
                <w:szCs w:val="1"/>
                <w:color w:val="auto"/>
              </w:rPr>
            </w:pPr>
          </w:p>
        </w:tc>
      </w:tr>
      <w:tr>
        <w:trPr>
          <w:trHeight w:val="210"/>
        </w:trPr>
        <w:tc>
          <w:tcPr>
            <w:tcW w:w="5000" w:type="dxa"/>
            <w:vAlign w:val="bottom"/>
          </w:tcPr>
          <w:p>
            <w:pPr>
              <w:ind w:left="1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100,106,497</w:t>
            </w:r>
          </w:p>
        </w:tc>
        <w:tc>
          <w:tcPr>
            <w:tcW w:w="2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99,665,158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Comprehensive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w w:val="96"/>
              </w:rPr>
              <w:t>Three Months Ended</w:t>
            </w:r>
          </w:p>
        </w:tc>
        <w:tc>
          <w:tcPr>
            <w:tcW w:w="980" w:type="dxa"/>
            <w:vAlign w:val="bottom"/>
          </w:tcPr>
          <w:p>
            <w:pPr>
              <w:spacing w:after="0"/>
              <w:rPr>
                <w:sz w:val="14"/>
                <w:szCs w:val="14"/>
                <w:color w:val="auto"/>
              </w:rPr>
            </w:pPr>
          </w:p>
        </w:tc>
      </w:tr>
      <w:tr>
        <w:trPr>
          <w:trHeight w:val="171"/>
        </w:trPr>
        <w:tc>
          <w:tcPr>
            <w:tcW w:w="54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4"/>
                <w:szCs w:val="14"/>
                <w:b w:val="1"/>
                <w:bCs w:val="1"/>
                <w:color w:val="auto"/>
              </w:rPr>
              <w:t>March 31,</w:t>
            </w:r>
          </w:p>
        </w:tc>
        <w:tc>
          <w:tcPr>
            <w:tcW w:w="980" w:type="dxa"/>
            <w:vAlign w:val="bottom"/>
            <w:tcBorders>
              <w:bottom w:val="single" w:sz="8" w:color="auto"/>
            </w:tcBorders>
          </w:tcPr>
          <w:p>
            <w:pPr>
              <w:spacing w:after="0"/>
              <w:rPr>
                <w:sz w:val="14"/>
                <w:szCs w:val="14"/>
                <w:color w:val="auto"/>
              </w:rPr>
            </w:pPr>
          </w:p>
        </w:tc>
      </w:tr>
      <w:tr>
        <w:trPr>
          <w:trHeight w:val="142"/>
        </w:trPr>
        <w:tc>
          <w:tcPr>
            <w:tcW w:w="54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3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15,166</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16"/>
        </w:trPr>
        <w:tc>
          <w:tcPr>
            <w:tcW w:w="544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loss on marketable securities</w:t>
            </w:r>
          </w:p>
        </w:tc>
        <w:tc>
          <w:tcPr>
            <w:tcW w:w="10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w:t>
            </w:r>
          </w:p>
        </w:tc>
        <w:tc>
          <w:tcPr>
            <w:tcW w:w="10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2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020" w:type="dxa"/>
            <w:vAlign w:val="bottom"/>
            <w:tcBorders>
              <w:bottom w:val="single" w:sz="8" w:color="auto"/>
            </w:tcBorders>
            <w:shd w:val="clear" w:color="auto" w:fill="CCEEFF"/>
          </w:tcPr>
          <w:p>
            <w:pPr>
              <w:jc w:val="right"/>
              <w:ind w:right="86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15,115</w:t>
            </w:r>
          </w:p>
        </w:tc>
        <w:tc>
          <w:tcPr>
            <w:tcW w:w="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r>
      <w:tr>
        <w:trPr>
          <w:trHeight w:val="20"/>
        </w:trPr>
        <w:tc>
          <w:tcPr>
            <w:tcW w:w="54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63"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PROGYNY, INC.</w:t>
      </w:r>
    </w:p>
    <w:p>
      <w:pPr>
        <w:spacing w:after="0" w:line="44"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Statements of Changes in Stockholders’ Equity</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 except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gridSpan w:val="3"/>
            <w:vMerge w:val="restart"/>
          </w:tcPr>
          <w:p>
            <w:pPr>
              <w:jc w:val="right"/>
              <w:ind w:right="222"/>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6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6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w w:val="95"/>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7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Paid in</w:t>
            </w: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160" w:type="dxa"/>
            <w:vAlign w:val="bottom"/>
            <w:gridSpan w:val="4"/>
          </w:tcPr>
          <w:p>
            <w:pPr>
              <w:ind w:left="140"/>
              <w:spacing w:after="0"/>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Pr>
          <w:p>
            <w:pPr>
              <w:jc w:val="right"/>
              <w:ind w:right="16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20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3"/>
              </w:rPr>
              <w:t>Income</w:t>
            </w:r>
          </w:p>
        </w:tc>
        <w:tc>
          <w:tcPr>
            <w:tcW w:w="80" w:type="dxa"/>
            <w:vAlign w:val="bottom"/>
          </w:tcPr>
          <w:p>
            <w:pPr>
              <w:spacing w:after="0"/>
              <w:rPr>
                <w:sz w:val="12"/>
                <w:szCs w:val="12"/>
                <w:color w:val="auto"/>
              </w:rPr>
            </w:pPr>
          </w:p>
        </w:tc>
        <w:tc>
          <w:tcPr>
            <w:tcW w:w="600" w:type="dxa"/>
            <w:vAlign w:val="bottom"/>
          </w:tcPr>
          <w:p>
            <w:pPr>
              <w:jc w:val="right"/>
              <w:ind w:right="68"/>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three months ended March 31, 2021:</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December 31, 2020</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87,054,329</w:t>
            </w:r>
          </w:p>
        </w:tc>
        <w:tc>
          <w:tcPr>
            <w:tcW w:w="840" w:type="dxa"/>
            <w:vAlign w:val="bottom"/>
            <w:gridSpan w:val="2"/>
          </w:tcPr>
          <w:p>
            <w:pPr>
              <w:jc w:val="right"/>
              <w:ind w:right="58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236,139</w:t>
            </w:r>
          </w:p>
        </w:tc>
        <w:tc>
          <w:tcPr>
            <w:tcW w:w="3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(68,193)</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$ 166,947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677,973</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5,034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comprehensive income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15,166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15,166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March 31, 2021</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87,732,302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238,695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(53,027)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$ 184,618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For the three months ended March 31, 2020:</w:t>
            </w: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Balance at December 31, 2019</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84,188,202</w:t>
            </w:r>
          </w:p>
        </w:tc>
        <w:tc>
          <w:tcPr>
            <w:tcW w:w="840" w:type="dxa"/>
            <w:vAlign w:val="bottom"/>
            <w:gridSpan w:val="2"/>
          </w:tcPr>
          <w:p>
            <w:pPr>
              <w:jc w:val="right"/>
              <w:ind w:right="58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gridSpan w:val="2"/>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228,755</w:t>
            </w:r>
          </w:p>
        </w:tc>
        <w:tc>
          <w:tcPr>
            <w:tcW w:w="3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(113,483)</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9"/>
              </w:rPr>
              <w:t>$ 114,271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8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Issuance of employee equity awards, net of shares</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9"/>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withheld</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657,626</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Stock-based compensation</w:t>
            </w:r>
          </w:p>
        </w:tc>
        <w:tc>
          <w:tcPr>
            <w:tcW w:w="8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2,049</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Reduction in initial public offering costs</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ind w:left="100"/>
              <w:spacing w:after="0" w:line="149" w:lineRule="exact"/>
              <w:rPr>
                <w:sz w:val="20"/>
                <w:szCs w:val="20"/>
                <w:color w:val="auto"/>
              </w:rPr>
            </w:pPr>
            <w:r>
              <w:rPr>
                <w:rFonts w:ascii="Arial" w:cs="Arial" w:eastAsia="Arial" w:hAnsi="Arial"/>
                <w:sz w:val="14"/>
                <w:szCs w:val="14"/>
                <w:color w:val="auto"/>
              </w:rPr>
              <w:t>Impact of adoption of ASU 2016-13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(1,169)</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3,629</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182"/>
        </w:trPr>
        <w:tc>
          <w:tcPr>
            <w:tcW w:w="3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84,845,828</w:t>
            </w:r>
          </w:p>
        </w:tc>
        <w:tc>
          <w:tcPr>
            <w:tcW w:w="14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w:t>
            </w:r>
          </w:p>
        </w:tc>
        <w:tc>
          <w:tcPr>
            <w:tcW w:w="1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231,516</w:t>
            </w:r>
          </w:p>
        </w:tc>
        <w:tc>
          <w:tcPr>
            <w:tcW w:w="14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(111,023)</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6"/>
              </w:rPr>
              <w:t>$ 119,492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8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2680"/>
        <w:spacing w:after="0"/>
        <w:rPr>
          <w:sz w:val="20"/>
          <w:szCs w:val="20"/>
          <w:color w:val="auto"/>
        </w:rPr>
      </w:pPr>
      <w:r>
        <w:rPr>
          <w:rFonts w:ascii="Arial" w:cs="Arial" w:eastAsia="Arial" w:hAnsi="Arial"/>
          <w:sz w:val="16"/>
          <w:szCs w:val="16"/>
          <w:i w:val="1"/>
          <w:iCs w:val="1"/>
          <w:color w:val="auto"/>
        </w:rPr>
        <w:t>The accompanying notes are an integral part of these unaudited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64808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0810" cy="25400"/>
                    </a:xfrm>
                    <a:prstGeom prst="rect">
                      <a:avLst/>
                    </a:prstGeom>
                    <a:noFill/>
                  </pic:spPr>
                </pic:pic>
              </a:graphicData>
            </a:graphic>
          </wp:anchor>
        </w:drawing>
      </w:r>
    </w:p>
    <w:p>
      <w:pPr>
        <w:sectPr>
          <w:pgSz w:w="11900" w:h="16838" w:orient="portrait"/>
          <w:cols w:equalWidth="0" w:num="1">
            <w:col w:w="10240"/>
          </w:cols>
          <w:pgMar w:left="820" w:top="517" w:right="839"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920"/>
        <w:spacing w:after="0"/>
        <w:rPr>
          <w:sz w:val="20"/>
          <w:szCs w:val="20"/>
          <w:color w:val="auto"/>
        </w:rPr>
      </w:pPr>
      <w:r>
        <w:rPr>
          <w:rFonts w:ascii="Arial" w:cs="Arial" w:eastAsia="Arial" w:hAnsi="Arial"/>
          <w:sz w:val="15"/>
          <w:szCs w:val="15"/>
          <w:b w:val="1"/>
          <w:bCs w:val="1"/>
          <w:color w:val="auto"/>
        </w:rPr>
        <w:t>PROGYNY, INC.</w:t>
      </w:r>
    </w:p>
    <w:p>
      <w:pPr>
        <w:spacing w:after="0" w:line="30" w:lineRule="exact"/>
        <w:rPr>
          <w:sz w:val="20"/>
          <w:szCs w:val="20"/>
          <w:color w:val="auto"/>
        </w:rPr>
      </w:pPr>
    </w:p>
    <w:p>
      <w:pPr>
        <w:ind w:left="3660"/>
        <w:spacing w:after="0"/>
        <w:rPr>
          <w:sz w:val="20"/>
          <w:szCs w:val="20"/>
          <w:color w:val="auto"/>
        </w:rPr>
      </w:pPr>
      <w:r>
        <w:rPr>
          <w:rFonts w:ascii="Arial" w:cs="Arial" w:eastAsia="Arial" w:hAnsi="Arial"/>
          <w:sz w:val="15"/>
          <w:szCs w:val="15"/>
          <w:b w:val="1"/>
          <w:bCs w:val="1"/>
          <w:color w:val="auto"/>
        </w:rPr>
        <w:t>Statements of Cash Flows</w:t>
      </w:r>
    </w:p>
    <w:p>
      <w:pPr>
        <w:jc w:val="center"/>
        <w:spacing w:after="0" w:line="233" w:lineRule="auto"/>
        <w:rPr>
          <w:sz w:val="20"/>
          <w:szCs w:val="20"/>
          <w:color w:val="auto"/>
        </w:rPr>
      </w:pPr>
      <w:r>
        <w:rPr>
          <w:rFonts w:ascii="Arial" w:cs="Arial" w:eastAsia="Arial" w:hAnsi="Arial"/>
          <w:sz w:val="15"/>
          <w:szCs w:val="15"/>
          <w:b w:val="1"/>
          <w:bCs w:val="1"/>
          <w:i w:val="1"/>
          <w:iCs w:val="1"/>
          <w:color w:val="auto"/>
        </w:rPr>
        <w:t>(Unaudited)</w:t>
      </w:r>
    </w:p>
    <w:p>
      <w:pPr>
        <w:jc w:val="center"/>
        <w:spacing w:after="0"/>
        <w:rPr>
          <w:sz w:val="20"/>
          <w:szCs w:val="20"/>
          <w:color w:val="auto"/>
        </w:rPr>
      </w:pPr>
      <w:r>
        <w:rPr>
          <w:rFonts w:ascii="Arial" w:cs="Arial" w:eastAsia="Arial" w:hAnsi="Arial"/>
          <w:sz w:val="15"/>
          <w:szCs w:val="15"/>
          <w:b w:val="1"/>
          <w:bCs w:val="1"/>
          <w:i w:val="1"/>
          <w:iCs w:val="1"/>
          <w:color w:val="auto"/>
        </w:rPr>
        <w:t>(in thousands)</w:t>
      </w:r>
    </w:p>
    <w:p>
      <w:pPr>
        <w:spacing w:after="0" w:line="149"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Three Months Ended</w:t>
      </w:r>
    </w:p>
    <w:p>
      <w:pPr>
        <w:ind w:left="7040"/>
        <w:spacing w:after="0" w:line="234" w:lineRule="auto"/>
        <w:rPr>
          <w:sz w:val="20"/>
          <w:szCs w:val="20"/>
          <w:color w:val="auto"/>
        </w:rPr>
      </w:pPr>
      <w:r>
        <w:rPr>
          <w:rFonts w:ascii="Arial" w:cs="Arial" w:eastAsia="Arial" w:hAnsi="Arial"/>
          <w:sz w:val="15"/>
          <w:szCs w:val="15"/>
          <w:b w:val="1"/>
          <w:bCs w:val="1"/>
          <w:color w:val="auto"/>
        </w:rPr>
        <w:t>March 31,</w:t>
      </w:r>
    </w:p>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5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rPr>
              <w:t>2021</w:t>
            </w:r>
          </w:p>
        </w:tc>
        <w:tc>
          <w:tcPr>
            <w:tcW w:w="5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24"/>
              <w:spacing w:after="0" w:line="156" w:lineRule="exact"/>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1000" w:type="dxa"/>
            <w:vAlign w:val="bottom"/>
            <w:gridSpan w:val="2"/>
          </w:tcPr>
          <w:p>
            <w:pPr>
              <w:jc w:val="right"/>
              <w:ind w:right="744"/>
              <w:spacing w:after="0" w:line="162" w:lineRule="exact"/>
              <w:rPr>
                <w:sz w:val="20"/>
                <w:szCs w:val="20"/>
                <w:color w:val="auto"/>
              </w:rPr>
            </w:pPr>
            <w:r>
              <w:rPr>
                <w:rFonts w:ascii="Arial" w:cs="Arial" w:eastAsia="Arial" w:hAnsi="Arial"/>
                <w:sz w:val="15"/>
                <w:szCs w:val="15"/>
                <w:color w:val="auto"/>
              </w:rPr>
              <w:t>$</w:t>
            </w: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15,166</w:t>
            </w:r>
          </w:p>
        </w:tc>
        <w:tc>
          <w:tcPr>
            <w:tcW w:w="520" w:type="dxa"/>
            <w:vAlign w:val="bottom"/>
            <w:gridSpan w:val="2"/>
          </w:tcPr>
          <w:p>
            <w:pPr>
              <w:jc w:val="right"/>
              <w:ind w:right="184"/>
              <w:spacing w:after="0" w:line="162" w:lineRule="exact"/>
              <w:rPr>
                <w:sz w:val="20"/>
                <w:szCs w:val="20"/>
                <w:color w:val="auto"/>
              </w:rPr>
            </w:pPr>
            <w:r>
              <w:rPr>
                <w:rFonts w:ascii="Arial" w:cs="Arial" w:eastAsia="Arial" w:hAnsi="Arial"/>
                <w:sz w:val="15"/>
                <w:szCs w:val="15"/>
                <w:color w:val="auto"/>
              </w:rPr>
              <w:t>$</w:t>
            </w: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3,629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Adjustments to reconcile net income to net cash provided by operating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Deferred tax expense (benefit)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(3,370)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Non-cash interest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Depreciation and amortization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422</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80"/>
              <w:spacing w:after="0" w:line="162" w:lineRule="exact"/>
              <w:rPr>
                <w:sz w:val="20"/>
                <w:szCs w:val="20"/>
                <w:color w:val="auto"/>
              </w:rPr>
            </w:pPr>
            <w:r>
              <w:rPr>
                <w:rFonts w:ascii="Arial" w:cs="Arial" w:eastAsia="Arial" w:hAnsi="Arial"/>
                <w:sz w:val="15"/>
                <w:szCs w:val="15"/>
                <w:color w:val="auto"/>
              </w:rPr>
              <w:t>Stock-based compensation expense</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5,034</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2,049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80"/>
              <w:spacing w:after="0" w:line="162" w:lineRule="exact"/>
              <w:rPr>
                <w:sz w:val="20"/>
                <w:szCs w:val="20"/>
                <w:color w:val="auto"/>
              </w:rPr>
            </w:pPr>
            <w:r>
              <w:rPr>
                <w:rFonts w:ascii="Arial" w:cs="Arial" w:eastAsia="Arial" w:hAnsi="Arial"/>
                <w:sz w:val="15"/>
                <w:szCs w:val="15"/>
                <w:color w:val="auto"/>
              </w:rPr>
              <w:t>Bad debt expense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2,518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1,685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Changes in operating assets and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receivable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w w:val="93"/>
              </w:rPr>
              <w:t>(43,520)</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(20,054)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Prepaid expenses and current other assets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1,046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561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ind w:left="20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13,797</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20,359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ind w:left="2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9,413</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3,256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5"/>
                <w:szCs w:val="15"/>
                <w:color w:val="auto"/>
              </w:rPr>
              <w:t>Other noncurrent assets and liabilities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provided by operating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532</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12,140</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INVESTING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Purchase of property and equipment, net</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(369)</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marketable securities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93"/>
              </w:rPr>
              <w:t>(62,146)</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Sale of marketable securities</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23,995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ind w:left="200"/>
              <w:spacing w:after="0" w:line="156" w:lineRule="exact"/>
              <w:rPr>
                <w:sz w:val="20"/>
                <w:szCs w:val="20"/>
                <w:color w:val="auto"/>
              </w:rPr>
            </w:pPr>
            <w:r>
              <w:rPr>
                <w:rFonts w:ascii="Arial" w:cs="Arial" w:eastAsia="Arial" w:hAnsi="Arial"/>
                <w:sz w:val="15"/>
                <w:szCs w:val="15"/>
                <w:color w:val="auto"/>
              </w:rPr>
              <w:t>Net cash (used in) investing activities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(38,520)</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5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FINANCING ACTIVITIES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initial public offering costs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(791)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exercise of stock options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539</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597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Pr>
          <w:p>
            <w:pPr>
              <w:spacing w:after="0" w:line="162" w:lineRule="exact"/>
              <w:rPr>
                <w:sz w:val="20"/>
                <w:szCs w:val="20"/>
                <w:color w:val="auto"/>
              </w:rPr>
            </w:pPr>
            <w:r>
              <w:rPr>
                <w:rFonts w:ascii="Arial" w:cs="Arial" w:eastAsia="Arial" w:hAnsi="Arial"/>
                <w:sz w:val="15"/>
                <w:szCs w:val="15"/>
                <w:color w:val="auto"/>
              </w:rPr>
              <w:t>Payment of employee taxes related to equity awards</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 w:type="dxa"/>
            <w:vAlign w:val="bottom"/>
          </w:tcPr>
          <w:p>
            <w:pPr>
              <w:jc w:val="right"/>
              <w:spacing w:after="0" w:line="162" w:lineRule="exact"/>
              <w:rPr>
                <w:sz w:val="20"/>
                <w:szCs w:val="20"/>
                <w:color w:val="auto"/>
              </w:rPr>
            </w:pPr>
            <w:r>
              <w:rPr>
                <w:rFonts w:ascii="Arial" w:cs="Arial" w:eastAsia="Arial" w:hAnsi="Arial"/>
                <w:sz w:val="15"/>
                <w:szCs w:val="15"/>
                <w:color w:val="auto"/>
              </w:rPr>
              <w:t>(3,523)</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contributions to employee stock purchase plan</w:t>
            </w:r>
          </w:p>
        </w:tc>
        <w:tc>
          <w:tcPr>
            <w:tcW w:w="100" w:type="dxa"/>
            <w:vAlign w:val="bottom"/>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487</w:t>
            </w:r>
          </w:p>
        </w:tc>
        <w:tc>
          <w:tcPr>
            <w:tcW w:w="1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tcPr>
          <w:p>
            <w:pPr>
              <w:ind w:left="200"/>
              <w:spacing w:after="0" w:line="156" w:lineRule="exact"/>
              <w:rPr>
                <w:sz w:val="20"/>
                <w:szCs w:val="20"/>
                <w:color w:val="auto"/>
              </w:rPr>
            </w:pPr>
            <w:r>
              <w:rPr>
                <w:rFonts w:ascii="Arial" w:cs="Arial" w:eastAsia="Arial" w:hAnsi="Arial"/>
                <w:sz w:val="15"/>
                <w:szCs w:val="15"/>
                <w:color w:val="auto"/>
              </w:rPr>
              <w:t>Net cash (used in) financing activities</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(2,497)</w:t>
            </w:r>
          </w:p>
        </w:tc>
        <w:tc>
          <w:tcPr>
            <w:tcW w:w="1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(194)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shd w:val="clear" w:color="auto" w:fill="CCEEFF"/>
          </w:tcPr>
          <w:p>
            <w:pPr>
              <w:spacing w:after="0" w:line="156" w:lineRule="exact"/>
              <w:rPr>
                <w:sz w:val="20"/>
                <w:szCs w:val="20"/>
                <w:color w:val="auto"/>
              </w:rPr>
            </w:pPr>
            <w:r>
              <w:rPr>
                <w:rFonts w:ascii="Arial" w:cs="Arial" w:eastAsia="Arial" w:hAnsi="Arial"/>
                <w:sz w:val="15"/>
                <w:szCs w:val="15"/>
                <w:color w:val="auto"/>
              </w:rPr>
              <w:t>Net increase (decrease) in cash and cash equivalents</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w w:val="93"/>
              </w:rPr>
              <w:t>(40,485)</w:t>
            </w:r>
          </w:p>
        </w:tc>
        <w:tc>
          <w:tcPr>
            <w:tcW w:w="1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11,252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Cash and cash equivalents, beginning of period</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70,305</w:t>
            </w: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80,382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Cash and cash equivalents, end of period</w:t>
            </w:r>
          </w:p>
        </w:tc>
        <w:tc>
          <w:tcPr>
            <w:tcW w:w="10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744"/>
              <w:spacing w:after="0" w:line="156" w:lineRule="exact"/>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29,820</w:t>
            </w:r>
          </w:p>
        </w:tc>
        <w:tc>
          <w:tcPr>
            <w:tcW w:w="18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184"/>
              <w:spacing w:after="0" w:line="156"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91,634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SUPPLEMENTAL DISCLOSURE OF NON-CASH INVESTING AND FINANCING</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ACTIVITIES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5"/>
                <w:szCs w:val="15"/>
                <w:color w:val="auto"/>
              </w:rPr>
              <w:t>Additions of property and equipment, net included in accounts payable and accrued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5660" w:type="dxa"/>
            <w:vAlign w:val="bottom"/>
            <w:gridSpan w:val="2"/>
          </w:tcPr>
          <w:p>
            <w:pPr>
              <w:spacing w:after="0"/>
              <w:rPr>
                <w:sz w:val="20"/>
                <w:szCs w:val="20"/>
                <w:color w:val="auto"/>
              </w:rPr>
            </w:pPr>
            <w:r>
              <w:rPr>
                <w:rFonts w:ascii="Arial" w:cs="Arial" w:eastAsia="Arial" w:hAnsi="Arial"/>
                <w:sz w:val="15"/>
                <w:szCs w:val="15"/>
                <w:color w:val="auto"/>
              </w:rPr>
              <w:t>expenses</w:t>
            </w:r>
          </w:p>
        </w:tc>
        <w:tc>
          <w:tcPr>
            <w:tcW w:w="1000" w:type="dxa"/>
            <w:vAlign w:val="bottom"/>
            <w:gridSpan w:val="2"/>
          </w:tcPr>
          <w:p>
            <w:pPr>
              <w:jc w:val="right"/>
              <w:ind w:right="744"/>
              <w:spacing w:after="0"/>
              <w:rPr>
                <w:sz w:val="20"/>
                <w:szCs w:val="20"/>
                <w:color w:val="auto"/>
              </w:rPr>
            </w:pPr>
            <w:r>
              <w:rPr>
                <w:rFonts w:ascii="Arial" w:cs="Arial" w:eastAsia="Arial" w:hAnsi="Arial"/>
                <w:sz w:val="15"/>
                <w:szCs w:val="15"/>
                <w:color w:val="auto"/>
              </w:rPr>
              <w:t>$</w:t>
            </w:r>
          </w:p>
        </w:tc>
        <w:tc>
          <w:tcPr>
            <w:tcW w:w="560" w:type="dxa"/>
            <w:vAlign w:val="bottom"/>
          </w:tcPr>
          <w:p>
            <w:pPr>
              <w:jc w:val="right"/>
              <w:spacing w:after="0"/>
              <w:rPr>
                <w:sz w:val="20"/>
                <w:szCs w:val="20"/>
                <w:color w:val="auto"/>
              </w:rPr>
            </w:pPr>
            <w:r>
              <w:rPr>
                <w:rFonts w:ascii="Arial" w:cs="Arial" w:eastAsia="Arial" w:hAnsi="Arial"/>
                <w:sz w:val="15"/>
                <w:szCs w:val="15"/>
                <w:color w:val="auto"/>
              </w:rPr>
              <w:t>20</w:t>
            </w:r>
          </w:p>
        </w:tc>
        <w:tc>
          <w:tcPr>
            <w:tcW w:w="520" w:type="dxa"/>
            <w:vAlign w:val="bottom"/>
            <w:gridSpan w:val="2"/>
          </w:tcPr>
          <w:p>
            <w:pPr>
              <w:jc w:val="right"/>
              <w:ind w:right="184"/>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760"/>
        <w:spacing w:after="0"/>
        <w:rPr>
          <w:sz w:val="20"/>
          <w:szCs w:val="20"/>
          <w:color w:val="auto"/>
        </w:rPr>
      </w:pPr>
      <w:r>
        <w:rPr>
          <w:rFonts w:ascii="Arial" w:cs="Arial" w:eastAsia="Arial" w:hAnsi="Arial"/>
          <w:sz w:val="18"/>
          <w:szCs w:val="18"/>
          <w:i w:val="1"/>
          <w:iCs w:val="1"/>
          <w:color w:val="auto"/>
        </w:rPr>
        <w:t>The accompanying notes are an integral part of these unaudited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p>
      <w:pPr>
        <w:ind w:left="680" w:hanging="630"/>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Basis of Presentation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700" w:right="59" w:firstLine="648"/>
        <w:spacing w:after="0" w:line="277" w:lineRule="auto"/>
        <w:rPr>
          <w:sz w:val="20"/>
          <w:szCs w:val="20"/>
          <w:color w:val="auto"/>
        </w:rPr>
      </w:pPr>
      <w:r>
        <w:rPr>
          <w:rFonts w:ascii="Arial" w:cs="Arial" w:eastAsia="Arial" w:hAnsi="Arial"/>
          <w:sz w:val="18"/>
          <w:szCs w:val="18"/>
          <w:color w:val="auto"/>
        </w:rPr>
        <w:t>Progyny, Inc. (referred to as “Progyny” or the “Company”) was incorporated in the state of Delaware on April 3, 2008, and maintains its corporate headquarters in New York, NY.</w:t>
      </w:r>
    </w:p>
    <w:p>
      <w:pPr>
        <w:spacing w:after="0" w:line="170" w:lineRule="exact"/>
        <w:rPr>
          <w:sz w:val="20"/>
          <w:szCs w:val="20"/>
          <w:color w:val="auto"/>
        </w:rPr>
      </w:pPr>
    </w:p>
    <w:p>
      <w:pPr>
        <w:jc w:val="both"/>
        <w:ind w:left="700" w:right="79" w:firstLine="648"/>
        <w:spacing w:after="0" w:line="291" w:lineRule="auto"/>
        <w:rPr>
          <w:sz w:val="20"/>
          <w:szCs w:val="20"/>
          <w:color w:val="auto"/>
        </w:rPr>
      </w:pPr>
      <w:r>
        <w:rPr>
          <w:rFonts w:ascii="Arial" w:cs="Arial" w:eastAsia="Arial" w:hAnsi="Arial"/>
          <w:sz w:val="16"/>
          <w:szCs w:val="16"/>
          <w:color w:val="auto"/>
        </w:rPr>
        <w:t>Progyny is a provider of a fertility benefits solution and pharmacy benefits solution and operates and manages in one operating segment. The fertility benefits solution consists of a significant service that integrates:</w:t>
      </w:r>
    </w:p>
    <w:p>
      <w:pPr>
        <w:jc w:val="both"/>
        <w:ind w:left="700" w:right="59" w:hanging="2"/>
        <w:spacing w:after="0" w:line="290" w:lineRule="auto"/>
        <w:tabs>
          <w:tab w:leader="none" w:pos="961"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64" w:lineRule="exact"/>
        <w:rPr>
          <w:sz w:val="20"/>
          <w:szCs w:val="20"/>
          <w:color w:val="auto"/>
        </w:rPr>
      </w:pPr>
    </w:p>
    <w:p>
      <w:pPr>
        <w:jc w:val="both"/>
        <w:ind w:left="700" w:right="59" w:firstLine="648"/>
        <w:spacing w:after="0" w:line="272" w:lineRule="auto"/>
        <w:rPr>
          <w:sz w:val="20"/>
          <w:szCs w:val="20"/>
          <w:color w:val="auto"/>
        </w:rPr>
      </w:pPr>
      <w:r>
        <w:rPr>
          <w:rFonts w:ascii="Arial" w:cs="Arial" w:eastAsia="Arial" w:hAnsi="Arial"/>
          <w:sz w:val="17"/>
          <w:szCs w:val="17"/>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Prior to December 31, 2020, the Company was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elected to use this extended transition period for complying with new or revised accounting standards that have different effective dates for public and private companies until the earlier of the date that it was (i) no longer an emerging growth company or (ii) affirmatively and irrevocably opted out of the extended transition period provided in the JOBS Act. Based on the market value of the Company’s common stock as of June 30, 2020, the Company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 Summary of Significant Accounting Policies below for a discussion of new accounting pronouncements adopted in the fourth quarter of 2020 with an effective date of January 1, 2020.</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The interim unaudited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financial statements have been prepared on a basis consistent with the annual financial statements and, in the opinion of management, include all adjustments necessary to fairly state our financial position as of March 31, 2021, the results of our operations for the three months ended March 31, 2021 and 2020 and the results of our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79"/>
        <w:spacing w:after="0" w:line="259" w:lineRule="auto"/>
        <w:rPr>
          <w:sz w:val="20"/>
          <w:szCs w:val="20"/>
          <w:color w:val="auto"/>
        </w:rPr>
      </w:pPr>
      <w:r>
        <w:rPr>
          <w:rFonts w:ascii="Arial" w:cs="Arial" w:eastAsia="Arial" w:hAnsi="Arial"/>
          <w:sz w:val="18"/>
          <w:szCs w:val="18"/>
          <w:color w:val="auto"/>
        </w:rPr>
        <w:t>cash flows for the three months ended March 31, 2021 and 2020. Therefore, these unaudited financial statements should be read in conjunction with the audited financial statements and related footnotes included in the Company’s Annual Report on Form 10-K for the year ended December 31, 2020, filed with the SEC on March 1, 2021.</w:t>
      </w:r>
    </w:p>
    <w:p>
      <w:pPr>
        <w:spacing w:after="0" w:line="187" w:lineRule="exact"/>
        <w:rPr>
          <w:sz w:val="20"/>
          <w:szCs w:val="20"/>
          <w:color w:val="auto"/>
        </w:rPr>
      </w:pPr>
    </w:p>
    <w:p>
      <w:pPr>
        <w:jc w:val="both"/>
        <w:ind w:left="700" w:right="59" w:firstLine="648"/>
        <w:spacing w:after="0" w:line="268" w:lineRule="auto"/>
        <w:rPr>
          <w:sz w:val="20"/>
          <w:szCs w:val="20"/>
          <w:color w:val="auto"/>
        </w:rPr>
      </w:pPr>
      <w:r>
        <w:rPr>
          <w:rFonts w:ascii="Arial" w:cs="Arial" w:eastAsia="Arial" w:hAnsi="Arial"/>
          <w:sz w:val="17"/>
          <w:szCs w:val="17"/>
          <w:color w:val="auto"/>
        </w:rPr>
        <w:t>The results for the three months ended March 31, 2021 are not necessarily indicative of the operating results expected for the year ending December 31, 2021 or any other future period. Additionally, there are many uncertainties regarding the ongoing coronavirus (“COVID-19”) pandemic,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the actions taken to contain it or treat its impact, vaccine roll-out and impact,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700" w:right="59"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revenue recognition including accrued receivables, accrued claims payable, allowance for doubtful accounts, stock-based compensation,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left="680" w:hanging="630"/>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jc w:val="both"/>
        <w:ind w:left="700" w:right="279" w:firstLine="648"/>
        <w:spacing w:after="0" w:line="263" w:lineRule="auto"/>
        <w:rPr>
          <w:sz w:val="20"/>
          <w:szCs w:val="20"/>
          <w:color w:val="auto"/>
        </w:rPr>
      </w:pPr>
      <w:r>
        <w:rPr>
          <w:rFonts w:ascii="Arial" w:cs="Arial" w:eastAsia="Arial" w:hAnsi="Arial"/>
          <w:sz w:val="18"/>
          <w:szCs w:val="18"/>
          <w:color w:val="auto"/>
        </w:rPr>
        <w:t>There have been no material changes in the Company’s significant accounting policies as compared to the significant accounting policies described in the Company’s Annual Report on Form 10-K for the year ended December 31, 2020.</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Company applies the following five-step model to recognize revenue from contracts with clients:</w:t>
      </w:r>
    </w:p>
    <w:p>
      <w:pPr>
        <w:spacing w:after="0" w:line="237" w:lineRule="exact"/>
        <w:rPr>
          <w:sz w:val="20"/>
          <w:szCs w:val="20"/>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380" w:hanging="331"/>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324"/>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Revenue</w:t>
      </w:r>
    </w:p>
    <w:p>
      <w:pPr>
        <w:spacing w:after="0" w:line="225"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82" w:lineRule="exact"/>
        <w:rPr>
          <w:sz w:val="20"/>
          <w:szCs w:val="20"/>
          <w:color w:val="auto"/>
        </w:rPr>
      </w:pPr>
    </w:p>
    <w:p>
      <w:pPr>
        <w:jc w:val="both"/>
        <w:ind w:left="700" w:right="59" w:firstLine="648"/>
        <w:spacing w:after="0" w:line="275" w:lineRule="auto"/>
        <w:rPr>
          <w:sz w:val="20"/>
          <w:szCs w:val="20"/>
          <w:color w:val="auto"/>
        </w:rPr>
      </w:pPr>
      <w:r>
        <w:rPr>
          <w:rFonts w:ascii="Arial" w:cs="Arial" w:eastAsia="Arial" w:hAnsi="Arial"/>
          <w:sz w:val="17"/>
          <w:szCs w:val="17"/>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76" w:lineRule="exact"/>
        <w:rPr>
          <w:sz w:val="20"/>
          <w:szCs w:val="20"/>
          <w:color w:val="auto"/>
        </w:rPr>
      </w:pPr>
    </w:p>
    <w:p>
      <w:pPr>
        <w:jc w:val="both"/>
        <w:ind w:left="700" w:right="59" w:firstLine="648"/>
        <w:spacing w:after="0" w:line="289" w:lineRule="auto"/>
        <w:rPr>
          <w:sz w:val="20"/>
          <w:szCs w:val="20"/>
          <w:color w:val="auto"/>
        </w:rPr>
      </w:pPr>
      <w:r>
        <w:rPr>
          <w:rFonts w:ascii="Arial" w:cs="Arial" w:eastAsia="Arial" w:hAnsi="Arial"/>
          <w:sz w:val="16"/>
          <w:szCs w:val="16"/>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66" w:lineRule="exact"/>
        <w:rPr>
          <w:sz w:val="20"/>
          <w:szCs w:val="20"/>
          <w:color w:val="auto"/>
        </w:rPr>
      </w:pPr>
    </w:p>
    <w:p>
      <w:pPr>
        <w:jc w:val="both"/>
        <w:ind w:left="700" w:right="59" w:firstLine="648"/>
        <w:spacing w:after="0" w:line="293"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 of service level agreement refunds, have not historically resulted in significant adjustments to the transaction price.</w:t>
      </w:r>
    </w:p>
    <w:p>
      <w:pPr>
        <w:spacing w:after="0" w:line="164"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jc w:val="both"/>
        <w:ind w:left="700" w:right="59" w:firstLine="648"/>
        <w:spacing w:after="0" w:line="290" w:lineRule="auto"/>
        <w:rPr>
          <w:sz w:val="20"/>
          <w:szCs w:val="20"/>
          <w:color w:val="auto"/>
        </w:rPr>
      </w:pPr>
      <w:r>
        <w:rPr>
          <w:rFonts w:ascii="Arial" w:cs="Arial" w:eastAsia="Arial" w:hAnsi="Arial"/>
          <w:sz w:val="16"/>
          <w:szCs w:val="16"/>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separately negotiates agreements with the provider clinics, which establish pricing for each treatment service.</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Pricing of services from provider clinics is independent from the fees charged to clients.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Revenue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95" w:lineRule="exact"/>
        <w:rPr>
          <w:sz w:val="20"/>
          <w:szCs w:val="20"/>
          <w:color w:val="auto"/>
        </w:rPr>
      </w:pPr>
    </w:p>
    <w:p>
      <w:pPr>
        <w:jc w:val="both"/>
        <w:ind w:left="700" w:right="59" w:firstLine="648"/>
        <w:spacing w:after="0" w:line="279" w:lineRule="auto"/>
        <w:rPr>
          <w:sz w:val="20"/>
          <w:szCs w:val="20"/>
          <w:color w:val="auto"/>
        </w:rPr>
      </w:pPr>
      <w:r>
        <w:rPr>
          <w:rFonts w:ascii="Arial" w:cs="Arial" w:eastAsia="Arial" w:hAnsi="Arial"/>
          <w:sz w:val="17"/>
          <w:szCs w:val="17"/>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71"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5"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87" w:lineRule="exact"/>
        <w:rPr>
          <w:sz w:val="20"/>
          <w:szCs w:val="20"/>
          <w:color w:val="auto"/>
        </w:rPr>
      </w:pPr>
    </w:p>
    <w:p>
      <w:pPr>
        <w:jc w:val="both"/>
        <w:ind w:left="700" w:right="5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2"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8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There are no material contract asset or contract liability balances as of March 31, 2021 and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Accrued receivables are estimated based on historical experience for those fertility benefit services provided but for which a claim has not been received from the provider clinic at the end of each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historical gross margin achieved on fertility benefit services. Estimates are adjusted to actual at the time of billing. Adjustments to original estimates have not been material.</w:t>
      </w:r>
    </w:p>
    <w:p>
      <w:pPr>
        <w:spacing w:after="0" w:line="195"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As of March 31, 2021 and December 31, 2020, accrued receivables were $42.0 million and $28.2 million. Accrued receivables are included within accounts receivable in the balance sheet.</w:t>
      </w:r>
    </w:p>
    <w:p>
      <w:pPr>
        <w:spacing w:after="0" w:line="170"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Accrued claims payable of $31.9 million and $22.8 million as of March 31, 2021 and December 31, 2020, respectively, are included within accrued expenses and other current liabilities in the balance sheet. Claims payable are paid within 30 days based on contractual terms.</w:t>
      </w:r>
    </w:p>
    <w:p>
      <w:pPr>
        <w:spacing w:after="0" w:line="184" w:lineRule="exact"/>
        <w:rPr>
          <w:sz w:val="20"/>
          <w:szCs w:val="20"/>
          <w:color w:val="auto"/>
        </w:rPr>
      </w:pPr>
    </w:p>
    <w:p>
      <w:pPr>
        <w:jc w:val="both"/>
        <w:ind w:left="700" w:right="59" w:firstLine="648"/>
        <w:spacing w:after="0" w:line="257" w:lineRule="auto"/>
        <w:rPr>
          <w:sz w:val="20"/>
          <w:szCs w:val="20"/>
          <w:color w:val="auto"/>
        </w:rPr>
      </w:pPr>
      <w:r>
        <w:rPr>
          <w:rFonts w:ascii="Arial" w:cs="Arial" w:eastAsia="Arial" w:hAnsi="Arial"/>
          <w:sz w:val="18"/>
          <w:szCs w:val="18"/>
          <w:color w:val="auto"/>
        </w:rPr>
        <w:t>As of March 31, 2021 and December 31, 2020, unbilled receivables, which represent claims received and approved but unbilled at the end of the reporting period, were $23.2 million and $16.4 million, respectively. Unbilled receivables are typically billed to clients within 30 days of the approved claim based on the contractual billing schedule agreed upon with the client. Unbilled receivables are included in accounts receivable in the balance sheet.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225"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statements of operations. The following table provides a summary of the activity in this allowance (in thousands):</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24"/>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Three Months Ended March 31, 2021</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Beginning</w:t>
            </w:r>
          </w:p>
        </w:tc>
        <w:tc>
          <w:tcPr>
            <w:tcW w:w="14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to Costs</w:t>
            </w:r>
          </w:p>
        </w:tc>
        <w:tc>
          <w:tcPr>
            <w:tcW w:w="200" w:type="dxa"/>
            <w:vAlign w:val="bottom"/>
          </w:tcPr>
          <w:p>
            <w:pPr>
              <w:spacing w:after="0"/>
              <w:rPr>
                <w:sz w:val="12"/>
                <w:szCs w:val="12"/>
                <w:color w:val="auto"/>
              </w:rPr>
            </w:pPr>
          </w:p>
        </w:tc>
        <w:tc>
          <w:tcPr>
            <w:tcW w:w="10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2"/>
                <w:szCs w:val="12"/>
                <w:color w:val="auto"/>
              </w:rPr>
            </w:pPr>
          </w:p>
        </w:tc>
        <w:tc>
          <w:tcPr>
            <w:tcW w:w="98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of Period</w:t>
            </w:r>
          </w:p>
        </w:tc>
        <w:tc>
          <w:tcPr>
            <w:tcW w:w="14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and Expenses</w:t>
            </w:r>
          </w:p>
        </w:tc>
        <w:tc>
          <w:tcPr>
            <w:tcW w:w="20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ind w:right="104"/>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700" w:right="59" w:firstLine="648"/>
        <w:spacing w:after="0" w:line="273" w:lineRule="auto"/>
        <w:rPr>
          <w:sz w:val="20"/>
          <w:szCs w:val="20"/>
          <w:color w:val="auto"/>
        </w:rPr>
      </w:pPr>
      <w:r>
        <w:rPr>
          <w:rFonts w:ascii="Arial" w:cs="Arial" w:eastAsia="Arial" w:hAnsi="Arial"/>
          <w:sz w:val="17"/>
          <w:szCs w:val="17"/>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 Processing teams; and (3) related information technology support costs. Contracts with the specialty pharmacies are typically for a term of one year.</w:t>
      </w:r>
    </w:p>
    <w:p>
      <w:pPr>
        <w:spacing w:after="0" w:line="178"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pharmacy program partners (such as through a specialty pharmacy). These rebates are recognized as a reduction of Cost of services when prescriptions are dispensed and are generally estimated and billed to manufacturers within 20 days of the end of each month. The effect of adjustments resulting from the reconciliation of rebates recognized to the amounts billed and collected has not been material to the Company’s results of operations.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standard is intended to simplify the accounting for income taxes by removing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exceptions to the general principles in Topic 740, as well as improve consistent application of and simplify GAAP for other areas of Topic 740 by clarifying and amending existing guidance. The Company adopted this standard as of January 1, 2021. The adoption of this standard did not have a material impact on the Company’s financial statements.</w:t>
      </w:r>
    </w:p>
    <w:p>
      <w:pPr>
        <w:spacing w:after="0" w:line="192" w:lineRule="exact"/>
        <w:rPr>
          <w:sz w:val="20"/>
          <w:szCs w:val="20"/>
          <w:color w:val="auto"/>
        </w:rPr>
      </w:pPr>
    </w:p>
    <w:p>
      <w:pPr>
        <w:jc w:val="both"/>
        <w:ind w:left="700" w:right="59" w:firstLine="648"/>
        <w:spacing w:after="0" w:line="285"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Company adopted this standard on January 1, 2020, using the modified retrospective transition method, which applies the provisions of the standard at the effective date without adjusting the comparative periods presented. In addition, the Company elected the package of practical expedients permitted under the transition guidance within the new standard, which allowed the Company not to reassess (i) whether any expired or existing contracts contained leases, (ii) the lease classification for any expired or existing leases, and (iii) initial direct costs for existing leases. The Company also elected to not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right-of-use assets are classified within Operating lease right-of-use assets on the Company’s consolidated balance sheet. Lease liabilities are classified within accrued expenses and other current liabilities and operating lease noncurrent liabilities on the Company’s consolidated balance sheet. The adoption of the standard did not materially impact the Company’s statement of operations or statement of cash flows for the year ended December 31, 2020. See Note 5 – Leases for further details.</w:t>
      </w:r>
    </w:p>
    <w:p>
      <w:pPr>
        <w:spacing w:after="0" w:line="174" w:lineRule="exact"/>
        <w:rPr>
          <w:sz w:val="20"/>
          <w:szCs w:val="20"/>
          <w:color w:val="auto"/>
        </w:rPr>
      </w:pPr>
    </w:p>
    <w:p>
      <w:pPr>
        <w:jc w:val="both"/>
        <w:ind w:left="700" w:right="59" w:firstLine="648"/>
        <w:spacing w:after="0" w:line="31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which replaces the incurred loss impairment methodology in current U.S. GAAP with a methodology that reflects expected credit losses and requires consideration of a broader range of reasonable and supportable information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spacing w:after="0" w:line="272" w:lineRule="auto"/>
        <w:rPr>
          <w:sz w:val="20"/>
          <w:szCs w:val="20"/>
          <w:color w:val="auto"/>
        </w:rPr>
      </w:pPr>
      <w:r>
        <w:rPr>
          <w:rFonts w:ascii="Arial" w:cs="Arial" w:eastAsia="Arial" w:hAnsi="Arial"/>
          <w:sz w:val="17"/>
          <w:szCs w:val="17"/>
          <w:color w:val="auto"/>
        </w:rPr>
        <w:t>inform credit loss estimates. The adoption of the new standard impacted the Company’s methodology for calculating and estimating the allowance for doubtful accounts. In the fourth quarter of 2020, the Company adopted this standard as of January 1, 2020 using the modified retrospective transition method, which resulted in a cumulative-effect adjustment to accumulated deficit of $1.2 million. As disclosed in Note 17 – Unaudited Quarterly Results of Operations Data in the Company’s Annual Report on Form 10-K, quarterly financial information for interim periods of 2020 has been recast, which includes a $0.4 million impact to the previously disclosed general and administrative expense for the three month period ended March 31, 2020.</w:t>
      </w:r>
    </w:p>
    <w:p>
      <w:pPr>
        <w:spacing w:after="0" w:line="177" w:lineRule="exact"/>
        <w:rPr>
          <w:sz w:val="20"/>
          <w:szCs w:val="20"/>
          <w:color w:val="auto"/>
        </w:rPr>
      </w:pPr>
    </w:p>
    <w:p>
      <w:pPr>
        <w:jc w:val="both"/>
        <w:ind w:left="700" w:right="59" w:firstLine="648"/>
        <w:spacing w:after="0" w:line="296" w:lineRule="auto"/>
        <w:rPr>
          <w:sz w:val="20"/>
          <w:szCs w:val="20"/>
          <w:color w:val="auto"/>
        </w:rPr>
      </w:pPr>
      <w:r>
        <w:rPr>
          <w:rFonts w:ascii="Arial" w:cs="Arial" w:eastAsia="Arial" w:hAnsi="Arial"/>
          <w:sz w:val="16"/>
          <w:szCs w:val="16"/>
          <w:color w:val="auto"/>
        </w:rPr>
        <w:t xml:space="preserve">In August 2018, the FASB issued final guidance requiring a customer in a cloud computing arrangement that is a service contract to follow the internal use software guidance in Accounting Standards Codification (“ASC”) 350-402 </w:t>
      </w:r>
      <w:r>
        <w:rPr>
          <w:rFonts w:ascii="Arial" w:cs="Arial" w:eastAsia="Arial" w:hAnsi="Arial"/>
          <w:sz w:val="16"/>
          <w:szCs w:val="16"/>
          <w:i w:val="1"/>
          <w:iCs w:val="1"/>
          <w:color w:val="auto"/>
        </w:rPr>
        <w:t>Intangibles—Goodwill and Other—Internal Use Software</w:t>
      </w:r>
      <w:r>
        <w:rPr>
          <w:rFonts w:ascii="Arial" w:cs="Arial" w:eastAsia="Arial" w:hAnsi="Arial"/>
          <w:sz w:val="16"/>
          <w:szCs w:val="16"/>
          <w:color w:val="auto"/>
        </w:rPr>
        <w:t xml:space="preserve"> (Subtopic 350-40) to determine which implementation costs to capitalize as assets. The Company adopted this standard on January 1, 2020. The adoption of the new standard did not have a material effect on the Company’s financial statements.</w:t>
      </w:r>
    </w:p>
    <w:p>
      <w:pPr>
        <w:spacing w:after="0" w:line="200" w:lineRule="exact"/>
        <w:rPr>
          <w:sz w:val="20"/>
          <w:szCs w:val="20"/>
          <w:color w:val="auto"/>
        </w:rPr>
      </w:pPr>
    </w:p>
    <w:p>
      <w:pPr>
        <w:spacing w:after="0" w:line="389" w:lineRule="exact"/>
        <w:rPr>
          <w:sz w:val="20"/>
          <w:szCs w:val="20"/>
          <w:color w:val="auto"/>
        </w:rPr>
      </w:pPr>
    </w:p>
    <w:p>
      <w:pPr>
        <w:ind w:left="700" w:right="6619" w:hanging="650"/>
        <w:spacing w:after="0" w:line="603" w:lineRule="auto"/>
        <w:tabs>
          <w:tab w:leader="none" w:pos="682"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Revenue </w:t>
      </w:r>
      <w:r>
        <w:rPr>
          <w:rFonts w:ascii="Arial" w:cs="Arial" w:eastAsia="Arial" w:hAnsi="Arial"/>
          <w:sz w:val="15"/>
          <w:szCs w:val="15"/>
          <w:b w:val="1"/>
          <w:bCs w:val="1"/>
          <w:i w:val="1"/>
          <w:iCs w:val="1"/>
          <w:color w:val="auto"/>
        </w:rPr>
        <w:t>Disaggregated revenue</w:t>
      </w:r>
    </w:p>
    <w:p>
      <w:pPr>
        <w:spacing w:after="0" w:line="1" w:lineRule="exact"/>
        <w:rPr>
          <w:rFonts w:ascii="Arial" w:cs="Arial" w:eastAsia="Arial" w:hAnsi="Arial"/>
          <w:sz w:val="15"/>
          <w:szCs w:val="15"/>
          <w:b w:val="1"/>
          <w:bCs w:val="1"/>
          <w:color w:val="auto"/>
        </w:rPr>
      </w:pPr>
    </w:p>
    <w:p>
      <w:pPr>
        <w:ind w:left="134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disaggregates revenue by service (in thousands):</w:t>
      </w: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Three Months Ended</w:t>
      </w:r>
    </w:p>
    <w:p>
      <w:pPr>
        <w:ind w:left="71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Fertility benefit services revenue</w:t>
            </w:r>
          </w:p>
        </w:tc>
        <w:tc>
          <w:tcPr>
            <w:tcW w:w="20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88,854</w:t>
            </w:r>
          </w:p>
        </w:tc>
        <w:tc>
          <w:tcPr>
            <w:tcW w:w="54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Pharmacy benefit services revenue</w:t>
            </w:r>
          </w:p>
        </w:tc>
        <w:tc>
          <w:tcPr>
            <w:tcW w:w="17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33,279</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 revenue</w:t>
            </w:r>
          </w:p>
        </w:tc>
        <w:tc>
          <w:tcPr>
            <w:tcW w:w="1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122,133</w:t>
            </w:r>
          </w:p>
        </w:tc>
        <w:tc>
          <w:tcPr>
            <w:tcW w:w="2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80" w:hanging="630"/>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84"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1 — Unadjusted quoted prices in active markets that are accessible at the measurement date for identical assets or liabilities.</w:t>
      </w:r>
    </w:p>
    <w:p>
      <w:pPr>
        <w:spacing w:after="0" w:line="170" w:lineRule="exact"/>
        <w:rPr>
          <w:sz w:val="20"/>
          <w:szCs w:val="20"/>
          <w:color w:val="auto"/>
        </w:rPr>
      </w:pPr>
    </w:p>
    <w:p>
      <w:pPr>
        <w:jc w:val="both"/>
        <w:ind w:left="700" w:right="59" w:firstLine="648"/>
        <w:spacing w:after="0" w:line="277" w:lineRule="auto"/>
        <w:rPr>
          <w:sz w:val="20"/>
          <w:szCs w:val="20"/>
          <w:color w:val="auto"/>
        </w:rPr>
      </w:pPr>
      <w:r>
        <w:rPr>
          <w:rFonts w:ascii="Arial" w:cs="Arial" w:eastAsia="Arial" w:hAnsi="Arial"/>
          <w:sz w:val="18"/>
          <w:szCs w:val="18"/>
          <w:color w:val="auto"/>
        </w:rPr>
        <w:t>Level 2 — Inputs, other than quoted prices in active markets, that are observable either directly or indirectly.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Level 3 — Prices or valuation techniques that require inputs that are both significant to the fair value of the asset or liability and supported by little or no market activity.</w:t>
      </w:r>
    </w:p>
    <w:p>
      <w:pPr>
        <w:spacing w:after="0" w:line="170"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Company uses observable market data when available, and minimizes the use of unobservable inputs when determining fair value.</w:t>
      </w:r>
    </w:p>
    <w:p>
      <w:pPr>
        <w:spacing w:after="0" w:line="170" w:lineRule="exact"/>
        <w:rPr>
          <w:sz w:val="20"/>
          <w:szCs w:val="20"/>
          <w:color w:val="auto"/>
        </w:rPr>
      </w:pPr>
    </w:p>
    <w:p>
      <w:pPr>
        <w:jc w:val="both"/>
        <w:ind w:left="700" w:right="59" w:firstLine="648"/>
        <w:spacing w:after="0" w:line="301" w:lineRule="auto"/>
        <w:rPr>
          <w:sz w:val="20"/>
          <w:szCs w:val="20"/>
          <w:color w:val="auto"/>
        </w:rPr>
      </w:pPr>
      <w:r>
        <w:rPr>
          <w:rFonts w:ascii="Arial" w:cs="Arial" w:eastAsia="Arial" w:hAnsi="Arial"/>
          <w:sz w:val="16"/>
          <w:szCs w:val="16"/>
          <w:color w:val="auto"/>
        </w:rPr>
        <w:t>As of March 31, 2021 and December 30, 2020, the Company had $31.3 million and $66.3 million, respectively, in financial assets held in money market accounts and $77.1 million and $39.0 million, respectively, held in marketable securities, including U.S. treasury bills. All were classified as Level 1 in the fair value hierarchy. The Company measured these assets at fair value. The Company classified these assets as Level 1</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right="79"/>
        <w:spacing w:after="0" w:line="277" w:lineRule="auto"/>
        <w:rPr>
          <w:sz w:val="20"/>
          <w:szCs w:val="20"/>
          <w:color w:val="auto"/>
        </w:rPr>
      </w:pPr>
      <w:r>
        <w:rPr>
          <w:rFonts w:ascii="Arial" w:cs="Arial" w:eastAsia="Arial" w:hAnsi="Arial"/>
          <w:sz w:val="18"/>
          <w:szCs w:val="18"/>
          <w:color w:val="auto"/>
        </w:rPr>
        <w:t>because the values of these assets are determined using unadjusted quoted prices in active markets for identical assets.</w:t>
      </w:r>
    </w:p>
    <w:p>
      <w:pPr>
        <w:spacing w:after="0" w:line="170" w:lineRule="exact"/>
        <w:rPr>
          <w:sz w:val="20"/>
          <w:szCs w:val="20"/>
          <w:color w:val="auto"/>
        </w:rPr>
      </w:pPr>
    </w:p>
    <w:p>
      <w:pPr>
        <w:ind w:left="700" w:right="59" w:firstLine="648"/>
        <w:spacing w:after="0" w:line="277" w:lineRule="auto"/>
        <w:rPr>
          <w:sz w:val="20"/>
          <w:szCs w:val="20"/>
          <w:color w:val="auto"/>
        </w:rPr>
      </w:pPr>
      <w:r>
        <w:rPr>
          <w:rFonts w:ascii="Arial" w:cs="Arial" w:eastAsia="Arial" w:hAnsi="Arial"/>
          <w:sz w:val="18"/>
          <w:szCs w:val="18"/>
          <w:color w:val="auto"/>
        </w:rPr>
        <w:t>As of March 31, 2021 and December 31, 2020, the Company did not have any assets or liabilities classified as Level 2 or Level 3 in the fair value hierarchy.</w:t>
      </w:r>
    </w:p>
    <w:p>
      <w:pPr>
        <w:spacing w:after="0" w:line="166" w:lineRule="exact"/>
        <w:rPr>
          <w:sz w:val="20"/>
          <w:szCs w:val="20"/>
          <w:color w:val="auto"/>
        </w:rPr>
      </w:pPr>
    </w:p>
    <w:p>
      <w:pPr>
        <w:ind w:left="680" w:hanging="630"/>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jc w:val="both"/>
        <w:ind w:left="700" w:right="59" w:firstLine="648"/>
        <w:spacing w:after="0" w:line="259" w:lineRule="auto"/>
        <w:rPr>
          <w:sz w:val="20"/>
          <w:szCs w:val="20"/>
          <w:color w:val="auto"/>
        </w:rPr>
      </w:pPr>
      <w:r>
        <w:rPr>
          <w:rFonts w:ascii="Arial" w:cs="Arial" w:eastAsia="Arial" w:hAnsi="Arial"/>
          <w:sz w:val="18"/>
          <w:szCs w:val="18"/>
          <w:color w:val="auto"/>
        </w:rPr>
        <w:t>In September 2019, the Company’s lease agreement for its corporate headquarters commenced and will expire in May 2029. Pursuant to the 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Company recognizes lease expense on a straight-line basis over the lease term. Lease expense for our operating lease for the three months ended March 31, 2021 and March 31, 2020 was $0.3 million and $0.4 million, respectively.</w:t>
      </w:r>
    </w:p>
    <w:p>
      <w:pPr>
        <w:spacing w:after="0" w:line="184"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Information related to our leases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3760" w:type="dxa"/>
            <w:vAlign w:val="bottom"/>
            <w:gridSpan w:val="2"/>
          </w:tcPr>
          <w:p>
            <w:pPr>
              <w:ind w:left="104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6"/>
        </w:trPr>
        <w:tc>
          <w:tcPr>
            <w:tcW w:w="2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Leases</w:t>
            </w:r>
          </w:p>
        </w:tc>
        <w:tc>
          <w:tcPr>
            <w:tcW w:w="35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360" w:type="dxa"/>
            <w:vAlign w:val="bottom"/>
            <w:vMerge w:val="continue"/>
          </w:tcPr>
          <w:p>
            <w:pPr>
              <w:spacing w:after="0"/>
              <w:rPr>
                <w:sz w:val="16"/>
                <w:szCs w:val="16"/>
                <w:color w:val="auto"/>
              </w:rPr>
            </w:pPr>
          </w:p>
        </w:tc>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6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Arial" w:cs="Arial" w:eastAsia="Arial" w:hAnsi="Arial"/>
                <w:sz w:val="18"/>
                <w:szCs w:val="18"/>
                <w:color w:val="auto"/>
              </w:rPr>
              <w:t>Short-term lease liabilities</w:t>
            </w:r>
          </w:p>
        </w:tc>
        <w:tc>
          <w:tcPr>
            <w:tcW w:w="3760" w:type="dxa"/>
            <w:vAlign w:val="bottom"/>
            <w:gridSpan w:val="2"/>
          </w:tcPr>
          <w:p>
            <w:pPr>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1,231</w:t>
            </w:r>
          </w:p>
        </w:tc>
        <w:tc>
          <w:tcPr>
            <w:tcW w:w="2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noncurrent liabilities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2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30"/>
        </w:trPr>
        <w:tc>
          <w:tcPr>
            <w:tcW w:w="2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information</w:t>
            </w:r>
          </w:p>
        </w:tc>
        <w:tc>
          <w:tcPr>
            <w:tcW w:w="35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Cash outflows from operating activities attributable to operating leases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0"/>
        </w:trPr>
        <w:tc>
          <w:tcPr>
            <w:tcW w:w="61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operating lease</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8.2 years</w:t>
            </w: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years</w:t>
            </w:r>
          </w:p>
        </w:tc>
        <w:tc>
          <w:tcPr>
            <w:tcW w:w="0" w:type="dxa"/>
            <w:vAlign w:val="bottom"/>
          </w:tcPr>
          <w:p>
            <w:pPr>
              <w:spacing w:after="0"/>
              <w:rPr>
                <w:sz w:val="1"/>
                <w:szCs w:val="1"/>
                <w:color w:val="auto"/>
              </w:rPr>
            </w:pPr>
          </w:p>
        </w:tc>
      </w:tr>
      <w:tr>
        <w:trPr>
          <w:trHeight w:val="230"/>
        </w:trPr>
        <w:tc>
          <w:tcPr>
            <w:tcW w:w="6120" w:type="dxa"/>
            <w:vAlign w:val="bottom"/>
            <w:gridSpan w:val="3"/>
          </w:tcPr>
          <w:p>
            <w:pPr>
              <w:ind w:left="20"/>
              <w:spacing w:after="0"/>
              <w:rPr>
                <w:sz w:val="20"/>
                <w:szCs w:val="20"/>
                <w:color w:val="auto"/>
              </w:rPr>
            </w:pPr>
            <w:r>
              <w:rPr>
                <w:rFonts w:ascii="Arial" w:cs="Arial" w:eastAsia="Arial" w:hAnsi="Arial"/>
                <w:sz w:val="18"/>
                <w:szCs w:val="18"/>
                <w:color w:val="auto"/>
              </w:rPr>
              <w:t>Weighted average discount rate, operating lease</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7"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Future minimum facility lease payments as of March 31, 2021, were as follows: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Operating Lease Payments as of</w:t>
            </w:r>
          </w:p>
        </w:tc>
        <w:tc>
          <w:tcPr>
            <w:tcW w:w="0" w:type="dxa"/>
            <w:vAlign w:val="bottom"/>
          </w:tcPr>
          <w:p>
            <w:pPr>
              <w:spacing w:after="0"/>
              <w:rPr>
                <w:sz w:val="1"/>
                <w:szCs w:val="1"/>
                <w:color w:val="auto"/>
              </w:rPr>
            </w:pPr>
          </w:p>
        </w:tc>
      </w:tr>
      <w:tr>
        <w:trPr>
          <w:trHeight w:val="171"/>
        </w:trPr>
        <w:tc>
          <w:tcPr>
            <w:tcW w:w="3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2021</w:t>
            </w:r>
          </w:p>
        </w:tc>
        <w:tc>
          <w:tcPr>
            <w:tcW w:w="0" w:type="dxa"/>
            <w:vAlign w:val="bottom"/>
          </w:tcPr>
          <w:p>
            <w:pPr>
              <w:spacing w:after="0"/>
              <w:rPr>
                <w:sz w:val="1"/>
                <w:szCs w:val="1"/>
                <w:color w:val="auto"/>
              </w:rPr>
            </w:pPr>
          </w:p>
        </w:tc>
      </w:tr>
      <w:tr>
        <w:trPr>
          <w:trHeight w:val="142"/>
        </w:trPr>
        <w:tc>
          <w:tcPr>
            <w:tcW w:w="3960" w:type="dxa"/>
            <w:vAlign w:val="bottom"/>
            <w:tcBorders>
              <w:bottom w:val="single" w:sz="8" w:color="auto"/>
            </w:tcBorders>
            <w:vMerge w:val="continue"/>
          </w:tcPr>
          <w:p>
            <w:pPr>
              <w:spacing w:after="0"/>
              <w:rPr>
                <w:sz w:val="12"/>
                <w:szCs w:val="12"/>
                <w:color w:val="auto"/>
              </w:rPr>
            </w:pPr>
          </w:p>
        </w:tc>
        <w:tc>
          <w:tcPr>
            <w:tcW w:w="27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700" w:type="dxa"/>
            <w:vAlign w:val="bottom"/>
            <w:tcBorders>
              <w:top w:val="single" w:sz="8" w:color="auto"/>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7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2022</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2024</w:t>
            </w:r>
          </w:p>
        </w:tc>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7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7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operating lease liabilities</w:t>
            </w:r>
          </w:p>
        </w:tc>
        <w:tc>
          <w:tcPr>
            <w:tcW w:w="274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noncurrent liabilities</w:t>
            </w:r>
          </w:p>
        </w:tc>
        <w:tc>
          <w:tcPr>
            <w:tcW w:w="2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1"/>
        </w:trPr>
        <w:tc>
          <w:tcPr>
            <w:tcW w:w="3960" w:type="dxa"/>
            <w:vAlign w:val="bottom"/>
          </w:tcPr>
          <w:p>
            <w:pPr>
              <w:spacing w:after="0"/>
              <w:rPr>
                <w:sz w:val="24"/>
                <w:szCs w:val="24"/>
                <w:color w:val="auto"/>
              </w:rPr>
            </w:pPr>
          </w:p>
        </w:tc>
        <w:tc>
          <w:tcPr>
            <w:tcW w:w="2740" w:type="dxa"/>
            <w:vAlign w:val="bottom"/>
          </w:tcPr>
          <w:p>
            <w:pPr>
              <w:jc w:val="right"/>
              <w:ind w:right="205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9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80" w:hanging="63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9" w:lineRule="exact"/>
        <w:rPr>
          <w:sz w:val="20"/>
          <w:szCs w:val="20"/>
          <w:color w:val="auto"/>
        </w:rPr>
      </w:pPr>
    </w:p>
    <w:p>
      <w:pPr>
        <w:jc w:val="both"/>
        <w:ind w:left="700" w:right="59" w:firstLine="648"/>
        <w:spacing w:after="0" w:line="255" w:lineRule="auto"/>
        <w:rPr>
          <w:sz w:val="20"/>
          <w:szCs w:val="20"/>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(as amended, the “SVB Line of Credit”). Eligible accounts receivable is defined in the loan agreement as accounts billed with aging 90 days or less and excludes accounts receivable due for member copayments, coinsurance, and deductibles.</w:t>
      </w:r>
    </w:p>
    <w:p>
      <w:pPr>
        <w:spacing w:after="0" w:line="192" w:lineRule="exact"/>
        <w:rPr>
          <w:sz w:val="20"/>
          <w:szCs w:val="20"/>
          <w:color w:val="auto"/>
        </w:rPr>
      </w:pPr>
    </w:p>
    <w:p>
      <w:pPr>
        <w:jc w:val="both"/>
        <w:ind w:left="700" w:right="59" w:firstLine="648"/>
        <w:spacing w:after="0" w:line="272" w:lineRule="auto"/>
        <w:rPr>
          <w:sz w:val="20"/>
          <w:szCs w:val="20"/>
          <w:color w:val="auto"/>
        </w:rPr>
      </w:pPr>
      <w:r>
        <w:rPr>
          <w:rFonts w:ascii="Arial" w:cs="Arial" w:eastAsia="Arial" w:hAnsi="Arial"/>
          <w:sz w:val="17"/>
          <w:szCs w:val="17"/>
          <w:color w:val="auto"/>
        </w:rPr>
        <w:t>The Company is required to pay a revolving line commitment fee of $225,000 in three equal annual installments of $75,000 starting on the one-year anniversary of the revolving line. The Company made the first installment payment of $75,000 in June 2019 and accrues this cost monthly. The SVB Line of Credit matures in June 2021. When the Company holds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Interest is paid based upon the borrowed funds.</w:t>
      </w:r>
    </w:p>
    <w:p>
      <w:pPr>
        <w:spacing w:after="0" w:line="177"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The SVB Line of Credit contains customary affirmative covenants, financial covenants, as well as negative covenants that, among other things, restrict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to achieve a specified minimum quarterly revenue as defined by the SVB Line of Credit.</w:t>
      </w:r>
    </w:p>
    <w:p>
      <w:pPr>
        <w:spacing w:after="0" w:line="178"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Company was in compliance with all requirements and covenants of the revolving credit facility as of March 31, 2021 and December 31, 2020.</w:t>
      </w:r>
    </w:p>
    <w:p>
      <w:pPr>
        <w:spacing w:after="0" w:line="170"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As of both March 31, 2021 and December 31, 2020, the Company had $0 drawn on the SVB Line of Credit. The Company recorded interest expense on the SVB Line of Credit of $18,750 and $0 during the three months ended March 31, 2021 and 2020, respectively.</w:t>
      </w:r>
    </w:p>
    <w:p>
      <w:pPr>
        <w:spacing w:after="0" w:line="180" w:lineRule="exact"/>
        <w:rPr>
          <w:sz w:val="20"/>
          <w:szCs w:val="20"/>
          <w:color w:val="auto"/>
        </w:rPr>
      </w:pPr>
    </w:p>
    <w:p>
      <w:pPr>
        <w:ind w:left="700" w:right="5879" w:hanging="650"/>
        <w:spacing w:after="0" w:line="566" w:lineRule="auto"/>
        <w:tabs>
          <w:tab w:leader="none" w:pos="592"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Arbitration/Litigation</w:t>
      </w:r>
    </w:p>
    <w:p>
      <w:pPr>
        <w:jc w:val="both"/>
        <w:ind w:left="700" w:right="59" w:firstLine="648"/>
        <w:spacing w:after="0" w:line="269" w:lineRule="auto"/>
        <w:rPr>
          <w:sz w:val="20"/>
          <w:szCs w:val="20"/>
          <w:color w:val="auto"/>
        </w:rPr>
      </w:pPr>
      <w:r>
        <w:rPr>
          <w:rFonts w:ascii="Arial" w:cs="Arial" w:eastAsia="Arial" w:hAnsi="Arial"/>
          <w:sz w:val="17"/>
          <w:szCs w:val="17"/>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by the vendor. On April 3, 2019, the vendor filed a Second Amended Demand for Arbitration (“SAD”) for breach of the Agreement. The vendor was seeking $25.0 million in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Arbitration Panel held additional hearings for the two remaining claims between August 17, 2020 and August 26, 2020. Final arguments were held on October 20, 2020. To expeditiously resolve the matter, the parties proposed a settlement to the panel on November 16, 2020. In December 2020, the Company finalized and settled the arbitration for $5.75 million without admission of liability to avoid further legal costs.</w:t>
      </w:r>
    </w:p>
    <w:p>
      <w:pPr>
        <w:spacing w:after="0" w:line="179" w:lineRule="exact"/>
        <w:rPr>
          <w:sz w:val="20"/>
          <w:szCs w:val="20"/>
          <w:color w:val="auto"/>
        </w:rPr>
      </w:pPr>
    </w:p>
    <w:p>
      <w:pPr>
        <w:jc w:val="both"/>
        <w:ind w:left="700" w:right="59" w:firstLine="648"/>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tabs>
          <w:tab w:leader="none" w:pos="660" w:val="left"/>
        </w:tabs>
        <w:rPr>
          <w:sz w:val="20"/>
          <w:szCs w:val="20"/>
          <w:color w:val="auto"/>
        </w:rPr>
      </w:pPr>
      <w:r>
        <w:rPr>
          <w:rFonts w:ascii="Arial" w:cs="Arial" w:eastAsia="Arial" w:hAnsi="Arial"/>
          <w:sz w:val="18"/>
          <w:szCs w:val="18"/>
          <w:color w:val="auto"/>
        </w:rPr>
        <w:t>8</w:t>
      </w:r>
      <w:r>
        <w:rPr>
          <w:rFonts w:ascii="Arial" w:cs="Arial" w:eastAsia="Arial" w:hAnsi="Arial"/>
          <w:sz w:val="18"/>
          <w:szCs w:val="18"/>
          <w:b w:val="1"/>
          <w:bCs w:val="1"/>
          <w:color w:val="auto"/>
        </w:rPr>
        <w:t>.</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ind w:left="700" w:right="7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which was included in the statements of operations as follows (in thousands):</w:t>
      </w:r>
    </w:p>
    <w:p>
      <w:pPr>
        <w:spacing w:after="0" w:line="175" w:lineRule="exact"/>
        <w:rPr>
          <w:sz w:val="20"/>
          <w:szCs w:val="20"/>
          <w:color w:val="auto"/>
        </w:rPr>
      </w:pPr>
    </w:p>
    <w:p>
      <w:pPr>
        <w:jc w:val="center"/>
        <w:ind w:left="5900"/>
        <w:spacing w:after="0"/>
        <w:rPr>
          <w:sz w:val="20"/>
          <w:szCs w:val="20"/>
          <w:color w:val="auto"/>
        </w:rPr>
      </w:pPr>
      <w:r>
        <w:rPr>
          <w:rFonts w:ascii="Arial" w:cs="Arial" w:eastAsia="Arial" w:hAnsi="Arial"/>
          <w:sz w:val="14"/>
          <w:szCs w:val="14"/>
          <w:b w:val="1"/>
          <w:bCs w:val="1"/>
          <w:color w:val="auto"/>
        </w:rPr>
        <w:t>Three Months Ended</w:t>
      </w:r>
    </w:p>
    <w:p>
      <w:pPr>
        <w:jc w:val="center"/>
        <w:ind w:left="59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0" w:type="dxa"/>
            <w:vAlign w:val="bottom"/>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services</w:t>
            </w: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1,287</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20" w:type="dxa"/>
            <w:vAlign w:val="bottom"/>
            <w:gridSpan w:val="2"/>
          </w:tcPr>
          <w:p>
            <w:pPr>
              <w:ind w:left="20"/>
              <w:spacing w:after="0"/>
              <w:rPr>
                <w:sz w:val="20"/>
                <w:szCs w:val="20"/>
                <w:color w:val="auto"/>
              </w:rPr>
            </w:pPr>
            <w:r>
              <w:rPr>
                <w:rFonts w:ascii="Arial" w:cs="Arial" w:eastAsia="Arial" w:hAnsi="Arial"/>
                <w:sz w:val="18"/>
                <w:szCs w:val="18"/>
                <w:color w:val="auto"/>
              </w:rPr>
              <w:t>Selling and marketing</w:t>
            </w:r>
          </w:p>
        </w:tc>
        <w:tc>
          <w:tcPr>
            <w:tcW w:w="8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3,066</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00" w:type="dxa"/>
            <w:vAlign w:val="bottom"/>
            <w:tcBorders>
              <w:bottom w:val="single" w:sz="8" w:color="auto"/>
            </w:tcBorders>
          </w:tcPr>
          <w:p>
            <w:pPr>
              <w:jc w:val="right"/>
              <w:ind w:right="61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5,034</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jc w:val="right"/>
              <w:spacing w:after="0"/>
              <w:rPr>
                <w:sz w:val="20"/>
                <w:szCs w:val="20"/>
                <w:color w:val="auto"/>
              </w:rPr>
            </w:pPr>
            <w:r>
              <w:rPr>
                <w:rFonts w:ascii="Arial" w:cs="Arial" w:eastAsia="Arial" w:hAnsi="Arial"/>
                <w:sz w:val="17"/>
                <w:szCs w:val="17"/>
                <w:color w:val="auto"/>
                <w:w w:val="70"/>
              </w:rPr>
              <w:t>9</w:t>
            </w:r>
            <w:r>
              <w:rPr>
                <w:rFonts w:ascii="Arial" w:cs="Arial" w:eastAsia="Arial" w:hAnsi="Arial"/>
                <w:sz w:val="17"/>
                <w:szCs w:val="17"/>
                <w:b w:val="1"/>
                <w:bCs w:val="1"/>
                <w:color w:val="auto"/>
                <w:w w:val="70"/>
              </w:rPr>
              <w:t>.</w:t>
            </w:r>
          </w:p>
        </w:tc>
        <w:tc>
          <w:tcPr>
            <w:tcW w:w="582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Income Taxes</w:t>
            </w: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 w:type="dxa"/>
            <w:vAlign w:val="bottom"/>
            <w:gridSpan w:val="2"/>
            <w:vMerge w:val="continue"/>
          </w:tcPr>
          <w:p>
            <w:pPr>
              <w:spacing w:after="0"/>
              <w:rPr>
                <w:sz w:val="24"/>
                <w:szCs w:val="24"/>
                <w:color w:val="auto"/>
              </w:rPr>
            </w:pPr>
          </w:p>
        </w:tc>
        <w:tc>
          <w:tcPr>
            <w:tcW w:w="582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700" w:right="59" w:firstLine="648"/>
        <w:spacing w:after="0" w:line="271" w:lineRule="auto"/>
        <w:rPr>
          <w:sz w:val="20"/>
          <w:szCs w:val="20"/>
          <w:color w:val="auto"/>
        </w:rPr>
      </w:pPr>
      <w:r>
        <w:rPr>
          <w:rFonts w:ascii="Arial" w:cs="Arial" w:eastAsia="Arial" w:hAnsi="Arial"/>
          <w:sz w:val="17"/>
          <w:szCs w:val="17"/>
          <w:color w:val="auto"/>
        </w:rPr>
        <w:t>For the three months ended March 31, 2021 and 2020, the Company calculated its year-to-date provision for income taxes by applying the estimated annual effective tax rate to the year-to-date profit from operations before income taxes and adjusts the provision for income taxes for discrete tax items recorded in the period. The Company updates its estimate of its annual effective tax rate at the end of each quarterly period. The estimate takes into account annual forecasted income before income taxes and any significant permanent tax items. During the three months ended March 31, 2021, the Company recorded a benefit for taxes of $3.4 million primarily due to equity compensation activity that occurred during the period. During the three months ended March 31, 2020, the Company recorded a provision for taxes of $0.1 million.</w:t>
      </w:r>
    </w:p>
    <w:p>
      <w:pPr>
        <w:spacing w:after="0" w:line="174" w:lineRule="exact"/>
        <w:rPr>
          <w:sz w:val="20"/>
          <w:szCs w:val="20"/>
          <w:color w:val="auto"/>
        </w:rPr>
      </w:pPr>
    </w:p>
    <w:p>
      <w:pPr>
        <w:ind w:left="780" w:hanging="730"/>
        <w:spacing w:after="0"/>
        <w:tabs>
          <w:tab w:leader="none" w:pos="7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Share</w:t>
      </w:r>
    </w:p>
    <w:p>
      <w:pPr>
        <w:spacing w:after="0" w:line="229"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Basic net income per share attributable to common stockholders is calculated by dividing the net income attributable to common stockholders by the weighted-average number of shares of common stock outstanding for the period.</w:t>
      </w:r>
    </w:p>
    <w:p>
      <w:pPr>
        <w:spacing w:after="0" w:line="184" w:lineRule="exact"/>
        <w:rPr>
          <w:sz w:val="20"/>
          <w:szCs w:val="20"/>
          <w:color w:val="auto"/>
        </w:rPr>
      </w:pPr>
    </w:p>
    <w:p>
      <w:pPr>
        <w:jc w:val="both"/>
        <w:ind w:left="700" w:right="59" w:firstLine="648"/>
        <w:spacing w:after="0" w:line="254" w:lineRule="auto"/>
        <w:rPr>
          <w:sz w:val="20"/>
          <w:szCs w:val="20"/>
          <w:color w:val="auto"/>
        </w:rPr>
      </w:pPr>
      <w:r>
        <w:rPr>
          <w:rFonts w:ascii="Arial" w:cs="Arial" w:eastAsia="Arial" w:hAnsi="Arial"/>
          <w:sz w:val="18"/>
          <w:szCs w:val="18"/>
          <w:color w:val="auto"/>
        </w:rPr>
        <w:t>Diluted net income per share attributable to common stockholders is computed by dividing the diluted net income attributable to common stockholders by the weighted average number of common shares outstanding for the period, including potential dilutive common shares assuming dilutive effect of outstanding common stock options, restricted stock units, and common stock warrants. In periods when the Company has incurred a net loss, diluted net loss per share attributable to common stockholders is the same as basic net loss per share attributable to common stockholders because dilutive common shares are not assumed to have been issued if their effect is anti-dilutive.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700" w:right="59" w:firstLine="648"/>
        <w:spacing w:after="0" w:line="342" w:lineRule="auto"/>
        <w:rPr>
          <w:sz w:val="20"/>
          <w:szCs w:val="20"/>
          <w:color w:val="auto"/>
        </w:rPr>
      </w:pPr>
      <w:r>
        <w:rPr>
          <w:rFonts w:ascii="Arial" w:cs="Arial" w:eastAsia="Arial" w:hAnsi="Arial"/>
          <w:sz w:val="16"/>
          <w:szCs w:val="16"/>
          <w:color w:val="auto"/>
        </w:rPr>
        <w:t>A reconciliation of net income available to common stockholders and the number of shares in the calculation of basic and diluted net income per share follows (in thousands, except share and per share amounts):</w:t>
      </w:r>
    </w:p>
    <w:p>
      <w:pPr>
        <w:spacing w:after="0" w:line="129" w:lineRule="exact"/>
        <w:rPr>
          <w:sz w:val="20"/>
          <w:szCs w:val="20"/>
          <w:color w:val="auto"/>
        </w:rPr>
      </w:pPr>
    </w:p>
    <w:p>
      <w:pPr>
        <w:jc w:val="center"/>
        <w:ind w:left="6620"/>
        <w:spacing w:after="0"/>
        <w:rPr>
          <w:sz w:val="20"/>
          <w:szCs w:val="20"/>
          <w:color w:val="auto"/>
        </w:rPr>
      </w:pPr>
      <w:r>
        <w:rPr>
          <w:rFonts w:ascii="Arial" w:cs="Arial" w:eastAsia="Arial" w:hAnsi="Arial"/>
          <w:sz w:val="14"/>
          <w:szCs w:val="14"/>
          <w:b w:val="1"/>
          <w:bCs w:val="1"/>
          <w:color w:val="auto"/>
        </w:rPr>
        <w:t>Three Months Ended</w:t>
      </w:r>
    </w:p>
    <w:p>
      <w:pPr>
        <w:jc w:val="center"/>
        <w:ind w:left="66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Basic net income per common share:</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6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6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color w:val="auto"/>
              </w:rPr>
              <w:t>Denominator:</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per share attributable to common</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stockholders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87,404,287</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84,537,538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Basic net income per share attributable to common stockholders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tcPr>
          <w:p>
            <w:pPr>
              <w:spacing w:after="0"/>
              <w:rPr>
                <w:sz w:val="20"/>
                <w:szCs w:val="20"/>
                <w:color w:val="auto"/>
              </w:rPr>
            </w:pPr>
            <w:r>
              <w:rPr>
                <w:rFonts w:ascii="Arial" w:cs="Arial" w:eastAsia="Arial" w:hAnsi="Arial"/>
                <w:sz w:val="16"/>
                <w:szCs w:val="16"/>
                <w:b w:val="1"/>
                <w:bCs w:val="1"/>
                <w:color w:val="auto"/>
              </w:rPr>
              <w:t>Diluted net income per common share: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Numerator: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00" w:type="dxa"/>
            <w:vAlign w:val="bottom"/>
          </w:tcPr>
          <w:p>
            <w:pPr>
              <w:ind w:left="200"/>
              <w:spacing w:after="0"/>
              <w:rPr>
                <w:sz w:val="20"/>
                <w:szCs w:val="20"/>
                <w:color w:val="auto"/>
              </w:rPr>
            </w:pPr>
            <w:r>
              <w:rPr>
                <w:rFonts w:ascii="Arial" w:cs="Arial" w:eastAsia="Arial" w:hAnsi="Arial"/>
                <w:sz w:val="16"/>
                <w:szCs w:val="16"/>
                <w:color w:val="auto"/>
              </w:rPr>
              <w:t>Net income attributable to common stockholders</w:t>
            </w:r>
          </w:p>
        </w:tc>
        <w:tc>
          <w:tcPr>
            <w:tcW w:w="26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15,166</w:t>
            </w:r>
          </w:p>
        </w:tc>
        <w:tc>
          <w:tcPr>
            <w:tcW w:w="36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 net income attributable to common stockholders</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15,166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6"/>
                <w:szCs w:val="16"/>
                <w:color w:val="auto"/>
              </w:rPr>
              <w:t>Denominator:</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00" w:type="dxa"/>
            <w:vAlign w:val="bottom"/>
          </w:tcPr>
          <w:p>
            <w:pPr>
              <w:ind w:left="100"/>
              <w:spacing w:after="0"/>
              <w:rPr>
                <w:sz w:val="20"/>
                <w:szCs w:val="20"/>
                <w:color w:val="auto"/>
              </w:rPr>
            </w:pPr>
            <w:r>
              <w:rPr>
                <w:rFonts w:ascii="Arial" w:cs="Arial" w:eastAsia="Arial" w:hAnsi="Arial"/>
                <w:sz w:val="16"/>
                <w:szCs w:val="16"/>
                <w:color w:val="auto"/>
                <w:w w:val="93"/>
              </w:rPr>
              <w:t>Weighted-average shares used in computing basic net income per share attributable to common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100"/>
              <w:spacing w:after="0"/>
              <w:rPr>
                <w:sz w:val="20"/>
                <w:szCs w:val="20"/>
                <w:color w:val="auto"/>
              </w:rPr>
            </w:pPr>
            <w:r>
              <w:rPr>
                <w:rFonts w:ascii="Arial" w:cs="Arial" w:eastAsia="Arial" w:hAnsi="Arial"/>
                <w:sz w:val="16"/>
                <w:szCs w:val="16"/>
                <w:color w:val="auto"/>
              </w:rPr>
              <w:t>stockholder</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87,404,287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84,537,538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5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Effect of dilutive securities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12,702,210</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7"/>
              </w:rPr>
              <w:t>15,127,620</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500" w:type="dxa"/>
            <w:vAlign w:val="bottom"/>
          </w:tcPr>
          <w:p>
            <w:pPr>
              <w:ind w:left="100"/>
              <w:spacing w:after="0" w:line="173" w:lineRule="exact"/>
              <w:rPr>
                <w:sz w:val="20"/>
                <w:szCs w:val="20"/>
                <w:color w:val="auto"/>
              </w:rPr>
            </w:pPr>
            <w:r>
              <w:rPr>
                <w:rFonts w:ascii="Arial" w:cs="Arial" w:eastAsia="Arial" w:hAnsi="Arial"/>
                <w:sz w:val="16"/>
                <w:szCs w:val="16"/>
                <w:color w:val="auto"/>
                <w:w w:val="92"/>
              </w:rPr>
              <w:t>Weighted-average shares used in computing diluted net income per share attributable to common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stockholders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100,106,497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99,665,158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Diluted net income per share attributable to common stockholders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00" w:right="59" w:firstLine="648"/>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loss per share attributable to common stockholders for the period presented because including them would have been antidilutive:</w:t>
      </w:r>
    </w:p>
    <w:p>
      <w:pPr>
        <w:spacing w:after="0" w:line="189"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w:t>
      </w:r>
    </w:p>
    <w:p>
      <w:pPr>
        <w:ind w:left="69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640" w:type="dxa"/>
            <w:vAlign w:val="bottom"/>
            <w:tcBorders>
              <w:top w:val="single" w:sz="8" w:color="auto"/>
              <w:bottom w:val="single" w:sz="8" w:color="auto"/>
            </w:tcBorders>
          </w:tcPr>
          <w:p>
            <w:pPr>
              <w:jc w:val="right"/>
              <w:ind w:right="5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389,514</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256,679</w:t>
            </w: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Shares issuable under ESPP</w:t>
            </w:r>
          </w:p>
        </w:tc>
        <w:tc>
          <w:tcPr>
            <w:tcW w:w="640" w:type="dxa"/>
            <w:vAlign w:val="bottom"/>
          </w:tcPr>
          <w:p>
            <w:pPr>
              <w:jc w:val="right"/>
              <w:spacing w:after="0"/>
              <w:rPr>
                <w:sz w:val="20"/>
                <w:szCs w:val="20"/>
                <w:color w:val="auto"/>
              </w:rPr>
            </w:pPr>
            <w:r>
              <w:rPr>
                <w:rFonts w:ascii="Arial" w:cs="Arial" w:eastAsia="Arial" w:hAnsi="Arial"/>
                <w:sz w:val="18"/>
                <w:szCs w:val="18"/>
                <w:color w:val="auto"/>
              </w:rPr>
              <w:t>2,055</w:t>
            </w: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115,741</w:t>
            </w:r>
          </w:p>
        </w:tc>
      </w:tr>
      <w:tr>
        <w:trPr>
          <w:trHeight w:val="210"/>
        </w:trPr>
        <w:tc>
          <w:tcPr>
            <w:tcW w:w="5520" w:type="dxa"/>
            <w:vAlign w:val="bottom"/>
          </w:tcPr>
          <w:p>
            <w:pPr>
              <w:ind w:left="32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395,669</w:t>
            </w:r>
          </w:p>
        </w:tc>
        <w:tc>
          <w:tcPr>
            <w:tcW w:w="1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372,420</w:t>
            </w: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right="21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financial statements and the related notes and other financial information included elsewhere in this Quarterly Report on Form 10-Q and our Annual Report on Form 10-K for the year ended December 31, 2020, filed with the Securities and Exchange Commission, or the SEC, on March 1, 2021.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in this Quarterly Report on Form 10-Q.</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base of current clients under contract to over 180. We have retained substantially all of our clients since inception, and our member satisfaction is evidenced by our industry-leading Net Promoter Score, or NPS, of +79 for our fertility benefits solution and +81 for our integrated pharmacy benefits solution, Progyny Rx as of December 31, 2020. We currently have contracts to provide coverage to approximately 2.7 million employees and their partners (known in our industry as covered lives), who we refer to as our members. We have achieved this growth by demonstrating that our purpose-built, data-driven and disruptive platform consistently delivers superior clinical outcomes in a cost-efficient manner while driving exceptional client and member satisfaction. Our members experience healthier pregnancies and superior rates of pregnancy and live births, as well as reduced rates of miscarriages and multiple births, saving valuable time and money and limiting personal and professional disruption.</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210"/>
              <w:spacing w:after="0" w:line="161" w:lineRule="exact"/>
              <w:rPr>
                <w:sz w:val="20"/>
                <w:szCs w:val="20"/>
                <w:color w:val="auto"/>
              </w:rPr>
            </w:pPr>
            <w:r>
              <w:rPr>
                <w:rFonts w:ascii="Arial" w:cs="Arial" w:eastAsia="Arial" w:hAnsi="Arial"/>
                <w:sz w:val="14"/>
                <w:szCs w:val="14"/>
                <w:b w:val="1"/>
                <w:bCs w:val="1"/>
                <w:color w:val="auto"/>
                <w:w w:val="95"/>
              </w:rPr>
              <w:t>Progyny In</w:t>
            </w:r>
            <w:r>
              <w:rPr>
                <w:rFonts w:ascii="MS PGothic" w:cs="MS PGothic" w:eastAsia="MS PGothic" w:hAnsi="MS PGothic"/>
                <w:sz w:val="14"/>
                <w:szCs w:val="14"/>
                <w:b w:val="1"/>
                <w:bCs w:val="1"/>
                <w:color w:val="auto"/>
                <w:w w:val="95"/>
              </w:rPr>
              <w:t>‑</w:t>
            </w:r>
            <w:r>
              <w:rPr>
                <w:rFonts w:ascii="Arial" w:cs="Arial" w:eastAsia="Arial" w:hAnsi="Arial"/>
                <w:sz w:val="14"/>
                <w:szCs w:val="14"/>
                <w:b w:val="1"/>
                <w:bCs w:val="1"/>
                <w:color w:val="auto"/>
                <w:w w:val="95"/>
              </w:rPr>
              <w:t>Network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1"/>
              </w:rPr>
              <w:t>National Averages</w:t>
            </w:r>
          </w:p>
        </w:tc>
        <w:tc>
          <w:tcPr>
            <w:tcW w:w="186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184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186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5"/>
              </w:rPr>
              <w:t>Provider Clinic</w:t>
            </w:r>
          </w:p>
        </w:tc>
        <w:tc>
          <w:tcPr>
            <w:tcW w:w="18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4"/>
        </w:trPr>
        <w:tc>
          <w:tcPr>
            <w:tcW w:w="3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Outcome</w:t>
            </w:r>
          </w:p>
        </w:tc>
        <w:tc>
          <w:tcPr>
            <w:tcW w:w="1840" w:type="dxa"/>
            <w:vAlign w:val="bottom"/>
            <w:gridSpan w:val="2"/>
          </w:tcPr>
          <w:p>
            <w:pPr>
              <w:jc w:val="center"/>
              <w:ind w:right="190"/>
              <w:spacing w:after="0" w:line="145" w:lineRule="exact"/>
              <w:rPr>
                <w:sz w:val="20"/>
                <w:szCs w:val="20"/>
                <w:color w:val="auto"/>
              </w:rPr>
            </w:pPr>
            <w:r>
              <w:rPr>
                <w:rFonts w:ascii="Arial" w:cs="Arial" w:eastAsia="Arial" w:hAnsi="Arial"/>
                <w:sz w:val="14"/>
                <w:szCs w:val="14"/>
                <w:b w:val="1"/>
                <w:bCs w:val="1"/>
                <w:color w:val="auto"/>
                <w:w w:val="94"/>
              </w:rPr>
              <w:t>for All Provider</w:t>
            </w:r>
          </w:p>
        </w:tc>
        <w:tc>
          <w:tcPr>
            <w:tcW w:w="186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88"/>
              </w:rPr>
              <w:t>Averages</w:t>
            </w:r>
          </w:p>
        </w:tc>
        <w:tc>
          <w:tcPr>
            <w:tcW w:w="1840" w:type="dxa"/>
            <w:vAlign w:val="bottom"/>
            <w:gridSpan w:val="2"/>
          </w:tcPr>
          <w:p>
            <w:pPr>
              <w:jc w:val="center"/>
              <w:ind w:right="210"/>
              <w:spacing w:after="0" w:line="145" w:lineRule="exact"/>
              <w:rPr>
                <w:sz w:val="20"/>
                <w:szCs w:val="20"/>
                <w:color w:val="auto"/>
              </w:rPr>
            </w:pPr>
            <w:r>
              <w:rPr>
                <w:rFonts w:ascii="Arial" w:cs="Arial" w:eastAsia="Arial" w:hAnsi="Arial"/>
                <w:sz w:val="14"/>
                <w:szCs w:val="14"/>
                <w:b w:val="1"/>
                <w:bCs w:val="1"/>
                <w:color w:val="auto"/>
                <w:w w:val="94"/>
              </w:rPr>
              <w:t>for Progyny</w:t>
            </w:r>
          </w:p>
        </w:tc>
        <w:tc>
          <w:tcPr>
            <w:tcW w:w="0" w:type="dxa"/>
            <w:vAlign w:val="bottom"/>
          </w:tcPr>
          <w:p>
            <w:pPr>
              <w:spacing w:after="0"/>
              <w:rPr>
                <w:sz w:val="1"/>
                <w:szCs w:val="1"/>
                <w:color w:val="auto"/>
              </w:rPr>
            </w:pPr>
          </w:p>
        </w:tc>
      </w:tr>
      <w:tr>
        <w:trPr>
          <w:trHeight w:val="175"/>
        </w:trPr>
        <w:tc>
          <w:tcPr>
            <w:tcW w:w="3360" w:type="dxa"/>
            <w:vAlign w:val="bottom"/>
            <w:gridSpan w:val="3"/>
            <w:vMerge w:val="continue"/>
          </w:tcPr>
          <w:p>
            <w:pPr>
              <w:spacing w:after="0"/>
              <w:rPr>
                <w:sz w:val="15"/>
                <w:szCs w:val="15"/>
                <w:color w:val="auto"/>
              </w:rPr>
            </w:pPr>
          </w:p>
        </w:tc>
        <w:tc>
          <w:tcPr>
            <w:tcW w:w="184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1"/>
              </w:rPr>
              <w:t>Clinics</w:t>
            </w:r>
          </w:p>
        </w:tc>
        <w:tc>
          <w:tcPr>
            <w:tcW w:w="186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for All Patients</w:t>
            </w:r>
          </w:p>
        </w:tc>
        <w:tc>
          <w:tcPr>
            <w:tcW w:w="1840" w:type="dxa"/>
            <w:vAlign w:val="bottom"/>
            <w:gridSpan w:val="2"/>
          </w:tcPr>
          <w:p>
            <w:pPr>
              <w:jc w:val="center"/>
              <w:ind w:right="210"/>
              <w:spacing w:after="0" w:line="176" w:lineRule="exact"/>
              <w:rPr>
                <w:sz w:val="20"/>
                <w:szCs w:val="20"/>
                <w:color w:val="auto"/>
              </w:rPr>
            </w:pPr>
            <w:r>
              <w:rPr>
                <w:rFonts w:ascii="Arial" w:cs="Arial" w:eastAsia="Arial" w:hAnsi="Arial"/>
                <w:sz w:val="14"/>
                <w:szCs w:val="14"/>
                <w:b w:val="1"/>
                <w:bCs w:val="1"/>
                <w:color w:val="auto"/>
                <w:w w:val="93"/>
              </w:rPr>
              <w:t>Members Only</w:t>
            </w:r>
            <w:r>
              <w:rPr>
                <w:rFonts w:ascii="Arial" w:cs="Arial" w:eastAsia="Arial" w:hAnsi="Arial"/>
                <w:sz w:val="20"/>
                <w:szCs w:val="20"/>
                <w:b w:val="1"/>
                <w:bCs w:val="1"/>
                <w:color w:val="auto"/>
                <w:w w:val="93"/>
                <w:vertAlign w:val="superscript"/>
              </w:rPr>
              <w:t>(3)</w:t>
            </w:r>
          </w:p>
        </w:tc>
        <w:tc>
          <w:tcPr>
            <w:tcW w:w="0" w:type="dxa"/>
            <w:vAlign w:val="bottom"/>
          </w:tcPr>
          <w:p>
            <w:pPr>
              <w:spacing w:after="0"/>
              <w:rPr>
                <w:sz w:val="1"/>
                <w:szCs w:val="1"/>
                <w:color w:val="auto"/>
              </w:rPr>
            </w:pPr>
          </w:p>
        </w:tc>
      </w:tr>
      <w:tr>
        <w:trPr>
          <w:trHeight w:val="210"/>
        </w:trPr>
        <w:tc>
          <w:tcPr>
            <w:tcW w:w="3060" w:type="dxa"/>
            <w:vAlign w:val="bottom"/>
            <w:tcBorders>
              <w:top w:val="single" w:sz="8" w:color="auto"/>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3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30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53.0 %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54.7 %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18.6 %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18.4 %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3360" w:type="dxa"/>
            <w:vAlign w:val="bottom"/>
            <w:gridSpan w:val="3"/>
          </w:tcPr>
          <w:p>
            <w:pPr>
              <w:ind w:left="20"/>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42.2 %</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43.6 %</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16"/>
        </w:trPr>
        <w:tc>
          <w:tcPr>
            <w:tcW w:w="3360" w:type="dxa"/>
            <w:vAlign w:val="bottom"/>
            <w:gridSpan w:val="3"/>
            <w:shd w:val="clear" w:color="auto" w:fill="CCEEFF"/>
          </w:tcPr>
          <w:p>
            <w:pPr>
              <w:ind w:left="20"/>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9.9 %</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9.1 %</w:t>
            </w:r>
          </w:p>
        </w:tc>
        <w:tc>
          <w:tcPr>
            <w:tcW w:w="18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40" w:right="279" w:hanging="315"/>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Society for Assisted Reproductive Technology, or SART, 2018 National Summary Report, finalized in 2021.</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CDC, 2019 National Summary and Clinic Data Sets, published in 2021.</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Calculated based on the 12-month period ended December 31, 2020.</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b w:val="1"/>
          <w:bCs w:val="1"/>
          <w:i w:val="1"/>
          <w:iCs w:val="1"/>
          <w:color w:val="auto"/>
        </w:rPr>
        <w:t>Fertility Benefits Solution</w:t>
      </w:r>
      <w:r>
        <w:rPr>
          <w:rFonts w:ascii="Arial" w:cs="Arial" w:eastAsia="Arial" w:hAnsi="Arial"/>
          <w:sz w:val="16"/>
          <w:szCs w:val="16"/>
          <w:color w:val="auto"/>
        </w:rPr>
        <w:t>. Our fertility benefits solution includes providing members with access to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vitro fertilization, or IVF, preimplantation genetic testing). We currently offer 17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or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95"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b w:val="1"/>
          <w:bCs w:val="1"/>
          <w:i w:val="1"/>
          <w:iCs w:val="1"/>
          <w:color w:val="auto"/>
        </w:rPr>
        <w:t xml:space="preserve">Progyny Rx. </w:t>
      </w:r>
      <w:r>
        <w:rPr>
          <w:rFonts w:ascii="Arial" w:cs="Arial" w:eastAsia="Arial" w:hAnsi="Arial"/>
          <w:sz w:val="18"/>
          <w:szCs w:val="18"/>
          <w:color w:val="auto"/>
        </w:rPr>
        <w:t>We went live with our integrated pharmacy benefits solution in 2018. Progyny Rx can only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purchased by clients that purchase our fertility benefits solution.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b w:val="1"/>
          <w:bCs w:val="1"/>
          <w:i w:val="1"/>
          <w:iCs w:val="1"/>
          <w:color w:val="auto"/>
        </w:rPr>
        <w:t xml:space="preserve">Our Clients. </w:t>
      </w:r>
      <w:r>
        <w:rPr>
          <w:rFonts w:ascii="Arial" w:cs="Arial" w:eastAsia="Arial" w:hAnsi="Arial"/>
          <w:sz w:val="16"/>
          <w:szCs w:val="16"/>
          <w:color w:val="auto"/>
        </w:rPr>
        <w:t>We currently have contracts to serve over 180 employers in the United States across more than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Our current clients, who are industry leaders across both high-growth and mature industries and who range in size from approximately 1,000 to 500,000 employees, represent approximately 2.7 million covered lives under contract.</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jc w:val="both"/>
        <w:ind w:left="1040" w:right="79" w:hanging="315"/>
        <w:spacing w:after="0" w:line="254"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jc w:val="both"/>
        <w:ind w:left="1040" w:right="79" w:hanging="315"/>
        <w:spacing w:after="0" w:line="275"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Population-Based Component. </w:t>
      </w:r>
      <w:r>
        <w:rPr>
          <w:rFonts w:ascii="Arial" w:cs="Arial" w:eastAsia="Arial" w:hAnsi="Arial"/>
          <w:sz w:val="17"/>
          <w:szCs w:val="17"/>
          <w:color w:val="auto"/>
        </w:rPr>
        <w:t>Clients who purchase our fertility benefits solution also typically pay 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and 2% of our total revenue for the three months ended March 31, 2021 and 2020, respectively.</w:t>
      </w:r>
    </w:p>
    <w:p>
      <w:pPr>
        <w:spacing w:after="0" w:line="176" w:lineRule="exact"/>
        <w:rPr>
          <w:sz w:val="20"/>
          <w:szCs w:val="20"/>
          <w:color w:val="auto"/>
        </w:rPr>
      </w:pPr>
    </w:p>
    <w:p>
      <w:pPr>
        <w:jc w:val="both"/>
        <w:ind w:left="60" w:right="59" w:firstLine="648"/>
        <w:spacing w:after="0" w:line="237" w:lineRule="auto"/>
        <w:rPr>
          <w:sz w:val="20"/>
          <w:szCs w:val="20"/>
          <w:color w:val="auto"/>
        </w:rPr>
      </w:pPr>
      <w:r>
        <w:rPr>
          <w:rFonts w:ascii="Arial" w:cs="Arial" w:eastAsia="Arial" w:hAnsi="Arial"/>
          <w:sz w:val="18"/>
          <w:szCs w:val="18"/>
          <w:color w:val="auto"/>
        </w:rPr>
        <w:t>Our revenue in a given year is determined by both the utilization of our fertility benefits and Progyny Rx solutions by our members and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340"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w:t>
      </w:r>
      <w:r>
        <w:rPr>
          <w:rFonts w:ascii="Arial" w:cs="Arial" w:eastAsia="Arial" w:hAnsi="Arial"/>
          <w:sz w:val="23"/>
          <w:szCs w:val="23"/>
          <w:color w:val="auto"/>
          <w:vertAlign w:val="superscript"/>
        </w:rPr>
        <w:t>st</w:t>
      </w:r>
      <w:r>
        <w:rPr>
          <w:rFonts w:ascii="Arial" w:cs="Arial" w:eastAsia="Arial" w:hAnsi="Arial"/>
          <w:sz w:val="16"/>
          <w:szCs w:val="16"/>
          <w:color w:val="auto"/>
        </w:rPr>
        <w:t xml:space="preserve"> plan year start.</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In addition to the measures presented in our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jc w:val="both"/>
        <w:ind w:left="60" w:right="59" w:firstLine="363"/>
        <w:spacing w:after="0" w:line="289" w:lineRule="auto"/>
        <w:rPr>
          <w:sz w:val="20"/>
          <w:szCs w:val="20"/>
          <w:color w:val="auto"/>
        </w:rPr>
      </w:pPr>
      <w:r>
        <w:rPr>
          <w:rFonts w:ascii="Arial" w:cs="Arial" w:eastAsia="Arial" w:hAnsi="Arial"/>
          <w:sz w:val="16"/>
          <w:szCs w:val="16"/>
          <w:b w:val="1"/>
          <w:bCs w:val="1"/>
          <w:i w:val="1"/>
          <w:iCs w:val="1"/>
          <w:color w:val="auto"/>
        </w:rPr>
        <w:t xml:space="preserve">Member and Client Base. </w:t>
      </w:r>
      <w:r>
        <w:rPr>
          <w:rFonts w:ascii="Arial" w:cs="Arial" w:eastAsia="Arial" w:hAnsi="Arial"/>
          <w:sz w:val="16"/>
          <w:szCs w:val="16"/>
          <w:color w:val="auto"/>
        </w:rPr>
        <w:t>Our addressable market is primarily large self-insured employers. There are approximately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8,000 employers in the United States (excluding quasi-governmental entities, such as universities and school systems, and labor unions) who have a minimum of 1,000 employees, representing approximately 69 million potential covered lives in total. Our current member base of approximately 2.7 million lives under contract represents a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March 31, 2021 and December 31, 2020, we served 179 and 135 clients, respectively.</w:t>
      </w:r>
    </w:p>
    <w:p>
      <w:pPr>
        <w:spacing w:after="0" w:line="16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 March 31,</w:t>
            </w: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142"/>
        </w:trPr>
        <w:tc>
          <w:tcPr>
            <w:tcW w:w="3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Client Tier (Members)</w:t>
            </w:r>
          </w:p>
        </w:tc>
        <w:tc>
          <w:tcPr>
            <w:tcW w:w="15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126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00" w:type="dxa"/>
            <w:vAlign w:val="bottom"/>
            <w:gridSpan w:val="2"/>
            <w:vMerge w:val="continue"/>
          </w:tcPr>
          <w:p>
            <w:pPr>
              <w:spacing w:after="0"/>
              <w:rPr>
                <w:sz w:val="12"/>
                <w:szCs w:val="12"/>
                <w:color w:val="auto"/>
              </w:rPr>
            </w:pPr>
          </w:p>
        </w:tc>
        <w:tc>
          <w:tcPr>
            <w:tcW w:w="1880" w:type="dxa"/>
            <w:vAlign w:val="bottom"/>
            <w:gridSpan w:val="3"/>
          </w:tcPr>
          <w:p>
            <w:pPr>
              <w:jc w:val="right"/>
              <w:ind w:right="1040"/>
              <w:spacing w:after="0" w:line="142" w:lineRule="exact"/>
              <w:rPr>
                <w:sz w:val="20"/>
                <w:szCs w:val="20"/>
                <w:color w:val="auto"/>
              </w:rPr>
            </w:pPr>
            <w:r>
              <w:rPr>
                <w:rFonts w:ascii="Arial" w:cs="Arial" w:eastAsia="Arial" w:hAnsi="Arial"/>
                <w:sz w:val="14"/>
                <w:szCs w:val="14"/>
                <w:b w:val="1"/>
                <w:bCs w:val="1"/>
                <w:color w:val="auto"/>
              </w:rPr>
              <w:t>Clients</w:t>
            </w: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w w:val="91"/>
              </w:rPr>
              <w:t>Members</w:t>
            </w:r>
          </w:p>
        </w:tc>
        <w:tc>
          <w:tcPr>
            <w:tcW w:w="300" w:type="dxa"/>
            <w:vAlign w:val="bottom"/>
          </w:tcPr>
          <w:p>
            <w:pPr>
              <w:spacing w:after="0"/>
              <w:rPr>
                <w:sz w:val="12"/>
                <w:szCs w:val="12"/>
                <w:color w:val="auto"/>
              </w:rPr>
            </w:pPr>
          </w:p>
        </w:tc>
        <w:tc>
          <w:tcPr>
            <w:tcW w:w="1260" w:type="dxa"/>
            <w:vAlign w:val="bottom"/>
          </w:tcPr>
          <w:p>
            <w:pPr>
              <w:jc w:val="right"/>
              <w:ind w:right="335"/>
              <w:spacing w:after="0" w:line="142" w:lineRule="exact"/>
              <w:rPr>
                <w:sz w:val="20"/>
                <w:szCs w:val="20"/>
                <w:color w:val="auto"/>
              </w:rPr>
            </w:pPr>
            <w:r>
              <w:rPr>
                <w:rFonts w:ascii="Arial" w:cs="Arial" w:eastAsia="Arial" w:hAnsi="Arial"/>
                <w:sz w:val="14"/>
                <w:szCs w:val="14"/>
                <w:b w:val="1"/>
                <w:bCs w:val="1"/>
                <w:color w:val="auto"/>
              </w:rPr>
              <w:t>Clients</w:t>
            </w:r>
          </w:p>
        </w:tc>
        <w:tc>
          <w:tcPr>
            <w:tcW w:w="280" w:type="dxa"/>
            <w:vAlign w:val="bottom"/>
          </w:tcPr>
          <w:p>
            <w:pPr>
              <w:spacing w:after="0"/>
              <w:rPr>
                <w:sz w:val="12"/>
                <w:szCs w:val="12"/>
                <w:color w:val="auto"/>
              </w:rPr>
            </w:pPr>
          </w:p>
        </w:tc>
        <w:tc>
          <w:tcPr>
            <w:tcW w:w="1260" w:type="dxa"/>
            <w:vAlign w:val="bottom"/>
          </w:tcPr>
          <w:p>
            <w:pPr>
              <w:jc w:val="right"/>
              <w:ind w:right="236"/>
              <w:spacing w:after="0" w:line="142" w:lineRule="exact"/>
              <w:rPr>
                <w:sz w:val="20"/>
                <w:szCs w:val="20"/>
                <w:color w:val="auto"/>
              </w:rPr>
            </w:pPr>
            <w:r>
              <w:rPr>
                <w:rFonts w:ascii="Arial" w:cs="Arial" w:eastAsia="Arial" w:hAnsi="Arial"/>
                <w:sz w:val="14"/>
                <w:szCs w:val="14"/>
                <w:b w:val="1"/>
                <w:bCs w:val="1"/>
                <w:color w:val="auto"/>
              </w:rPr>
              <w:t>Members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Up to 2,500</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ind w:left="20"/>
              <w:spacing w:after="0"/>
              <w:rPr>
                <w:sz w:val="20"/>
                <w:szCs w:val="20"/>
                <w:color w:val="auto"/>
              </w:rPr>
            </w:pPr>
            <w:r>
              <w:rPr>
                <w:rFonts w:ascii="Arial" w:cs="Arial" w:eastAsia="Arial" w:hAnsi="Arial"/>
                <w:sz w:val="18"/>
                <w:szCs w:val="18"/>
                <w:color w:val="auto"/>
              </w:rPr>
              <w:t>2,501 - 10,000</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469,000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10,001 - 50,000</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894,000</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Greater than 50,000</w:t>
            </w: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1,287,000</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1,259,000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2,719,000</w:t>
            </w:r>
          </w:p>
        </w:tc>
        <w:tc>
          <w:tcPr>
            <w:tcW w:w="3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8"/>
        </w:trPr>
        <w:tc>
          <w:tcPr>
            <w:tcW w:w="2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gridSpan w:val="3"/>
          </w:tcPr>
          <w:p>
            <w:pPr>
              <w:jc w:val="right"/>
              <w:ind w:right="320"/>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363"/>
        <w:spacing w:after="0" w:line="259" w:lineRule="auto"/>
        <w:rPr>
          <w:sz w:val="20"/>
          <w:szCs w:val="20"/>
          <w:color w:val="auto"/>
        </w:rPr>
      </w:pPr>
      <w:r>
        <w:rPr>
          <w:rFonts w:ascii="Arial" w:cs="Arial" w:eastAsia="Arial" w:hAnsi="Arial"/>
          <w:sz w:val="18"/>
          <w:szCs w:val="18"/>
          <w:b w:val="1"/>
          <w:bCs w:val="1"/>
          <w:i w:val="1"/>
          <w:iCs w:val="1"/>
          <w:color w:val="auto"/>
        </w:rPr>
        <w:t>Benefits Utilization</w:t>
      </w:r>
      <w:r>
        <w:rPr>
          <w:rFonts w:ascii="Arial" w:cs="Arial" w:eastAsia="Arial" w:hAnsi="Arial"/>
          <w:sz w:val="18"/>
          <w:szCs w:val="18"/>
          <w:color w:val="auto"/>
        </w:rPr>
        <w:t>. A key driver of our revenue is the number of members we serve and the rate at which they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their fertility benefits. As our client base has grown, our membership has grown from approximately 110,000 members in 2016 when we launched our fertility benefits solution to approximately 2.7 million members as of March 31, 2021.</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highlights the number of assisted reproductive treatment, or ART, cycles performed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Progyny members and the member utilization rates for each of the periods presented:</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3"/>
          </w:tcPr>
          <w:p>
            <w:pPr>
              <w:jc w:val="center"/>
              <w:ind w:left="818"/>
              <w:spacing w:after="0"/>
              <w:rPr>
                <w:sz w:val="20"/>
                <w:szCs w:val="20"/>
                <w:color w:val="auto"/>
              </w:rPr>
            </w:pPr>
            <w:r>
              <w:rPr>
                <w:rFonts w:ascii="Arial" w:cs="Arial" w:eastAsia="Arial" w:hAnsi="Arial"/>
                <w:sz w:val="14"/>
                <w:szCs w:val="14"/>
                <w:b w:val="1"/>
                <w:bCs w:val="1"/>
                <w:color w:val="auto"/>
                <w:w w:val="95"/>
              </w:rPr>
              <w:t>Three Months Ended</w:t>
            </w:r>
          </w:p>
        </w:tc>
        <w:tc>
          <w:tcPr>
            <w:tcW w:w="900" w:type="dxa"/>
            <w:vAlign w:val="bottom"/>
          </w:tcPr>
          <w:p>
            <w:pPr>
              <w:spacing w:after="0"/>
              <w:rPr>
                <w:sz w:val="14"/>
                <w:szCs w:val="14"/>
                <w:color w:val="auto"/>
              </w:rPr>
            </w:pPr>
          </w:p>
        </w:tc>
      </w:tr>
      <w:tr>
        <w:trPr>
          <w:trHeight w:val="171"/>
        </w:trPr>
        <w:tc>
          <w:tcPr>
            <w:tcW w:w="5240" w:type="dxa"/>
            <w:vAlign w:val="bottom"/>
          </w:tcPr>
          <w:p>
            <w:pPr>
              <w:spacing w:after="0"/>
              <w:rPr>
                <w:sz w:val="14"/>
                <w:szCs w:val="14"/>
                <w:color w:val="auto"/>
              </w:rPr>
            </w:pPr>
          </w:p>
        </w:tc>
        <w:tc>
          <w:tcPr>
            <w:tcW w:w="2380" w:type="dxa"/>
            <w:vAlign w:val="bottom"/>
            <w:tcBorders>
              <w:bottom w:val="single" w:sz="8" w:color="auto"/>
            </w:tcBorders>
            <w:gridSpan w:val="3"/>
          </w:tcPr>
          <w:p>
            <w:pPr>
              <w:jc w:val="center"/>
              <w:ind w:left="778"/>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4"/>
                <w:szCs w:val="14"/>
                <w:color w:val="auto"/>
              </w:rPr>
            </w:pPr>
          </w:p>
        </w:tc>
      </w:tr>
      <w:tr>
        <w:trPr>
          <w:trHeight w:val="142"/>
        </w:trPr>
        <w:tc>
          <w:tcPr>
            <w:tcW w:w="5240" w:type="dxa"/>
            <w:vAlign w:val="bottom"/>
            <w:tcBorders>
              <w:bottom w:val="single" w:sz="8" w:color="CCEEFF"/>
            </w:tcBorders>
          </w:tcPr>
          <w:p>
            <w:pPr>
              <w:spacing w:after="0"/>
              <w:rPr>
                <w:sz w:val="12"/>
                <w:szCs w:val="12"/>
                <w:color w:val="auto"/>
              </w:rPr>
            </w:pPr>
          </w:p>
        </w:tc>
        <w:tc>
          <w:tcPr>
            <w:tcW w:w="1580" w:type="dxa"/>
            <w:vAlign w:val="bottom"/>
            <w:tcBorders>
              <w:bottom w:val="single" w:sz="8" w:color="auto"/>
            </w:tcBorders>
          </w:tcPr>
          <w:p>
            <w:pPr>
              <w:jc w:val="right"/>
              <w:ind w:right="558"/>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524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16"/>
        </w:trPr>
        <w:tc>
          <w:tcPr>
            <w:tcW w:w="524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1580" w:type="dxa"/>
            <w:vAlign w:val="bottom"/>
          </w:tcPr>
          <w:p>
            <w:pPr>
              <w:jc w:val="right"/>
              <w:spacing w:after="0"/>
              <w:rPr>
                <w:sz w:val="20"/>
                <w:szCs w:val="20"/>
                <w:color w:val="auto"/>
              </w:rPr>
            </w:pPr>
            <w:r>
              <w:rPr>
                <w:rFonts w:ascii="Arial" w:cs="Arial" w:eastAsia="Arial" w:hAnsi="Arial"/>
                <w:sz w:val="18"/>
                <w:szCs w:val="18"/>
                <w:color w:val="auto"/>
              </w:rPr>
              <w:t>0.54%</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0.46%</w:t>
            </w:r>
          </w:p>
        </w:tc>
      </w:tr>
      <w:tr>
        <w:trPr>
          <w:trHeight w:val="216"/>
        </w:trPr>
        <w:tc>
          <w:tcPr>
            <w:tcW w:w="52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1580" w:type="dxa"/>
            <w:vAlign w:val="bottom"/>
          </w:tcPr>
          <w:p>
            <w:pPr>
              <w:jc w:val="right"/>
              <w:spacing w:after="0"/>
              <w:rPr>
                <w:sz w:val="20"/>
                <w:szCs w:val="20"/>
                <w:color w:val="auto"/>
              </w:rPr>
            </w:pPr>
            <w:r>
              <w:rPr>
                <w:rFonts w:ascii="Arial" w:cs="Arial" w:eastAsia="Arial" w:hAnsi="Arial"/>
                <w:sz w:val="18"/>
                <w:szCs w:val="18"/>
                <w:color w:val="auto"/>
              </w:rPr>
              <w:t>2,657,000</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2,052,000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1"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1" w:lineRule="exact"/>
        <w:rPr>
          <w:rFonts w:ascii="Arial" w:cs="Arial" w:eastAsia="Arial" w:hAnsi="Arial"/>
          <w:sz w:val="18"/>
          <w:szCs w:val="18"/>
          <w:color w:val="231F20"/>
        </w:rPr>
      </w:pPr>
    </w:p>
    <w:p>
      <w:pPr>
        <w:jc w:val="both"/>
        <w:ind w:left="380" w:right="79" w:hanging="330"/>
        <w:spacing w:after="0" w:line="255" w:lineRule="auto"/>
        <w:tabs>
          <w:tab w:leader="none" w:pos="380" w:val="left"/>
        </w:tabs>
        <w:numPr>
          <w:ilvl w:val="0"/>
          <w:numId w:val="16"/>
        </w:numPr>
        <w:rPr>
          <w:rFonts w:ascii="Arial" w:cs="Arial" w:eastAsia="Arial" w:hAnsi="Arial"/>
          <w:sz w:val="18"/>
          <w:szCs w:val="18"/>
          <w:color w:val="231F20"/>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COVID-19 pandemic has significantly impacted various markets around the world, including the United States. Although public and private sector policies and initiatives to reduce the transmission of COVID-19 have varied significantly across the United States, but as of March 31, 2021, a significant percentage of the U.S. population remained subject to meaningful restrictions on activities, which included school closures, limitations on large gatherings and other policies to promote or enforce physical distancing. As described below, these restrictions and our responses to them have significantly impacted and may continue to impact how our members use our services, access our providers, and how our employees work and provide services to our clients and members, resulting in an impact on our revenue.</w:t>
      </w:r>
    </w:p>
    <w:p>
      <w:pPr>
        <w:spacing w:after="0" w:line="16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Employee safety is our first priority, and as a result, we have implemented a remote working policy for all of our employees. Although we re-opened our corporate offices for a small group of employees, while implementing additional safety measures including testing, masks and social distancing protocols, the majority of our employees continue to work remotely. We are also working closely with all of our clients, members, providers and other external business partners. We believe we have sufficient liquidity to satisfy our cash needs, however, we continue to evaluate monitor liquidity, as necessary, and ensure that our business can continue to operate during these uncertain times.</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outbreak and preventative measures taken to contain COVID-19, especially in the first half of 2020, negatively impacted our members’ access to care due to a temporary unavailability of the full range of fertility treatments at our provider clinics. On March 17, 2020, the American Society for Reproductive Medicine, or ASRM, issued guidelines recommending the suspension of new treatment cycles. As a result, the significant majority of our members were unable to complete diagnostics or initiate new treatment cycles, and our volumes declined precipitously as of that date. ASRM continued to update its guidelines to reaffirm those provided on May 11, 2020, providing fertility clinics with a path for the safe and gradual resumption of patient care. Additionally, most state and local governments have eased stay-at-home orders and allowed for the resumption of non-emergent medical procedures. Most of our clinics resumed services towards the end of the second quarter of 2020, which led to an increase in benefits utilization as compared to the end of the first quarter of 2020. The COVID-19 pandemic did continue to have a negative impact on our revenue growth during the three months ended March 31, 2021.</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The full extent to which the COVID-19 pandemic will directly or indirectly impact our business, future results of operations and financial condition will depend on future developments that are highly uncertain and cannot be accurately predicted, including, without limitation, new information that may emerge concerning COVID-19; the timing, extent, trajectory and duration of the pandemic; the availability, distribution and effectiveness of vaccines; the imposition of protective public safety measures; and the economic impact on local, regional and national markets.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 additional information on the various risks posed by the COVID-19 pandemic, please read Part II, Item 1A.</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Quarterly Report on Form 10-Q.</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the Smart Cycle is completed for a member. Revenue is also accrued for authorized Smart Cycles rendered based on member appointments scheduled with a fertility specialist in our network but for which no claim has yet been reported.</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General and administrative expense consists primarily of employee related costs, including salaries, bonuses, benefits, stock-based compensation, other related costs, and an allocation of our general overhead, depreciation and</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costs for employees and professional fees and insurance and related third-party consulting services on an ongoing basis as a public company and to support growth in the business.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includes investment income and interest income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225"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As of December 31, 2020, we determined that there was sufficient positive evidence to conclude that it is more likely than not that the net deferred tax assets were realizable and released substantially all of our valuation allowance. We continue to maintain this position as of March 31,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6"/>
          </w:tcPr>
          <w:p>
            <w:pPr>
              <w:jc w:val="center"/>
              <w:ind w:right="12"/>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516"/>
              <w:spacing w:after="0"/>
              <w:rPr>
                <w:sz w:val="20"/>
                <w:szCs w:val="20"/>
                <w:color w:val="auto"/>
              </w:rPr>
            </w:pPr>
            <w:r>
              <w:rPr>
                <w:rFonts w:ascii="Arial" w:cs="Arial" w:eastAsia="Arial" w:hAnsi="Arial"/>
                <w:sz w:val="14"/>
                <w:szCs w:val="14"/>
                <w:b w:val="1"/>
                <w:bCs w:val="1"/>
                <w:color w:val="auto"/>
                <w:w w:val="95"/>
              </w:rPr>
              <w:t>March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3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Statements of Operations Data:</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122,133</w:t>
            </w:r>
          </w:p>
        </w:tc>
        <w:tc>
          <w:tcPr>
            <w:tcW w:w="620" w:type="dxa"/>
            <w:vAlign w:val="bottom"/>
            <w:gridSpan w:val="4"/>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4,014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 (provision) for income taxes</w:t>
            </w:r>
          </w:p>
        </w:tc>
        <w:tc>
          <w:tcPr>
            <w:tcW w:w="10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0"/>
        </w:trPr>
        <w:tc>
          <w:tcPr>
            <w:tcW w:w="224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gridSpan w:val="2"/>
          </w:tcPr>
          <w:p>
            <w:pPr>
              <w:spacing w:after="0"/>
              <w:rPr>
                <w:sz w:val="8"/>
                <w:szCs w:val="8"/>
                <w:color w:val="auto"/>
              </w:rPr>
            </w:pPr>
          </w:p>
        </w:tc>
        <w:tc>
          <w:tcPr>
            <w:tcW w:w="3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5400" w:type="dxa"/>
            <w:vAlign w:val="bottom"/>
            <w:gridSpan w:val="3"/>
          </w:tcPr>
          <w:p>
            <w:pPr>
              <w:ind w:left="20"/>
              <w:spacing w:after="0"/>
              <w:rPr>
                <w:sz w:val="20"/>
                <w:szCs w:val="20"/>
                <w:color w:val="auto"/>
              </w:rPr>
            </w:pPr>
            <w:r>
              <w:rPr>
                <w:rFonts w:ascii="Arial" w:cs="Arial" w:eastAsia="Arial" w:hAnsi="Arial"/>
                <w:sz w:val="18"/>
                <w:szCs w:val="18"/>
                <w:color w:val="auto"/>
              </w:rPr>
              <w:t>(1) Includes stock-based compensation expense as follows: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tcPr>
          <w:p>
            <w:pPr>
              <w:jc w:val="center"/>
              <w:ind w:left="536"/>
              <w:spacing w:after="0"/>
              <w:rPr>
                <w:sz w:val="20"/>
                <w:szCs w:val="20"/>
                <w:color w:val="auto"/>
              </w:rPr>
            </w:pPr>
            <w:r>
              <w:rPr>
                <w:rFonts w:ascii="Arial" w:cs="Arial" w:eastAsia="Arial" w:hAnsi="Arial"/>
                <w:sz w:val="14"/>
                <w:szCs w:val="14"/>
                <w:b w:val="1"/>
                <w:bCs w:val="1"/>
                <w:color w:val="auto"/>
                <w:w w:val="99"/>
              </w:rPr>
              <w:t>March 31,</w:t>
            </w: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2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132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620" w:type="dxa"/>
            <w:vAlign w:val="bottom"/>
            <w:gridSpan w:val="4"/>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10"/>
        </w:trPr>
        <w:tc>
          <w:tcPr>
            <w:tcW w:w="540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1100" w:type="dxa"/>
            <w:vAlign w:val="bottom"/>
            <w:gridSpan w:val="2"/>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5,034</w:t>
            </w:r>
          </w:p>
        </w:tc>
        <w:tc>
          <w:tcPr>
            <w:tcW w:w="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520"/>
        <w:spacing w:after="0"/>
        <w:rPr>
          <w:sz w:val="20"/>
          <w:szCs w:val="20"/>
          <w:color w:val="auto"/>
        </w:rPr>
      </w:pPr>
      <w:r>
        <w:rPr>
          <w:rFonts w:ascii="Arial" w:cs="Arial" w:eastAsia="Arial" w:hAnsi="Arial"/>
          <w:sz w:val="14"/>
          <w:szCs w:val="14"/>
          <w:b w:val="1"/>
          <w:bCs w:val="1"/>
          <w:color w:val="auto"/>
        </w:rPr>
        <w:t>Three Months Ended</w:t>
      </w:r>
    </w:p>
    <w:p>
      <w:pPr>
        <w:ind w:left="68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60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r>
      <w:tr>
        <w:trPr>
          <w:trHeight w:val="344"/>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Statements of Operations Data, as a percentage of revenue:</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7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c>
          <w:tcPr>
            <w:tcW w:w="16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100 %</w:t>
            </w: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Cost of services</w:t>
            </w: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9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56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0"/>
        </w:trPr>
        <w:tc>
          <w:tcPr>
            <w:tcW w:w="56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Income from operations</w:t>
            </w:r>
          </w:p>
        </w:tc>
        <w:tc>
          <w:tcPr>
            <w:tcW w:w="9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0"/>
        </w:trPr>
        <w:tc>
          <w:tcPr>
            <w:tcW w:w="56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r>
      <w:tr>
        <w:trPr>
          <w:trHeight w:val="209"/>
        </w:trPr>
        <w:tc>
          <w:tcPr>
            <w:tcW w:w="5600" w:type="dxa"/>
            <w:vAlign w:val="bottom"/>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4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5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6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expenses, including other income and interest (income) expense, net; (5) it does not reflect tax payments that may represent a reduction in cash available to us; and (7) it does not include legal fees associated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pacing w:after="0" w:line="168"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We calculate Adjusted EBITDA as net income, adjusted to exclude depreciation and amortization, stock-based compensation expense, other income, interest (income) expense, net, (benefit) provision for income taxes, legal fees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associated with a vendor arbitration. The following table presents a reconciliation of Adjusted EBITDA to net income for each of the periods indicated:</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7"/>
          </w:tcPr>
          <w:p>
            <w:pPr>
              <w:jc w:val="right"/>
              <w:ind w:right="488"/>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364"/>
              <w:spacing w:after="0" w:line="142" w:lineRule="exact"/>
              <w:rPr>
                <w:sz w:val="20"/>
                <w:szCs w:val="20"/>
                <w:color w:val="auto"/>
              </w:rPr>
            </w:pPr>
            <w:r>
              <w:rPr>
                <w:rFonts w:ascii="Arial" w:cs="Arial" w:eastAsia="Arial" w:hAnsi="Arial"/>
                <w:sz w:val="14"/>
                <w:szCs w:val="14"/>
                <w:b w:val="1"/>
                <w:bCs w:val="1"/>
                <w:color w:val="auto"/>
                <w:w w:val="83"/>
              </w:rPr>
              <w:t>2021</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68"/>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5"/>
          </w:tcPr>
          <w:p>
            <w:pPr>
              <w:ind w:left="18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6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15,166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Add:</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5,034</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80"/>
              <w:spacing w:after="0"/>
              <w:rPr>
                <w:sz w:val="20"/>
                <w:szCs w:val="20"/>
                <w:color w:val="auto"/>
              </w:rPr>
            </w:pPr>
            <w:r>
              <w:rPr>
                <w:rFonts w:ascii="Arial" w:cs="Arial" w:eastAsia="Arial" w:hAnsi="Arial"/>
                <w:sz w:val="18"/>
                <w:szCs w:val="18"/>
                <w:color w:val="auto"/>
              </w:rPr>
              <w:t>Legal fees associated with a vendor arbitration</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17,263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Comparison of Three Months Ended March 31, 2021 and 2020</w:t>
            </w: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0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5"/>
              </w:rPr>
              <w:t>Three Months</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5"/>
              </w:rPr>
              <w:t>Ended March 31,</w:t>
            </w: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6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rPr>
              <w:t>2021</w:t>
            </w:r>
          </w:p>
        </w:tc>
        <w:tc>
          <w:tcPr>
            <w:tcW w:w="940" w:type="dxa"/>
            <w:vAlign w:val="bottom"/>
            <w:gridSpan w:val="4"/>
          </w:tcPr>
          <w:p>
            <w:pPr>
              <w:ind w:left="600"/>
              <w:spacing w:after="0" w:line="119" w:lineRule="exact"/>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w:t>
            </w:r>
          </w:p>
        </w:tc>
        <w:tc>
          <w:tcPr>
            <w:tcW w:w="7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0"/>
              </w:rPr>
              <w:t>(dollars</w:t>
            </w:r>
          </w:p>
        </w:tc>
        <w:tc>
          <w:tcPr>
            <w:tcW w:w="180" w:type="dxa"/>
            <w:vAlign w:val="bottom"/>
            <w:vMerge w:val="continue"/>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0"/>
              </w:rPr>
              <w:t>thousands)</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760" w:type="dxa"/>
            <w:vAlign w:val="bottom"/>
            <w:gridSpan w:val="2"/>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$122,133</w:t>
            </w:r>
          </w:p>
        </w:tc>
        <w:tc>
          <w:tcPr>
            <w:tcW w:w="1260" w:type="dxa"/>
            <w:vAlign w:val="bottom"/>
            <w:gridSpan w:val="6"/>
            <w:shd w:val="clear" w:color="auto" w:fill="CCEEFF"/>
          </w:tcPr>
          <w:p>
            <w:pPr>
              <w:ind w:left="600"/>
              <w:spacing w:after="0"/>
              <w:rPr>
                <w:sz w:val="20"/>
                <w:szCs w:val="20"/>
                <w:color w:val="auto"/>
              </w:rPr>
            </w:pPr>
            <w:r>
              <w:rPr>
                <w:rFonts w:ascii="Arial" w:cs="Arial" w:eastAsia="Arial" w:hAnsi="Arial"/>
                <w:sz w:val="18"/>
                <w:szCs w:val="18"/>
                <w:color w:val="auto"/>
                <w:w w:val="98"/>
              </w:rPr>
              <w:t>$81,024</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Revenue increased by $41.1 million, or 51%, for the three months ended March 31, 2021 compared to the three months ended March 31, 2020. This increase is primarily due to a $29.4 million, or 50% increase in revenue from our fertility benefits solution and a $11.7 million or 54% increase in revenue from our Progyny Rx solution. The increase in revenue from our fertility benefits solution was primarily due to the increase in the number of clients and covered lives. The increase in revenue from our Progyny Rx solution was also driven by the number of clients and covered lives that added Progyny Rx benefit. Progyny Rx revenue growth outpaces the fertility benefits revenue growth as Progyny Rx went live with only a select number of clients on January 1, 2018 and has continued to add both new and existing fertility benefit solution clients since its initial launch. In addition, our revenue growth for the three months ended March 31, 2020 was negatively impacted by the short-term pause in treatments due to COVID-19.</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$93,226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$64,422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Cost of services increased by $28.8 million, or 45%, for the three months ended March 31, 2021 compared to the three months ended March 31, 2020 primarily due to an increase in medical treatment and pharmacy prescription costs associated with fertility treatments delivered as well as increases in personnel-related costs, including stock-based compensation.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59"/>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$28,907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$16,602</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Gross margin</w:t>
            </w:r>
          </w:p>
        </w:tc>
        <w:tc>
          <w:tcPr>
            <w:tcW w:w="700" w:type="dxa"/>
            <w:vAlign w:val="bottom"/>
          </w:tcPr>
          <w:p>
            <w:pPr>
              <w:jc w:val="right"/>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Gross profit increased by $12.3 million, or 74%, for the three months ended March 31, 2021 compared to the three months ended March 31, 2020.</w:t>
      </w:r>
    </w:p>
    <w:p>
      <w:pPr>
        <w:spacing w:after="0" w:line="17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Gross margin increased 320 basis points for the three months ended March 31, 2021 compared to the three months ended March 31, 2020, primarily due to favorable new terms with our pharmacy program partners, the net impact of regular contract renewals with our providers as well as continued efficiencies gained across our care management services. Gross margin in the three months ended March 31, 2020 was also affected by our decision to keep all care management staff in place, despite the pause in treatments caused by COVID-19.</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5"/>
              </w:rPr>
              <w:t>Three Months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7"/>
              </w:rPr>
              <w:t>Ended March 31,</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68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rPr>
              <w:t>in</w:t>
            </w:r>
          </w:p>
        </w:tc>
        <w:tc>
          <w:tcPr>
            <w:tcW w:w="880" w:type="dxa"/>
            <w:vAlign w:val="bottom"/>
            <w:tcBorders>
              <w:top w:val="single" w:sz="8" w:color="auto"/>
              <w:bottom w:val="single" w:sz="8" w:color="auto"/>
            </w:tcBorders>
          </w:tcPr>
          <w:p>
            <w:pPr>
              <w:jc w:val="right"/>
              <w:ind w:right="22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spacing w:after="0"/>
              <w:rPr>
                <w:sz w:val="15"/>
                <w:szCs w:val="15"/>
                <w:color w:val="auto"/>
              </w:rPr>
            </w:pPr>
          </w:p>
        </w:tc>
        <w:tc>
          <w:tcPr>
            <w:tcW w:w="680" w:type="dxa"/>
            <w:vAlign w:val="bottom"/>
          </w:tcPr>
          <w:p>
            <w:pPr>
              <w:ind w:left="200"/>
              <w:spacing w:after="0"/>
              <w:rPr>
                <w:sz w:val="20"/>
                <w:szCs w:val="20"/>
                <w:color w:val="auto"/>
              </w:rPr>
            </w:pPr>
            <w:r>
              <w:rPr>
                <w:rFonts w:ascii="Arial" w:cs="Arial" w:eastAsia="Arial" w:hAnsi="Arial"/>
                <w:sz w:val="14"/>
                <w:szCs w:val="14"/>
                <w:b w:val="1"/>
                <w:bCs w:val="1"/>
                <w:color w:val="auto"/>
                <w:w w:val="90"/>
              </w:rPr>
              <w:t>(dollars</w:t>
            </w:r>
          </w:p>
        </w:tc>
        <w:tc>
          <w:tcPr>
            <w:tcW w:w="200" w:type="dxa"/>
            <w:vAlign w:val="bottom"/>
            <w:vMerge w:val="continue"/>
          </w:tcPr>
          <w:p>
            <w:pPr>
              <w:spacing w:after="0"/>
              <w:rPr>
                <w:sz w:val="15"/>
                <w:szCs w:val="15"/>
                <w:color w:val="auto"/>
              </w:rPr>
            </w:pPr>
          </w:p>
        </w:tc>
        <w:tc>
          <w:tcPr>
            <w:tcW w:w="880" w:type="dxa"/>
            <w:vAlign w:val="bottom"/>
          </w:tcPr>
          <w:p>
            <w:pPr>
              <w:jc w:val="right"/>
              <w:ind w:right="142"/>
              <w:spacing w:after="0"/>
              <w:rPr>
                <w:sz w:val="20"/>
                <w:szCs w:val="20"/>
                <w:color w:val="auto"/>
              </w:rPr>
            </w:pPr>
            <w:r>
              <w:rPr>
                <w:rFonts w:ascii="Arial" w:cs="Arial" w:eastAsia="Arial" w:hAnsi="Arial"/>
                <w:sz w:val="14"/>
                <w:szCs w:val="14"/>
                <w:b w:val="1"/>
                <w:bCs w:val="1"/>
                <w:color w:val="auto"/>
                <w:w w:val="84"/>
              </w:rPr>
              <w:t>thousands)</w:t>
            </w: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Sales and marketing expense increased by $0.7 million, or 23%, for the three months ended March 31, 2021 compared to the three months ended March 31, 2020. This increase was primarily due to a $1.0 million increase in personnel-related costs (including a $0.4 million increase in stock-based compensation) relating to additional headcount and commissions for sales and marketing functions, which was partially offset by lower travel and other overhead costs expenses due to COVID-19.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$13,086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General and administrative expense increased by $3.2 million, or 32%, for the three months ended March 31, 2021 compared to the three months ended March 31, 2020. This increase was primarily due to a $2.4 million increase in personnel-related costs (including a $1.6 million increase in stock-based compensation) as a result of additional headcount for general and administrative functions, a $0.8 million increase in bad debt expense, and a $0.8 million increase in other related general and administrative expenses. These increases were partially offset by a $0.8 million decrease in legal costs compared to the three months ended March 31, 2020 for a vendor arbitration, which was settled in the fourth quarter of 2020.</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jc w:val="right"/>
              <w:ind w:right="62"/>
              <w:spacing w:after="0"/>
              <w:rPr>
                <w:sz w:val="20"/>
                <w:szCs w:val="20"/>
                <w:color w:val="auto"/>
              </w:rPr>
            </w:pPr>
            <w:r>
              <w:rPr>
                <w:rFonts w:ascii="Arial" w:cs="Arial" w:eastAsia="Arial" w:hAnsi="Arial"/>
                <w:sz w:val="14"/>
                <w:szCs w:val="14"/>
                <w:b w:val="1"/>
                <w:bCs w:val="1"/>
                <w:color w:val="auto"/>
                <w:w w:val="71"/>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Other income (expense), net decreased by $0.3 million for the three months ended March 31, 2021 compared to the three months ended March 31, 2020, primarily due to a $0.2 million decrease in interest earned on investments as well as a decrease of $0.1 million in investment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(Provision) for Income Taxes</w:t>
      </w:r>
    </w:p>
    <w:p>
      <w:pPr>
        <w:spacing w:after="0" w:line="16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Three Months</w:t>
            </w: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17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Ended March 31,</w:t>
            </w:r>
          </w:p>
        </w:tc>
        <w:tc>
          <w:tcPr>
            <w:tcW w:w="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(dollars in</w:t>
            </w:r>
          </w:p>
        </w:tc>
        <w:tc>
          <w:tcPr>
            <w:tcW w:w="700" w:type="dxa"/>
            <w:vAlign w:val="bottom"/>
          </w:tcPr>
          <w:p>
            <w:pPr>
              <w:spacing w:after="0"/>
              <w:rPr>
                <w:sz w:val="20"/>
                <w:szCs w:val="20"/>
                <w:color w:val="auto"/>
              </w:rPr>
            </w:pPr>
            <w:r>
              <w:rPr>
                <w:rFonts w:ascii="Arial" w:cs="Arial" w:eastAsia="Arial" w:hAnsi="Arial"/>
                <w:sz w:val="14"/>
                <w:szCs w:val="14"/>
                <w:b w:val="1"/>
                <w:bCs w:val="1"/>
                <w:color w:val="auto"/>
                <w:w w:val="90"/>
              </w:rPr>
              <w:t>thousands)</w:t>
            </w: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7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$3,370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8"/>
              </w:rPr>
              <w:t>($116)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For the three months ended March 31, 2021, we recorded a benefit for income taxes of $3.4 million primarily due to equity compensation activity that occurred during the period. For the three months ended March 31, 2020, we recorded a provision for state income taxes of $0.1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7"/>
          <w:szCs w:val="17"/>
          <w:color w:val="auto"/>
        </w:rPr>
        <w:t>As of March 31, 2021, we had $29.8 million of cash and cash equivalents, $77.1 million of marketable securities, and $15.0 million of cash available on the revolving line of credit with Silicon Valley Bank.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Arial" w:cs="Arial" w:eastAsia="Arial" w:hAnsi="Arial"/>
          <w:sz w:val="25"/>
          <w:szCs w:val="25"/>
          <w:color w:val="auto"/>
          <w:vertAlign w:val="superscript"/>
        </w:rPr>
        <w:t>st</w:t>
      </w:r>
      <w:r>
        <w:rPr>
          <w:rFonts w:ascii="Arial" w:cs="Arial" w:eastAsia="Arial" w:hAnsi="Arial"/>
          <w:sz w:val="17"/>
          <w:szCs w:val="17"/>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3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We believe that our existing cash and cash equivalents, including the proceeds from our IPO, cash flow from operations and the cash available on the revolving line of credit will be sufficient to support working capital and capital expenditure requirements for at least the next 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Other than the impact on our revenues and the related cash flows resulting from the various restrictions on activities due to the COVID-19 pandemic, our sources and uses of cash were not otherwise materially impacted by the COVID-19 pandemic in the three months ended March 31, 2021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If the disruption persists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and deepens, we could experience an inability to access additional capital, which could in the future negatively affect our operations. For additional information on the various risks posed by the COVID-19 pandemic, please read Part II, Item 1A. Risk Factors included in this Quarterly Report on Form 10-Q.</w:t>
      </w:r>
    </w:p>
    <w:p>
      <w:pPr>
        <w:spacing w:after="0" w:line="18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22"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June 2018, we entered into an agreement with Silicon Valley Bank to replace our then-outstanding term loan with a revolving line of credit of up to $15.0 million that will mature on June 8, 2021, which agreement was amended in April 2019, January 2020, June 2020, and February 2021. The available revolving line of credit is based upon an advance rate of 80% of “eligible” accounts receivable and may be used to fund our working capital and other general corporate needs. Eligible accounts receivable includes accounts billed with aging 90 days or less and excludes accounts receivable due for member copayments, coinsurance, and deductibles. When we hold unrestricted cash balances greater than $5.0 million, interest accrues at a floating rate per annum equal to the greater of prime rate or 4.75%. If the unrestricted cash balance is less than $5.0 million, interest accrues at a floating rate per annum equal to the greater of prime rate plus 0.5% or 4.75%, with interest payable monthly. The line of credit contains customary affirmative and negative covenants, as well as a financial covenant that requires us to achieve a specified minimum quarterly revenue as defined in the agreement. As of March 31, 2021 and December 31, 2020, we were in compliance with all requirements and covenants of the revolving credit facility.</w:t>
      </w:r>
    </w:p>
    <w:p>
      <w:pPr>
        <w:spacing w:after="0" w:line="1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operations for the periods presented:</w:t>
      </w:r>
    </w:p>
    <w:p>
      <w:pPr>
        <w:spacing w:after="0" w:line="17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Three Months Ended</w:t>
      </w:r>
    </w:p>
    <w:p>
      <w:pPr>
        <w:ind w:left="7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(38,520)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80"/>
              <w:spacing w:after="0"/>
              <w:rPr>
                <w:sz w:val="20"/>
                <w:szCs w:val="20"/>
                <w:color w:val="auto"/>
              </w:rPr>
            </w:pPr>
            <w:r>
              <w:rPr>
                <w:rFonts w:ascii="Arial" w:cs="Arial" w:eastAsia="Arial" w:hAnsi="Arial"/>
                <w:sz w:val="18"/>
                <w:szCs w:val="18"/>
                <w:color w:val="auto"/>
                <w:w w:val="94"/>
              </w:rPr>
              <w:t>Net increase (decrease) in cash and cash equivalents from continuing operations</w:t>
            </w:r>
          </w:p>
        </w:tc>
        <w:tc>
          <w:tcPr>
            <w:tcW w:w="3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(40,485)</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Net cash provided by operating activities was $0.5 million for the three months ended March 31, 2021, primarily consisting of net income of $15.2 million adjusted for certain non-cash items, which include $5.0 million of stock-based compensation expense, $3.4 million of deferred tax benefit, $2.5 million of bad debt expense, and $0.4 million of depreciation and amortization. Changes in operating assets and liabilities resulted in cash used in operating activities from an increase in accounts receivable of $43.5 million, partially offset by cash provided by operating activities from increases in accounts payable of $13.8 million and accrued expenses and other current liabilities of $9.4 million, and decreases in prepaid expenses and other current assets of $1.0 million. These changes were a result of the impact of revenue growth and our operating results as well as the timing of payments to third party providers and collections from customers. Net cash provided by operating activities for the three months ended March 31, 2021 was affected by a change in the payment timing for our pharmaceutical partner arrangements.</w:t>
      </w:r>
    </w:p>
    <w:p>
      <w:pPr>
        <w:spacing w:after="0" w:line="131"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Net cash provided by operating activities was $12.1 million for the three months ended March 31, 2020, primarily consisting of a $3.6 million net income from continuing operations adjusted for certain non-cash items, which include $2.0 million of stock-based compensation expense, $1.7 million from bad debt expense, $0.5 million of depreciation and amortization, and $0.1 million of tax and interest expense. Changes in operating assets and liabilities resulted in cash used in operating activities from increases in accounts receivable of $20.1 million, offset by cash provided by operating activities from increases in accounts payable of $20.3 million and accrued expenses and other current liabilities of $3.3 million, and decreases in prepaid assets and other assets of $0.6 million. These changes are a result of the impact of revenue growth combined with the timing of payments to third party providers and collections from clients.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Net cash used in investing activities was $38.5 million and $0.7 million for the three months ended March 31, 2021 and 2020, respectively. During the three months ended March 31, 2021, the net cash used primarily consisted of net investments of $38.2 million in marketable securities. The remainder of the activity consisted of purchases of computers, software, and leasehold improvements, including leasehold improvements associated with the buildout of our new corporate office which was occupied in February 2020.</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7"/>
          <w:szCs w:val="17"/>
          <w:color w:val="auto"/>
        </w:rPr>
        <w:t>Net cash used in financing activities was $2.5 million for the three months ended March 31, 2021, consisting of payments of $3.5 million for employee taxes related to equity awards, partially offset by $0.5 million in proceeds from stock option exercises and $0.5 million in proceeds from contributions to our employee stock purchase plan.</w:t>
      </w:r>
    </w:p>
    <w:p>
      <w:pPr>
        <w:spacing w:after="0" w:line="111"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Net cash used in financing activities was $0.2 million for the three months ended March 31, 2020 consisting of payments of $0.8 million for IPO costs offset by $0.6 million from stock option exercises.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Other than changes which occur in the ordinary course of business, as of March 31, 2021, there were no material changes to the contractual obligations reported in our Annual Report on Form 10-K for the year ended December 31, 2020.</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March 31, 2021 and December 31, 2020, we did not have any off-balance sheet arrangements, except for operating leases entered into in the normal course of business.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financial statements and accompanying notes have been prepared in accordance with U.S. GAAP. The preparation of these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1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For additional information about our critical accounting policies and estimates, see the disclosure included in our Annual Report on Form 10-K as well as Note 1 – Business and Basis of Presentation and Note 2 – Summary of Significant Accounting Policies in the notes to the financial statements included in Part I, Item 1, of this Quarterly Report on Form 10-Q. There have been no material changes to the Company’s critical accounting policies and estimates since our Annual Report on Form 10-K.</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For a full discussion of recently adopted accounting pronouncements, see Note 2 – Summary of Significant Accounting Policies, to the financial statements included in Part 1, Item 1 of this Quarterly Report on Form 10-Q.</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75"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color w:val="auto"/>
        </w:rPr>
        <w:t>Prior to December 31, 2020, we were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elected to use the extended transition period under the JOBS Act until the earlier of the date we (1) were no longer an emerging growth company or (2) affirmatively and irrevocably opted out of the extended transition period provided in the JOBS Act. Based on the market value of our common stock held by non-affiliates as of June 30, 2020, we ceased to qualify as an emerging growth company as of December 31, 2020. As a result, the Company no longer was able to use the extended transition period for complying with new or revised accounting standards available to emerging growth companies and was required to adopt new or revised accounting standards as of the effective dates for public companies. Refer to Note 2 – Summary of Significant Accounting Policies in Part I, Item 1 of this Quarterly Report on Form 10-Q for a discussion of new accounting pronouncements adopted in the fourth quarter of 2020 with an effective date of January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of March 31, 2021, we had cash and cash equivalents of $29.8 million and marketable securities of $77.1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Inflation Rate Risk</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the evaluation of our disclosure controls and procedures, our principal executive officer and principal financial officer concluded that, as of March 31, 2021, our disclosure controls and procedures were effective at the reasonable assurance level.</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that term is defined in Rules 13a-15(f) and 15d-15(f) under the Exchange Act) that occurred during the quarter ended March 31,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See Part I, Item 1 “Financial Statements (Unaudited) — Note 7 — Commitments and Contingencies — Arbitration/Litigation.”</w:t>
      </w:r>
    </w:p>
    <w:p>
      <w:pPr>
        <w:spacing w:after="0" w:line="3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all of the information in this Quarterly Report on Form 10-Q, including the section titled “Cautionary Note Regarding Forward-Looking Statements” and Part I, Item 2. “Management’s Discussion and Analysis of Financial Condition and Results of Operation” and our financial statements and the accompanying notes included elsewhere in this Quarterly Report on Form 10-Q. The risks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COVID-19 pandemic has had and is expected to continue to have, and similar health epidemics could in the future have, an adverse impact on our business, operations, and the markets and communities in which we and our clients, members and providers operate.</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business and operations have been adversely affected by the COVID-19 pandemic, which has impacted the markets and communities in which we and our clients, members and providers operate. Since December 2019, when COVID-19 was first reported, the virus has spread to countries worldwide, including the United States and more specifically, New York, New York, where our primary office is located.</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ongoing COVID-19 pandemic has adversely impacted, and may continue to adversely impact, many aspects of our business. Our revenue growth for the three months ended March 31, 2021 and 2020 were negatively impacted by COVID-19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are acutely affected by the COVID-19 pandemic and have delayed and may not want to continue or begin new fertility cycles during the pandemic. The lack of research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and delay or cancel implementation of fertility benefits. Each of these factors could affect our utilization rates and the number of members enrolled in our clients’ benefit plans.</w:t>
      </w:r>
    </w:p>
    <w:p>
      <w:pPr>
        <w:spacing w:after="0" w:line="16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many state, local, and foreign governments have put in place, and continue to enforce in whole or in part, and may at any time choose to fully reinstate, quarantines, executive orders, shelter-in-place orders, and similar government orders and restrictions in order to control the spread of the disease. Such orders or restrictions, or the perception that such orders or restrictions could occur or reoccur, have resulted in business closures, work stoppages, slowdowns and delays, work-from-home policies, travel restrictions, and cancellation or postponement of events, among other effects that could negatively impact productivity and disrupt our operations and those of our clients, members and providers.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In light of the uncertainty and rapidly evolving situation relating to the spread of COVID-19 and in compliance with shelter-in-place orders and other government executive orders directing that all non-essential businesses close their physical operations, we implemented a work-from-home policy for all of our employees. Although we have since re-opened our offices for a small group of employees, the majority of our employees continue to work remotely.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longer time periods to complete implementation of new clients, longer time to respond to members, extended timelines for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7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reducing our ability to access capital, which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 and may impact our ability to comply with the financial covenant relating to revenue targets in our loan agreement with Silicon Valley Bank if a material economic downturn results in substantially lower revenue than expected under our annual financial projections.</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 global impact of COVID-19 continues to rapidly evolve, and we will continue to monitor the situation closely. The ultimate impact of the COVID-19 pandemic or a similar health epidemic is highly uncertain and subject to change. We do not yet know the full extent of potential delays or impacts on our business, operations, or the global economy as a whole. While the spread of COVID-19 may eventually be contained or mitigated, there is no guarantee that a future outbreak of this or any other widespread epidemics will not occur, or that the global economy will recover, either of which could seriously harm our business.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May 6, 2021, we issued guidance for the second quarter of 2021 and full year 2021.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patients to return to normal practice volumes, which are inherently difficult to predict. This guidance, which consists of forward-looking statements, is qualified by, and subject to, such assumptions, estimates and expectations as of the date such guidance is given.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or economic conditions,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and financial market conditions caused by the COVID-19 pandemic, and which could adversely affect our business and future operating results. There are no comparable recent events that provide insights as to the probable effect</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 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6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w:t>
      </w:r>
    </w:p>
    <w:p>
      <w:pPr>
        <w:spacing w:after="0" w:line="18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92"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with Progyny Rx in 2018 and 73% of our clients have now launched this solution, including approximately 84% of the clients we signed in 2020.</w:t>
      </w:r>
    </w:p>
    <w:p>
      <w:pPr>
        <w:spacing w:after="0" w:line="170"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117"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117" w:lineRule="exact"/>
        <w:rPr>
          <w:rFonts w:ascii="Arial" w:cs="Arial" w:eastAsia="Arial" w:hAnsi="Arial"/>
          <w:sz w:val="18"/>
          <w:szCs w:val="18"/>
          <w:color w:val="auto"/>
        </w:rPr>
      </w:pPr>
    </w:p>
    <w:p>
      <w:pPr>
        <w:ind w:left="720" w:right="63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pacing w:after="0" w:line="62"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1"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We currently have contracts to serve over 180 employers in the United States across more than 30 industries. For the three months ended March 31, 2021, two clients accounted for 17% and 15%, or a combined 32%, of our total revenue. No other clients accounted for more than 10% for the three months ended March 31, 2021. For the three months ended March 31, 2020, two clients accounted for 17% and 16% of revenue, or a combined 33% of our total revenue.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7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significant change in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do not control or impact the level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 worsening thereof, including the COVID-19 pandemic; employers no longer offering comprehensive health coverage or offering alternative solutions such as coverage on a voluntary, employee-funded basis;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6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It is also difficult for us to predict the level of utilization of our services at the member level.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 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and $5.1 million for the years ended December 31, 2019 and 2018, respectively. While we have experienced significant revenue growth since 2016, achieved profitability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and being a public company. Our efforts to grow our business may be costlier than we expect,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8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 insurance, to more incremental approaches, or creating a new public health insurance option that would compete with private insurers. Additionally, proposals to establish a single-payer or government-run health care system at the state level are regularly introduced, such as in New York and California. At the federal level, President Biden and Congress may consider other legislation and/or executive orders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in this matter, and is in the process of reviewing this case. A decision is expected in 2021. On January 28, 2021, President Biden issued an Executive Order that iterates the policy of the Administration to protect and strengthen the ACA, making high-quality healthcare accessible and affordable to all Americans. The Executive Order directs federal agencies to examine agency actions to determine whether they are consistent with that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7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our computer systems, or those of our provider clinics, specialty pharmacies or other downstream vendors lag, fail or suffer security breaches, we may incur a material disruption of our services, which could materially impact our business and the results of operations</w:t>
      </w:r>
      <w:r>
        <w:rPr>
          <w:rFonts w:ascii="Arial" w:cs="Arial" w:eastAsia="Arial" w:hAnsi="Arial"/>
          <w:sz w:val="18"/>
          <w:szCs w:val="18"/>
          <w:i w:val="1"/>
          <w:iCs w:val="1"/>
          <w:color w:val="auto"/>
        </w:rPr>
        <w:t>.</w:t>
      </w:r>
    </w:p>
    <w:p>
      <w:pPr>
        <w:spacing w:after="0" w:line="18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Despite the implementation 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experienced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requirements—Data Protection and Breaches.”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marketing efforts depend significantly on our ability to receive positive references from our existing clients.</w:t>
      </w:r>
    </w:p>
    <w:p>
      <w:pPr>
        <w:spacing w:after="0" w:line="248"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Our marketing efforts depend significantly on our ability to call on our current clients to provide positive references to new, potential clients. Given our limited number of long-term clients, the loss or dissatisfaction of any client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8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20" w:right="51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259" w:firstLine="324"/>
        <w:spacing w:after="0" w:line="287" w:lineRule="auto"/>
        <w:rPr>
          <w:sz w:val="20"/>
          <w:szCs w:val="20"/>
          <w:color w:val="auto"/>
        </w:rPr>
      </w:pPr>
      <w:r>
        <w:rPr>
          <w:rFonts w:ascii="Arial" w:cs="Arial" w:eastAsia="Arial" w:hAnsi="Arial"/>
          <w:sz w:val="16"/>
          <w:szCs w:val="16"/>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w:t>
      </w:r>
    </w:p>
    <w:p>
      <w:pPr>
        <w:spacing w:after="0" w:line="2" w:lineRule="exact"/>
        <w:rPr>
          <w:sz w:val="20"/>
          <w:szCs w:val="20"/>
          <w:color w:val="auto"/>
        </w:rPr>
      </w:pPr>
    </w:p>
    <w:p>
      <w:pPr>
        <w:ind w:left="60" w:right="459"/>
        <w:spacing w:after="0" w:line="260" w:lineRule="auto"/>
        <w:rPr>
          <w:sz w:val="20"/>
          <w:szCs w:val="20"/>
          <w:color w:val="auto"/>
        </w:rPr>
      </w:pPr>
      <w:r>
        <w:rPr>
          <w:rFonts w:ascii="Arial" w:cs="Arial" w:eastAsia="Arial" w:hAnsi="Arial"/>
          <w:sz w:val="18"/>
          <w:szCs w:val="18"/>
          <w:color w:val="auto"/>
        </w:rPr>
        <w:t>You should not rely on our revenue for any prior quarterly or annual periods as any indication of our future revenue or revenue growth.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20" w:hanging="319"/>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95"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Reductions in employee benefits spending or material defaults by members on their cost share due to unfavorable conditions in our industry or the United States economy could limit our ability to grow our business and negatively affect our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Unfavorable economic conditions could result in the cancellation by certain clients, a reduction in their number of employees or material defaults by members on their cost share, particularly if they lose their employer coverage and do not replace it with a health benefit plan that provides fertility coverage. Unfavorable changes in our industry or in the United States economy could have a negative effect on our and our clients’ and potential clients’ results of operations.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COVID-19 pandemic, warfare and terrorist attacks on the United States, could cause a decrease in business investments, including spending on employee benefits, and negatively affect the growth of our business. Further, economic conditions including interest rate fluctuations, changes in capital market conditions and regulatory changes, such as the taxability of medical benefits like ours, may affect our ability to obtain necessary financing on acceptable terms.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3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To date, we have derived a substantial majority of our revenue from sales of our fertility benefits and Progyny Rx solutions. As we operate in an evolving industry, our long-term results of operations and continued growth will depend on our ability to successfully develop and market new successful solutions and services to our clients. If our existing clients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 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 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 care providers in our network may consolidate or merge into other groups or healthcare systems, resulting in a reduction of providers in our network and in the competitive environment. In addition, if these providers refuse to contract with us, use their market</w:t>
      </w:r>
    </w:p>
    <w:p>
      <w:pPr>
        <w:sectPr>
          <w:pgSz w:w="11900" w:h="16838" w:orient="portrait"/>
          <w:cols w:equalWidth="0" w:num="1">
            <w:col w:w="9019"/>
          </w:cols>
          <w:pgMar w:left="1440" w:top="517" w:right="1440"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position to negotiate contracts unfavorable to us or place us at a competitive disadvantage, our ability to market our solutions or to be profitable in those areas could be materially and adversely affected.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 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vendors, as well as insurance carriers.</w:t>
      </w:r>
    </w:p>
    <w:p>
      <w:pPr>
        <w:spacing w:after="0" w:line="17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order to grow our business, we anticipate that we will continue to depend on our relationships with third parties, including vendors and insurance carriers.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64"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In addition, our arrangements with these third parties may expose us to public scrutiny, adversely affect our brand and reputation, expose us to litigation and/or regulatory action, and otherwise make our operations vulnerable if we fail to adequately monitor their performance or if they fail to meet their contractual obligations to us or to comply with applicable laws or regulations.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03"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 We do not control the pricing strategies of our specialty pharmacy partners, each of whom may be motivated by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79"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 —impact the list prices for medications. Our ability to obtain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legal and regulatory requirements.</w:t>
      </w:r>
    </w:p>
    <w:p>
      <w:pPr>
        <w:spacing w:after="0" w:line="103"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139"/>
        <w:spacing w:after="0" w:line="275" w:lineRule="auto"/>
        <w:rPr>
          <w:sz w:val="20"/>
          <w:szCs w:val="20"/>
          <w:color w:val="auto"/>
        </w:rPr>
      </w:pPr>
      <w:r>
        <w:rPr>
          <w:rFonts w:ascii="Arial" w:cs="Arial" w:eastAsia="Arial" w:hAnsi="Arial"/>
          <w:sz w:val="17"/>
          <w:szCs w:val="17"/>
          <w:color w:val="auto"/>
        </w:rPr>
        <w:t>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95" w:lineRule="exact"/>
        <w:rPr>
          <w:sz w:val="20"/>
          <w:szCs w:val="20"/>
          <w:color w:val="auto"/>
        </w:rPr>
      </w:pPr>
    </w:p>
    <w:p>
      <w:pPr>
        <w:jc w:val="both"/>
        <w:ind w:left="1040" w:right="79" w:hanging="315"/>
        <w:spacing w:after="0" w:line="286"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86"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2"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 personnel obtains the necessary licensure, which may adversely affect our relationships with our clients and members and cause us to be in breach of our contracts.</w:t>
      </w:r>
    </w:p>
    <w:p>
      <w:pPr>
        <w:spacing w:after="0" w:line="100" w:lineRule="exact"/>
        <w:rPr>
          <w:sz w:val="20"/>
          <w:szCs w:val="20"/>
          <w:color w:val="auto"/>
        </w:rPr>
      </w:pPr>
    </w:p>
    <w:p>
      <w:pPr>
        <w:jc w:val="both"/>
        <w:ind w:left="1040" w:right="79" w:hanging="315"/>
        <w:spacing w:after="0" w:line="287"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There are numerous federal and state laws and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related to the privacy and security of health information. In particular, regulations promulgated pursuant to the Health Insurance Portability and Accountability Act of 1996, or HIPAA, establish privacy and security standards that limit the use and disclosure of certain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40" w:right="79"/>
        <w:spacing w:after="0" w:line="257" w:lineRule="auto"/>
        <w:rPr>
          <w:sz w:val="20"/>
          <w:szCs w:val="20"/>
          <w:color w:val="auto"/>
        </w:rPr>
      </w:pPr>
      <w:r>
        <w:rPr>
          <w:rFonts w:ascii="Arial" w:cs="Arial" w:eastAsia="Arial" w:hAnsi="Arial"/>
          <w:sz w:val="18"/>
          <w:szCs w:val="18"/>
          <w:color w:val="auto"/>
        </w:rPr>
        <w:t>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107" w:lineRule="exact"/>
        <w:rPr>
          <w:sz w:val="20"/>
          <w:szCs w:val="20"/>
          <w:color w:val="auto"/>
        </w:rPr>
      </w:pPr>
    </w:p>
    <w:p>
      <w:pPr>
        <w:jc w:val="both"/>
        <w:ind w:left="1020" w:right="59"/>
        <w:spacing w:after="0" w:line="284"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87" w:lineRule="exact"/>
        <w:rPr>
          <w:sz w:val="20"/>
          <w:szCs w:val="20"/>
          <w:color w:val="auto"/>
        </w:rPr>
      </w:pPr>
    </w:p>
    <w:p>
      <w:pPr>
        <w:jc w:val="both"/>
        <w:ind w:left="1040" w:right="79" w:hanging="315"/>
        <w:spacing w:after="0" w:line="268"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Other Privacy and Security Requirements</w:t>
      </w:r>
      <w:r>
        <w:rPr>
          <w:rFonts w:ascii="Arial" w:cs="Arial" w:eastAsia="Arial" w:hAnsi="Arial"/>
          <w:sz w:val="17"/>
          <w:szCs w:val="17"/>
          <w:color w:val="auto"/>
        </w:rPr>
        <w:t>. In addition to HIPAA, numerous other federal and state laws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85" w:lineRule="exact"/>
        <w:rPr>
          <w:sz w:val="20"/>
          <w:szCs w:val="20"/>
          <w:color w:val="auto"/>
        </w:rPr>
      </w:pPr>
    </w:p>
    <w:p>
      <w:pPr>
        <w:jc w:val="both"/>
        <w:ind w:left="1020" w:right="59"/>
        <w:spacing w:after="0" w:line="287"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89" w:lineRule="auto"/>
        <w:rPr>
          <w:sz w:val="20"/>
          <w:szCs w:val="20"/>
          <w:color w:val="auto"/>
        </w:rPr>
      </w:pPr>
      <w:r>
        <w:rPr>
          <w:rFonts w:ascii="Arial" w:cs="Arial" w:eastAsia="Arial" w:hAnsi="Arial"/>
          <w:sz w:val="16"/>
          <w:szCs w:val="16"/>
          <w:color w:val="auto"/>
        </w:rPr>
        <w:t>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85" w:lineRule="exact"/>
        <w:rPr>
          <w:sz w:val="20"/>
          <w:szCs w:val="20"/>
          <w:color w:val="auto"/>
        </w:rPr>
      </w:pPr>
    </w:p>
    <w:p>
      <w:pPr>
        <w:jc w:val="both"/>
        <w:ind w:left="1040" w:right="79" w:hanging="315"/>
        <w:spacing w:after="0" w:line="269"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1020" w:right="59"/>
        <w:spacing w:after="0" w:line="285"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390" w:lineRule="exact"/>
        <w:rPr>
          <w:sz w:val="20"/>
          <w:szCs w:val="20"/>
          <w:color w:val="auto"/>
        </w:rPr>
      </w:pPr>
    </w:p>
    <w:p>
      <w:pPr>
        <w:jc w:val="both"/>
        <w:ind w:left="1020" w:right="59"/>
        <w:spacing w:after="0" w:line="296" w:lineRule="auto"/>
        <w:rPr>
          <w:sz w:val="20"/>
          <w:szCs w:val="20"/>
          <w:color w:val="auto"/>
        </w:rPr>
      </w:pPr>
      <w:r>
        <w:rPr>
          <w:rFonts w:ascii="Arial" w:cs="Arial" w:eastAsia="Arial" w:hAnsi="Arial"/>
          <w:sz w:val="16"/>
          <w:szCs w:val="16"/>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98" w:lineRule="exact"/>
        <w:rPr>
          <w:sz w:val="20"/>
          <w:szCs w:val="20"/>
          <w:color w:val="auto"/>
        </w:rPr>
      </w:pPr>
    </w:p>
    <w:p>
      <w:pPr>
        <w:jc w:val="both"/>
        <w:ind w:left="1040" w:right="79" w:hanging="315"/>
        <w:spacing w:after="0" w:line="287"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2"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1040" w:right="79" w:hanging="315"/>
        <w:spacing w:after="0" w:line="290"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65" w:lineRule="exact"/>
        <w:rPr>
          <w:sz w:val="20"/>
          <w:szCs w:val="20"/>
          <w:color w:val="auto"/>
        </w:rPr>
      </w:pPr>
    </w:p>
    <w:p>
      <w:pPr>
        <w:jc w:val="both"/>
        <w:ind w:left="1020" w:right="59"/>
        <w:spacing w:after="0" w:line="287"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 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20" w:right="59"/>
        <w:spacing w:after="0" w:line="277" w:lineRule="auto"/>
        <w:rPr>
          <w:sz w:val="20"/>
          <w:szCs w:val="20"/>
          <w:color w:val="auto"/>
        </w:rPr>
      </w:pPr>
      <w:r>
        <w:rPr>
          <w:rFonts w:ascii="Arial" w:cs="Arial" w:eastAsia="Arial" w:hAnsi="Arial"/>
          <w:sz w:val="18"/>
          <w:szCs w:val="18"/>
          <w:color w:val="auto"/>
        </w:rPr>
        <w:t>challenge by a regulatory authority of our activities could result in adverse publicity and could require a costly response from us.</w:t>
      </w:r>
    </w:p>
    <w:p>
      <w:pPr>
        <w:spacing w:after="0" w:line="170" w:lineRule="exact"/>
        <w:rPr>
          <w:sz w:val="20"/>
          <w:szCs w:val="20"/>
          <w:color w:val="auto"/>
        </w:rPr>
      </w:pPr>
    </w:p>
    <w:p>
      <w:pPr>
        <w:jc w:val="both"/>
        <w:ind w:left="1040" w:right="79" w:hanging="315"/>
        <w:spacing w:after="0" w:line="267"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of medicine,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8" w:lineRule="exact"/>
        <w:rPr>
          <w:rFonts w:ascii="Arial" w:cs="Arial" w:eastAsia="Arial" w:hAnsi="Arial"/>
          <w:sz w:val="17"/>
          <w:szCs w:val="17"/>
          <w:color w:val="auto"/>
        </w:rPr>
      </w:pPr>
    </w:p>
    <w:p>
      <w:pPr>
        <w:jc w:val="both"/>
        <w:ind w:left="1040" w:right="79" w:hanging="315"/>
        <w:spacing w:after="0" w:line="283"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certain aspects of employee health plans, 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w:t>
      </w:r>
    </w:p>
    <w:p>
      <w:pPr>
        <w:jc w:val="both"/>
        <w:ind w:left="1040" w:right="79"/>
        <w:spacing w:after="0" w:line="273" w:lineRule="auto"/>
        <w:rPr>
          <w:sz w:val="20"/>
          <w:szCs w:val="20"/>
          <w:color w:val="auto"/>
        </w:rPr>
      </w:pPr>
      <w:r>
        <w:rPr>
          <w:rFonts w:ascii="Arial" w:cs="Arial" w:eastAsia="Arial" w:hAnsi="Arial"/>
          <w:sz w:val="17"/>
          <w:szCs w:val="17"/>
          <w:color w:val="auto"/>
        </w:rPr>
        <w:t xml:space="preserve">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7"/>
          <w:szCs w:val="17"/>
          <w:i w:val="1"/>
          <w:iCs w:val="1"/>
          <w:color w:val="auto"/>
        </w:rPr>
        <w:t>Rutledge v. Pharm. Care Mgmt. Ass’n</w:t>
      </w:r>
      <w:r>
        <w:rPr>
          <w:rFonts w:ascii="Arial" w:cs="Arial" w:eastAsia="Arial" w:hAnsi="Arial"/>
          <w:sz w:val="17"/>
          <w:szCs w:val="17"/>
          <w:color w:val="auto"/>
        </w:rPr>
        <w:t xml:space="preserve"> established that ERISA does not preempt all state laws imposing transparency or other requirements on PBMs.</w:t>
      </w:r>
    </w:p>
    <w:p>
      <w:pPr>
        <w:spacing w:after="0" w:line="176" w:lineRule="exact"/>
        <w:rPr>
          <w:sz w:val="20"/>
          <w:szCs w:val="20"/>
          <w:color w:val="auto"/>
        </w:rPr>
      </w:pPr>
    </w:p>
    <w:p>
      <w:pPr>
        <w:jc w:val="both"/>
        <w:ind w:left="1040" w:right="79" w:hanging="315"/>
        <w:spacing w:after="0" w:line="288" w:lineRule="auto"/>
        <w:tabs>
          <w:tab w:leader="none" w:pos="104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providers. In addition, our reputation may be harmed and our contractual obligations to certain clients may be breached, causing us to lose revenue or otherwise pay penalties under such contracts.</w:t>
      </w:r>
    </w:p>
    <w:p>
      <w:pPr>
        <w:spacing w:after="0" w:line="146" w:lineRule="exact"/>
        <w:rPr>
          <w:sz w:val="20"/>
          <w:szCs w:val="20"/>
          <w:color w:val="auto"/>
        </w:rPr>
      </w:pPr>
    </w:p>
    <w:p>
      <w:pPr>
        <w:jc w:val="both"/>
        <w:ind w:left="1040" w:right="79" w:hanging="315"/>
        <w:spacing w:after="0" w:line="285"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68" w:lineRule="exact"/>
        <w:rPr>
          <w:rFonts w:ascii="Arial" w:cs="Arial" w:eastAsia="Arial" w:hAnsi="Arial"/>
          <w:sz w:val="16"/>
          <w:szCs w:val="16"/>
          <w:color w:val="auto"/>
        </w:rPr>
      </w:pPr>
    </w:p>
    <w:p>
      <w:pPr>
        <w:jc w:val="both"/>
        <w:ind w:left="1040" w:right="79" w:hanging="315"/>
        <w:spacing w:after="0" w:line="269"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28"/>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 xml:space="preserve">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For example, the United States Supreme Court heard oral arguments in </w:t>
      </w:r>
      <w:r>
        <w:rPr>
          <w:rFonts w:ascii="Arial" w:cs="Arial" w:eastAsia="Arial" w:hAnsi="Arial"/>
          <w:sz w:val="16"/>
          <w:szCs w:val="16"/>
          <w:i w:val="1"/>
          <w:iCs w:val="1"/>
          <w:color w:val="auto"/>
        </w:rPr>
        <w:t>California v. Texas</w:t>
      </w:r>
      <w:r>
        <w:rPr>
          <w:rFonts w:ascii="Arial" w:cs="Arial" w:eastAsia="Arial" w:hAnsi="Arial"/>
          <w:sz w:val="16"/>
          <w:szCs w:val="16"/>
          <w:color w:val="auto"/>
        </w:rPr>
        <w:t>, which consolidated two cases regarding the constitutionality of the ACA on November 10, 2020. A decision is expected in 2021. The Supreme Court’s decision could end the case, or it could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result in the case being sent back to the lower courts for continued litigation.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enacted on December 27, 2020, contain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effective December 27, 2021. The CAA will also require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surprise billing laws and the CAA defers to existing state requirements with respect to state-established payment amounts.</w:t>
      </w:r>
    </w:p>
    <w:p>
      <w:pPr>
        <w:spacing w:after="0" w:line="38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w:t>
      </w:r>
    </w:p>
    <w:p>
      <w:pPr>
        <w:spacing w:after="0" w:line="187"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3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74"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In recent years, there have been a number of reform efforts, including from federal and state legislatures as well as the HHS OIG, around PBM program pricing and transparency that could affect our business. Current PBM laws and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 rebates on manufacturers that chose to increase their drug prices more rapidly than inflation. Further, the U.S. Supreme Court’s recent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Arial" w:cs="Arial" w:eastAsia="Arial" w:hAnsi="Arial"/>
          <w:sz w:val="16"/>
          <w:szCs w:val="16"/>
          <w:i w:val="1"/>
          <w:iCs w:val="1"/>
          <w:color w:val="auto"/>
        </w:rPr>
        <w:t>Rutledge</w:t>
      </w:r>
      <w:r>
        <w:rPr>
          <w:rFonts w:ascii="Arial" w:cs="Arial" w:eastAsia="Arial" w:hAnsi="Arial"/>
          <w:sz w:val="16"/>
          <w:szCs w:val="16"/>
          <w:color w:val="auto"/>
        </w:rPr>
        <w:t xml:space="preserve"> ruling, for example, New York has already reintroduced previously vetoed PBM legislation and Governor Andrew Cuomo has issued an Executive Budget for 2022 that highlights the need for PBM accountability. At least 10 states have proposed new PBM legislation in 2021 alone, including New York, Texas, and Florida.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the recent finalization of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38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illegal activities of these third-party intermediaries, our employees, representatives, contractors, partners and agents, even if we do not explicitly authorize such activities.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 which could adversely affect our business, financial condition and results of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will need to build name recognition by potential collaborators or clients in our markets of interest.</w:t>
      </w:r>
    </w:p>
    <w:p>
      <w:pPr>
        <w:spacing w:after="0" w:line="15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As described in Part II, Item 1. “Legal Proceedings” of this Quarterly Report on Form 10-Q, we were subject to a vendor arbitration that was recently settled in December 2020. As part of our settlement and to avoid further costs, we agreed to pay the vendor a total of $5.75 million.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w:t>
      </w:r>
    </w:p>
    <w:p>
      <w:pPr>
        <w:spacing w:after="0" w:line="18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25" w:lineRule="exact"/>
        <w:rPr>
          <w:sz w:val="20"/>
          <w:szCs w:val="20"/>
          <w:color w:val="auto"/>
        </w:rPr>
      </w:pPr>
    </w:p>
    <w:p>
      <w:pPr>
        <w:ind w:left="720" w:right="1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225"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As of January 1, 2020, we adopted ASU No. 2016-02, Leases </w:t>
      </w:r>
      <w:r>
        <w:rPr>
          <w:rFonts w:ascii="Arial" w:cs="Arial" w:eastAsia="Arial" w:hAnsi="Arial"/>
          <w:sz w:val="17"/>
          <w:szCs w:val="17"/>
          <w:i w:val="1"/>
          <w:iCs w:val="1"/>
          <w:color w:val="auto"/>
        </w:rPr>
        <w:t>(Topic 842)</w:t>
      </w:r>
      <w:r>
        <w:rPr>
          <w:rFonts w:ascii="Arial" w:cs="Arial" w:eastAsia="Arial" w:hAnsi="Arial"/>
          <w:sz w:val="17"/>
          <w:szCs w:val="17"/>
          <w:color w:val="auto"/>
        </w:rPr>
        <w:t xml:space="preserve"> using the modified retrospective transition method and recorded a right-of-use asset and lease liabilities of $9.5 million and $9.9 million, respectively. In addition, as of January 1, 2020, we also adopted ASU 2016-13, </w:t>
      </w:r>
      <w:r>
        <w:rPr>
          <w:rFonts w:ascii="Arial" w:cs="Arial" w:eastAsia="Arial" w:hAnsi="Arial"/>
          <w:sz w:val="17"/>
          <w:szCs w:val="17"/>
          <w:i w:val="1"/>
          <w:iCs w:val="1"/>
          <w:color w:val="auto"/>
        </w:rPr>
        <w:t>Financial Instruments –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using the modified retrospective transition method, which resulted in a cumulative-effect adjustment to</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accumulated deficit of $1.2 million and impacted our methodology for calculating and estimating our allowance for doubtful accounts. See Note 2 – Summary of Significant Accounting Policies included in Part I, Item I of this Quarterly Report on Form 10-Q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preparation of financial statements in conformity with U.S. generally accepted accounting principles, or U.S. GAAP, requires management to make estimates and assumptions that affect the amounts reported in our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Policies and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revenue recognition including accrued receivables and allowance for service changes and cancellations, accrued claims payable, stock-based compensation, and accounting for income taxes have the greatest potential impact on our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49"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recent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recent COVID-19 pandemic;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controls over financial reporting, and any failure to maintain the adequacy of these internal controls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achieve compliance with Section 404, we perform system and process evaluation and testing of our internal controls over financial reporting to allow management to report on the effectiveness of our internal controls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For example, in connection with our audit of the fiscal year 2018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8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6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20" w:right="79" w:hanging="319"/>
        <w:spacing w:after="0" w:line="263"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20" w:right="779" w:hanging="319"/>
        <w:spacing w:after="0" w:line="308"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pacing w:after="0" w:line="146" w:lineRule="exact"/>
        <w:rPr>
          <w:rFonts w:ascii="Arial" w:cs="Arial" w:eastAsia="Arial" w:hAnsi="Arial"/>
          <w:sz w:val="17"/>
          <w:szCs w:val="17"/>
          <w:color w:val="auto"/>
        </w:rPr>
      </w:pPr>
    </w:p>
    <w:p>
      <w:pPr>
        <w:ind w:left="720" w:right="3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and 2/3% of our outstanding shares of voting stock;</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20" w:right="179" w:hanging="319"/>
        <w:spacing w:after="0" w:line="308"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and 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Settlement of Equity Awards</w:t>
      </w:r>
    </w:p>
    <w:p>
      <w:pPr>
        <w:spacing w:after="0" w:line="229" w:lineRule="exact"/>
        <w:rPr>
          <w:sz w:val="20"/>
          <w:szCs w:val="20"/>
          <w:color w:val="auto"/>
        </w:rPr>
      </w:pPr>
    </w:p>
    <w:p>
      <w:pPr>
        <w:ind w:left="60" w:right="459" w:firstLine="486"/>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pacing w:after="0" w:line="170" w:lineRule="exact"/>
        <w:rPr>
          <w:sz w:val="20"/>
          <w:szCs w:val="20"/>
          <w:color w:val="auto"/>
        </w:rPr>
      </w:pPr>
    </w:p>
    <w:p>
      <w:pPr>
        <w:jc w:val="both"/>
        <w:ind w:left="60" w:right="159" w:firstLine="486"/>
        <w:spacing w:after="0" w:line="263" w:lineRule="auto"/>
        <w:rPr>
          <w:sz w:val="20"/>
          <w:szCs w:val="20"/>
          <w:color w:val="auto"/>
        </w:rPr>
      </w:pPr>
      <w:r>
        <w:rPr>
          <w:rFonts w:ascii="Arial" w:cs="Arial" w:eastAsia="Arial" w:hAnsi="Arial"/>
          <w:sz w:val="18"/>
          <w:szCs w:val="18"/>
          <w:color w:val="auto"/>
        </w:rPr>
        <w:t>In the first quarter of 2021, we withheld shares through net settlements (where the award holder receives the net of the shares vested, after surrendering a portion of the shares back to the Company for tax withholding) for certain restricted stock units that vested.</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right="739" w:firstLine="486"/>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March 31, 2021:</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4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0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6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89"/>
              </w:rPr>
              <w:t>Announced Plans</w:t>
            </w:r>
          </w:p>
        </w:tc>
        <w:tc>
          <w:tcPr>
            <w:tcW w:w="140" w:type="dxa"/>
            <w:vAlign w:val="bottom"/>
          </w:tcPr>
          <w:p>
            <w:pPr>
              <w:spacing w:after="0"/>
              <w:rPr>
                <w:sz w:val="12"/>
                <w:szCs w:val="12"/>
                <w:color w:val="auto"/>
              </w:rPr>
            </w:pPr>
          </w:p>
        </w:tc>
        <w:tc>
          <w:tcPr>
            <w:tcW w:w="94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5"/>
        </w:trPr>
        <w:tc>
          <w:tcPr>
            <w:tcW w:w="4100" w:type="dxa"/>
            <w:vAlign w:val="bottom"/>
            <w:gridSpan w:val="2"/>
            <w:vMerge w:val="continue"/>
          </w:tcPr>
          <w:p>
            <w:pPr>
              <w:spacing w:after="0"/>
              <w:rPr>
                <w:sz w:val="15"/>
                <w:szCs w:val="15"/>
                <w:color w:val="auto"/>
              </w:rPr>
            </w:pPr>
          </w:p>
        </w:tc>
        <w:tc>
          <w:tcPr>
            <w:tcW w:w="106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88"/>
              </w:rPr>
              <w:t xml:space="preserve">Repurchased </w:t>
            </w:r>
            <w:r>
              <w:rPr>
                <w:rFonts w:ascii="Arial" w:cs="Arial" w:eastAsia="Arial" w:hAnsi="Arial"/>
                <w:sz w:val="20"/>
                <w:szCs w:val="20"/>
                <w:b w:val="1"/>
                <w:bCs w:val="1"/>
                <w:color w:val="auto"/>
                <w:w w:val="88"/>
                <w:vertAlign w:val="superscript"/>
              </w:rPr>
              <w:t>(1)</w:t>
            </w:r>
          </w:p>
        </w:tc>
        <w:tc>
          <w:tcPr>
            <w:tcW w:w="160" w:type="dxa"/>
            <w:vAlign w:val="bottom"/>
          </w:tcPr>
          <w:p>
            <w:pPr>
              <w:spacing w:after="0"/>
              <w:rPr>
                <w:sz w:val="15"/>
                <w:szCs w:val="15"/>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Paid per Share</w:t>
            </w: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or Programs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3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2021 through January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tcPr>
          <w:p>
            <w:pPr>
              <w:ind w:left="20"/>
              <w:spacing w:after="0"/>
              <w:rPr>
                <w:sz w:val="20"/>
                <w:szCs w:val="20"/>
                <w:color w:val="auto"/>
              </w:rPr>
            </w:pPr>
            <w:r>
              <w:rPr>
                <w:rFonts w:ascii="Arial" w:cs="Arial" w:eastAsia="Arial" w:hAnsi="Arial"/>
                <w:sz w:val="18"/>
                <w:szCs w:val="18"/>
                <w:color w:val="auto"/>
              </w:rPr>
              <w:t>February 1, 2021 through February 28, 2021</w:t>
            </w:r>
          </w:p>
        </w:tc>
        <w:tc>
          <w:tcPr>
            <w:tcW w:w="1060" w:type="dxa"/>
            <w:vAlign w:val="bottom"/>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48.55</w:t>
            </w:r>
          </w:p>
        </w:tc>
        <w:tc>
          <w:tcPr>
            <w:tcW w:w="160" w:type="dxa"/>
            <w:vAlign w:val="bottom"/>
          </w:tcPr>
          <w:p>
            <w:pPr>
              <w:spacing w:after="0"/>
              <w:rPr>
                <w:sz w:val="18"/>
                <w:szCs w:val="18"/>
                <w:color w:val="auto"/>
              </w:rPr>
            </w:pP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through March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Total shares repurchased</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45.90</w:t>
            </w:r>
          </w:p>
        </w:tc>
        <w:tc>
          <w:tcPr>
            <w:tcW w:w="16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260" w:hanging="210"/>
        <w:spacing w:after="0"/>
        <w:tabs>
          <w:tab w:leader="none" w:pos="260" w:val="left"/>
        </w:tabs>
        <w:numPr>
          <w:ilvl w:val="0"/>
          <w:numId w:val="35"/>
        </w:numPr>
        <w:rPr>
          <w:rFonts w:ascii="Arial" w:cs="Arial" w:eastAsia="Arial" w:hAnsi="Arial"/>
          <w:sz w:val="24"/>
          <w:szCs w:val="24"/>
          <w:color w:val="auto"/>
          <w:vertAlign w:val="superscript"/>
        </w:rPr>
      </w:pPr>
      <w:r>
        <w:rPr>
          <w:rFonts w:ascii="Arial" w:cs="Arial" w:eastAsia="Arial" w:hAnsi="Arial"/>
          <w:sz w:val="16"/>
          <w:szCs w:val="16"/>
          <w:color w:val="auto"/>
        </w:rPr>
        <w:t>Represents shares withheld on net settlements of restricted stock units that vested under our equity incentive plans.</w:t>
      </w:r>
    </w:p>
    <w:p>
      <w:pPr>
        <w:spacing w:after="0" w:line="3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1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4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Incorporated by Reference</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gridSpan w:val="19"/>
            <w:vMerge w:val="restart"/>
          </w:tcPr>
          <w:p>
            <w:pPr>
              <w:ind w:left="140"/>
              <w:spacing w:after="0"/>
              <w:rPr>
                <w:sz w:val="20"/>
                <w:szCs w:val="20"/>
                <w:color w:val="auto"/>
              </w:rPr>
            </w:pPr>
            <w:r>
              <w:rPr>
                <w:rFonts w:ascii="Arial" w:cs="Arial" w:eastAsia="Arial" w:hAnsi="Arial"/>
                <w:sz w:val="14"/>
                <w:szCs w:val="14"/>
                <w:b w:val="1"/>
                <w:bCs w:val="1"/>
                <w:color w:val="auto"/>
              </w:rPr>
              <w:t>Description</w:t>
            </w:r>
          </w:p>
        </w:tc>
        <w:tc>
          <w:tcPr>
            <w:tcW w:w="100" w:type="dxa"/>
            <w:vAlign w:val="bottom"/>
          </w:tcPr>
          <w:p>
            <w:pPr>
              <w:spacing w:after="0"/>
              <w:rPr>
                <w:sz w:val="10"/>
                <w:szCs w:val="10"/>
                <w:color w:val="auto"/>
              </w:rPr>
            </w:pPr>
          </w:p>
        </w:tc>
        <w:tc>
          <w:tcPr>
            <w:tcW w:w="5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Form</w:t>
            </w:r>
          </w:p>
        </w:tc>
        <w:tc>
          <w:tcPr>
            <w:tcW w:w="92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File No.</w:t>
            </w:r>
          </w:p>
        </w:tc>
        <w:tc>
          <w:tcPr>
            <w:tcW w:w="7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78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Filing</w:t>
            </w: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19"/>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Date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line="169"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40" w:type="dxa"/>
            <w:vAlign w:val="bottom"/>
            <w:tcBorders>
              <w:bottom w:val="single" w:sz="8" w:color="0000EE"/>
            </w:tcBorders>
            <w:gridSpan w:val="9"/>
          </w:tcPr>
          <w:p>
            <w:pPr>
              <w:spacing w:after="0" w:line="169" w:lineRule="exact"/>
              <w:rPr>
                <w:rFonts w:ascii="Arial" w:cs="Arial" w:eastAsia="Arial" w:hAnsi="Arial"/>
                <w:sz w:val="18"/>
                <w:szCs w:val="18"/>
                <w:color w:val="0000EE"/>
                <w:w w:val="85"/>
              </w:rPr>
            </w:pPr>
            <w:hyperlink r:id="rId86">
              <w:r>
                <w:rPr>
                  <w:rFonts w:ascii="Arial" w:cs="Arial" w:eastAsia="Arial" w:hAnsi="Arial"/>
                  <w:sz w:val="18"/>
                  <w:szCs w:val="18"/>
                  <w:color w:val="0000EE"/>
                  <w:w w:val="85"/>
                </w:rPr>
                <w:t>Amended and Restated</w:t>
              </w:r>
            </w:hyperlink>
          </w:p>
        </w:tc>
        <w:tc>
          <w:tcPr>
            <w:tcW w:w="800" w:type="dxa"/>
            <w:vAlign w:val="bottom"/>
            <w:gridSpan w:val="12"/>
          </w:tcPr>
          <w:p>
            <w:pPr>
              <w:spacing w:after="0"/>
              <w:rPr>
                <w:sz w:val="14"/>
                <w:szCs w:val="14"/>
                <w:color w:val="auto"/>
              </w:rPr>
            </w:pPr>
          </w:p>
        </w:tc>
        <w:tc>
          <w:tcPr>
            <w:tcW w:w="660" w:type="dxa"/>
            <w:vAlign w:val="bottom"/>
            <w:gridSpan w:val="2"/>
          </w:tcPr>
          <w:p>
            <w:pPr>
              <w:ind w:left="100"/>
              <w:spacing w:after="0" w:line="169" w:lineRule="exact"/>
              <w:rPr>
                <w:sz w:val="20"/>
                <w:szCs w:val="20"/>
                <w:color w:val="auto"/>
              </w:rPr>
            </w:pPr>
            <w:r>
              <w:rPr>
                <w:rFonts w:ascii="Arial" w:cs="Arial" w:eastAsia="Arial" w:hAnsi="Arial"/>
                <w:sz w:val="18"/>
                <w:szCs w:val="18"/>
                <w:color w:val="auto"/>
              </w:rPr>
              <w:t>8-K</w:t>
            </w:r>
          </w:p>
        </w:tc>
        <w:tc>
          <w:tcPr>
            <w:tcW w:w="920" w:type="dxa"/>
            <w:vAlign w:val="bottom"/>
          </w:tcPr>
          <w:p>
            <w:pPr>
              <w:jc w:val="right"/>
              <w:spacing w:after="0" w:line="169" w:lineRule="exact"/>
              <w:rPr>
                <w:sz w:val="20"/>
                <w:szCs w:val="20"/>
                <w:color w:val="auto"/>
              </w:rPr>
            </w:pPr>
            <w:r>
              <w:rPr>
                <w:rFonts w:ascii="Arial" w:cs="Arial" w:eastAsia="Arial" w:hAnsi="Arial"/>
                <w:sz w:val="18"/>
                <w:szCs w:val="18"/>
                <w:color w:val="auto"/>
                <w:w w:val="97"/>
              </w:rPr>
              <w:t>001-39100</w:t>
            </w:r>
          </w:p>
        </w:tc>
        <w:tc>
          <w:tcPr>
            <w:tcW w:w="740" w:type="dxa"/>
            <w:vAlign w:val="bottom"/>
          </w:tcPr>
          <w:p>
            <w:pPr>
              <w:jc w:val="right"/>
              <w:ind w:right="379"/>
              <w:spacing w:after="0" w:line="169" w:lineRule="exact"/>
              <w:rPr>
                <w:sz w:val="20"/>
                <w:szCs w:val="20"/>
                <w:color w:val="auto"/>
              </w:rPr>
            </w:pPr>
            <w:r>
              <w:rPr>
                <w:rFonts w:ascii="Arial" w:cs="Arial" w:eastAsia="Arial" w:hAnsi="Arial"/>
                <w:sz w:val="18"/>
                <w:szCs w:val="18"/>
                <w:color w:val="auto"/>
              </w:rPr>
              <w:t>3.1</w:t>
            </w:r>
          </w:p>
        </w:tc>
        <w:tc>
          <w:tcPr>
            <w:tcW w:w="1780" w:type="dxa"/>
            <w:vAlign w:val="bottom"/>
          </w:tcPr>
          <w:p>
            <w:pPr>
              <w:ind w:left="220"/>
              <w:spacing w:after="0" w:line="169" w:lineRule="exact"/>
              <w:rPr>
                <w:sz w:val="20"/>
                <w:szCs w:val="20"/>
                <w:color w:val="auto"/>
              </w:rPr>
            </w:pPr>
            <w:r>
              <w:rPr>
                <w:rFonts w:ascii="Arial" w:cs="Arial" w:eastAsia="Arial" w:hAnsi="Arial"/>
                <w:sz w:val="18"/>
                <w:szCs w:val="18"/>
                <w:color w:val="auto"/>
              </w:rPr>
              <w:t>10/31/2019</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6">
              <w:r>
                <w:rPr>
                  <w:rFonts w:ascii="Arial" w:cs="Arial" w:eastAsia="Arial" w:hAnsi="Arial"/>
                  <w:sz w:val="18"/>
                  <w:szCs w:val="18"/>
                  <w:color w:val="0000EE"/>
                </w:rPr>
                <w:t>Certificate of Incorporation of</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86">
              <w:r>
                <w:rPr>
                  <w:rFonts w:ascii="Arial" w:cs="Arial" w:eastAsia="Arial" w:hAnsi="Arial"/>
                  <w:sz w:val="18"/>
                  <w:szCs w:val="18"/>
                  <w:color w:val="0000EE"/>
                  <w:w w:val="89"/>
                </w:rPr>
                <w:t>Progyny, Inc.</w:t>
              </w:r>
            </w:hyperlink>
          </w:p>
        </w:tc>
        <w:tc>
          <w:tcPr>
            <w:tcW w:w="1200" w:type="dxa"/>
            <w:vAlign w:val="bottom"/>
            <w:tcBorders>
              <w:top w:val="single" w:sz="8" w:color="0000EE"/>
            </w:tcBorders>
            <w:gridSpan w:val="13"/>
          </w:tcPr>
          <w:p>
            <w:pPr>
              <w:spacing w:after="0"/>
              <w:rPr>
                <w:sz w:val="17"/>
                <w:szCs w:val="17"/>
                <w:color w:val="auto"/>
              </w:rPr>
            </w:pPr>
          </w:p>
        </w:tc>
        <w:tc>
          <w:tcPr>
            <w:tcW w:w="30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160" w:type="dxa"/>
            <w:vAlign w:val="bottom"/>
          </w:tcPr>
          <w:p>
            <w:pPr>
              <w:spacing w:after="0"/>
              <w:rPr>
                <w:sz w:val="17"/>
                <w:szCs w:val="17"/>
                <w:color w:val="auto"/>
              </w:rPr>
            </w:pPr>
          </w:p>
        </w:tc>
        <w:tc>
          <w:tcPr>
            <w:tcW w:w="232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87">
              <w:r>
                <w:rPr>
                  <w:rFonts w:ascii="Arial" w:cs="Arial" w:eastAsia="Arial" w:hAnsi="Arial"/>
                  <w:sz w:val="18"/>
                  <w:szCs w:val="18"/>
                  <w:color w:val="0000EE"/>
                  <w:w w:val="89"/>
                </w:rPr>
                <w:t>Amended and Restated By-laws</w:t>
              </w:r>
            </w:hyperlink>
          </w:p>
        </w:tc>
        <w:tc>
          <w:tcPr>
            <w:tcW w:w="140" w:type="dxa"/>
            <w:vAlign w:val="bottom"/>
            <w:gridSpan w:val="2"/>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333-2339653.4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9/27/2019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7">
              <w:r>
                <w:rPr>
                  <w:rFonts w:ascii="Arial" w:cs="Arial" w:eastAsia="Arial" w:hAnsi="Arial"/>
                  <w:sz w:val="18"/>
                  <w:szCs w:val="18"/>
                  <w:color w:val="0000EE"/>
                </w:rPr>
                <w:t>of Progyny, Inc.</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160" w:type="dxa"/>
            <w:vAlign w:val="bottom"/>
          </w:tcPr>
          <w:p>
            <w:pPr>
              <w:spacing w:after="0"/>
              <w:rPr>
                <w:sz w:val="17"/>
                <w:szCs w:val="17"/>
                <w:color w:val="auto"/>
              </w:rPr>
            </w:pPr>
          </w:p>
        </w:tc>
        <w:tc>
          <w:tcPr>
            <w:tcW w:w="16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88">
              <w:r>
                <w:rPr>
                  <w:rFonts w:ascii="Arial" w:cs="Arial" w:eastAsia="Arial" w:hAnsi="Arial"/>
                  <w:sz w:val="18"/>
                  <w:szCs w:val="18"/>
                  <w:color w:val="0000EE"/>
                  <w:w w:val="90"/>
                </w:rPr>
                <w:t>Form of common stock</w:t>
              </w:r>
            </w:hyperlink>
          </w:p>
        </w:tc>
        <w:tc>
          <w:tcPr>
            <w:tcW w:w="780" w:type="dxa"/>
            <w:vAlign w:val="bottom"/>
            <w:gridSpan w:val="11"/>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333-2339654.1</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8">
              <w:r>
                <w:rPr>
                  <w:rFonts w:ascii="Arial" w:cs="Arial" w:eastAsia="Arial" w:hAnsi="Arial"/>
                  <w:sz w:val="18"/>
                  <w:szCs w:val="18"/>
                  <w:color w:val="0000EE"/>
                </w:rPr>
                <w:t>certificate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Form of 2013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333-2339654.2</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89">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4.3</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Form of 2014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333-2339654.3</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0">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4.4</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Form of 2015 Preferred Stock</w:t>
              </w:r>
            </w:hyperlink>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333-2339654.4</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Warrant.</w:t>
              </w:r>
            </w:hyperlink>
          </w:p>
        </w:tc>
        <w:tc>
          <w:tcPr>
            <w:tcW w:w="32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190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Warrant to Purchase Stock</w:t>
              </w:r>
            </w:hyperlink>
          </w:p>
        </w:tc>
        <w:tc>
          <w:tcPr>
            <w:tcW w:w="560" w:type="dxa"/>
            <w:vAlign w:val="bottom"/>
            <w:gridSpan w:val="9"/>
          </w:tcPr>
          <w:p>
            <w:pPr>
              <w:spacing w:after="0"/>
              <w:rPr>
                <w:sz w:val="17"/>
                <w:szCs w:val="17"/>
                <w:color w:val="auto"/>
              </w:rPr>
            </w:pPr>
          </w:p>
        </w:tc>
        <w:tc>
          <w:tcPr>
            <w:tcW w:w="66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S-1/A</w:t>
            </w:r>
          </w:p>
        </w:tc>
        <w:tc>
          <w:tcPr>
            <w:tcW w:w="1660" w:type="dxa"/>
            <w:vAlign w:val="bottom"/>
            <w:gridSpan w:val="2"/>
          </w:tcPr>
          <w:p>
            <w:pPr>
              <w:jc w:val="right"/>
              <w:ind w:right="379"/>
              <w:spacing w:after="0" w:line="196" w:lineRule="exact"/>
              <w:rPr>
                <w:sz w:val="20"/>
                <w:szCs w:val="20"/>
                <w:color w:val="auto"/>
              </w:rPr>
            </w:pPr>
            <w:r>
              <w:rPr>
                <w:rFonts w:ascii="Arial" w:cs="Arial" w:eastAsia="Arial" w:hAnsi="Arial"/>
                <w:sz w:val="18"/>
                <w:szCs w:val="18"/>
                <w:color w:val="auto"/>
                <w:w w:val="97"/>
              </w:rPr>
              <w:t>333-2339654.5</w:t>
            </w:r>
          </w:p>
        </w:tc>
        <w:tc>
          <w:tcPr>
            <w:tcW w:w="1780" w:type="dxa"/>
            <w:vAlign w:val="bottom"/>
          </w:tcPr>
          <w:p>
            <w:pPr>
              <w:ind w:left="220"/>
              <w:spacing w:after="0" w:line="196" w:lineRule="exact"/>
              <w:rPr>
                <w:sz w:val="20"/>
                <w:szCs w:val="20"/>
                <w:color w:val="auto"/>
              </w:rPr>
            </w:pPr>
            <w:r>
              <w:rPr>
                <w:rFonts w:ascii="Arial" w:cs="Arial" w:eastAsia="Arial" w:hAnsi="Arial"/>
                <w:sz w:val="18"/>
                <w:szCs w:val="18"/>
                <w:color w:val="auto"/>
              </w:rPr>
              <w:t>10/15/2019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issued to Silicon Valley Bank</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r:id="rId92">
              <w:r>
                <w:rPr>
                  <w:rFonts w:ascii="Arial" w:cs="Arial" w:eastAsia="Arial" w:hAnsi="Arial"/>
                  <w:sz w:val="18"/>
                  <w:szCs w:val="18"/>
                  <w:color w:val="0000EE"/>
                  <w:w w:val="87"/>
                </w:rPr>
                <w:t>dated October 9, 2013.</w:t>
              </w:r>
            </w:hyperlink>
          </w:p>
        </w:tc>
        <w:tc>
          <w:tcPr>
            <w:tcW w:w="460" w:type="dxa"/>
            <w:vAlign w:val="bottom"/>
            <w:tcBorders>
              <w:top w:val="single" w:sz="8" w:color="0000EE"/>
            </w:tcBorders>
            <w:gridSpan w:val="5"/>
          </w:tcPr>
          <w:p>
            <w:pPr>
              <w:spacing w:after="0"/>
              <w:rPr>
                <w:sz w:val="17"/>
                <w:szCs w:val="17"/>
                <w:color w:val="auto"/>
              </w:rPr>
            </w:pPr>
          </w:p>
        </w:tc>
        <w:tc>
          <w:tcPr>
            <w:tcW w:w="360" w:type="dxa"/>
            <w:vAlign w:val="bottom"/>
            <w:gridSpan w:val="8"/>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Certification of Chief Executive</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Officer pursuant to Exchange</w:t>
              </w:r>
            </w:hyperlink>
          </w:p>
        </w:tc>
        <w:tc>
          <w:tcPr>
            <w:tcW w:w="180" w:type="dxa"/>
            <w:vAlign w:val="bottom"/>
            <w:tcBorders>
              <w:top w:val="single" w:sz="8" w:color="0000EE"/>
            </w:tcBorders>
            <w:gridSpan w:val="4"/>
          </w:tcPr>
          <w:p>
            <w:pPr>
              <w:spacing w:after="0"/>
              <w:rPr>
                <w:sz w:val="17"/>
                <w:szCs w:val="17"/>
                <w:color w:val="auto"/>
              </w:rPr>
            </w:pPr>
          </w:p>
        </w:tc>
        <w:tc>
          <w:tcPr>
            <w:tcW w:w="16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3">
              <w:r>
                <w:rPr>
                  <w:rFonts w:ascii="Arial" w:cs="Arial" w:eastAsia="Arial" w:hAnsi="Arial"/>
                  <w:sz w:val="18"/>
                  <w:szCs w:val="18"/>
                  <w:color w:val="0000EE"/>
                  <w:w w:val="90"/>
                </w:rPr>
                <w:t>Officer pursuant to Exchange</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Act Rule 13a-14(a).</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Certification of Principal</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60" w:type="dxa"/>
            <w:vAlign w:val="bottom"/>
            <w:gridSpan w:val="22"/>
          </w:tcPr>
          <w:p>
            <w:pPr>
              <w:spacing w:after="0" w:line="196" w:lineRule="exact"/>
              <w:rPr>
                <w:rFonts w:ascii="Arial" w:cs="Arial" w:eastAsia="Arial" w:hAnsi="Arial"/>
                <w:sz w:val="18"/>
                <w:szCs w:val="18"/>
                <w:color w:val="0000EE"/>
                <w:w w:val="95"/>
              </w:rPr>
            </w:pPr>
            <w:hyperlink w:anchor="page74">
              <w:r>
                <w:rPr>
                  <w:rFonts w:ascii="Arial" w:cs="Arial" w:eastAsia="Arial" w:hAnsi="Arial"/>
                  <w:sz w:val="18"/>
                  <w:szCs w:val="18"/>
                  <w:color w:val="0000EE"/>
                  <w:w w:val="95"/>
                </w:rPr>
                <w:t>Executive Officer pursuant to 18</w:t>
              </w:r>
            </w:hyperlink>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U.S.C. Section 1350.</w:t>
              </w:r>
            </w:hyperlink>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160" w:type="dxa"/>
            <w:vAlign w:val="bottom"/>
          </w:tcPr>
          <w:p>
            <w:pPr>
              <w:spacing w:after="0"/>
              <w:rPr>
                <w:sz w:val="17"/>
                <w:szCs w:val="17"/>
                <w:color w:val="auto"/>
              </w:rPr>
            </w:pPr>
          </w:p>
        </w:tc>
        <w:tc>
          <w:tcPr>
            <w:tcW w:w="2260" w:type="dxa"/>
            <w:vAlign w:val="bottom"/>
            <w:tcBorders>
              <w:bottom w:val="single" w:sz="8" w:color="0000EE"/>
            </w:tcBorders>
            <w:gridSpan w:val="18"/>
          </w:tcPr>
          <w:p>
            <w:pPr>
              <w:spacing w:after="0" w:line="196" w:lineRule="exact"/>
              <w:rPr>
                <w:rFonts w:ascii="Arial" w:cs="Arial" w:eastAsia="Arial" w:hAnsi="Arial"/>
                <w:sz w:val="18"/>
                <w:szCs w:val="18"/>
                <w:color w:val="0000EE"/>
                <w:w w:val="93"/>
              </w:rPr>
            </w:pPr>
            <w:hyperlink w:anchor="page75">
              <w:r>
                <w:rPr>
                  <w:rFonts w:ascii="Arial" w:cs="Arial" w:eastAsia="Arial" w:hAnsi="Arial"/>
                  <w:sz w:val="18"/>
                  <w:szCs w:val="18"/>
                  <w:color w:val="0000EE"/>
                  <w:w w:val="93"/>
                </w:rPr>
                <w:t>Certification of Chief Financial</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jc w:val="center"/>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5">
              <w:r>
                <w:rPr>
                  <w:rFonts w:ascii="Arial" w:cs="Arial" w:eastAsia="Arial" w:hAnsi="Arial"/>
                  <w:sz w:val="18"/>
                  <w:szCs w:val="18"/>
                  <w:color w:val="0000EE"/>
                  <w:w w:val="90"/>
                </w:rPr>
                <w:t>Officer pursuant to 18 U.S.C.</w:t>
              </w:r>
            </w:hyperlink>
          </w:p>
        </w:tc>
        <w:tc>
          <w:tcPr>
            <w:tcW w:w="340" w:type="dxa"/>
            <w:vAlign w:val="bottom"/>
            <w:gridSpan w:val="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75">
              <w:r>
                <w:rPr>
                  <w:rFonts w:ascii="Arial" w:cs="Arial" w:eastAsia="Arial" w:hAnsi="Arial"/>
                  <w:sz w:val="18"/>
                  <w:szCs w:val="18"/>
                  <w:color w:val="0000EE"/>
                  <w:w w:val="87"/>
                </w:rPr>
                <w:t>Section 1350.</w:t>
              </w:r>
            </w:hyperlink>
          </w:p>
        </w:tc>
        <w:tc>
          <w:tcPr>
            <w:tcW w:w="1480" w:type="dxa"/>
            <w:vAlign w:val="bottom"/>
            <w:gridSpan w:val="17"/>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19"/>
                <w:szCs w:val="19"/>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5"/>
              </w:rPr>
              <w:t>Inline XBRL Instance Document</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Schema 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7"/>
              </w:rPr>
              <w:t>Extension Calculation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Definition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Extension Label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Inline XBRL Taxonomy</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w w:val="93"/>
              </w:rPr>
              <w:t>Extension Presentation Linkbase</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40" w:right="5439" w:hanging="1184"/>
        <w:spacing w:after="0" w:line="277" w:lineRule="auto"/>
        <w:tabs>
          <w:tab w:leader="none" w:pos="1240" w:val="left"/>
        </w:tabs>
        <w:numPr>
          <w:ilvl w:val="1"/>
          <w:numId w:val="36"/>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and contained in Exhibit 101)</w:t>
      </w:r>
    </w:p>
    <w:p>
      <w:pPr>
        <w:spacing w:after="0" w:line="172" w:lineRule="exact"/>
        <w:rPr>
          <w:rFonts w:ascii="Arial" w:cs="Arial" w:eastAsia="Arial" w:hAnsi="Arial"/>
          <w:sz w:val="17"/>
          <w:szCs w:val="17"/>
          <w:color w:val="auto"/>
        </w:rPr>
      </w:pPr>
    </w:p>
    <w:p>
      <w:pPr>
        <w:ind w:left="6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3" w:lineRule="exact"/>
        <w:rPr>
          <w:rFonts w:ascii="Arial" w:cs="Arial" w:eastAsia="Arial" w:hAnsi="Arial"/>
          <w:sz w:val="17"/>
          <w:szCs w:val="17"/>
          <w:color w:val="auto"/>
        </w:rPr>
      </w:pPr>
    </w:p>
    <w:p>
      <w:pPr>
        <w:ind w:left="480" w:hanging="430"/>
        <w:spacing w:after="0"/>
        <w:tabs>
          <w:tab w:leader="none" w:pos="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-336550</wp:posOffset>
            </wp:positionV>
            <wp:extent cx="14141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900" w:type="dxa"/>
            <w:vAlign w:val="bottom"/>
          </w:tcPr>
          <w:p>
            <w:pPr>
              <w:spacing w:after="0"/>
              <w:rPr>
                <w:sz w:val="18"/>
                <w:szCs w:val="18"/>
                <w:color w:val="auto"/>
              </w:rPr>
            </w:pP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Progyny, Inc.</w:t>
            </w:r>
          </w:p>
        </w:tc>
        <w:tc>
          <w:tcPr>
            <w:tcW w:w="3300" w:type="dxa"/>
            <w:vAlign w:val="bottom"/>
          </w:tcPr>
          <w:p>
            <w:pPr>
              <w:spacing w:after="0"/>
              <w:rPr>
                <w:sz w:val="18"/>
                <w:szCs w:val="18"/>
                <w:color w:val="auto"/>
              </w:rPr>
            </w:pPr>
          </w:p>
        </w:tc>
      </w:tr>
      <w:tr>
        <w:trPr>
          <w:trHeight w:val="230"/>
        </w:trPr>
        <w:tc>
          <w:tcPr>
            <w:tcW w:w="2900" w:type="dxa"/>
            <w:vAlign w:val="bottom"/>
          </w:tcPr>
          <w:p>
            <w:pPr>
              <w:spacing w:after="0"/>
              <w:rPr>
                <w:sz w:val="20"/>
                <w:szCs w:val="20"/>
                <w:color w:val="auto"/>
              </w:rPr>
            </w:pP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Registrant</w:t>
            </w:r>
            <w:r>
              <w:rPr>
                <w:rFonts w:ascii="Arial" w:cs="Arial" w:eastAsia="Arial" w:hAnsi="Arial"/>
                <w:sz w:val="18"/>
                <w:szCs w:val="18"/>
                <w:color w:val="auto"/>
              </w:rPr>
              <w:t>)</w:t>
            </w:r>
          </w:p>
        </w:tc>
        <w:tc>
          <w:tcPr>
            <w:tcW w:w="3300" w:type="dxa"/>
            <w:vAlign w:val="bottom"/>
          </w:tcPr>
          <w:p>
            <w:pPr>
              <w:spacing w:after="0"/>
              <w:rPr>
                <w:sz w:val="20"/>
                <w:szCs w:val="20"/>
                <w:color w:val="auto"/>
              </w:rPr>
            </w:pP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May 7, 2021</w:t>
            </w: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0"/>
              </w:rPr>
              <w:t>/s/ David Schlanger</w:t>
            </w:r>
          </w:p>
        </w:tc>
      </w:tr>
      <w:tr>
        <w:trPr>
          <w:trHeight w:val="222"/>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0"/>
              </w:rPr>
              <w:t>David Schlanger</w:t>
            </w:r>
          </w:p>
        </w:tc>
      </w:tr>
      <w:tr>
        <w:trPr>
          <w:trHeight w:val="216"/>
        </w:trPr>
        <w:tc>
          <w:tcPr>
            <w:tcW w:w="2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300" w:type="dxa"/>
            <w:vAlign w:val="bottom"/>
          </w:tcPr>
          <w:p>
            <w:pPr>
              <w:jc w:val="center"/>
              <w:ind w:right="770"/>
              <w:spacing w:after="0"/>
              <w:rPr>
                <w:sz w:val="20"/>
                <w:szCs w:val="20"/>
                <w:color w:val="auto"/>
              </w:rPr>
            </w:pPr>
            <w:r>
              <w:rPr>
                <w:rFonts w:ascii="Arial" w:cs="Arial" w:eastAsia="Arial" w:hAnsi="Arial"/>
                <w:sz w:val="18"/>
                <w:szCs w:val="18"/>
                <w:color w:val="auto"/>
                <w:w w:val="93"/>
              </w:rPr>
              <w:t>Chief Executive Officer</w:t>
            </w:r>
          </w:p>
        </w:tc>
      </w:tr>
      <w:tr>
        <w:trPr>
          <w:trHeight w:val="230"/>
        </w:trPr>
        <w:tc>
          <w:tcPr>
            <w:tcW w:w="29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459"/>
        </w:trPr>
        <w:tc>
          <w:tcPr>
            <w:tcW w:w="2900" w:type="dxa"/>
            <w:vAlign w:val="bottom"/>
          </w:tcPr>
          <w:p>
            <w:pPr>
              <w:spacing w:after="0"/>
              <w:rPr>
                <w:sz w:val="20"/>
                <w:szCs w:val="20"/>
                <w:color w:val="auto"/>
              </w:rPr>
            </w:pPr>
            <w:r>
              <w:rPr>
                <w:rFonts w:ascii="Arial" w:cs="Arial" w:eastAsia="Arial" w:hAnsi="Arial"/>
                <w:sz w:val="18"/>
                <w:szCs w:val="18"/>
                <w:color w:val="auto"/>
              </w:rPr>
              <w:t>Date: May 7, 2021</w:t>
            </w:r>
          </w:p>
        </w:tc>
        <w:tc>
          <w:tcPr>
            <w:tcW w:w="2700" w:type="dxa"/>
            <w:vAlign w:val="bottom"/>
            <w:gridSpan w:val="2"/>
          </w:tcPr>
          <w:p>
            <w:pPr>
              <w:ind w:left="1560"/>
              <w:spacing w:after="0"/>
              <w:rPr>
                <w:sz w:val="20"/>
                <w:szCs w:val="20"/>
                <w:color w:val="auto"/>
              </w:rPr>
            </w:pPr>
            <w:r>
              <w:rPr>
                <w:rFonts w:ascii="Arial" w:cs="Arial" w:eastAsia="Arial" w:hAnsi="Arial"/>
                <w:sz w:val="18"/>
                <w:szCs w:val="18"/>
                <w:color w:val="auto"/>
              </w:rPr>
              <w:t>By:</w:t>
            </w:r>
          </w:p>
        </w:tc>
        <w:tc>
          <w:tcPr>
            <w:tcW w:w="3300" w:type="dxa"/>
            <w:vAlign w:val="bottom"/>
          </w:tcPr>
          <w:p>
            <w:pPr>
              <w:jc w:val="center"/>
              <w:ind w:right="790"/>
              <w:spacing w:after="0"/>
              <w:rPr>
                <w:sz w:val="20"/>
                <w:szCs w:val="20"/>
                <w:color w:val="auto"/>
              </w:rPr>
            </w:pPr>
            <w:r>
              <w:rPr>
                <w:rFonts w:ascii="Arial" w:cs="Arial" w:eastAsia="Arial" w:hAnsi="Arial"/>
                <w:sz w:val="18"/>
                <w:szCs w:val="18"/>
                <w:color w:val="auto"/>
                <w:w w:val="94"/>
              </w:rPr>
              <w:t>/s/ Mark Livingston</w:t>
            </w:r>
          </w:p>
        </w:tc>
      </w:tr>
      <w:tr>
        <w:trPr>
          <w:trHeight w:val="224"/>
        </w:trPr>
        <w:tc>
          <w:tcPr>
            <w:tcW w:w="29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30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6"/>
              </w:rPr>
              <w:t>Mark Livingston</w:t>
            </w:r>
          </w:p>
        </w:tc>
      </w:tr>
    </w:tbl>
    <w:p>
      <w:pPr>
        <w:jc w:val="center"/>
        <w:ind w:left="4720"/>
        <w:spacing w:after="0"/>
        <w:rPr>
          <w:sz w:val="20"/>
          <w:szCs w:val="20"/>
          <w:color w:val="auto"/>
        </w:rPr>
      </w:pPr>
      <w:r>
        <w:rPr>
          <w:rFonts w:ascii="Arial" w:cs="Arial" w:eastAsia="Arial" w:hAnsi="Arial"/>
          <w:sz w:val="18"/>
          <w:szCs w:val="18"/>
          <w:color w:val="auto"/>
        </w:rPr>
        <w:t>Chief Financial Officer</w:t>
      </w:r>
    </w:p>
    <w:p>
      <w:pPr>
        <w:spacing w:after="0" w:line="22"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Accounting 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Schlanger,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00" w:right="20" w:hanging="444"/>
        <w:spacing w:after="0" w:line="311" w:lineRule="auto"/>
        <w:tabs>
          <w:tab w:leader="none" w:pos="11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100" w:right="300" w:hanging="444"/>
        <w:spacing w:after="0" w:line="311" w:lineRule="auto"/>
        <w:tabs>
          <w:tab w:leader="none" w:pos="11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100" w:right="160" w:hanging="444"/>
        <w:spacing w:after="0" w:line="263"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100" w:right="280" w:hanging="444"/>
        <w:spacing w:after="0" w:line="259"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100" w:right="80" w:hanging="444"/>
        <w:spacing w:after="0" w:line="263"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100" w:right="460" w:hanging="444"/>
        <w:spacing w:after="0" w:line="277" w:lineRule="auto"/>
        <w:tabs>
          <w:tab w:leader="none" w:pos="11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May 7, 2021</w:t>
            </w:r>
          </w:p>
        </w:tc>
        <w:tc>
          <w:tcPr>
            <w:tcW w:w="2260" w:type="dxa"/>
            <w:vAlign w:val="bottom"/>
          </w:tcPr>
          <w:p>
            <w:pPr>
              <w:ind w:left="192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776"/>
        </w:trPr>
        <w:tc>
          <w:tcPr>
            <w:tcW w:w="3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Progyny, Inc.;</w:t>
      </w:r>
    </w:p>
    <w:p>
      <w:pPr>
        <w:spacing w:after="0" w:line="225" w:lineRule="exact"/>
        <w:rPr>
          <w:rFonts w:ascii="Arial" w:cs="Arial" w:eastAsia="Arial" w:hAnsi="Arial"/>
          <w:sz w:val="18"/>
          <w:szCs w:val="18"/>
          <w:color w:val="auto"/>
        </w:rPr>
      </w:pPr>
    </w:p>
    <w:p>
      <w:pPr>
        <w:ind w:left="660" w:right="20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080" w:right="20" w:hanging="424"/>
        <w:spacing w:after="0" w:line="311" w:lineRule="auto"/>
        <w:tabs>
          <w:tab w:leader="none" w:pos="10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1080" w:right="300" w:hanging="424"/>
        <w:spacing w:after="0" w:line="311" w:lineRule="auto"/>
        <w:tabs>
          <w:tab w:leader="none" w:pos="10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Arial" w:cs="Arial" w:eastAsia="Arial" w:hAnsi="Arial"/>
          <w:sz w:val="16"/>
          <w:szCs w:val="16"/>
          <w:color w:val="auto"/>
        </w:rPr>
      </w:pPr>
    </w:p>
    <w:p>
      <w:pPr>
        <w:ind w:left="1080" w:right="180" w:hanging="424"/>
        <w:spacing w:after="0" w:line="263"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1080" w:right="280" w:hanging="424"/>
        <w:spacing w:after="0" w:line="259"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660" w:right="360" w:hanging="328"/>
        <w:spacing w:after="0" w:line="263"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1080" w:right="100" w:hanging="424"/>
        <w:spacing w:after="0" w:line="263"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1080" w:right="480" w:hanging="424"/>
        <w:spacing w:after="0" w:line="277"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Date: May 7, 2021</w:t>
            </w:r>
          </w:p>
        </w:tc>
        <w:tc>
          <w:tcPr>
            <w:tcW w:w="2220" w:type="dxa"/>
            <w:vAlign w:val="bottom"/>
          </w:tcPr>
          <w:p>
            <w:pPr>
              <w:ind w:left="192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Mark Livingston</w:t>
            </w:r>
          </w:p>
        </w:tc>
      </w:tr>
      <w:tr>
        <w:trPr>
          <w:trHeight w:val="222"/>
        </w:trPr>
        <w:tc>
          <w:tcPr>
            <w:tcW w:w="32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6"/>
              </w:rPr>
              <w:t>Mark Livingston</w:t>
            </w:r>
          </w:p>
        </w:tc>
      </w:tr>
      <w:tr>
        <w:trPr>
          <w:trHeight w:val="216"/>
        </w:trPr>
        <w:tc>
          <w:tcPr>
            <w:tcW w:w="32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326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44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r>
              <w:rPr>
                <w:rFonts w:ascii="Arial" w:cs="Arial" w:eastAsia="Arial" w:hAnsi="Arial"/>
                <w:sz w:val="18"/>
                <w:szCs w:val="18"/>
                <w:color w:val="auto"/>
                <w:w w:val="97"/>
              </w:rPr>
              <w:t>)</w:t>
            </w:r>
          </w:p>
        </w:tc>
      </w:tr>
      <w:tr>
        <w:trPr>
          <w:trHeight w:val="776"/>
        </w:trPr>
        <w:tc>
          <w:tcPr>
            <w:tcW w:w="3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March 31,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Date: May 7, 2021</w:t>
            </w:r>
          </w:p>
        </w:tc>
        <w:tc>
          <w:tcPr>
            <w:tcW w:w="2000" w:type="dxa"/>
            <w:vAlign w:val="bottom"/>
          </w:tcPr>
          <w:p>
            <w:pPr>
              <w:ind w:left="1700"/>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Schlanger</w:t>
            </w:r>
          </w:p>
        </w:tc>
      </w:tr>
      <w:tr>
        <w:trPr>
          <w:trHeight w:val="222"/>
        </w:trPr>
        <w:tc>
          <w:tcPr>
            <w:tcW w:w="30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2"/>
              </w:rPr>
              <w:t>David Schlanger</w:t>
            </w:r>
          </w:p>
        </w:tc>
      </w:tr>
      <w:tr>
        <w:trPr>
          <w:trHeight w:val="216"/>
        </w:trPr>
        <w:tc>
          <w:tcPr>
            <w:tcW w:w="30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0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40" w:type="dxa"/>
            <w:vAlign w:val="bottom"/>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r>
      <w:tr>
        <w:trPr>
          <w:trHeight w:val="776"/>
        </w:trPr>
        <w:tc>
          <w:tcPr>
            <w:tcW w:w="3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60" w:firstLine="441"/>
        <w:spacing w:after="0" w:line="263" w:lineRule="auto"/>
        <w:rPr>
          <w:sz w:val="20"/>
          <w:szCs w:val="20"/>
          <w:color w:val="auto"/>
        </w:rPr>
      </w:pPr>
      <w:r>
        <w:rPr>
          <w:rFonts w:ascii="Arial" w:cs="Arial" w:eastAsia="Arial" w:hAnsi="Arial"/>
          <w:sz w:val="18"/>
          <w:szCs w:val="18"/>
          <w:color w:val="auto"/>
        </w:rPr>
        <w:t>In connection with the Quarterly Report on Form 10-Q of Progyny, Inc. (the “Company”) for the period ending March 31, 2021 as filed with the Securities and Exchange Commission on the date hereof (the “Report”), I certify, pursuant to 18 U.S.C. § 1350, as adopted pursuant to § 906 of the Sarbanes-Oxley Act of 2002, that, to my knowledge:</w:t>
      </w:r>
    </w:p>
    <w:p>
      <w:pPr>
        <w:spacing w:after="0" w:line="184" w:lineRule="exact"/>
        <w:rPr>
          <w:sz w:val="20"/>
          <w:szCs w:val="20"/>
          <w:color w:val="auto"/>
        </w:rPr>
      </w:pPr>
    </w:p>
    <w:p>
      <w:pPr>
        <w:ind w:left="880" w:hanging="440"/>
        <w:spacing w:after="0"/>
        <w:tabs>
          <w:tab w:leader="none" w:pos="8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880" w:right="640" w:hanging="440"/>
        <w:spacing w:after="0" w:line="277"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Date: May 7, 2021</w:t>
            </w:r>
          </w:p>
        </w:tc>
        <w:tc>
          <w:tcPr>
            <w:tcW w:w="2000" w:type="dxa"/>
            <w:vAlign w:val="bottom"/>
          </w:tcPr>
          <w:p>
            <w:pPr>
              <w:ind w:left="1720"/>
              <w:spacing w:after="0"/>
              <w:rPr>
                <w:sz w:val="20"/>
                <w:szCs w:val="20"/>
                <w:color w:val="auto"/>
              </w:rPr>
            </w:pPr>
            <w:r>
              <w:rPr>
                <w:rFonts w:ascii="Arial" w:cs="Arial" w:eastAsia="Arial" w:hAnsi="Arial"/>
                <w:sz w:val="18"/>
                <w:szCs w:val="18"/>
                <w:color w:val="auto"/>
                <w:w w:val="99"/>
              </w:rPr>
              <w:t>By:</w:t>
            </w: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Livingston</w:t>
            </w:r>
          </w:p>
        </w:tc>
      </w:tr>
      <w:tr>
        <w:trPr>
          <w:trHeight w:val="222"/>
        </w:trPr>
        <w:tc>
          <w:tcPr>
            <w:tcW w:w="30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5"/>
              </w:rPr>
              <w:t>Mark Livingston</w:t>
            </w:r>
          </w:p>
        </w:tc>
      </w:tr>
      <w:tr>
        <w:trPr>
          <w:trHeight w:val="216"/>
        </w:trPr>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30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860" w:type="dxa"/>
            <w:vAlign w:val="bottom"/>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8"/>
                <w:szCs w:val="18"/>
                <w:i w:val="1"/>
                <w:iCs w:val="1"/>
                <w:color w:val="auto"/>
                <w:w w:val="97"/>
              </w:rPr>
              <w:t>principal financial officer)</w:t>
            </w:r>
          </w:p>
        </w:tc>
      </w:tr>
      <w:tr>
        <w:trPr>
          <w:trHeight w:val="776"/>
        </w:trPr>
        <w:tc>
          <w:tcPr>
            <w:tcW w:w="30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2"/>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5"/>
    </w:lvl>
  </w:abstractNum>
  <w:abstractNum w:abstractNumId="10">
    <w:nsid w:val="B03E0C6"/>
    <w:multiLevelType w:val="hybridMultilevel"/>
    <w:lvl w:ilvl="0">
      <w:lvlJc w:val="left"/>
      <w:lvlText w:val="%1."/>
      <w:numFmt w:val="decimal"/>
      <w:start w:val="6"/>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10"/>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
      <w:numFmt w:val="bullet"/>
      <w:start w:val="1"/>
    </w:lvl>
    <w:lvl w:ilvl="1">
      <w:lvlJc w:val="left"/>
      <w:lvlText w:val="%2"/>
      <w:numFmt w:val="decimal"/>
      <w:start w:val="104"/>
    </w:lvl>
  </w:abstractNum>
  <w:abstractNum w:abstractNumId="36">
    <w:nsid w:val="5E884ADC"/>
    <w:multiLevelType w:val="hybridMultilevel"/>
    <w:lvl w:ilvl="0">
      <w:lvlJc w:val="left"/>
      <w:lvlText w:val="**"/>
      <w:numFmt w:val="bullet"/>
      <w:start w:val="1"/>
    </w:lvl>
    <w:lvl w:ilvl="1">
      <w:lvlJc w:val="left"/>
      <w:lvlText w:val="%2"/>
      <w:numFmt w:val="decimal"/>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86" Type="http://schemas.openxmlformats.org/officeDocument/2006/relationships/hyperlink" Target="http://www.sec.gov/Archives/edgar/data/1551306/000110465919058484/a19-21599_1ex3d1.htm" TargetMode="External"/><Relationship Id="rId87" Type="http://schemas.openxmlformats.org/officeDocument/2006/relationships/hyperlink" Target="http://www.sec.gov/Archives/edgar/data/1551306/000104746919005487/a2239750zex-3_4.htm" TargetMode="External"/><Relationship Id="rId88" Type="http://schemas.openxmlformats.org/officeDocument/2006/relationships/hyperlink" Target="http://www.sec.gov/Archives/edgar/data/1551306/000104746919005727/a2239825zex-4_1.htm" TargetMode="External"/><Relationship Id="rId89" Type="http://schemas.openxmlformats.org/officeDocument/2006/relationships/hyperlink" Target="http://www.sec.gov/Archives/edgar/data/1551306/000104746919005727/a2239825zex-4_2.htm" TargetMode="External"/><Relationship Id="rId90" Type="http://schemas.openxmlformats.org/officeDocument/2006/relationships/hyperlink" Target="http://www.sec.gov/Archives/edgar/data/1551306/000104746919005727/a2239825zex-4_3.htm" TargetMode="External"/><Relationship Id="rId91" Type="http://schemas.openxmlformats.org/officeDocument/2006/relationships/hyperlink" Target="http://www.sec.gov/Archives/edgar/data/1551306/000104746919005727/a2239825zex-4_4.htm" TargetMode="External"/><Relationship Id="rId92" Type="http://schemas.openxmlformats.org/officeDocument/2006/relationships/hyperlink" Target="http://www.sec.gov/Archives/edgar/data/1551306/000104746919005727/a2239825zex-4_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2021-05-07T07:03:33Z</dcterms:created>
  <dcterms:modified xsi:type="dcterms:W3CDTF">2021-05-07T07:03:33Z</dcterms:modified>
</cp:coreProperties>
</file>