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743585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73025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7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91440</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18"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10" w:lineRule="exact"/>
        <w:rPr>
          <w:sz w:val="24"/>
          <w:szCs w:val="24"/>
          <w:color w:val="auto"/>
        </w:rPr>
      </w:pPr>
    </w:p>
    <w:p>
      <w:pPr>
        <w:ind w:left="540" w:hanging="490"/>
        <w:spacing w:after="0"/>
        <w:tabs>
          <w:tab w:leader="none" w:pos="54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fiscal year ended December 31, 2021</w:t>
      </w:r>
    </w:p>
    <w:p>
      <w:pPr>
        <w:jc w:val="center"/>
        <w:spacing w:after="0"/>
        <w:rPr>
          <w:sz w:val="20"/>
          <w:szCs w:val="20"/>
          <w:color w:val="auto"/>
        </w:rPr>
      </w:pPr>
      <w:r>
        <w:rPr>
          <w:rFonts w:ascii="Arial" w:cs="Arial" w:eastAsia="Arial" w:hAnsi="Arial"/>
          <w:sz w:val="14"/>
          <w:szCs w:val="14"/>
          <w:b w:val="1"/>
          <w:bCs w:val="1"/>
          <w:color w:val="auto"/>
        </w:rPr>
        <w:t>or</w:t>
      </w:r>
    </w:p>
    <w:p>
      <w:pPr>
        <w:ind w:left="2100" w:right="1159" w:hanging="2050"/>
        <w:spacing w:after="0" w:line="344" w:lineRule="auto"/>
        <w:tabs>
          <w:tab w:leader="none" w:pos="543" w:val="left"/>
        </w:tabs>
        <w:numPr>
          <w:ilvl w:val="0"/>
          <w:numId w:val="2"/>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___________________ to ___________________</w:t>
      </w:r>
    </w:p>
    <w:p>
      <w:pPr>
        <w:ind w:left="3360"/>
        <w:spacing w:after="0"/>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Commission File Number: 001-39100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74930</wp:posOffset>
            </wp:positionV>
            <wp:extent cx="14058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58"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Progyny,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64770</wp:posOffset>
            </wp:positionV>
            <wp:extent cx="14058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158" w:lineRule="exact"/>
        <w:rPr>
          <w:sz w:val="24"/>
          <w:szCs w:val="24"/>
          <w:color w:val="auto"/>
        </w:rPr>
      </w:pPr>
    </w:p>
    <w:tbl>
      <w:tblPr>
        <w:tblLayout w:type="fixed"/>
        <w:tblInd w:w="1240" w:type="dxa"/>
        <w:tblCellMar>
          <w:top w:w="0" w:type="dxa"/>
          <w:left w:w="0" w:type="dxa"/>
          <w:bottom w:w="0" w:type="dxa"/>
          <w:right w:w="0" w:type="dxa"/>
        </w:tblCellMar>
      </w:tblPr>
      <w:tr>
        <w:trPr>
          <w:trHeight w:val="149"/>
        </w:trPr>
        <w:tc>
          <w:tcPr>
            <w:tcW w:w="3540" w:type="dxa"/>
            <w:vAlign w:val="bottom"/>
          </w:tcPr>
          <w:p>
            <w:pPr>
              <w:jc w:val="center"/>
              <w:ind w:right="1397"/>
              <w:spacing w:after="0"/>
              <w:rPr>
                <w:sz w:val="20"/>
                <w:szCs w:val="20"/>
                <w:color w:val="auto"/>
              </w:rPr>
            </w:pPr>
            <w:r>
              <w:rPr>
                <w:rFonts w:ascii="Arial" w:cs="Arial" w:eastAsia="Arial" w:hAnsi="Arial"/>
                <w:sz w:val="13"/>
                <w:szCs w:val="13"/>
                <w:b w:val="1"/>
                <w:bCs w:val="1"/>
                <w:color w:val="auto"/>
                <w:w w:val="91"/>
              </w:rPr>
              <w:t>Delaware</w:t>
            </w:r>
          </w:p>
        </w:tc>
        <w:tc>
          <w:tcPr>
            <w:tcW w:w="2440" w:type="dxa"/>
            <w:vAlign w:val="bottom"/>
          </w:tcPr>
          <w:p>
            <w:pPr>
              <w:jc w:val="right"/>
              <w:ind w:right="137"/>
              <w:spacing w:after="0"/>
              <w:rPr>
                <w:sz w:val="20"/>
                <w:szCs w:val="20"/>
                <w:color w:val="auto"/>
              </w:rPr>
            </w:pPr>
            <w:r>
              <w:rPr>
                <w:rFonts w:ascii="Arial" w:cs="Arial" w:eastAsia="Arial" w:hAnsi="Arial"/>
                <w:sz w:val="13"/>
                <w:szCs w:val="13"/>
                <w:b w:val="1"/>
                <w:bCs w:val="1"/>
                <w:color w:val="auto"/>
              </w:rPr>
              <w:t>27-2220139</w:t>
            </w:r>
          </w:p>
        </w:tc>
      </w:tr>
      <w:tr>
        <w:trPr>
          <w:trHeight w:val="135"/>
        </w:trPr>
        <w:tc>
          <w:tcPr>
            <w:tcW w:w="35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7"/>
              </w:rPr>
              <w:t>(State or other jurisdiction of</w:t>
            </w:r>
          </w:p>
        </w:tc>
        <w:tc>
          <w:tcPr>
            <w:tcW w:w="244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90"/>
              </w:rPr>
              <w:t>(I.R.S. Employer</w:t>
            </w:r>
          </w:p>
        </w:tc>
      </w:tr>
      <w:tr>
        <w:trPr>
          <w:trHeight w:val="135"/>
        </w:trPr>
        <w:tc>
          <w:tcPr>
            <w:tcW w:w="35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8"/>
              </w:rPr>
              <w:t>incorporation or organization)</w:t>
            </w:r>
          </w:p>
        </w:tc>
        <w:tc>
          <w:tcPr>
            <w:tcW w:w="2440" w:type="dxa"/>
            <w:vAlign w:val="bottom"/>
          </w:tcPr>
          <w:p>
            <w:pPr>
              <w:jc w:val="center"/>
              <w:ind w:left="1397"/>
              <w:spacing w:after="0" w:line="135" w:lineRule="exact"/>
              <w:rPr>
                <w:sz w:val="20"/>
                <w:szCs w:val="20"/>
                <w:color w:val="auto"/>
              </w:rPr>
            </w:pPr>
            <w:r>
              <w:rPr>
                <w:rFonts w:ascii="Arial" w:cs="Arial" w:eastAsia="Arial" w:hAnsi="Arial"/>
                <w:sz w:val="13"/>
                <w:szCs w:val="13"/>
                <w:b w:val="1"/>
                <w:bCs w:val="1"/>
                <w:color w:val="auto"/>
                <w:w w:val="89"/>
              </w:rPr>
              <w:t>Identification No.)</w:t>
            </w:r>
          </w:p>
        </w:tc>
      </w:tr>
      <w:tr>
        <w:trPr>
          <w:trHeight w:val="135"/>
        </w:trPr>
        <w:tc>
          <w:tcPr>
            <w:tcW w:w="3540" w:type="dxa"/>
            <w:vAlign w:val="bottom"/>
          </w:tcPr>
          <w:p>
            <w:pPr>
              <w:jc w:val="center"/>
              <w:ind w:right="1397"/>
              <w:spacing w:after="0" w:line="135" w:lineRule="exact"/>
              <w:rPr>
                <w:sz w:val="20"/>
                <w:szCs w:val="20"/>
                <w:color w:val="auto"/>
              </w:rPr>
            </w:pPr>
            <w:r>
              <w:rPr>
                <w:rFonts w:ascii="Arial" w:cs="Arial" w:eastAsia="Arial" w:hAnsi="Arial"/>
                <w:sz w:val="13"/>
                <w:szCs w:val="13"/>
                <w:b w:val="1"/>
                <w:bCs w:val="1"/>
                <w:color w:val="auto"/>
                <w:w w:val="88"/>
              </w:rPr>
              <w:t>1359 Broadway</w:t>
            </w:r>
          </w:p>
        </w:tc>
        <w:tc>
          <w:tcPr>
            <w:tcW w:w="2440" w:type="dxa"/>
            <w:vAlign w:val="bottom"/>
          </w:tcPr>
          <w:p>
            <w:pPr>
              <w:spacing w:after="0"/>
              <w:rPr>
                <w:sz w:val="11"/>
                <w:szCs w:val="11"/>
                <w:color w:val="auto"/>
              </w:rPr>
            </w:pPr>
          </w:p>
        </w:tc>
      </w:tr>
      <w:tr>
        <w:trPr>
          <w:trHeight w:val="164"/>
        </w:trPr>
        <w:tc>
          <w:tcPr>
            <w:tcW w:w="3540" w:type="dxa"/>
            <w:vAlign w:val="bottom"/>
          </w:tcPr>
          <w:p>
            <w:pPr>
              <w:jc w:val="center"/>
              <w:ind w:right="1397"/>
              <w:spacing w:after="0"/>
              <w:rPr>
                <w:sz w:val="20"/>
                <w:szCs w:val="20"/>
                <w:color w:val="auto"/>
              </w:rPr>
            </w:pPr>
            <w:r>
              <w:rPr>
                <w:rFonts w:ascii="Arial" w:cs="Arial" w:eastAsia="Arial" w:hAnsi="Arial"/>
                <w:sz w:val="13"/>
                <w:szCs w:val="13"/>
                <w:b w:val="1"/>
                <w:bCs w:val="1"/>
                <w:color w:val="auto"/>
                <w:w w:val="89"/>
              </w:rPr>
              <w:t>New York, New York</w:t>
            </w:r>
          </w:p>
        </w:tc>
        <w:tc>
          <w:tcPr>
            <w:tcW w:w="2440" w:type="dxa"/>
            <w:vAlign w:val="bottom"/>
          </w:tcPr>
          <w:p>
            <w:pPr>
              <w:jc w:val="right"/>
              <w:ind w:right="277"/>
              <w:spacing w:after="0"/>
              <w:rPr>
                <w:sz w:val="20"/>
                <w:szCs w:val="20"/>
                <w:color w:val="auto"/>
              </w:rPr>
            </w:pPr>
            <w:r>
              <w:rPr>
                <w:rFonts w:ascii="Arial" w:cs="Arial" w:eastAsia="Arial" w:hAnsi="Arial"/>
                <w:sz w:val="13"/>
                <w:szCs w:val="13"/>
                <w:b w:val="1"/>
                <w:bCs w:val="1"/>
                <w:color w:val="auto"/>
              </w:rPr>
              <w:t>10018</w:t>
            </w:r>
          </w:p>
        </w:tc>
      </w:tr>
      <w:tr>
        <w:trPr>
          <w:trHeight w:val="189"/>
        </w:trPr>
        <w:tc>
          <w:tcPr>
            <w:tcW w:w="3540" w:type="dxa"/>
            <w:vAlign w:val="bottom"/>
          </w:tcPr>
          <w:p>
            <w:pPr>
              <w:jc w:val="center"/>
              <w:ind w:right="1397"/>
              <w:spacing w:after="0"/>
              <w:rPr>
                <w:sz w:val="20"/>
                <w:szCs w:val="20"/>
                <w:color w:val="auto"/>
              </w:rPr>
            </w:pPr>
            <w:r>
              <w:rPr>
                <w:rFonts w:ascii="Arial" w:cs="Arial" w:eastAsia="Arial" w:hAnsi="Arial"/>
                <w:sz w:val="13"/>
                <w:szCs w:val="13"/>
                <w:b w:val="1"/>
                <w:bCs w:val="1"/>
                <w:color w:val="auto"/>
                <w:w w:val="85"/>
              </w:rPr>
              <w:t>(Address of principal executive offices)</w:t>
            </w:r>
          </w:p>
        </w:tc>
        <w:tc>
          <w:tcPr>
            <w:tcW w:w="2440" w:type="dxa"/>
            <w:vAlign w:val="bottom"/>
          </w:tcPr>
          <w:p>
            <w:pPr>
              <w:jc w:val="center"/>
              <w:ind w:left="1397"/>
              <w:spacing w:after="0"/>
              <w:rPr>
                <w:sz w:val="20"/>
                <w:szCs w:val="20"/>
                <w:color w:val="auto"/>
              </w:rPr>
            </w:pPr>
            <w:r>
              <w:rPr>
                <w:rFonts w:ascii="Arial" w:cs="Arial" w:eastAsia="Arial" w:hAnsi="Arial"/>
                <w:sz w:val="13"/>
                <w:szCs w:val="13"/>
                <w:b w:val="1"/>
                <w:bCs w:val="1"/>
                <w:color w:val="auto"/>
                <w:w w:val="90"/>
              </w:rPr>
              <w:t>(Zip Code)</w:t>
            </w:r>
          </w:p>
        </w:tc>
      </w:tr>
    </w:tbl>
    <w:p>
      <w:pPr>
        <w:spacing w:after="0" w:line="11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(212) 888-3124</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45085</wp:posOffset>
            </wp:positionV>
            <wp:extent cx="140589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14"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Securities registered pursuant to Section 12(b) of the Act:</w:t>
      </w:r>
    </w:p>
    <w:p>
      <w:pPr>
        <w:spacing w:after="0" w:line="78" w:lineRule="exact"/>
        <w:rPr>
          <w:sz w:val="24"/>
          <w:szCs w:val="24"/>
          <w:color w:val="auto"/>
        </w:rPr>
      </w:pPr>
    </w:p>
    <w:tbl>
      <w:tblPr>
        <w:tblLayout w:type="fixed"/>
        <w:tblInd w:w="70" w:type="dxa"/>
        <w:tblCellMar>
          <w:top w:w="0" w:type="dxa"/>
          <w:left w:w="0" w:type="dxa"/>
          <w:bottom w:w="0" w:type="dxa"/>
          <w:right w:w="0" w:type="dxa"/>
        </w:tblCellMar>
      </w:tblPr>
      <w:tr>
        <w:trPr>
          <w:trHeight w:val="148"/>
        </w:trPr>
        <w:tc>
          <w:tcPr>
            <w:tcW w:w="2620" w:type="dxa"/>
            <w:vAlign w:val="bottom"/>
            <w:tcBorders>
              <w:top w:val="single" w:sz="8" w:color="auto"/>
              <w:left w:val="single" w:sz="8" w:color="auto"/>
              <w:bottom w:val="single" w:sz="8" w:color="auto"/>
            </w:tcBorders>
          </w:tcPr>
          <w:p>
            <w:pPr>
              <w:jc w:val="center"/>
              <w:ind w:left="437"/>
              <w:spacing w:after="0"/>
              <w:rPr>
                <w:sz w:val="20"/>
                <w:szCs w:val="20"/>
                <w:color w:val="auto"/>
              </w:rPr>
            </w:pPr>
            <w:r>
              <w:rPr>
                <w:rFonts w:ascii="Arial" w:cs="Arial" w:eastAsia="Arial" w:hAnsi="Arial"/>
                <w:sz w:val="13"/>
                <w:szCs w:val="13"/>
                <w:b w:val="1"/>
                <w:bCs w:val="1"/>
                <w:color w:val="auto"/>
                <w:w w:val="85"/>
              </w:rPr>
              <w:t>Title of each class</w:t>
            </w:r>
          </w:p>
        </w:tc>
        <w:tc>
          <w:tcPr>
            <w:tcW w:w="520" w:type="dxa"/>
            <w:vAlign w:val="bottom"/>
            <w:tcBorders>
              <w:top w:val="single" w:sz="8" w:color="auto"/>
              <w:bottom w:val="single" w:sz="8" w:color="auto"/>
              <w:right w:val="single" w:sz="8" w:color="auto"/>
            </w:tcBorders>
          </w:tcPr>
          <w:p>
            <w:pPr>
              <w:spacing w:after="0"/>
              <w:rPr>
                <w:sz w:val="12"/>
                <w:szCs w:val="12"/>
                <w:color w:val="auto"/>
              </w:rPr>
            </w:pPr>
          </w:p>
        </w:tc>
        <w:tc>
          <w:tcPr>
            <w:tcW w:w="26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9"/>
              </w:rPr>
              <w:t>Trading Symbol(s)</w:t>
            </w:r>
          </w:p>
        </w:tc>
        <w:tc>
          <w:tcPr>
            <w:tcW w:w="3120" w:type="dxa"/>
            <w:vAlign w:val="bottom"/>
            <w:tcBorders>
              <w:top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4"/>
              </w:rPr>
              <w:t>Name of each exchange on which registered</w:t>
            </w:r>
          </w:p>
        </w:tc>
      </w:tr>
      <w:tr>
        <w:trPr>
          <w:trHeight w:val="114"/>
        </w:trPr>
        <w:tc>
          <w:tcPr>
            <w:tcW w:w="2620" w:type="dxa"/>
            <w:vAlign w:val="bottom"/>
            <w:tcBorders>
              <w:left w:val="single" w:sz="8" w:color="auto"/>
            </w:tcBorders>
          </w:tcPr>
          <w:p>
            <w:pPr>
              <w:jc w:val="center"/>
              <w:ind w:left="457"/>
              <w:spacing w:after="0" w:line="114" w:lineRule="exact"/>
              <w:rPr>
                <w:sz w:val="20"/>
                <w:szCs w:val="20"/>
                <w:color w:val="auto"/>
              </w:rPr>
            </w:pPr>
            <w:r>
              <w:rPr>
                <w:rFonts w:ascii="Arial" w:cs="Arial" w:eastAsia="Arial" w:hAnsi="Arial"/>
                <w:sz w:val="13"/>
                <w:szCs w:val="13"/>
                <w:color w:val="auto"/>
                <w:w w:val="88"/>
              </w:rPr>
              <w:t>Common Stock,</w:t>
            </w:r>
          </w:p>
        </w:tc>
        <w:tc>
          <w:tcPr>
            <w:tcW w:w="520" w:type="dxa"/>
            <w:vAlign w:val="bottom"/>
            <w:tcBorders>
              <w:right w:val="single" w:sz="8" w:color="auto"/>
            </w:tcBorders>
          </w:tcPr>
          <w:p>
            <w:pPr>
              <w:spacing w:after="0"/>
              <w:rPr>
                <w:sz w:val="9"/>
                <w:szCs w:val="9"/>
                <w:color w:val="auto"/>
              </w:rPr>
            </w:pPr>
          </w:p>
        </w:tc>
        <w:tc>
          <w:tcPr>
            <w:tcW w:w="2660" w:type="dxa"/>
            <w:vAlign w:val="bottom"/>
            <w:tcBorders>
              <w:right w:val="single" w:sz="8" w:color="auto"/>
            </w:tcBorders>
          </w:tcPr>
          <w:p>
            <w:pPr>
              <w:jc w:val="center"/>
              <w:spacing w:after="0" w:line="114" w:lineRule="exact"/>
              <w:rPr>
                <w:sz w:val="20"/>
                <w:szCs w:val="20"/>
                <w:color w:val="auto"/>
              </w:rPr>
            </w:pPr>
            <w:r>
              <w:rPr>
                <w:rFonts w:ascii="Arial" w:cs="Arial" w:eastAsia="Arial" w:hAnsi="Arial"/>
                <w:sz w:val="13"/>
                <w:szCs w:val="13"/>
                <w:color w:val="auto"/>
                <w:w w:val="92"/>
              </w:rPr>
              <w:t>PGNY</w:t>
            </w:r>
          </w:p>
        </w:tc>
        <w:tc>
          <w:tcPr>
            <w:tcW w:w="660" w:type="dxa"/>
            <w:vAlign w:val="bottom"/>
          </w:tcPr>
          <w:p>
            <w:pPr>
              <w:spacing w:after="0"/>
              <w:rPr>
                <w:sz w:val="9"/>
                <w:szCs w:val="9"/>
                <w:color w:val="auto"/>
              </w:rPr>
            </w:pPr>
          </w:p>
        </w:tc>
        <w:tc>
          <w:tcPr>
            <w:tcW w:w="2460" w:type="dxa"/>
            <w:vAlign w:val="bottom"/>
            <w:tcBorders>
              <w:right w:val="single" w:sz="8" w:color="auto"/>
            </w:tcBorders>
          </w:tcPr>
          <w:p>
            <w:pPr>
              <w:jc w:val="center"/>
              <w:ind w:right="637"/>
              <w:spacing w:after="0" w:line="114" w:lineRule="exact"/>
              <w:rPr>
                <w:sz w:val="20"/>
                <w:szCs w:val="20"/>
                <w:color w:val="auto"/>
              </w:rPr>
            </w:pPr>
            <w:r>
              <w:rPr>
                <w:rFonts w:ascii="Arial" w:cs="Arial" w:eastAsia="Arial" w:hAnsi="Arial"/>
                <w:sz w:val="13"/>
                <w:szCs w:val="13"/>
                <w:color w:val="auto"/>
                <w:w w:val="88"/>
              </w:rPr>
              <w:t>The Nasdaq Global Select Market</w:t>
            </w:r>
          </w:p>
        </w:tc>
      </w:tr>
      <w:tr>
        <w:trPr>
          <w:trHeight w:val="149"/>
        </w:trPr>
        <w:tc>
          <w:tcPr>
            <w:tcW w:w="2620" w:type="dxa"/>
            <w:vAlign w:val="bottom"/>
            <w:tcBorders>
              <w:left w:val="single" w:sz="8" w:color="auto"/>
              <w:bottom w:val="single" w:sz="8" w:color="auto"/>
            </w:tcBorders>
          </w:tcPr>
          <w:p>
            <w:pPr>
              <w:jc w:val="center"/>
              <w:ind w:left="437"/>
              <w:spacing w:after="0"/>
              <w:rPr>
                <w:sz w:val="20"/>
                <w:szCs w:val="20"/>
                <w:color w:val="auto"/>
              </w:rPr>
            </w:pPr>
            <w:r>
              <w:rPr>
                <w:rFonts w:ascii="Arial" w:cs="Arial" w:eastAsia="Arial" w:hAnsi="Arial"/>
                <w:sz w:val="13"/>
                <w:szCs w:val="13"/>
                <w:color w:val="auto"/>
                <w:w w:val="86"/>
              </w:rPr>
              <w:t>$0.0001 par value per share</w:t>
            </w:r>
          </w:p>
        </w:tc>
        <w:tc>
          <w:tcPr>
            <w:tcW w:w="520" w:type="dxa"/>
            <w:vAlign w:val="bottom"/>
            <w:tcBorders>
              <w:bottom w:val="single" w:sz="8" w:color="auto"/>
              <w:right w:val="single" w:sz="8" w:color="auto"/>
            </w:tcBorders>
          </w:tcPr>
          <w:p>
            <w:pPr>
              <w:spacing w:after="0"/>
              <w:rPr>
                <w:sz w:val="12"/>
                <w:szCs w:val="12"/>
                <w:color w:val="auto"/>
              </w:rPr>
            </w:pPr>
          </w:p>
        </w:tc>
        <w:tc>
          <w:tcPr>
            <w:tcW w:w="2660" w:type="dxa"/>
            <w:vAlign w:val="bottom"/>
            <w:tcBorders>
              <w:bottom w:val="single" w:sz="8" w:color="auto"/>
              <w:right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2460" w:type="dxa"/>
            <w:vAlign w:val="bottom"/>
            <w:tcBorders>
              <w:bottom w:val="single" w:sz="8" w:color="auto"/>
              <w:right w:val="single" w:sz="8" w:color="auto"/>
            </w:tcBorders>
          </w:tcPr>
          <w:p>
            <w:pPr>
              <w:spacing w:after="0"/>
              <w:rPr>
                <w:sz w:val="12"/>
                <w:szCs w:val="12"/>
                <w:color w:val="auto"/>
              </w:rPr>
            </w:pPr>
          </w:p>
        </w:tc>
      </w:tr>
      <w:tr>
        <w:trPr>
          <w:trHeight w:val="220"/>
        </w:trPr>
        <w:tc>
          <w:tcPr>
            <w:tcW w:w="2620" w:type="dxa"/>
            <w:vAlign w:val="bottom"/>
          </w:tcPr>
          <w:p>
            <w:pPr>
              <w:spacing w:after="0"/>
              <w:rPr>
                <w:sz w:val="19"/>
                <w:szCs w:val="19"/>
                <w:color w:val="auto"/>
              </w:rPr>
            </w:pPr>
          </w:p>
        </w:tc>
        <w:tc>
          <w:tcPr>
            <w:tcW w:w="3840" w:type="dxa"/>
            <w:vAlign w:val="bottom"/>
            <w:gridSpan w:val="3"/>
          </w:tcPr>
          <w:p>
            <w:pPr>
              <w:ind w:left="380"/>
              <w:spacing w:after="0"/>
              <w:rPr>
                <w:sz w:val="20"/>
                <w:szCs w:val="20"/>
                <w:color w:val="auto"/>
              </w:rPr>
            </w:pPr>
            <w:r>
              <w:rPr>
                <w:rFonts w:ascii="Arial" w:cs="Arial" w:eastAsia="Arial" w:hAnsi="Arial"/>
                <w:sz w:val="13"/>
                <w:szCs w:val="13"/>
                <w:b w:val="1"/>
                <w:bCs w:val="1"/>
                <w:color w:val="auto"/>
                <w:w w:val="87"/>
              </w:rPr>
              <w:t>Securities registered pursuant to Section 12(g) of the Act: None</w:t>
            </w:r>
          </w:p>
        </w:tc>
        <w:tc>
          <w:tcPr>
            <w:tcW w:w="2460" w:type="dxa"/>
            <w:vAlign w:val="bottom"/>
          </w:tcPr>
          <w:p>
            <w:pPr>
              <w:spacing w:after="0"/>
              <w:rPr>
                <w:sz w:val="19"/>
                <w:szCs w:val="19"/>
                <w:color w:val="auto"/>
              </w:rPr>
            </w:pPr>
          </w:p>
        </w:tc>
      </w:tr>
      <w:tr>
        <w:trPr>
          <w:trHeight w:val="243"/>
        </w:trPr>
        <w:tc>
          <w:tcPr>
            <w:tcW w:w="6460" w:type="dxa"/>
            <w:vAlign w:val="bottom"/>
            <w:gridSpan w:val="4"/>
          </w:tcPr>
          <w:p>
            <w:pPr>
              <w:ind w:left="500"/>
              <w:spacing w:after="0"/>
              <w:rPr>
                <w:sz w:val="20"/>
                <w:szCs w:val="20"/>
                <w:color w:val="auto"/>
              </w:rPr>
            </w:pPr>
            <w:r>
              <w:rPr>
                <w:rFonts w:ascii="Arial" w:cs="Arial" w:eastAsia="Arial" w:hAnsi="Arial"/>
                <w:sz w:val="13"/>
                <w:szCs w:val="13"/>
                <w:color w:val="auto"/>
                <w:w w:val="88"/>
              </w:rPr>
              <w:t>Indicate by check mark if the registrant is a well-known seasoned issuer, as defined in Rule 405 of the Securities Act.</w:t>
            </w:r>
          </w:p>
        </w:tc>
        <w:tc>
          <w:tcPr>
            <w:tcW w:w="2460" w:type="dxa"/>
            <w:vAlign w:val="bottom"/>
          </w:tcPr>
          <w:p>
            <w:pPr>
              <w:ind w:left="80"/>
              <w:spacing w:after="0" w:line="150" w:lineRule="exact"/>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tc>
      </w:tr>
    </w:tbl>
    <w:p>
      <w:pPr>
        <w:spacing w:after="0" w:line="58" w:lineRule="exact"/>
        <w:rPr>
          <w:sz w:val="24"/>
          <w:szCs w:val="24"/>
          <w:color w:val="auto"/>
        </w:rPr>
      </w:pPr>
    </w:p>
    <w:p>
      <w:pPr>
        <w:ind w:left="560"/>
        <w:spacing w:after="0" w:line="150" w:lineRule="exact"/>
        <w:tabs>
          <w:tab w:leader="none" w:pos="6700" w:val="left"/>
          <w:tab w:leader="none" w:pos="7180" w:val="left"/>
        </w:tabs>
        <w:rPr>
          <w:sz w:val="20"/>
          <w:szCs w:val="20"/>
          <w:color w:val="auto"/>
        </w:rPr>
      </w:pPr>
      <w:r>
        <w:rPr>
          <w:rFonts w:ascii="Arial" w:cs="Arial" w:eastAsia="Arial" w:hAnsi="Arial"/>
          <w:sz w:val="12"/>
          <w:szCs w:val="12"/>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118" w:lineRule="exact"/>
        <w:rPr>
          <w:sz w:val="24"/>
          <w:szCs w:val="24"/>
          <w:color w:val="auto"/>
        </w:rPr>
      </w:pPr>
    </w:p>
    <w:p>
      <w:pPr>
        <w:jc w:val="both"/>
        <w:ind w:left="60" w:right="59" w:firstLine="518"/>
        <w:spacing w:after="0" w:line="301" w:lineRule="auto"/>
        <w:rPr>
          <w:sz w:val="20"/>
          <w:szCs w:val="20"/>
          <w:color w:val="auto"/>
        </w:rPr>
      </w:pPr>
      <w:r>
        <w:rPr>
          <w:rFonts w:ascii="Arial" w:cs="Arial" w:eastAsia="Arial" w:hAnsi="Arial"/>
          <w:sz w:val="10"/>
          <w:szCs w:val="10"/>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ind w:left="180"/>
        <w:spacing w:after="0" w:line="150" w:lineRule="exact"/>
        <w:tabs>
          <w:tab w:leader="none" w:pos="640" w:val="left"/>
        </w:tabs>
        <w:rPr>
          <w:sz w:val="20"/>
          <w:szCs w:val="20"/>
          <w:color w:val="auto"/>
        </w:rPr>
      </w:pP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88" w:lineRule="exact"/>
        <w:rPr>
          <w:sz w:val="24"/>
          <w:szCs w:val="24"/>
          <w:color w:val="auto"/>
        </w:rPr>
      </w:pPr>
    </w:p>
    <w:p>
      <w:pPr>
        <w:jc w:val="both"/>
        <w:ind w:left="60" w:right="59" w:firstLine="518"/>
        <w:spacing w:after="0" w:line="161" w:lineRule="exact"/>
        <w:rPr>
          <w:sz w:val="20"/>
          <w:szCs w:val="20"/>
          <w:color w:val="auto"/>
        </w:rPr>
      </w:pPr>
      <w:r>
        <w:rPr>
          <w:rFonts w:ascii="Arial" w:cs="Arial" w:eastAsia="Arial" w:hAnsi="Arial"/>
          <w:sz w:val="10"/>
          <w:szCs w:val="10"/>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0"/>
          <w:szCs w:val="10"/>
          <w:color w:val="auto"/>
        </w:rPr>
        <w:t>☒</w:t>
      </w:r>
      <w:r>
        <w:rPr>
          <w:rFonts w:ascii="Arial" w:cs="Arial" w:eastAsia="Arial" w:hAnsi="Arial"/>
          <w:sz w:val="10"/>
          <w:szCs w:val="10"/>
          <w:color w:val="auto"/>
        </w:rPr>
        <w:t xml:space="preserve"> No </w:t>
      </w:r>
      <w:r>
        <w:rPr>
          <w:rFonts w:ascii="MS PGothic" w:cs="MS PGothic" w:eastAsia="MS PGothic" w:hAnsi="MS PGothic"/>
          <w:sz w:val="10"/>
          <w:szCs w:val="10"/>
          <w:color w:val="auto"/>
        </w:rPr>
        <w:t>☐</w:t>
      </w:r>
    </w:p>
    <w:p>
      <w:pPr>
        <w:spacing w:after="0" w:line="70" w:lineRule="exact"/>
        <w:rPr>
          <w:sz w:val="24"/>
          <w:szCs w:val="24"/>
          <w:color w:val="auto"/>
        </w:rPr>
      </w:pPr>
    </w:p>
    <w:p>
      <w:pPr>
        <w:jc w:val="both"/>
        <w:ind w:left="60" w:right="59" w:firstLine="518"/>
        <w:spacing w:after="0" w:line="229"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Layout w:type="fixed"/>
        <w:tblInd w:w="940" w:type="dxa"/>
        <w:tblCellMar>
          <w:top w:w="0" w:type="dxa"/>
          <w:left w:w="0" w:type="dxa"/>
          <w:bottom w:w="0" w:type="dxa"/>
          <w:right w:w="0" w:type="dxa"/>
        </w:tblCellMar>
      </w:tblPr>
      <w:tr>
        <w:trPr>
          <w:trHeight w:val="128"/>
        </w:trPr>
        <w:tc>
          <w:tcPr>
            <w:tcW w:w="2040" w:type="dxa"/>
            <w:vAlign w:val="bottom"/>
          </w:tcPr>
          <w:p>
            <w:pPr>
              <w:spacing w:after="0" w:line="128" w:lineRule="exact"/>
              <w:rPr>
                <w:sz w:val="20"/>
                <w:szCs w:val="20"/>
                <w:color w:val="auto"/>
              </w:rPr>
            </w:pPr>
            <w:r>
              <w:rPr>
                <w:rFonts w:ascii="Arial" w:cs="Arial" w:eastAsia="Arial" w:hAnsi="Arial"/>
                <w:sz w:val="13"/>
                <w:szCs w:val="13"/>
                <w:color w:val="auto"/>
              </w:rPr>
              <w:t>Large accelerated filer</w:t>
            </w:r>
          </w:p>
        </w:tc>
        <w:tc>
          <w:tcPr>
            <w:tcW w:w="1340" w:type="dxa"/>
            <w:vAlign w:val="bottom"/>
          </w:tcPr>
          <w:p>
            <w:pPr>
              <w:ind w:left="900"/>
              <w:spacing w:after="0" w:line="128"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320"/>
              <w:spacing w:after="0" w:line="128" w:lineRule="exact"/>
              <w:rPr>
                <w:sz w:val="20"/>
                <w:szCs w:val="20"/>
                <w:color w:val="auto"/>
              </w:rPr>
            </w:pPr>
            <w:r>
              <w:rPr>
                <w:rFonts w:ascii="Arial" w:cs="Arial" w:eastAsia="Arial" w:hAnsi="Arial"/>
                <w:sz w:val="13"/>
                <w:szCs w:val="13"/>
                <w:color w:val="auto"/>
              </w:rPr>
              <w:t>Accelerated filer</w:t>
            </w:r>
          </w:p>
        </w:tc>
        <w:tc>
          <w:tcPr>
            <w:tcW w:w="980" w:type="dxa"/>
            <w:vAlign w:val="bottom"/>
          </w:tcPr>
          <w:p>
            <w:pPr>
              <w:ind w:left="860"/>
              <w:spacing w:after="0" w:line="128" w:lineRule="exact"/>
              <w:rPr>
                <w:sz w:val="20"/>
                <w:szCs w:val="20"/>
                <w:color w:val="auto"/>
              </w:rPr>
            </w:pPr>
            <w:r>
              <w:rPr>
                <w:rFonts w:ascii="MS PGothic" w:cs="MS PGothic" w:eastAsia="MS PGothic" w:hAnsi="MS PGothic"/>
                <w:sz w:val="13"/>
                <w:szCs w:val="13"/>
                <w:color w:val="auto"/>
                <w:w w:val="76"/>
              </w:rPr>
              <w:t>☐</w:t>
            </w:r>
          </w:p>
        </w:tc>
      </w:tr>
      <w:tr>
        <w:trPr>
          <w:trHeight w:val="148"/>
        </w:trPr>
        <w:tc>
          <w:tcPr>
            <w:tcW w:w="2040" w:type="dxa"/>
            <w:vAlign w:val="bottom"/>
          </w:tcPr>
          <w:p>
            <w:pPr>
              <w:spacing w:after="0"/>
              <w:rPr>
                <w:sz w:val="20"/>
                <w:szCs w:val="20"/>
                <w:color w:val="auto"/>
              </w:rPr>
            </w:pPr>
            <w:r>
              <w:rPr>
                <w:rFonts w:ascii="Arial" w:cs="Arial" w:eastAsia="Arial" w:hAnsi="Arial"/>
                <w:sz w:val="13"/>
                <w:szCs w:val="13"/>
                <w:color w:val="auto"/>
              </w:rPr>
              <w:t>Non-accelerated filer</w:t>
            </w:r>
          </w:p>
        </w:tc>
        <w:tc>
          <w:tcPr>
            <w:tcW w:w="1340" w:type="dxa"/>
            <w:vAlign w:val="bottom"/>
          </w:tcPr>
          <w:p>
            <w:pPr>
              <w:ind w:left="900"/>
              <w:spacing w:after="0" w:line="131" w:lineRule="exact"/>
              <w:rPr>
                <w:sz w:val="20"/>
                <w:szCs w:val="20"/>
                <w:color w:val="auto"/>
              </w:rPr>
            </w:pPr>
            <w:r>
              <w:rPr>
                <w:rFonts w:ascii="MS PGothic" w:cs="MS PGothic" w:eastAsia="MS PGothic" w:hAnsi="MS PGothic"/>
                <w:sz w:val="13"/>
                <w:szCs w:val="13"/>
                <w:color w:val="auto"/>
              </w:rPr>
              <w:t>☐</w:t>
            </w:r>
          </w:p>
        </w:tc>
        <w:tc>
          <w:tcPr>
            <w:tcW w:w="2580" w:type="dxa"/>
            <w:vAlign w:val="bottom"/>
          </w:tcPr>
          <w:p>
            <w:pPr>
              <w:ind w:left="320"/>
              <w:spacing w:after="0"/>
              <w:rPr>
                <w:sz w:val="20"/>
                <w:szCs w:val="20"/>
                <w:color w:val="auto"/>
              </w:rPr>
            </w:pPr>
            <w:r>
              <w:rPr>
                <w:rFonts w:ascii="Arial" w:cs="Arial" w:eastAsia="Arial" w:hAnsi="Arial"/>
                <w:sz w:val="13"/>
                <w:szCs w:val="13"/>
                <w:color w:val="auto"/>
              </w:rPr>
              <w:t>Smaller reporting company</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r>
        <w:trPr>
          <w:trHeight w:val="199"/>
        </w:trPr>
        <w:tc>
          <w:tcPr>
            <w:tcW w:w="20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580" w:type="dxa"/>
            <w:vAlign w:val="bottom"/>
          </w:tcPr>
          <w:p>
            <w:pPr>
              <w:ind w:left="320"/>
              <w:spacing w:after="0"/>
              <w:rPr>
                <w:sz w:val="20"/>
                <w:szCs w:val="20"/>
                <w:color w:val="auto"/>
              </w:rPr>
            </w:pPr>
            <w:r>
              <w:rPr>
                <w:rFonts w:ascii="Arial" w:cs="Arial" w:eastAsia="Arial" w:hAnsi="Arial"/>
                <w:sz w:val="13"/>
                <w:szCs w:val="13"/>
                <w:color w:val="auto"/>
              </w:rPr>
              <w:t>Emerging growth company</w:t>
            </w:r>
          </w:p>
        </w:tc>
        <w:tc>
          <w:tcPr>
            <w:tcW w:w="980" w:type="dxa"/>
            <w:vAlign w:val="bottom"/>
          </w:tcPr>
          <w:p>
            <w:pPr>
              <w:ind w:left="860"/>
              <w:spacing w:after="0" w:line="131" w:lineRule="exact"/>
              <w:rPr>
                <w:sz w:val="20"/>
                <w:szCs w:val="20"/>
                <w:color w:val="auto"/>
              </w:rPr>
            </w:pPr>
            <w:r>
              <w:rPr>
                <w:rFonts w:ascii="MS PGothic" w:cs="MS PGothic" w:eastAsia="MS PGothic" w:hAnsi="MS PGothic"/>
                <w:sz w:val="13"/>
                <w:szCs w:val="13"/>
                <w:color w:val="auto"/>
                <w:w w:val="76"/>
              </w:rPr>
              <w:t>☐</w:t>
            </w:r>
          </w:p>
        </w:tc>
      </w:tr>
    </w:tbl>
    <w:p>
      <w:pPr>
        <w:spacing w:after="0" w:line="42" w:lineRule="exact"/>
        <w:rPr>
          <w:sz w:val="24"/>
          <w:szCs w:val="24"/>
          <w:color w:val="auto"/>
        </w:rPr>
      </w:pPr>
    </w:p>
    <w:p>
      <w:pPr>
        <w:ind w:left="60" w:right="59" w:firstLine="518"/>
        <w:spacing w:after="0" w:line="162"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42" w:lineRule="exact"/>
        <w:rPr>
          <w:sz w:val="24"/>
          <w:szCs w:val="24"/>
          <w:color w:val="auto"/>
        </w:rPr>
      </w:pPr>
    </w:p>
    <w:p>
      <w:pPr>
        <w:ind w:left="60" w:right="59" w:firstLine="518"/>
        <w:spacing w:after="0" w:line="251" w:lineRule="auto"/>
        <w:rPr>
          <w:sz w:val="20"/>
          <w:szCs w:val="20"/>
          <w:color w:val="auto"/>
        </w:rPr>
      </w:pPr>
      <w:r>
        <w:rPr>
          <w:rFonts w:ascii="Arial" w:cs="Arial" w:eastAsia="Arial" w:hAnsi="Arial"/>
          <w:sz w:val="12"/>
          <w:szCs w:val="12"/>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w:t>
      </w:r>
    </w:p>
    <w:p>
      <w:pPr>
        <w:ind w:left="60"/>
        <w:spacing w:after="0" w:line="150" w:lineRule="exact"/>
        <w:tabs>
          <w:tab w:leader="none" w:pos="840" w:val="left"/>
        </w:tabs>
        <w:rPr>
          <w:sz w:val="20"/>
          <w:szCs w:val="20"/>
          <w:color w:val="auto"/>
        </w:rPr>
      </w:pPr>
      <w:r>
        <w:rPr>
          <w:rFonts w:ascii="Arial" w:cs="Arial" w:eastAsia="Arial" w:hAnsi="Arial"/>
          <w:sz w:val="13"/>
          <w:szCs w:val="13"/>
          <w:color w:val="auto"/>
        </w:rPr>
        <w:t xml:space="preserve">report. Yes </w:t>
      </w:r>
      <w:r>
        <w:rPr>
          <w:rFonts w:ascii="MS PGothic" w:cs="MS PGothic" w:eastAsia="MS PGothic" w:hAnsi="MS PGothic"/>
          <w:sz w:val="13"/>
          <w:szCs w:val="13"/>
          <w:color w:val="auto"/>
        </w:rPr>
        <w:t>☒</w:t>
      </w:r>
      <w:r>
        <w:rPr>
          <w:rFonts w:ascii="Arial" w:cs="Arial" w:eastAsia="Arial" w:hAnsi="Arial"/>
          <w:sz w:val="13"/>
          <w:szCs w:val="13"/>
          <w:color w:val="auto"/>
        </w:rPr>
        <w:tab/>
        <w:t xml:space="preserve">No </w:t>
      </w:r>
      <w:r>
        <w:rPr>
          <w:rFonts w:ascii="MS PGothic" w:cs="MS PGothic" w:eastAsia="MS PGothic" w:hAnsi="MS PGothic"/>
          <w:sz w:val="13"/>
          <w:szCs w:val="13"/>
          <w:color w:val="auto"/>
        </w:rPr>
        <w:t>☐</w:t>
      </w:r>
    </w:p>
    <w:p>
      <w:pPr>
        <w:spacing w:after="0" w:line="50" w:lineRule="exact"/>
        <w:rPr>
          <w:sz w:val="24"/>
          <w:szCs w:val="24"/>
          <w:color w:val="auto"/>
        </w:rPr>
      </w:pPr>
    </w:p>
    <w:p>
      <w:pPr>
        <w:ind w:left="560"/>
        <w:spacing w:after="0" w:line="150" w:lineRule="exact"/>
        <w:tabs>
          <w:tab w:leader="none" w:pos="6400" w:val="left"/>
          <w:tab w:leader="none" w:pos="6880" w:val="left"/>
        </w:tabs>
        <w:rPr>
          <w:sz w:val="20"/>
          <w:szCs w:val="20"/>
          <w:color w:val="auto"/>
        </w:rPr>
      </w:pPr>
      <w:r>
        <w:rPr>
          <w:rFonts w:ascii="Arial" w:cs="Arial" w:eastAsia="Arial" w:hAnsi="Arial"/>
          <w:sz w:val="12"/>
          <w:szCs w:val="12"/>
          <w:color w:val="auto"/>
        </w:rPr>
        <w:t>Indicate by check mark whether the registrant is a shell company (as defined in Rule 12b-2 of the Exchange Act).</w:t>
      </w:r>
      <w:r>
        <w:rPr>
          <w:sz w:val="20"/>
          <w:szCs w:val="20"/>
          <w:color w:val="auto"/>
        </w:rPr>
        <w:tab/>
      </w:r>
      <w:r>
        <w:rPr>
          <w:rFonts w:ascii="Arial" w:cs="Arial" w:eastAsia="Arial" w:hAnsi="Arial"/>
          <w:sz w:val="13"/>
          <w:szCs w:val="13"/>
          <w:color w:val="auto"/>
        </w:rPr>
        <w:t xml:space="preserve">Yes </w:t>
      </w:r>
      <w:r>
        <w:rPr>
          <w:rFonts w:ascii="MS PGothic" w:cs="MS PGothic" w:eastAsia="MS PGothic" w:hAnsi="MS PGothic"/>
          <w:sz w:val="13"/>
          <w:szCs w:val="13"/>
          <w:color w:val="auto"/>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2"/>
          <w:szCs w:val="12"/>
          <w:color w:val="auto"/>
        </w:rPr>
        <w:t>☒</w:t>
      </w:r>
    </w:p>
    <w:p>
      <w:pPr>
        <w:spacing w:after="0" w:line="91" w:lineRule="exact"/>
        <w:rPr>
          <w:sz w:val="24"/>
          <w:szCs w:val="24"/>
          <w:color w:val="auto"/>
        </w:rPr>
      </w:pPr>
    </w:p>
    <w:p>
      <w:pPr>
        <w:jc w:val="both"/>
        <w:ind w:left="60" w:right="59" w:firstLine="518"/>
        <w:spacing w:after="0" w:line="366" w:lineRule="auto"/>
        <w:rPr>
          <w:sz w:val="20"/>
          <w:szCs w:val="20"/>
          <w:color w:val="auto"/>
        </w:rPr>
      </w:pPr>
      <w:r>
        <w:rPr>
          <w:rFonts w:ascii="Arial" w:cs="Arial" w:eastAsia="Arial" w:hAnsi="Arial"/>
          <w:sz w:val="10"/>
          <w:szCs w:val="10"/>
          <w:color w:val="auto"/>
        </w:rPr>
        <w:t>The aggregate market value of the voting and non-voting common equity held by non-affiliates of the registrant, based on the closing price of the registrant’s shares of common stock as reported by The Nasdaq Global Select Market on June 30, 2021 (the last business day of the registrant’s second fiscal quarter), was approximately $4.1 billion.</w:t>
      </w:r>
    </w:p>
    <w:p>
      <w:pPr>
        <w:ind w:left="560"/>
        <w:spacing w:after="0"/>
        <w:rPr>
          <w:sz w:val="20"/>
          <w:szCs w:val="20"/>
          <w:color w:val="auto"/>
        </w:rPr>
      </w:pPr>
      <w:r>
        <w:rPr>
          <w:rFonts w:ascii="Arial" w:cs="Arial" w:eastAsia="Arial" w:hAnsi="Arial"/>
          <w:sz w:val="13"/>
          <w:szCs w:val="13"/>
          <w:color w:val="auto"/>
        </w:rPr>
        <w:t>As of January 31, 2022, the registrant had 91,234,747 shares of common stock, $0.0001 par value per share, outstanding.</w:t>
      </w:r>
    </w:p>
    <w:p>
      <w:pPr>
        <w:spacing w:after="0" w:line="63" w:lineRule="exact"/>
        <w:rPr>
          <w:sz w:val="24"/>
          <w:szCs w:val="24"/>
          <w:color w:val="auto"/>
        </w:rPr>
      </w:pPr>
    </w:p>
    <w:p>
      <w:pPr>
        <w:ind w:left="3060"/>
        <w:spacing w:after="0"/>
        <w:rPr>
          <w:sz w:val="20"/>
          <w:szCs w:val="20"/>
          <w:color w:val="auto"/>
        </w:rPr>
      </w:pPr>
      <w:r>
        <w:rPr>
          <w:rFonts w:ascii="Arial" w:cs="Arial" w:eastAsia="Arial" w:hAnsi="Arial"/>
          <w:sz w:val="13"/>
          <w:szCs w:val="13"/>
          <w:b w:val="1"/>
          <w:bCs w:val="1"/>
          <w:color w:val="auto"/>
        </w:rPr>
        <w:t>DOCUMENTS INCORPORATED BY REFERENCE</w:t>
      </w:r>
    </w:p>
    <w:p>
      <w:pPr>
        <w:spacing w:after="0" w:line="71" w:lineRule="exact"/>
        <w:rPr>
          <w:sz w:val="24"/>
          <w:szCs w:val="24"/>
          <w:color w:val="auto"/>
        </w:rPr>
      </w:pPr>
    </w:p>
    <w:p>
      <w:pPr>
        <w:ind w:left="60" w:right="79" w:firstLine="567"/>
        <w:spacing w:after="0" w:line="236" w:lineRule="auto"/>
        <w:rPr>
          <w:sz w:val="20"/>
          <w:szCs w:val="20"/>
          <w:color w:val="auto"/>
        </w:rPr>
      </w:pPr>
      <w:r>
        <w:rPr>
          <w:rFonts w:ascii="Arial" w:cs="Arial" w:eastAsia="Arial" w:hAnsi="Arial"/>
          <w:sz w:val="13"/>
          <w:szCs w:val="13"/>
          <w:color w:val="auto"/>
        </w:rPr>
        <w:t>Portions of the registrant’s Definitive Proxy Statement relating to its 2022 Annual Meeting of Stockholders to be filed within 120 days after the end of the fiscal year ended December 31, 2021 are incorporated by reference into Part III of this Annual Report on 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730885</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45085</wp:posOffset>
            </wp:positionV>
            <wp:extent cx="56578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79375</wp:posOffset>
            </wp:positionV>
            <wp:extent cx="5657850" cy="342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40" w:type="dxa"/>
            <w:vAlign w:val="bottom"/>
            <w:gridSpan w:val="14"/>
          </w:tcPr>
          <w:p>
            <w:pPr>
              <w:jc w:val="center"/>
              <w:ind w:right="3080"/>
              <w:spacing w:after="0"/>
              <w:rPr>
                <w:sz w:val="20"/>
                <w:szCs w:val="20"/>
                <w:color w:val="auto"/>
              </w:rPr>
            </w:pPr>
            <w:r>
              <w:rPr>
                <w:rFonts w:ascii="Arial" w:cs="Arial" w:eastAsia="Arial" w:hAnsi="Arial"/>
                <w:sz w:val="18"/>
                <w:szCs w:val="18"/>
                <w:b w:val="1"/>
                <w:bCs w:val="1"/>
                <w:color w:val="auto"/>
                <w:w w:val="99"/>
              </w:rPr>
              <w:t>PROGYNY, INC.</w:t>
            </w:r>
          </w:p>
        </w:tc>
        <w:tc>
          <w:tcPr>
            <w:tcW w:w="700" w:type="dxa"/>
            <w:vAlign w:val="bottom"/>
          </w:tcPr>
          <w:p>
            <w:pPr>
              <w:spacing w:after="0"/>
              <w:rPr>
                <w:sz w:val="20"/>
                <w:szCs w:val="20"/>
                <w:color w:val="auto"/>
              </w:rPr>
            </w:pPr>
          </w:p>
        </w:tc>
      </w:tr>
      <w:tr>
        <w:trPr>
          <w:trHeight w:val="432"/>
        </w:trPr>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80" w:type="dxa"/>
            <w:vAlign w:val="bottom"/>
            <w:gridSpan w:val="17"/>
          </w:tcPr>
          <w:p>
            <w:pPr>
              <w:jc w:val="center"/>
              <w:ind w:right="2740"/>
              <w:spacing w:after="0"/>
              <w:rPr>
                <w:sz w:val="20"/>
                <w:szCs w:val="20"/>
                <w:color w:val="auto"/>
              </w:rPr>
            </w:pPr>
            <w:r>
              <w:rPr>
                <w:rFonts w:ascii="Arial" w:cs="Arial" w:eastAsia="Arial" w:hAnsi="Arial"/>
                <w:sz w:val="18"/>
                <w:szCs w:val="18"/>
                <w:b w:val="1"/>
                <w:bCs w:val="1"/>
                <w:color w:val="auto"/>
                <w:w w:val="98"/>
              </w:rPr>
              <w:t>TABLE OF CONTENTS</w:t>
            </w:r>
          </w:p>
        </w:tc>
        <w:tc>
          <w:tcPr>
            <w:tcW w:w="700" w:type="dxa"/>
            <w:vAlign w:val="bottom"/>
          </w:tcPr>
          <w:p>
            <w:pPr>
              <w:spacing w:after="0"/>
              <w:rPr>
                <w:sz w:val="24"/>
                <w:szCs w:val="24"/>
                <w:color w:val="auto"/>
              </w:rPr>
            </w:pPr>
          </w:p>
        </w:tc>
      </w:tr>
      <w:tr>
        <w:trPr>
          <w:trHeight w:val="405"/>
        </w:trPr>
        <w:tc>
          <w:tcPr>
            <w:tcW w:w="1780" w:type="dxa"/>
            <w:vAlign w:val="bottom"/>
            <w:gridSpan w:val="8"/>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PART I</w:t>
              </w:r>
            </w:hyperlink>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bottom w:val="single" w:sz="8" w:color="0000EE"/>
            </w:tcBorders>
          </w:tcPr>
          <w:p>
            <w:pPr>
              <w:spacing w:after="0" w:line="196"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Item 1.</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bottom w:val="single" w:sz="8" w:color="0000EE"/>
            </w:tcBorders>
          </w:tcPr>
          <w:p>
            <w:pPr>
              <w:spacing w:after="0" w:line="196" w:lineRule="exact"/>
              <w:rPr>
                <w:rFonts w:ascii="Arial" w:cs="Arial" w:eastAsia="Arial" w:hAnsi="Arial"/>
                <w:sz w:val="18"/>
                <w:szCs w:val="18"/>
                <w:color w:val="0000EE"/>
                <w:w w:val="84"/>
              </w:rPr>
            </w:pPr>
            <w:hyperlink w:anchor="page6">
              <w:r>
                <w:rPr>
                  <w:rFonts w:ascii="Arial" w:cs="Arial" w:eastAsia="Arial" w:hAnsi="Arial"/>
                  <w:sz w:val="18"/>
                  <w:szCs w:val="18"/>
                  <w:color w:val="0000EE"/>
                  <w:w w:val="84"/>
                </w:rPr>
                <w:t>Business</w:t>
              </w:r>
            </w:hyperlink>
          </w:p>
        </w:tc>
        <w:tc>
          <w:tcPr>
            <w:tcW w:w="5600" w:type="dxa"/>
            <w:vAlign w:val="bottom"/>
            <w:gridSpan w:val="2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0"/>
              </w:rPr>
            </w:pPr>
            <w:hyperlink w:anchor="page21">
              <w:r>
                <w:rPr>
                  <w:rFonts w:ascii="Arial" w:cs="Arial" w:eastAsia="Arial" w:hAnsi="Arial"/>
                  <w:sz w:val="18"/>
                  <w:szCs w:val="18"/>
                  <w:color w:val="0000EE"/>
                  <w:w w:val="80"/>
                </w:rPr>
                <w:t>Item 1A.</w:t>
              </w:r>
            </w:hyperlink>
          </w:p>
        </w:tc>
        <w:tc>
          <w:tcPr>
            <w:tcW w:w="180" w:type="dxa"/>
            <w:vAlign w:val="bottom"/>
          </w:tcPr>
          <w:p>
            <w:pPr>
              <w:spacing w:after="0"/>
              <w:rPr>
                <w:sz w:val="17"/>
                <w:szCs w:val="17"/>
                <w:color w:val="auto"/>
              </w:rPr>
            </w:pPr>
          </w:p>
        </w:tc>
        <w:tc>
          <w:tcPr>
            <w:tcW w:w="90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21">
              <w:r>
                <w:rPr>
                  <w:rFonts w:ascii="Arial" w:cs="Arial" w:eastAsia="Arial" w:hAnsi="Arial"/>
                  <w:sz w:val="18"/>
                  <w:szCs w:val="18"/>
                  <w:color w:val="0000EE"/>
                  <w:w w:val="87"/>
                </w:rPr>
                <w:t>Risk Factors</w:t>
              </w:r>
            </w:hyperlink>
          </w:p>
        </w:tc>
        <w:tc>
          <w:tcPr>
            <w:tcW w:w="5340" w:type="dxa"/>
            <w:vAlign w:val="bottom"/>
            <w:gridSpan w:val="19"/>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0"/>
              </w:rPr>
            </w:pPr>
            <w:hyperlink w:anchor="page51">
              <w:r>
                <w:rPr>
                  <w:rFonts w:ascii="Arial" w:cs="Arial" w:eastAsia="Arial" w:hAnsi="Arial"/>
                  <w:sz w:val="18"/>
                  <w:szCs w:val="18"/>
                  <w:color w:val="0000EE"/>
                  <w:w w:val="80"/>
                </w:rPr>
                <w:t>Item 1B.</w:t>
              </w:r>
            </w:hyperlink>
          </w:p>
        </w:tc>
        <w:tc>
          <w:tcPr>
            <w:tcW w:w="180" w:type="dxa"/>
            <w:vAlign w:val="bottom"/>
          </w:tcPr>
          <w:p>
            <w:pPr>
              <w:spacing w:after="0"/>
              <w:rPr>
                <w:sz w:val="17"/>
                <w:szCs w:val="17"/>
                <w:color w:val="auto"/>
              </w:rPr>
            </w:pPr>
          </w:p>
        </w:tc>
        <w:tc>
          <w:tcPr>
            <w:tcW w:w="2040" w:type="dxa"/>
            <w:vAlign w:val="bottom"/>
            <w:tcBorders>
              <w:bottom w:val="single" w:sz="8" w:color="0000EE"/>
            </w:tcBorders>
            <w:gridSpan w:val="11"/>
          </w:tcPr>
          <w:p>
            <w:pPr>
              <w:spacing w:after="0" w:line="196"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Unresolved Staff Comments</w:t>
              </w:r>
            </w:hyperlink>
          </w:p>
        </w:tc>
        <w:tc>
          <w:tcPr>
            <w:tcW w:w="420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2.</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Properties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3.</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Legal Proceedings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1">
              <w:r>
                <w:rPr>
                  <w:rFonts w:ascii="Arial" w:cs="Arial" w:eastAsia="Arial" w:hAnsi="Arial"/>
                  <w:sz w:val="18"/>
                  <w:szCs w:val="18"/>
                  <w:color w:val="0000EE"/>
                  <w:w w:val="79"/>
                </w:rPr>
                <w:t>Item 4.</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1">
              <w:r>
                <w:rPr>
                  <w:rFonts w:ascii="Arial" w:cs="Arial" w:eastAsia="Arial" w:hAnsi="Arial"/>
                  <w:sz w:val="18"/>
                  <w:szCs w:val="18"/>
                  <w:color w:val="0000EE"/>
                </w:rPr>
                <w:t>Mine Safety Disclosures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412"/>
        </w:trPr>
        <w:tc>
          <w:tcPr>
            <w:tcW w:w="1200" w:type="dxa"/>
            <w:vAlign w:val="bottom"/>
            <w:gridSpan w:val="4"/>
          </w:tcPr>
          <w:p>
            <w:pPr>
              <w:spacing w:after="0"/>
              <w:rPr>
                <w:rFonts w:ascii="Arial" w:cs="Arial" w:eastAsia="Arial" w:hAnsi="Arial"/>
                <w:sz w:val="18"/>
                <w:szCs w:val="18"/>
                <w:b w:val="1"/>
                <w:bCs w:val="1"/>
                <w:color w:val="0000EE"/>
              </w:rPr>
            </w:pPr>
            <w:hyperlink w:anchor="page54">
              <w:r>
                <w:rPr>
                  <w:rFonts w:ascii="Arial" w:cs="Arial" w:eastAsia="Arial" w:hAnsi="Arial"/>
                  <w:sz w:val="18"/>
                  <w:szCs w:val="18"/>
                  <w:b w:val="1"/>
                  <w:bCs w:val="1"/>
                  <w:color w:val="0000EE"/>
                </w:rPr>
                <w:t>PART II</w:t>
              </w:r>
            </w:hyperlink>
          </w:p>
        </w:tc>
        <w:tc>
          <w:tcPr>
            <w:tcW w:w="500" w:type="dxa"/>
            <w:vAlign w:val="bottom"/>
            <w:tcBorders>
              <w:top w:val="single" w:sz="8" w:color="0000EE"/>
            </w:tcBorders>
            <w:gridSpan w:val="2"/>
          </w:tcPr>
          <w:p>
            <w:pPr>
              <w:spacing w:after="0"/>
              <w:rPr>
                <w:sz w:val="24"/>
                <w:szCs w:val="24"/>
                <w:color w:val="auto"/>
              </w:rPr>
            </w:pPr>
          </w:p>
        </w:tc>
        <w:tc>
          <w:tcPr>
            <w:tcW w:w="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98"/>
              </w:rPr>
            </w:pPr>
            <w:hyperlink w:anchor="page54">
              <w:r>
                <w:rPr>
                  <w:rFonts w:ascii="Arial" w:cs="Arial" w:eastAsia="Arial" w:hAnsi="Arial"/>
                  <w:sz w:val="18"/>
                  <w:szCs w:val="18"/>
                  <w:color w:val="0000EE"/>
                  <w:w w:val="98"/>
                </w:rPr>
                <w:t>Item 5.</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w w:val="97"/>
              </w:rPr>
            </w:pPr>
            <w:hyperlink w:anchor="page54">
              <w:r>
                <w:rPr>
                  <w:rFonts w:ascii="Arial" w:cs="Arial" w:eastAsia="Arial" w:hAnsi="Arial"/>
                  <w:sz w:val="18"/>
                  <w:szCs w:val="18"/>
                  <w:color w:val="0000EE"/>
                  <w:w w:val="97"/>
                </w:rPr>
                <w:t>Market for Registrant’s Common Equity, Related Stockholder Matters and Issuer</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2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Purchases of Equity Securities</w:t>
              </w:r>
            </w:hyperlink>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Item 6.</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21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Reserved</w:t>
              </w:r>
            </w:hyperlink>
          </w:p>
        </w:tc>
        <w:tc>
          <w:tcPr>
            <w:tcW w:w="4060" w:type="dxa"/>
            <w:vAlign w:val="bottom"/>
            <w:gridSpan w:val="12"/>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57">
              <w:r>
                <w:rPr>
                  <w:rFonts w:ascii="Arial" w:cs="Arial" w:eastAsia="Arial" w:hAnsi="Arial"/>
                  <w:sz w:val="18"/>
                  <w:szCs w:val="18"/>
                  <w:color w:val="0000EE"/>
                  <w:w w:val="79"/>
                </w:rPr>
                <w:t>Item 7.</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Management’s Discussion and Analysis of Financial Condition and Results of</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Operations</w:t>
              </w:r>
            </w:hyperlink>
          </w:p>
        </w:tc>
        <w:tc>
          <w:tcPr>
            <w:tcW w:w="62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0"/>
              </w:rPr>
            </w:pPr>
            <w:hyperlink w:anchor="page70">
              <w:r>
                <w:rPr>
                  <w:rFonts w:ascii="Arial" w:cs="Arial" w:eastAsia="Arial" w:hAnsi="Arial"/>
                  <w:sz w:val="18"/>
                  <w:szCs w:val="18"/>
                  <w:color w:val="0000EE"/>
                  <w:w w:val="80"/>
                </w:rPr>
                <w:t>Item 7A.</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Quantitative and Qualitative Disclosures about Market Risk</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tcPr>
          <w:p>
            <w:pPr>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Item 8.</w:t>
              </w:r>
            </w:hyperlink>
          </w:p>
        </w:tc>
        <w:tc>
          <w:tcPr>
            <w:tcW w:w="120" w:type="dxa"/>
            <w:vAlign w:val="bottom"/>
            <w:tcBorders>
              <w:top w:val="single" w:sz="8" w:color="0000EE"/>
            </w:tcBorders>
            <w:gridSpan w:val="3"/>
          </w:tcPr>
          <w:p>
            <w:pPr>
              <w:spacing w:after="0"/>
              <w:rPr>
                <w:sz w:val="17"/>
                <w:szCs w:val="17"/>
                <w:color w:val="auto"/>
              </w:rPr>
            </w:pPr>
          </w:p>
        </w:tc>
        <w:tc>
          <w:tcPr>
            <w:tcW w:w="180" w:type="dxa"/>
            <w:vAlign w:val="bottom"/>
          </w:tcPr>
          <w:p>
            <w:pPr>
              <w:spacing w:after="0"/>
              <w:rPr>
                <w:sz w:val="17"/>
                <w:szCs w:val="17"/>
                <w:color w:val="auto"/>
              </w:rPr>
            </w:pPr>
          </w:p>
        </w:tc>
        <w:tc>
          <w:tcPr>
            <w:tcW w:w="43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Financial Statements and Supplementary Data</w:t>
              </w:r>
            </w:hyperlink>
          </w:p>
        </w:tc>
        <w:tc>
          <w:tcPr>
            <w:tcW w:w="1940" w:type="dxa"/>
            <w:vAlign w:val="bottom"/>
            <w:gridSpan w:val="7"/>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70</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gridSpan w:val="4"/>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line="196" w:lineRule="exact"/>
              <w:rPr>
                <w:rFonts w:ascii="Arial" w:cs="Arial" w:eastAsia="Arial" w:hAnsi="Arial"/>
                <w:sz w:val="18"/>
                <w:szCs w:val="18"/>
                <w:color w:val="0000EE"/>
                <w:w w:val="79"/>
              </w:rPr>
            </w:pPr>
            <w:hyperlink w:anchor="page99">
              <w:r>
                <w:rPr>
                  <w:rFonts w:ascii="Arial" w:cs="Arial" w:eastAsia="Arial" w:hAnsi="Arial"/>
                  <w:sz w:val="18"/>
                  <w:szCs w:val="18"/>
                  <w:color w:val="0000EE"/>
                  <w:w w:val="79"/>
                </w:rPr>
                <w:t>Item 9.</w:t>
              </w:r>
            </w:hyperlink>
          </w:p>
        </w:tc>
        <w:tc>
          <w:tcPr>
            <w:tcW w:w="120" w:type="dxa"/>
            <w:vAlign w:val="bottom"/>
            <w:gridSpan w:val="3"/>
          </w:tcPr>
          <w:p>
            <w:pPr>
              <w:spacing w:after="0"/>
              <w:rPr>
                <w:sz w:val="17"/>
                <w:szCs w:val="17"/>
                <w:color w:val="auto"/>
              </w:rPr>
            </w:pPr>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w w:val="99"/>
              </w:rPr>
            </w:pPr>
            <w:hyperlink w:anchor="page99">
              <w:r>
                <w:rPr>
                  <w:rFonts w:ascii="Arial" w:cs="Arial" w:eastAsia="Arial" w:hAnsi="Arial"/>
                  <w:sz w:val="18"/>
                  <w:szCs w:val="18"/>
                  <w:color w:val="0000EE"/>
                  <w:w w:val="99"/>
                </w:rPr>
                <w:t>Changes in and Disagreements with Accountants on Accounting and Financial</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99</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2"/>
              </w:rPr>
            </w:pPr>
            <w:hyperlink w:anchor="page99">
              <w:r>
                <w:rPr>
                  <w:rFonts w:ascii="Arial" w:cs="Arial" w:eastAsia="Arial" w:hAnsi="Arial"/>
                  <w:sz w:val="18"/>
                  <w:szCs w:val="18"/>
                  <w:color w:val="0000EE"/>
                  <w:w w:val="92"/>
                </w:rPr>
                <w:t>Disclosure</w:t>
              </w:r>
            </w:hyperlink>
          </w:p>
        </w:tc>
        <w:tc>
          <w:tcPr>
            <w:tcW w:w="4860" w:type="dxa"/>
            <w:vAlign w:val="bottom"/>
            <w:tcBorders>
              <w:top w:val="single" w:sz="8" w:color="0000EE"/>
            </w:tcBorders>
            <w:gridSpan w:val="17"/>
          </w:tcPr>
          <w:p>
            <w:pPr>
              <w:spacing w:after="0"/>
              <w:rPr>
                <w:sz w:val="17"/>
                <w:szCs w:val="17"/>
                <w:color w:val="auto"/>
              </w:rPr>
            </w:pPr>
          </w:p>
        </w:tc>
        <w:tc>
          <w:tcPr>
            <w:tcW w:w="58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0"/>
              </w:rPr>
            </w:pPr>
            <w:hyperlink w:anchor="page100">
              <w:r>
                <w:rPr>
                  <w:rFonts w:ascii="Arial" w:cs="Arial" w:eastAsia="Arial" w:hAnsi="Arial"/>
                  <w:sz w:val="18"/>
                  <w:szCs w:val="18"/>
                  <w:color w:val="0000EE"/>
                  <w:w w:val="80"/>
                </w:rPr>
                <w:t>Item 9A.</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0">
              <w:r>
                <w:rPr>
                  <w:rFonts w:ascii="Arial" w:cs="Arial" w:eastAsia="Arial" w:hAnsi="Arial"/>
                  <w:sz w:val="18"/>
                  <w:szCs w:val="18"/>
                  <w:color w:val="0000EE"/>
                </w:rPr>
                <w:t>Controls and Procedures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100</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top w:val="single" w:sz="8" w:color="0000EE"/>
            </w:tcBorders>
            <w:gridSpan w:val="4"/>
          </w:tcPr>
          <w:p>
            <w:pPr>
              <w:spacing w:after="0" w:line="196" w:lineRule="exact"/>
              <w:rPr>
                <w:rFonts w:ascii="Arial" w:cs="Arial" w:eastAsia="Arial" w:hAnsi="Arial"/>
                <w:sz w:val="18"/>
                <w:szCs w:val="18"/>
                <w:color w:val="0000EE"/>
                <w:w w:val="80"/>
              </w:rPr>
            </w:pPr>
            <w:hyperlink w:anchor="page103">
              <w:r>
                <w:rPr>
                  <w:rFonts w:ascii="Arial" w:cs="Arial" w:eastAsia="Arial" w:hAnsi="Arial"/>
                  <w:sz w:val="18"/>
                  <w:szCs w:val="18"/>
                  <w:color w:val="0000EE"/>
                  <w:w w:val="80"/>
                </w:rPr>
                <w:t>Item 9B.</w:t>
              </w:r>
            </w:hyperlink>
          </w:p>
        </w:tc>
        <w:tc>
          <w:tcPr>
            <w:tcW w:w="180" w:type="dxa"/>
            <w:vAlign w:val="bottom"/>
          </w:tcPr>
          <w:p>
            <w:pPr>
              <w:spacing w:after="0"/>
              <w:rPr>
                <w:sz w:val="17"/>
                <w:szCs w:val="17"/>
                <w:color w:val="auto"/>
              </w:rPr>
            </w:pPr>
          </w:p>
        </w:tc>
        <w:tc>
          <w:tcPr>
            <w:tcW w:w="176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Other Information</w:t>
              </w:r>
            </w:hyperlink>
          </w:p>
        </w:tc>
        <w:tc>
          <w:tcPr>
            <w:tcW w:w="4480" w:type="dxa"/>
            <w:vAlign w:val="bottom"/>
            <w:gridSpan w:val="1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20"/>
        </w:trPr>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right w:val="single" w:sz="8" w:color="0000EE"/>
            </w:tcBorders>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Item 9C.</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Disclosure Regarding Foreign Jurisdictions that Prevent Inspections</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1200" w:type="dxa"/>
            <w:vAlign w:val="bottom"/>
            <w:gridSpan w:val="4"/>
          </w:tcPr>
          <w:p>
            <w:pPr>
              <w:spacing w:after="0" w:line="196" w:lineRule="exact"/>
              <w:rPr>
                <w:rFonts w:ascii="Arial" w:cs="Arial" w:eastAsia="Arial" w:hAnsi="Arial"/>
                <w:sz w:val="18"/>
                <w:szCs w:val="18"/>
                <w:b w:val="1"/>
                <w:bCs w:val="1"/>
                <w:color w:val="0000EE"/>
              </w:rPr>
            </w:pPr>
            <w:hyperlink w:anchor="page103">
              <w:r>
                <w:rPr>
                  <w:rFonts w:ascii="Arial" w:cs="Arial" w:eastAsia="Arial" w:hAnsi="Arial"/>
                  <w:sz w:val="18"/>
                  <w:szCs w:val="18"/>
                  <w:b w:val="1"/>
                  <w:bCs w:val="1"/>
                  <w:color w:val="0000EE"/>
                </w:rPr>
                <w:t>PART III</w:t>
              </w:r>
            </w:hyperlink>
          </w:p>
        </w:tc>
        <w:tc>
          <w:tcPr>
            <w:tcW w:w="580" w:type="dxa"/>
            <w:vAlign w:val="bottom"/>
            <w:tcBorders>
              <w:top w:val="single" w:sz="8" w:color="0000EE"/>
            </w:tcBorders>
            <w:gridSpan w:val="4"/>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76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2"/>
              </w:rPr>
            </w:pPr>
            <w:hyperlink w:anchor="page103">
              <w:r>
                <w:rPr>
                  <w:rFonts w:ascii="Arial" w:cs="Arial" w:eastAsia="Arial" w:hAnsi="Arial"/>
                  <w:sz w:val="18"/>
                  <w:szCs w:val="18"/>
                  <w:color w:val="0000EE"/>
                  <w:w w:val="82"/>
                </w:rPr>
                <w:t>Item 10.</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Directors, Executive Officers and Corporate Governance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79"/>
              </w:rPr>
            </w:pPr>
            <w:hyperlink w:anchor="page103">
              <w:r>
                <w:rPr>
                  <w:rFonts w:ascii="Arial" w:cs="Arial" w:eastAsia="Arial" w:hAnsi="Arial"/>
                  <w:sz w:val="18"/>
                  <w:szCs w:val="18"/>
                  <w:color w:val="0000EE"/>
                  <w:w w:val="79"/>
                </w:rPr>
                <w:t>Item 11.</w:t>
              </w:r>
            </w:hyperlink>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Executive Compensation</w:t>
              </w:r>
            </w:hyperlink>
          </w:p>
        </w:tc>
        <w:tc>
          <w:tcPr>
            <w:tcW w:w="2280" w:type="dxa"/>
            <w:vAlign w:val="bottom"/>
            <w:tcBorders>
              <w:top w:val="single" w:sz="8" w:color="0000EE"/>
            </w:tcBorders>
            <w:gridSpan w:val="6"/>
          </w:tcPr>
          <w:p>
            <w:pPr>
              <w:spacing w:after="0"/>
              <w:rPr>
                <w:sz w:val="17"/>
                <w:szCs w:val="17"/>
                <w:color w:val="auto"/>
              </w:rPr>
            </w:pPr>
          </w:p>
        </w:tc>
        <w:tc>
          <w:tcPr>
            <w:tcW w:w="2160" w:type="dxa"/>
            <w:vAlign w:val="bottom"/>
            <w:gridSpan w:val="8"/>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2"/>
              </w:rPr>
            </w:pPr>
            <w:hyperlink w:anchor="page103">
              <w:r>
                <w:rPr>
                  <w:rFonts w:ascii="Arial" w:cs="Arial" w:eastAsia="Arial" w:hAnsi="Arial"/>
                  <w:sz w:val="18"/>
                  <w:szCs w:val="18"/>
                  <w:color w:val="0000EE"/>
                  <w:w w:val="82"/>
                </w:rPr>
                <w:t>Item 12.</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w w:val="97"/>
              </w:rPr>
            </w:pPr>
            <w:hyperlink w:anchor="page103">
              <w:r>
                <w:rPr>
                  <w:rFonts w:ascii="Arial" w:cs="Arial" w:eastAsia="Arial" w:hAnsi="Arial"/>
                  <w:sz w:val="18"/>
                  <w:szCs w:val="18"/>
                  <w:color w:val="0000EE"/>
                  <w:w w:val="97"/>
                </w:rPr>
                <w:t>Security Ownership of Certain Beneficial Owners and Management and Related</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9"/>
              </w:rPr>
            </w:pPr>
            <w:hyperlink w:anchor="page103">
              <w:r>
                <w:rPr>
                  <w:rFonts w:ascii="Arial" w:cs="Arial" w:eastAsia="Arial" w:hAnsi="Arial"/>
                  <w:sz w:val="18"/>
                  <w:szCs w:val="18"/>
                  <w:color w:val="0000EE"/>
                  <w:w w:val="89"/>
                </w:rPr>
                <w:t>Stockholder Matters</w:t>
              </w:r>
            </w:hyperlink>
          </w:p>
        </w:tc>
        <w:tc>
          <w:tcPr>
            <w:tcW w:w="4320" w:type="dxa"/>
            <w:vAlign w:val="bottom"/>
            <w:tcBorders>
              <w:top w:val="single" w:sz="8" w:color="0000EE"/>
            </w:tcBorders>
            <w:gridSpan w:val="15"/>
          </w:tcPr>
          <w:p>
            <w:pPr>
              <w:spacing w:after="0"/>
              <w:rPr>
                <w:sz w:val="17"/>
                <w:szCs w:val="17"/>
                <w:color w:val="auto"/>
              </w:rPr>
            </w:pPr>
          </w:p>
        </w:tc>
        <w:tc>
          <w:tcPr>
            <w:tcW w:w="46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2"/>
              </w:rPr>
            </w:pPr>
            <w:hyperlink w:anchor="page103">
              <w:r>
                <w:rPr>
                  <w:rFonts w:ascii="Arial" w:cs="Arial" w:eastAsia="Arial" w:hAnsi="Arial"/>
                  <w:sz w:val="18"/>
                  <w:szCs w:val="18"/>
                  <w:color w:val="0000EE"/>
                  <w:w w:val="82"/>
                </w:rPr>
                <w:t>Item 13.</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3">
              <w:r>
                <w:rPr>
                  <w:rFonts w:ascii="Arial" w:cs="Arial" w:eastAsia="Arial" w:hAnsi="Arial"/>
                  <w:sz w:val="18"/>
                  <w:szCs w:val="18"/>
                  <w:color w:val="0000EE"/>
                </w:rPr>
                <w:t>Certain Relationships and Related Transactions, and Director Independence</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103</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top w:val="single" w:sz="8" w:color="0000EE"/>
            </w:tcBorders>
            <w:gridSpan w:val="4"/>
          </w:tcPr>
          <w:p>
            <w:pPr>
              <w:spacing w:after="0" w:line="196" w:lineRule="exact"/>
              <w:rPr>
                <w:rFonts w:ascii="Arial" w:cs="Arial" w:eastAsia="Arial" w:hAnsi="Arial"/>
                <w:sz w:val="18"/>
                <w:szCs w:val="18"/>
                <w:color w:val="0000EE"/>
                <w:w w:val="82"/>
              </w:rPr>
            </w:pPr>
            <w:hyperlink w:anchor="page104">
              <w:r>
                <w:rPr>
                  <w:rFonts w:ascii="Arial" w:cs="Arial" w:eastAsia="Arial" w:hAnsi="Arial"/>
                  <w:sz w:val="18"/>
                  <w:szCs w:val="18"/>
                  <w:color w:val="0000EE"/>
                  <w:w w:val="82"/>
                </w:rPr>
                <w:t>Item 14.</w:t>
              </w:r>
            </w:hyperlink>
          </w:p>
        </w:tc>
        <w:tc>
          <w:tcPr>
            <w:tcW w:w="180" w:type="dxa"/>
            <w:vAlign w:val="bottom"/>
          </w:tcPr>
          <w:p>
            <w:pPr>
              <w:spacing w:after="0"/>
              <w:rPr>
                <w:sz w:val="17"/>
                <w:szCs w:val="17"/>
                <w:color w:val="auto"/>
              </w:rPr>
            </w:pPr>
          </w:p>
        </w:tc>
        <w:tc>
          <w:tcPr>
            <w:tcW w:w="54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104">
              <w:r>
                <w:rPr>
                  <w:rFonts w:ascii="Arial" w:cs="Arial" w:eastAsia="Arial" w:hAnsi="Arial"/>
                  <w:sz w:val="18"/>
                  <w:szCs w:val="18"/>
                  <w:color w:val="0000EE"/>
                </w:rPr>
                <w:t>Principal Accountant Fees and Services</w:t>
              </w:r>
            </w:hyperlink>
          </w:p>
        </w:tc>
        <w:tc>
          <w:tcPr>
            <w:tcW w:w="800" w:type="dxa"/>
            <w:vAlign w:val="bottom"/>
            <w:gridSpan w:val="5"/>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1200" w:type="dxa"/>
            <w:vAlign w:val="bottom"/>
            <w:gridSpan w:val="4"/>
          </w:tcPr>
          <w:p>
            <w:pPr>
              <w:spacing w:after="0" w:line="196" w:lineRule="exact"/>
              <w:rPr>
                <w:rFonts w:ascii="Arial" w:cs="Arial" w:eastAsia="Arial" w:hAnsi="Arial"/>
                <w:sz w:val="18"/>
                <w:szCs w:val="18"/>
                <w:b w:val="1"/>
                <w:bCs w:val="1"/>
                <w:color w:val="0000EE"/>
              </w:rPr>
            </w:pPr>
            <w:hyperlink w:anchor="page104">
              <w:r>
                <w:rPr>
                  <w:rFonts w:ascii="Arial" w:cs="Arial" w:eastAsia="Arial" w:hAnsi="Arial"/>
                  <w:sz w:val="18"/>
                  <w:szCs w:val="18"/>
                  <w:b w:val="1"/>
                  <w:bCs w:val="1"/>
                  <w:color w:val="0000EE"/>
                </w:rPr>
                <w:t>PART IV</w:t>
              </w:r>
            </w:hyperlink>
          </w:p>
        </w:tc>
        <w:tc>
          <w:tcPr>
            <w:tcW w:w="540" w:type="dxa"/>
            <w:vAlign w:val="bottom"/>
            <w:tcBorders>
              <w:top w:val="single" w:sz="8" w:color="0000EE"/>
            </w:tcBorders>
            <w:gridSpan w:val="3"/>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680" w:type="dxa"/>
            <w:vAlign w:val="bottom"/>
            <w:tcBorders>
              <w:top w:val="single" w:sz="8" w:color="0000EE"/>
            </w:tcBorders>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96"/>
        </w:trPr>
        <w:tc>
          <w:tcPr>
            <w:tcW w:w="62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tcBorders>
              <w:bottom w:val="single" w:sz="8" w:color="0000EE"/>
            </w:tcBorders>
            <w:gridSpan w:val="4"/>
          </w:tcPr>
          <w:p>
            <w:pPr>
              <w:spacing w:after="0" w:line="196" w:lineRule="exact"/>
              <w:rPr>
                <w:rFonts w:ascii="Arial" w:cs="Arial" w:eastAsia="Arial" w:hAnsi="Arial"/>
                <w:sz w:val="18"/>
                <w:szCs w:val="18"/>
                <w:color w:val="0000EE"/>
                <w:w w:val="82"/>
              </w:rPr>
            </w:pPr>
            <w:hyperlink w:anchor="page104">
              <w:r>
                <w:rPr>
                  <w:rFonts w:ascii="Arial" w:cs="Arial" w:eastAsia="Arial" w:hAnsi="Arial"/>
                  <w:sz w:val="18"/>
                  <w:szCs w:val="18"/>
                  <w:color w:val="0000EE"/>
                  <w:w w:val="82"/>
                </w:rPr>
                <w:t>Item 15.</w:t>
              </w:r>
            </w:hyperlink>
          </w:p>
        </w:tc>
        <w:tc>
          <w:tcPr>
            <w:tcW w:w="180" w:type="dxa"/>
            <w:vAlign w:val="bottom"/>
          </w:tcPr>
          <w:p>
            <w:pPr>
              <w:spacing w:after="0"/>
              <w:rPr>
                <w:sz w:val="17"/>
                <w:szCs w:val="17"/>
                <w:color w:val="auto"/>
              </w:rPr>
            </w:pPr>
          </w:p>
        </w:tc>
        <w:tc>
          <w:tcPr>
            <w:tcW w:w="31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04">
              <w:r>
                <w:rPr>
                  <w:rFonts w:ascii="Arial" w:cs="Arial" w:eastAsia="Arial" w:hAnsi="Arial"/>
                  <w:sz w:val="18"/>
                  <w:szCs w:val="18"/>
                  <w:color w:val="0000EE"/>
                  <w:w w:val="89"/>
                </w:rPr>
                <w:t>Exhibits and Financial Statement Schedules</w:t>
              </w:r>
            </w:hyperlink>
          </w:p>
        </w:tc>
        <w:tc>
          <w:tcPr>
            <w:tcW w:w="3080" w:type="dxa"/>
            <w:vAlign w:val="bottom"/>
            <w:gridSpan w:val="10"/>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104</w:t>
            </w:r>
          </w:p>
        </w:tc>
      </w:tr>
      <w:tr>
        <w:trPr>
          <w:trHeight w:val="196"/>
        </w:trPr>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80" w:type="dxa"/>
            <w:vAlign w:val="bottom"/>
            <w:gridSpan w:val="4"/>
          </w:tcPr>
          <w:p>
            <w:pPr>
              <w:spacing w:after="0" w:line="196" w:lineRule="exact"/>
              <w:rPr>
                <w:rFonts w:ascii="Arial" w:cs="Arial" w:eastAsia="Arial" w:hAnsi="Arial"/>
                <w:sz w:val="18"/>
                <w:szCs w:val="18"/>
                <w:color w:val="0000EE"/>
                <w:w w:val="82"/>
              </w:rPr>
            </w:pPr>
            <w:hyperlink w:anchor="page107">
              <w:r>
                <w:rPr>
                  <w:rFonts w:ascii="Arial" w:cs="Arial" w:eastAsia="Arial" w:hAnsi="Arial"/>
                  <w:sz w:val="18"/>
                  <w:szCs w:val="18"/>
                  <w:color w:val="0000EE"/>
                  <w:w w:val="82"/>
                </w:rPr>
                <w:t>Item 16.</w:t>
              </w:r>
            </w:hyperlink>
          </w:p>
        </w:tc>
        <w:tc>
          <w:tcPr>
            <w:tcW w:w="180" w:type="dxa"/>
            <w:vAlign w:val="bottom"/>
          </w:tcPr>
          <w:p>
            <w:pPr>
              <w:spacing w:after="0"/>
              <w:rPr>
                <w:sz w:val="17"/>
                <w:szCs w:val="17"/>
                <w:color w:val="auto"/>
              </w:rPr>
            </w:pPr>
          </w:p>
        </w:tc>
        <w:tc>
          <w:tcPr>
            <w:tcW w:w="6240" w:type="dxa"/>
            <w:vAlign w:val="bottom"/>
            <w:gridSpan w:val="24"/>
          </w:tcPr>
          <w:p>
            <w:pPr>
              <w:spacing w:after="0" w:line="196" w:lineRule="exact"/>
              <w:rPr>
                <w:rFonts w:ascii="Arial" w:cs="Arial" w:eastAsia="Arial" w:hAnsi="Arial"/>
                <w:sz w:val="18"/>
                <w:szCs w:val="18"/>
                <w:color w:val="0000EE"/>
              </w:rPr>
            </w:pPr>
            <w:hyperlink w:anchor="page107">
              <w:r>
                <w:rPr>
                  <w:rFonts w:ascii="Arial" w:cs="Arial" w:eastAsia="Arial" w:hAnsi="Arial"/>
                  <w:sz w:val="18"/>
                  <w:szCs w:val="18"/>
                  <w:color w:val="0000EE"/>
                </w:rPr>
                <w:t>Form 10-K Summary</w:t>
              </w:r>
            </w:hyperlink>
          </w:p>
        </w:tc>
        <w:tc>
          <w:tcPr>
            <w:tcW w:w="700" w:type="dxa"/>
            <w:vAlign w:val="bottom"/>
          </w:tcPr>
          <w:p>
            <w:pPr>
              <w:jc w:val="right"/>
              <w:spacing w:after="0" w:line="196" w:lineRule="exact"/>
              <w:rPr>
                <w:sz w:val="20"/>
                <w:szCs w:val="20"/>
                <w:color w:val="auto"/>
              </w:rPr>
            </w:pPr>
            <w:r>
              <w:rPr>
                <w:rFonts w:ascii="Arial" w:cs="Arial" w:eastAsia="Arial" w:hAnsi="Arial"/>
                <w:sz w:val="18"/>
                <w:szCs w:val="18"/>
                <w:color w:val="auto"/>
              </w:rPr>
              <w:t>107</w:t>
            </w:r>
          </w:p>
        </w:tc>
      </w:tr>
      <w:tr>
        <w:trPr>
          <w:trHeight w:val="20"/>
        </w:trPr>
        <w:tc>
          <w:tcPr>
            <w:tcW w:w="1200" w:type="dxa"/>
            <w:vAlign w:val="bottom"/>
            <w:tcBorders>
              <w:right w:val="single" w:sz="8" w:color="0000EE"/>
            </w:tcBorders>
            <w:gridSpan w:val="4"/>
          </w:tcPr>
          <w:p>
            <w:pPr>
              <w:spacing w:after="0" w:line="20" w:lineRule="exact"/>
              <w:rPr>
                <w:sz w:val="1"/>
                <w:szCs w:val="1"/>
                <w:color w:val="auto"/>
              </w:rPr>
            </w:pPr>
          </w:p>
        </w:tc>
        <w:tc>
          <w:tcPr>
            <w:tcW w:w="54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200" w:type="dxa"/>
            <w:vAlign w:val="bottom"/>
            <w:tcBorders>
              <w:bottom w:val="single" w:sz="8" w:color="0000EE"/>
            </w:tcBorders>
            <w:gridSpan w:val="4"/>
          </w:tcPr>
          <w:p>
            <w:pPr>
              <w:spacing w:after="0"/>
              <w:rPr>
                <w:rFonts w:ascii="Arial" w:cs="Arial" w:eastAsia="Arial" w:hAnsi="Arial"/>
                <w:sz w:val="18"/>
                <w:szCs w:val="18"/>
                <w:b w:val="1"/>
                <w:bCs w:val="1"/>
                <w:color w:val="0000EE"/>
                <w:w w:val="98"/>
              </w:rPr>
            </w:pPr>
            <w:hyperlink w:anchor="page108">
              <w:r>
                <w:rPr>
                  <w:rFonts w:ascii="Arial" w:cs="Arial" w:eastAsia="Arial" w:hAnsi="Arial"/>
                  <w:sz w:val="18"/>
                  <w:szCs w:val="18"/>
                  <w:b w:val="1"/>
                  <w:bCs w:val="1"/>
                  <w:color w:val="0000EE"/>
                  <w:w w:val="98"/>
                </w:rPr>
                <w:t>SIGNATURES</w:t>
              </w:r>
            </w:hyperlink>
          </w:p>
        </w:tc>
        <w:tc>
          <w:tcPr>
            <w:tcW w:w="580" w:type="dxa"/>
            <w:vAlign w:val="bottom"/>
            <w:gridSpan w:val="4"/>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This Annual Report on Form 10-K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Annual Report on Form 10-K,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anticipated sources and uses of cash, our business strategy and our ability to acquire new clients and successfully engage new and existing clients, our ability to effectively manage our growth and compete effectively with existing competitors and new market entrants, impact of recently adopted accounting pronouncements; our ability to attract and retain qualified employees and key personnel; the plans and objectives of management for future operations and capital expenditures, and ongoing impacts of the COVID-19 pandemic, including variants, on our business, operations, and the markets and communities in which we and our clients, members and providers operate are forward-looking statements.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76"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In some cases, you can identify forward-looking statements by terms such as “may,” “will,” “should,” “expect,” “plan,” “anticipate,” “could,” “intend,” “target,” “project,” “contemplate,” “believe,” “estimate,” “predict,” “potential”, “seek”, or “continue” or the negative of these terms or other similar expressions. The forward-looking statements in this Annual Report on Form 10-K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Annual Report on Form 10-K and are subject to a number of important factors that could cause actual results to differ materially from those in the forward-looking statements, including the factors described under Part I, Item 1A. “Risk Factors” and Part II, Item 7. “Management’s Discussion and Analysis of Financial Condition and Results of Operations.” of this Annual Report on Form 10-K.</w:t>
      </w:r>
    </w:p>
    <w:p>
      <w:pPr>
        <w:spacing w:after="0" w:line="194"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In addition, statements such as “we believe” and similar statements reflect our beliefs and opinions on the relevant subject. These statements are based upon information available to us as of the filing date of this Annual Report on Form 10-K,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You should read this Annual Report on Form 10-K and the documents that we reference in this Annual Report on Form 10-K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RISKS AFFECTING OUR BUSINESS</w:t>
      </w:r>
    </w:p>
    <w:p>
      <w:pPr>
        <w:spacing w:after="0" w:line="229" w:lineRule="exact"/>
        <w:rPr>
          <w:sz w:val="20"/>
          <w:szCs w:val="20"/>
          <w:color w:val="auto"/>
        </w:rPr>
      </w:pPr>
    </w:p>
    <w:p>
      <w:pPr>
        <w:jc w:val="both"/>
        <w:ind w:left="60" w:right="59" w:firstLine="704"/>
        <w:spacing w:after="0" w:line="296" w:lineRule="auto"/>
        <w:rPr>
          <w:sz w:val="20"/>
          <w:szCs w:val="20"/>
          <w:color w:val="auto"/>
        </w:rPr>
      </w:pPr>
      <w:r>
        <w:rPr>
          <w:rFonts w:ascii="Arial" w:cs="Arial" w:eastAsia="Arial" w:hAnsi="Arial"/>
          <w:sz w:val="16"/>
          <w:szCs w:val="16"/>
          <w:color w:val="auto"/>
        </w:rPr>
        <w:t>Below is a summary of the principal factors that make an investment in our common stock speculative or risky. This summary does not address all of the risks that we face. Additional discussion of the risks summarized in this risk factor summary, and other risks that we face, can be found below under the heading “Risk Factors” and should be carefully considered, together with other information in this Annual Report on Form 10-K and our other filings with the U.S. Securities and Exchange Commission, or the SEC, before making an investment decision regarding our common stock.</w:t>
      </w:r>
    </w:p>
    <w:p>
      <w:pPr>
        <w:spacing w:after="0" w:line="161" w:lineRule="exact"/>
        <w:rPr>
          <w:sz w:val="20"/>
          <w:szCs w:val="20"/>
          <w:color w:val="auto"/>
        </w:rPr>
      </w:pPr>
    </w:p>
    <w:p>
      <w:pPr>
        <w:ind w:left="1040" w:right="279" w:hanging="315"/>
        <w:spacing w:after="0" w:line="311"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48" w:lineRule="exact"/>
        <w:rPr>
          <w:rFonts w:ascii="Arial" w:cs="Arial" w:eastAsia="Arial" w:hAnsi="Arial"/>
          <w:sz w:val="16"/>
          <w:szCs w:val="16"/>
          <w:color w:val="auto"/>
        </w:rPr>
      </w:pPr>
    </w:p>
    <w:p>
      <w:pPr>
        <w:ind w:left="1040" w:right="359" w:hanging="315"/>
        <w:spacing w:after="0" w:line="277" w:lineRule="auto"/>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may fail to meet our publicly announced guidance or other expectations about our business and future operating results, which would cause our stock price to decline.</w:t>
      </w:r>
    </w:p>
    <w:p>
      <w:pPr>
        <w:sectPr>
          <w:pgSz w:w="11900" w:h="16838" w:orient="portrait"/>
          <w:cols w:equalWidth="0" w:num="1">
            <w:col w:w="9019"/>
          </w:cols>
          <w:pgMar w:left="1440" w:top="517" w:right="1440" w:bottom="11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149" w:gutter="0" w:footer="0" w:header="0"/>
          <w:type w:val="continuous"/>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5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fertility market in which we participate is competitive, and if we do not continue to compete effectively, our results of operations could be harmed.</w:t>
      </w:r>
    </w:p>
    <w:p>
      <w:pPr>
        <w:spacing w:after="0" w:line="170" w:lineRule="exact"/>
        <w:rPr>
          <w:rFonts w:ascii="Arial" w:cs="Arial" w:eastAsia="Arial" w:hAnsi="Arial"/>
          <w:sz w:val="18"/>
          <w:szCs w:val="18"/>
          <w:color w:val="auto"/>
        </w:rPr>
      </w:pPr>
    </w:p>
    <w:p>
      <w:pPr>
        <w:ind w:left="1040" w:right="35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83" w:lineRule="exact"/>
        <w:rPr>
          <w:rFonts w:ascii="Arial" w:cs="Arial" w:eastAsia="Arial" w:hAnsi="Arial"/>
          <w:sz w:val="18"/>
          <w:szCs w:val="18"/>
          <w:color w:val="auto"/>
        </w:rPr>
      </w:pPr>
    </w:p>
    <w:p>
      <w:pPr>
        <w:ind w:left="1040" w:right="11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86"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we are unable to attract new clients, our business, financial condition and results of operations would be adversely affected.</w:t>
      </w:r>
    </w:p>
    <w:p>
      <w:pPr>
        <w:spacing w:after="0" w:line="170"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significant change in the level or the mix of the utilization of our solutions could have an adverse effect on our business, financial condition and results of operations.</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history of operating losses and may not sustain profitability in the future.</w:t>
      </w:r>
    </w:p>
    <w:p>
      <w:pPr>
        <w:spacing w:after="0" w:line="225" w:lineRule="exact"/>
        <w:rPr>
          <w:rFonts w:ascii="Arial" w:cs="Arial" w:eastAsia="Arial" w:hAnsi="Arial"/>
          <w:sz w:val="18"/>
          <w:szCs w:val="18"/>
          <w:color w:val="auto"/>
        </w:rPr>
      </w:pPr>
    </w:p>
    <w:p>
      <w:pPr>
        <w:ind w:left="1040" w:right="11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with our current platform of solutions, which makes it difficult to predict our future results of operations.</w:t>
      </w:r>
    </w:p>
    <w:p>
      <w:pPr>
        <w:spacing w:after="0" w:line="170" w:lineRule="exact"/>
        <w:rPr>
          <w:rFonts w:ascii="Arial" w:cs="Arial" w:eastAsia="Arial" w:hAnsi="Arial"/>
          <w:sz w:val="18"/>
          <w:szCs w:val="18"/>
          <w:color w:val="auto"/>
        </w:rPr>
      </w:pPr>
    </w:p>
    <w:p>
      <w:pPr>
        <w:jc w:val="both"/>
        <w:ind w:left="1040" w:right="699" w:hanging="315"/>
        <w:spacing w:after="0" w:line="286"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65" w:lineRule="exact"/>
        <w:rPr>
          <w:rFonts w:ascii="Arial" w:cs="Arial" w:eastAsia="Arial" w:hAnsi="Arial"/>
          <w:sz w:val="17"/>
          <w:szCs w:val="17"/>
          <w:color w:val="auto"/>
        </w:rPr>
      </w:pPr>
    </w:p>
    <w:p>
      <w:pPr>
        <w:ind w:left="1040" w:right="17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 benefits industry may be subject to negative publicity, which could adversely affect our business, financial condition and results of operations.</w:t>
      </w:r>
    </w:p>
    <w:p>
      <w:pPr>
        <w:spacing w:after="0" w:line="170" w:lineRule="exact"/>
        <w:rPr>
          <w:rFonts w:ascii="Arial" w:cs="Arial" w:eastAsia="Arial" w:hAnsi="Arial"/>
          <w:sz w:val="18"/>
          <w:szCs w:val="18"/>
          <w:color w:val="auto"/>
        </w:rPr>
      </w:pPr>
    </w:p>
    <w:p>
      <w:pPr>
        <w:ind w:left="1040" w:right="119" w:hanging="315"/>
        <w:spacing w:after="0" w:line="259"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If our computer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p>
    <w:p>
      <w:pPr>
        <w:spacing w:after="0" w:line="213" w:lineRule="exact"/>
        <w:rPr>
          <w:rFonts w:ascii="Arial" w:cs="Arial" w:eastAsia="Arial" w:hAnsi="Arial"/>
          <w:sz w:val="18"/>
          <w:szCs w:val="18"/>
          <w:color w:val="auto"/>
        </w:rPr>
      </w:pPr>
    </w:p>
    <w:p>
      <w:pPr>
        <w:ind w:left="1040" w:right="19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3" w:lineRule="exact"/>
        <w:rPr>
          <w:rFonts w:ascii="Arial" w:cs="Arial" w:eastAsia="Arial" w:hAnsi="Arial"/>
          <w:sz w:val="18"/>
          <w:szCs w:val="18"/>
          <w:color w:val="auto"/>
        </w:rPr>
      </w:pPr>
    </w:p>
    <w:p>
      <w:pPr>
        <w:ind w:left="1040" w:right="63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growth depends in part on the success of our strategic relationships with, and monitoring of, third parties, including channel partners, vendors and insurance carriers.</w:t>
      </w:r>
    </w:p>
    <w:p>
      <w:pPr>
        <w:spacing w:after="0" w:line="170" w:lineRule="exact"/>
        <w:rPr>
          <w:rFonts w:ascii="Arial" w:cs="Arial" w:eastAsia="Arial" w:hAnsi="Arial"/>
          <w:sz w:val="18"/>
          <w:szCs w:val="18"/>
          <w:color w:val="auto"/>
        </w:rPr>
      </w:pPr>
    </w:p>
    <w:p>
      <w:pPr>
        <w:ind w:left="1040" w:right="219" w:hanging="315"/>
        <w:spacing w:after="0" w:line="308"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color w:val="auto"/>
        </w:rPr>
        <w:t>If we fail to maintain an efficient pharmacy distribution network or if there is a disruption to our network of specialty pharmacies, our business, financial condition and results of operations could suffer.</w:t>
      </w:r>
    </w:p>
    <w:p>
      <w:pPr>
        <w:spacing w:after="0" w:line="146" w:lineRule="exact"/>
        <w:rPr>
          <w:rFonts w:ascii="Arial" w:cs="Arial" w:eastAsia="Arial" w:hAnsi="Arial"/>
          <w:sz w:val="17"/>
          <w:szCs w:val="17"/>
          <w:color w:val="auto"/>
        </w:rPr>
      </w:pPr>
    </w:p>
    <w:p>
      <w:pPr>
        <w:ind w:left="1040" w:right="659" w:hanging="315"/>
        <w:spacing w:after="0" w:line="277"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operate in a highly regulated industry and must comply with a significant number of complex and evolving legal and regulatory requirements.</w:t>
      </w:r>
    </w:p>
    <w:p>
      <w:pPr>
        <w:spacing w:after="0" w:line="170" w:lineRule="exact"/>
        <w:rPr>
          <w:rFonts w:ascii="Arial" w:cs="Arial" w:eastAsia="Arial" w:hAnsi="Arial"/>
          <w:sz w:val="18"/>
          <w:szCs w:val="18"/>
          <w:color w:val="auto"/>
        </w:rPr>
      </w:pPr>
    </w:p>
    <w:p>
      <w:pPr>
        <w:ind w:left="1040" w:right="79" w:hanging="315"/>
        <w:spacing w:after="0" w:line="263" w:lineRule="auto"/>
        <w:tabs>
          <w:tab w:leader="none" w:pos="10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8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Unless the context otherwise indicates, references in this Annual Report on Form 10-K to the terms “Progyny,” “the Company,” “we,” “our” and “us” refer to Progyny, Inc.</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“Progyny®” and our other registered and common law trade names, trademarks and service marks are the property of Progyny, Inc. Other trade names, trademarks and service marks used in this Annual Report on Form 10-K are the property of their respective owners. Solely for convenience, the trademarks and trade names in this Annual Report on Form 10-K may be referred to without the ® and ™ symbols, but such references should not be construed as any indicator that their respective owners will not assert their rights thereto.</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This Annual Report on Form 10-K contains statistical data, estimates and forecasts that are based on independent industry publications, such as those published by The American Society for Reproductive Medicine, FertilityIQ and other publicly available information, as well as other information based on our internal sources. This information involves many assumptions and limitations, and you are cautioned not to give undue weight to these estimates. We have not independently verified the accuracy or completeness of the data contained in these industry publications and other publicly available information. Further, while we believe our internal research is reliable, such research has not been verified by any third party. The industry in which we operate is subject to a high degree of uncertainty and risk due to a variety of factors, including those described under Part I, Item 1A. “Risk Factors,” of this Annual Report on Form 10-K that could cause results to differ materially from those expressed in these publications and other publicly available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419" w:firstLine="648"/>
        <w:spacing w:after="0" w:line="301"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57"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6"/>
          <w:szCs w:val="16"/>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265 with at least 1,000 covered lives. We currently have contracts to provide coverage to approximately</w:t>
      </w:r>
    </w:p>
    <w:p>
      <w:pPr>
        <w:spacing w:after="0" w:line="1" w:lineRule="exact"/>
        <w:rPr>
          <w:sz w:val="20"/>
          <w:szCs w:val="20"/>
          <w:color w:val="auto"/>
        </w:rPr>
      </w:pPr>
    </w:p>
    <w:p>
      <w:pPr>
        <w:ind w:left="60" w:right="119"/>
        <w:spacing w:after="0" w:line="270" w:lineRule="auto"/>
        <w:rPr>
          <w:sz w:val="20"/>
          <w:szCs w:val="20"/>
          <w:color w:val="auto"/>
        </w:rPr>
      </w:pPr>
      <w:r>
        <w:rPr>
          <w:rFonts w:ascii="Arial" w:cs="Arial" w:eastAsia="Arial" w:hAnsi="Arial"/>
          <w:sz w:val="17"/>
          <w:szCs w:val="17"/>
          <w:color w:val="auto"/>
        </w:rPr>
        <w:t>4.0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+81 for our fertility benefits solution and +79 for our integrated pharmacy benefits solution, Progyny Rx as of December 31, 2021.</w:t>
      </w:r>
    </w:p>
    <w:p>
      <w:pPr>
        <w:spacing w:after="0" w:line="178"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are redefining fertility and family building benefits, proving that a comprehensive fertility solution can simultaneously benefit employers, patients and physicians. We believe the differentiated value proposition we deliver to all of these constituents is key to our success and growth. By empowering our members with education, guidance and financial support, and enabling high-quality fertility specialists to use the latest science and technologies, our solution leads to the development of customized treatment plans that result in optimal clinical outcomes for our members and cost savings for our clients.</w:t>
      </w:r>
    </w:p>
    <w:p>
      <w:pPr>
        <w:spacing w:after="0" w:line="192"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In order to simplify the process for our members, we position the benefit to them using our proprietary Smart Cycle approach. Smart Cycles are designed by us to include the medical services required for a member’s full course of treatment, including all necessary diagnostic testing and access to the latest technology. In conjunction with the Smart Cycle plan design, each of our members who utilizes our benefit has a dedicated Patient Care Advocate, or PCA, who has fertility expertise and provides end-to-end concierge support, including logistical support (i.e., fertility specialist selection, appointment scheduling, treatment authorization and treatment payment), clinical guidance (i.e., treatment options, outcomes statistics and what to expect) and emotional support during the often challenging and unpredictable fertility journey. Additionally, all Progyny members have access to our selective network of high-quality fertility specialists who we equip with a benefits design that enables them to pursue the best treatment pathways, providing our members with tailored treatments that result in optimal clinical outcomes.</w:t>
      </w:r>
    </w:p>
    <w:p>
      <w:pPr>
        <w:spacing w:after="0" w:line="18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In addition to our fertility benefits solution, we offer an integrated pharmacy benefits solution, Progyny Rx, which can be added by our clients. Progyny Rx provides our 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92"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We have demonstrated our ability to drive better outcomes for our clients, members and provider clinics across multiple metrics. Provider clinics within our network produce outcomes that surpass their own reported practice averages when treating Progyny members because of our differentiated solution. Additionally, across our membership, our outcomes compared to national averages have been consistently superior to date.</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Background</w:t>
      </w:r>
    </w:p>
    <w:p>
      <w:pPr>
        <w:spacing w:after="0" w:line="229" w:lineRule="exact"/>
        <w:rPr>
          <w:sz w:val="20"/>
          <w:szCs w:val="20"/>
          <w:color w:val="auto"/>
        </w:rPr>
      </w:pPr>
    </w:p>
    <w:p>
      <w:pPr>
        <w:ind w:left="60" w:right="299" w:firstLine="648"/>
        <w:spacing w:after="0" w:line="342" w:lineRule="auto"/>
        <w:rPr>
          <w:sz w:val="20"/>
          <w:szCs w:val="20"/>
          <w:color w:val="auto"/>
        </w:rPr>
      </w:pPr>
      <w:r>
        <w:rPr>
          <w:rFonts w:ascii="Arial" w:cs="Arial" w:eastAsia="Arial" w:hAnsi="Arial"/>
          <w:sz w:val="16"/>
          <w:szCs w:val="16"/>
          <w:color w:val="auto"/>
        </w:rPr>
        <w:t>The prevalence of infertility is high, affecting one in eight couples in the United States according to the Centers for Disease Control and Prevention, or the CDC, and infertility is gaining attention as individuals are more openly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91" w:lineRule="auto"/>
        <w:rPr>
          <w:sz w:val="20"/>
          <w:szCs w:val="20"/>
          <w:color w:val="auto"/>
        </w:rPr>
      </w:pPr>
      <w:r>
        <w:rPr>
          <w:rFonts w:ascii="Arial" w:cs="Arial" w:eastAsia="Arial" w:hAnsi="Arial"/>
          <w:sz w:val="16"/>
          <w:szCs w:val="16"/>
          <w:color w:val="auto"/>
        </w:rPr>
        <w:t>discussing their struggles with fertility. As transparency and dialogue around infertility have increased, there has been a de-stigmatization of the disease. Despite this change in perception of infertility and its high prevalence, it is one of the only high-prevalence medical conditions with limited or non-existent medical insurance. By comparison, medical conditions with a similar prevalence, such as diabetes and asthma, are comprehensively covered by conventional health insurance carriers and employers. Due to the high prevalence of infertility, its high costs of treatment and the limited insurance coverage provided for the disease, there is a significant unmet need for fertility services in the United States and several macro trends are driving that need for fertility treatments and propelling the overall size of the fertility market higher.</w:t>
      </w:r>
    </w:p>
    <w:p>
      <w:pPr>
        <w:spacing w:after="0" w:line="16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While fertility treatments have been available for almost 40 years to help individuals suffering from infertility build their families, access to these treatments has been limited due to the lack of comprehensive coverage and the prohibitive costs. Only a small percentage of employers provide a benefits plan that addresses these costs. As a result, the vast majority of patients who undergo fertility treatment must pay for most or all of their care out-of-pocket, which is cost-prohibitive for many families and individuals.</w:t>
      </w:r>
    </w:p>
    <w:p>
      <w:pPr>
        <w:spacing w:after="0" w:line="188" w:lineRule="exact"/>
        <w:rPr>
          <w:sz w:val="20"/>
          <w:szCs w:val="20"/>
          <w:color w:val="auto"/>
        </w:rPr>
      </w:pPr>
    </w:p>
    <w:p>
      <w:pPr>
        <w:ind w:left="60" w:right="239" w:firstLine="648"/>
        <w:spacing w:after="0" w:line="291" w:lineRule="auto"/>
        <w:rPr>
          <w:sz w:val="20"/>
          <w:szCs w:val="20"/>
          <w:color w:val="auto"/>
        </w:rPr>
      </w:pPr>
      <w:r>
        <w:rPr>
          <w:rFonts w:ascii="Arial" w:cs="Arial" w:eastAsia="Arial" w:hAnsi="Arial"/>
          <w:sz w:val="16"/>
          <w:szCs w:val="16"/>
          <w:color w:val="auto"/>
        </w:rPr>
        <w:t>We believe that the lack of adequate coverage has been the result of both broader public policy issues, as well as conventional health insurance carrier-specific policies. For example, it was not until 2017 that infertility was first recognized as a disease by the American Medical Association and, even now, only 19 states have mandated insurance coverage for infertility. For the states that do mandate coverage, the mandates vary greatly and often leave patients with inadequate coverage or unable to pursue care at all. When conventional health insurance carriers have chosen to structure fertility coverage for their employer clients, that coverage often has limited lifetime dollar maximums and clinically antiquated "one size fits all" clinical protocols, such as mandated step therapy protocols.</w:t>
      </w:r>
    </w:p>
    <w:p>
      <w:pPr>
        <w:spacing w:after="0" w:line="166" w:lineRule="exact"/>
        <w:rPr>
          <w:sz w:val="20"/>
          <w:szCs w:val="20"/>
          <w:color w:val="auto"/>
        </w:rPr>
      </w:pPr>
    </w:p>
    <w:p>
      <w:pPr>
        <w:jc w:val="both"/>
        <w:ind w:left="60" w:right="159" w:firstLine="648"/>
        <w:spacing w:after="0" w:line="287" w:lineRule="auto"/>
        <w:rPr>
          <w:sz w:val="20"/>
          <w:szCs w:val="20"/>
          <w:color w:val="auto"/>
        </w:rPr>
      </w:pPr>
      <w:r>
        <w:rPr>
          <w:rFonts w:ascii="Arial" w:cs="Arial" w:eastAsia="Arial" w:hAnsi="Arial"/>
          <w:sz w:val="16"/>
          <w:szCs w:val="16"/>
          <w:color w:val="auto"/>
        </w:rPr>
        <w:t>Major cultural shifts and the evolving demographics of the workforce in the United States are driving demand for fertility treatments and adequate coverage to support them. More individuals than ever are making the choice to start their families later in life, increasing the biological likelihood of infertility as an individual's fertility declines with age.</w:t>
      </w:r>
    </w:p>
    <w:p>
      <w:pPr>
        <w:spacing w:after="0" w:line="2" w:lineRule="exact"/>
        <w:rPr>
          <w:sz w:val="20"/>
          <w:szCs w:val="20"/>
          <w:color w:val="auto"/>
        </w:rPr>
      </w:pPr>
    </w:p>
    <w:p>
      <w:pPr>
        <w:ind w:left="60" w:right="119"/>
        <w:spacing w:after="0" w:line="269" w:lineRule="auto"/>
        <w:rPr>
          <w:sz w:val="20"/>
          <w:szCs w:val="20"/>
          <w:color w:val="auto"/>
        </w:rPr>
      </w:pPr>
      <w:r>
        <w:rPr>
          <w:rFonts w:ascii="Arial" w:cs="Arial" w:eastAsia="Arial" w:hAnsi="Arial"/>
          <w:sz w:val="17"/>
          <w:szCs w:val="17"/>
          <w:color w:val="auto"/>
        </w:rPr>
        <w:t>Additionally, the increased acceptance of non-traditional paths to parenthood has created an increased need for access to fertility treatments. As employees are demanding more robust fertility benefits coverage, employers are increasingly focused on providing a comprehensive fertility benefits plan that supports an inclusive and diverse workplace in order to attract and retain top employees. Because employers in the same industry are competing for employee talent, once the availability of fertility benefits begins to penetrate a particular industry, a demonstrable network effect occurs in which employees within that industry begin to expect the benefit from their employers, which can cause an employer to adopt the benefit to remain competitive and bolster employee satisfaction.</w:t>
      </w:r>
    </w:p>
    <w:p>
      <w:pPr>
        <w:spacing w:after="0" w:line="180"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Driven by these market dynamics, according to the CDC, the market for fertility treatments grew at a 9.4% compound annual growth rate from 2010 to 2019 as more individuals pursued treatment. Given this increasing demand coupled with inadequate existing coverage, there is a greater need than ever before for a fertility benefits manager who can provide comprehensive and effective benefits to the employer market.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Industry Challenges</w:t>
      </w:r>
    </w:p>
    <w:p>
      <w:pPr>
        <w:spacing w:after="0" w:line="229" w:lineRule="exact"/>
        <w:rPr>
          <w:sz w:val="20"/>
          <w:szCs w:val="20"/>
          <w:color w:val="auto"/>
        </w:rPr>
      </w:pPr>
    </w:p>
    <w:p>
      <w:pPr>
        <w:ind w:left="60" w:right="699" w:firstLine="648"/>
        <w:spacing w:after="0" w:line="277" w:lineRule="auto"/>
        <w:rPr>
          <w:sz w:val="20"/>
          <w:szCs w:val="20"/>
          <w:color w:val="auto"/>
        </w:rPr>
      </w:pPr>
      <w:r>
        <w:rPr>
          <w:rFonts w:ascii="Arial" w:cs="Arial" w:eastAsia="Arial" w:hAnsi="Arial"/>
          <w:sz w:val="18"/>
          <w:szCs w:val="18"/>
          <w:color w:val="auto"/>
        </w:rPr>
        <w:t>We believe employers are faced with three major challenges relating to providing fertility benefits to their employee bases:</w:t>
      </w:r>
    </w:p>
    <w:p>
      <w:pPr>
        <w:spacing w:after="0" w:line="170" w:lineRule="exact"/>
        <w:rPr>
          <w:sz w:val="20"/>
          <w:szCs w:val="20"/>
          <w:color w:val="auto"/>
        </w:rPr>
      </w:pPr>
    </w:p>
    <w:p>
      <w:pPr>
        <w:ind w:left="1040" w:hanging="315"/>
        <w:spacing w:after="0"/>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lack of a comprehensive fertility benefits solution that optimizes their fertility treatment expenditures;</w:t>
      </w:r>
    </w:p>
    <w:p>
      <w:pPr>
        <w:spacing w:after="0" w:line="236" w:lineRule="exact"/>
        <w:rPr>
          <w:rFonts w:ascii="Arial" w:cs="Arial" w:eastAsia="Arial" w:hAnsi="Arial"/>
          <w:sz w:val="17"/>
          <w:szCs w:val="17"/>
          <w:color w:val="auto"/>
        </w:rPr>
      </w:pPr>
    </w:p>
    <w:p>
      <w:pPr>
        <w:ind w:left="1040" w:right="459" w:hanging="315"/>
        <w:spacing w:after="0" w:line="308" w:lineRule="auto"/>
        <w:tabs>
          <w:tab w:leader="none" w:pos="104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need to reduce the significant maternity and neonatal intensive care unit, or NICU, expenses, and the workplace impact, resulting from multiple births caused by fertility treatments; and</w:t>
      </w:r>
    </w:p>
    <w:p>
      <w:pPr>
        <w:spacing w:after="0" w:line="146" w:lineRule="exact"/>
        <w:rPr>
          <w:rFonts w:ascii="Arial" w:cs="Arial" w:eastAsia="Arial" w:hAnsi="Arial"/>
          <w:sz w:val="17"/>
          <w:szCs w:val="17"/>
          <w:color w:val="auto"/>
        </w:rPr>
      </w:pPr>
    </w:p>
    <w:p>
      <w:pPr>
        <w:ind w:left="1040" w:hanging="315"/>
        <w:spacing w:after="0"/>
        <w:tabs>
          <w:tab w:leader="none" w:pos="10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desire to find innovative ways to attract and retain highly sought-after talent.</w:t>
      </w:r>
    </w:p>
    <w:p>
      <w:pPr>
        <w:spacing w:after="0" w:line="225" w:lineRule="exact"/>
        <w:rPr>
          <w:sz w:val="20"/>
          <w:szCs w:val="20"/>
          <w:color w:val="auto"/>
        </w:rPr>
      </w:pPr>
    </w:p>
    <w:p>
      <w:pPr>
        <w:ind w:left="60" w:right="179" w:firstLine="648"/>
        <w:spacing w:after="0" w:line="263" w:lineRule="auto"/>
        <w:rPr>
          <w:sz w:val="20"/>
          <w:szCs w:val="20"/>
          <w:color w:val="auto"/>
        </w:rPr>
      </w:pPr>
      <w:r>
        <w:rPr>
          <w:rFonts w:ascii="Arial" w:cs="Arial" w:eastAsia="Arial" w:hAnsi="Arial"/>
          <w:sz w:val="18"/>
          <w:szCs w:val="18"/>
          <w:color w:val="auto"/>
        </w:rPr>
        <w:t>Employers are seeing an increasing demand for fertility and family building benefits solutions from their employees, yet the programs offered by their conventional health insurance carriers do not successfully address these core challenges.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Lack of Effective Fertility Benefits Solutions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The conventional fertility benefits options available to employers have been designed to control the utilization of services (and expenditures) by employees rather than to optimize outcomes. As such, their plan designs have included restrictive features, such as lifetime dollar maximums, mandated step therapy protocols and limited or no coverage for advanced diagnostics and procedures. In addition, these plan designs have failed to provide access to premier fertility specialists, robust patient support and the ability to dispense fertility medication in a timely manner.</w:t>
      </w:r>
    </w:p>
    <w:p>
      <w:pPr>
        <w:spacing w:after="0" w:line="161"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When conventional fertility benefits coverage is restrictively structured with a lifetime dollar maximum, the patient often makes poor clinical decisions that ultimately result in greater costs for the employer. Because the dollar maximum can easily be exhausted in the midst of a fertility treatment cycle, patients may elect to transfer multiple embryos because they are under financial pressure and mistakenly believe that it will optimize their chance of becoming pregnant. The common use of multiple embryo transfer belies the fact that this procedure greatly increases the risk of multiple births and health complications among the mother and babies. One of the most common complications associated with multiples is preterm births, which significantly escalates healthcare costs, including maternity care, labor and delivery costs and NICU expenses.</w:t>
      </w:r>
    </w:p>
    <w:p>
      <w:pPr>
        <w:spacing w:after="0" w:line="192"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Conventional health insurance carriers also often mandate step therapy protocols and restrict access to use of advanced diagnostics and procedures, which exacerbates the inefficient utilization of dollars available under the lifetime dollar maximum and wastes valuable time on less effective treatments. A patient with mandated fertility step therapy protocol may be required to undergo three to six cycles of intrauterine insemination, or IUI, which has an average success rate range of 5% to 15%, takes place over three to six months and can cost up to $4,000 per cycle (or an aggregate of approximately $12,000 to $24,000), according to FertilityIQ.</w:t>
      </w:r>
    </w:p>
    <w:p>
      <w:pPr>
        <w:spacing w:after="0" w:line="178" w:lineRule="exact"/>
        <w:rPr>
          <w:sz w:val="20"/>
          <w:szCs w:val="20"/>
          <w:color w:val="auto"/>
        </w:rPr>
      </w:pPr>
    </w:p>
    <w:p>
      <w:pPr>
        <w:ind w:left="60" w:right="119" w:firstLine="648"/>
        <w:spacing w:after="0" w:line="273" w:lineRule="auto"/>
        <w:rPr>
          <w:sz w:val="20"/>
          <w:szCs w:val="20"/>
          <w:color w:val="auto"/>
        </w:rPr>
      </w:pPr>
      <w:r>
        <w:rPr>
          <w:rFonts w:ascii="Arial" w:cs="Arial" w:eastAsia="Arial" w:hAnsi="Arial"/>
          <w:sz w:val="17"/>
          <w:szCs w:val="17"/>
          <w:color w:val="auto"/>
        </w:rPr>
        <w:t>The fertility process is a long, rigorous journey, both emotionally and physically. Conventional benefits programs lack any meaningful care coordination, education or patient support. Patients and their dependents have no help in understanding the complex choices they are faced with and discerning between treatment alternatives. There is also limited emotional support when patients face setbacks or unexpected outcomes as the current system ignores the emotional burden of patients embarking on the path to pregnancy through assisted reproductive technology, or ART, treatments and the impact that burden has on employee productivity and the workplace.</w:t>
      </w:r>
    </w:p>
    <w:p>
      <w:pPr>
        <w:spacing w:after="0" w:line="178"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The conventional pharmacy delivery infrastructure is not designed to address the uniqueness of fertility treatment, which requires highly coordinated and timely delivery of medications. Conventional benefits managers require extensive and multiple authorizations and have inconsistent approval processes, which can complicate and delay the provision of medications that are essential to fertility treatment. We believe that with conventional benefits programs, authorization and delivery times of one to two weeks are typical. If medications are not received on time, patients may have to wait a month or longer to commence another round of fertility treatment, wasting valuable time and money. In addition, the storage, preparation and administration of fertility medication is complex and requires extensive self-administered injections, yet most fertility benefits programs offer limited guidance and clinical support to patients around these issues. Additionally, fertility medications are often self-administered injectable drugs, and the effectiveness of a patient’s treatment may be compromised by improper storage and/or incorrect administration of their medications if the patient is not provided access to education and support.</w:t>
      </w:r>
    </w:p>
    <w:p>
      <w:pPr>
        <w:spacing w:after="0" w:line="182" w:lineRule="exact"/>
        <w:rPr>
          <w:sz w:val="20"/>
          <w:szCs w:val="20"/>
          <w:color w:val="auto"/>
        </w:rPr>
      </w:pPr>
    </w:p>
    <w:p>
      <w:pPr>
        <w:ind w:left="60" w:right="99" w:firstLine="648"/>
        <w:spacing w:after="0" w:line="301" w:lineRule="auto"/>
        <w:rPr>
          <w:sz w:val="20"/>
          <w:szCs w:val="20"/>
          <w:color w:val="auto"/>
        </w:rPr>
      </w:pPr>
      <w:r>
        <w:rPr>
          <w:rFonts w:ascii="Arial" w:cs="Arial" w:eastAsia="Arial" w:hAnsi="Arial"/>
          <w:sz w:val="16"/>
          <w:szCs w:val="16"/>
          <w:color w:val="auto"/>
        </w:rPr>
        <w:t>Because of the unique challenges of infertility, including the high costs and complexity of treatment and the variability of outcomes across fertility specialists, conventional benefits solutions have been unable to optimize outcomes and efficiently utilize employers’ dollars committed to fertility. As a result, employers are facing increased demand for an expensive benefits program without the availability of an effective solution in the conventional managed care environment.</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Costs Associated with Multiple Births and Poor Fertility Treatment Outcomes</w:t>
      </w:r>
    </w:p>
    <w:p>
      <w:pPr>
        <w:spacing w:after="0" w:line="229"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Regardless of whether an employer chooses to cover fertility treatments, they end up bearing the significant medical costs associated with unanticipated multiple births and miscarriages, as well as the associated impacts on the workplace. The high number of multiple embryo transfers that conventionally occurs during IVF leads to a significant number of multiple births, which in turn is a primary cause of dangerous and expensive preterm births, the most common complication resulting from multiple births, which lead to extensive maternity and NICU costs. In addition to multiple birth rates, the relatively higher miscarriage rate associated with IVF treatment also results in significant additional medical costs for employers and their employees, as well as emotional and physical strain on patients. As a result of these suboptimal treatment outcomes, employers also bear the related costs of increased employee absenteeism at the workplace, which is common with instances of multiples births. Employers may not be fully aware of the causal effect and ultimate impact of suboptimal fertility care under the current solutions offered by the conventional benefits programs since these programs do not collect outcomes data from their fertility specialists and therefore cannot accurately report on their program’s performance in a timely manner.</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Ability to Attract and Retain Talent</w:t>
      </w:r>
    </w:p>
    <w:p>
      <w:pPr>
        <w:spacing w:after="0" w:line="229" w:lineRule="exact"/>
        <w:rPr>
          <w:sz w:val="20"/>
          <w:szCs w:val="20"/>
          <w:color w:val="auto"/>
        </w:rPr>
      </w:pPr>
    </w:p>
    <w:p>
      <w:pPr>
        <w:ind w:left="60" w:right="119" w:firstLine="648"/>
        <w:spacing w:after="0" w:line="286" w:lineRule="auto"/>
        <w:rPr>
          <w:sz w:val="20"/>
          <w:szCs w:val="20"/>
          <w:color w:val="auto"/>
        </w:rPr>
      </w:pPr>
      <w:r>
        <w:rPr>
          <w:rFonts w:ascii="Arial" w:cs="Arial" w:eastAsia="Arial" w:hAnsi="Arial"/>
          <w:sz w:val="17"/>
          <w:szCs w:val="17"/>
          <w:color w:val="auto"/>
        </w:rPr>
        <w:t>Employers are facing increasing competition to attract and retain talent. As a result, we believe that employers are enhancing their value proposition to employees by evaluating and providing benefits that are most in demand. Family building solutions are an increasing area of focus for employees, and in turn, employers.</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We believe we have a significant opportunity to provide employers with a superior comprehensive solution that addresses the unique challenges and complexities of fertility treatment and related fertility pharmacy services. We estimate that the market for fertility treatments in the United States was approximately $8.0 billion in 2019, based on data published by the CDC regarding the number of treatment cycles and FertilityIQ’s estimate of the average cost per cycle. We estimate the potential size of the U.S. fertility market to be at least twice as large because this figure excludes those individuals who do not seek treatment for infertility. Furthermore, when comparing the United States to other countries, the percentage of babies born utilizing ART is materially lower, at less than 2% in the United States (where fertility treatment is not adequately covered), compared to approximately 10% in Denmark and 5% in Japan (where there is more public health funding for fertility treatment).</w:t>
      </w:r>
    </w:p>
    <w:p>
      <w:pPr>
        <w:spacing w:after="0" w:line="181"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We contract with employers to provide fertility and family building benefits to their employees and covered dependents. We believe our addressable market consists of the approximately 8,000 self-insured employers in the United States (excluding quasi-governmental entities, such as universities, school systems, and labor unions). These 8,000 employers have a minimum of 1,000 employees, representing approximately 75 million potential covered lives in total. As such, we estimate that our current member base of 4.0 million covered lives under contract represents a low single digit percent of our total market opportunity.</w:t>
      </w:r>
    </w:p>
    <w:p>
      <w:pPr>
        <w:spacing w:after="0" w:line="192"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Regardless of whether or not these self-insured employers currently provide a fertility benefit, we believe they are prospective clients of Progyny. Further, 35% of our clients had no prior fertility coverage before adopting Progyny and 94% of our clients enhanced their coverage when they switched to Progyny. Overall, we believe our market opportunity is substantial and is continuing to grow as a result of the rising demand for fertility benefits solutions, the lack of adequate offerings in the market today and the increasing awareness of the challenges of infertility we are driving.</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Solutions</w:t>
      </w:r>
    </w:p>
    <w:p>
      <w:pPr>
        <w:spacing w:after="0" w:line="229"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We are redefining effective fertility and family building benefits through our purpose-built, data-driven and disruptive platform through which we offer our fertility benefits and Progyny Rx solutions. Our innovative and comprehensive fertility solution has proven to be simultaneously beneficial for our clients, our members and our network of fertility specialists. Through our differentiated approach to benefits plan design, patient education and support and active network management, our clients’ employees are able to pursue the most effective treatment from the best fertility specialists and achieve optimal outcomes in a cost-efficient manner, while our clients and members achieve savings in upfront treatment costs as well as reduced maternity and NICU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Fertility Benefits Solution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Differentiated Benefits Plan Design</w:t>
      </w:r>
    </w:p>
    <w:p>
      <w:pPr>
        <w:spacing w:after="0" w:line="225"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The innovative Smart Cycle is our easy-to-understand fertility benefits design. Our Smart Cycle plan design allows members equitable access to the treatment they need and is designed to drive superior outcomes and reduce both upfront treatment expenses and subsequent costs. Everything needed for a comprehensive fertility treatment is contained within a Smart Cycle treatment bundle, including all necessary diagnostic testing and access to the latest technology (e.g., in the case of IVF treatment, preimplantation genetic testing). We currently offer 19 different Smart Cycle treatment bundles, which may be used independently or in combination depending on the member’s need. Each Smart Cycle has a separate unit value (i.e., some have fractional values and some have whole values). Our clients contract to purchase a cumulative Smart Cycle unit value per eligible member. These can range from one to unlimited cumulative Smart Cycles units. Members can choose their preferred provider clinics within our network and utilize their Smart Cycles for whichever treatments they and their fertility specialists determine to be necessary throughout their fertility journey.</w:t>
      </w:r>
    </w:p>
    <w:p>
      <w:pPr>
        <w:spacing w:after="0" w:line="168"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The Smart Cycle structure allows our members, together with the advice of their fertility specialists and the support of their PCAs, to select the Smart Cycle treatment bundles that align with their unique treatment needs and their intended family building pathway, without having to follow the “one size fits all” protocols common to conventional health insurance carriers, and without the worry that their desired treatment approach will not be authorized or covered for the full treatment cycle. Our comprehensive Smart Cycles, which are our proprietary treatment bundles, are assessed regularly by our Medical Advisory Board, and include access to the latest science and technologies, enabling our network of fertility specialists to utilize best practices. Our superior clinical outcomes driven by our Smart Cycle plan design include higher rates of pregnancy and live births, as well as lower miscarriage rates and fewer multiple births.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Personalized Concierge-Style Member Support Services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Our fertility benefits solution provides members with access to significant support services that are crucial to the success of the fertility and family building journey. Before the fertility treatment process begins, and throughout every step of the fertility journey, we deliver high-touch member support services through a dedicated PCA, who is paired to a member and interacts with them an average of 15 times over the course of their treatment. Our PCAs have deep fertility expertise and provide extensive clinical education, guidance and emotional support to our members. Additionally, we have an in-house clinical staff, comprised of professionals with substantial expertise in reproductive endocrinology, fertility nursing, clinical psychology and social work that design our PCA training curriculum and direct our comprehensive member experience.</w:t>
      </w:r>
    </w:p>
    <w:p>
      <w:pPr>
        <w:spacing w:after="0" w:line="192"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Our comprehensive member portal, accessible via any desktop or mobile device, further supports the member experience by providing key educational resources and easy-to-access benefits information to our members. Our members can use the portal to securely message their PCA or access a curated library of videos, articles, podcasts and webinars on fertility and family building. The portal also offers digital solutions that help our members address the emotional effects that are often associated with infertility, including loss, self-blame, anxiety and depression. Additionally, the portal can be used to review plan coverage, benefit utilization, claim details and account balances. We believe our platform provides our members with best-in-class support services to help them navigate their fertility and family building journeys.</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Selective Network of High-Quality Fertility Specialists</w:t>
      </w:r>
    </w:p>
    <w:p>
      <w:pPr>
        <w:spacing w:after="0" w:line="225" w:lineRule="exact"/>
        <w:rPr>
          <w:sz w:val="20"/>
          <w:szCs w:val="20"/>
          <w:color w:val="auto"/>
        </w:rPr>
      </w:pPr>
    </w:p>
    <w:p>
      <w:pPr>
        <w:ind w:left="60" w:right="139" w:firstLine="648"/>
        <w:spacing w:after="0" w:line="270" w:lineRule="auto"/>
        <w:rPr>
          <w:sz w:val="20"/>
          <w:szCs w:val="20"/>
          <w:color w:val="auto"/>
        </w:rPr>
      </w:pPr>
      <w:r>
        <w:rPr>
          <w:rFonts w:ascii="Arial" w:cs="Arial" w:eastAsia="Arial" w:hAnsi="Arial"/>
          <w:sz w:val="17"/>
          <w:szCs w:val="17"/>
          <w:color w:val="auto"/>
        </w:rPr>
        <w:t>We have utilized our deep industry knowledge and the insights derived from our data analytics platform to establish and actively manage a national network of the leading fertility specialists in the country. Our members receive access to our selective Center of Excellence network of high-quality providers that includes approximately 900 fertility specialists who practice at over 650 provider clinic locations throughout the United States. Our network includes 46 of the top 50 fertility practice groups by volume in the United States according to 2019 CDC data, which was published in 2021 and is the most recent data available. Fertility specialists who are invited to join our network must meet and maintain rigorous credentialing standards and quality thresholds that we set for inclusion in our network to ensure that our members receive the highest quality of care. Our national network serves members in virtually every state, providing extensive geographic coverage to our national employers.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Progyny Rx, an Integrated Pharmacy Benefits Solution</w:t>
      </w:r>
    </w:p>
    <w:p>
      <w:pPr>
        <w:spacing w:after="0" w:line="225" w:lineRule="exact"/>
        <w:rPr>
          <w:sz w:val="20"/>
          <w:szCs w:val="20"/>
          <w:color w:val="auto"/>
        </w:rPr>
      </w:pPr>
    </w:p>
    <w:p>
      <w:pPr>
        <w:ind w:left="60" w:right="59" w:firstLine="648"/>
        <w:spacing w:after="0" w:line="268" w:lineRule="auto"/>
        <w:rPr>
          <w:sz w:val="20"/>
          <w:szCs w:val="20"/>
          <w:color w:val="auto"/>
        </w:rPr>
      </w:pPr>
      <w:r>
        <w:rPr>
          <w:rFonts w:ascii="Arial" w:cs="Arial" w:eastAsia="Arial" w:hAnsi="Arial"/>
          <w:sz w:val="17"/>
          <w:szCs w:val="17"/>
          <w:color w:val="auto"/>
        </w:rPr>
        <w:t>Progyny Rx is our integrated pharmacy benefits solution that can be added by clients that utilize our fertility benefits solution. This solution provides our members with access to the medications needed during their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 Our single treatment and medication authorization process reduces the administrative burden, creating an efficient pharmacy solution for our members and their fertility specialists. Progyny Rx reduces dispensing and delivery time to two days to eliminate the risk of missed treatment cycles. Our single medication authorization and delivery process ensures that our members will not miss or delay cycles. We provide access to phone-based, clinical education and support seven days a week to ensure that our members understand any necessary medication storage requirements and administration techniques, including injection training. To further support those members that require additional education, we also offer a library of on-demand videos. Given the importance of the timely use of medication to the success of fertility treatments, and the complexity involved in administering the medications, we believe Progyny Rx provides a differentiated and effective pharmacy solution for our clients and their employees.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Robust Data Collection Process</w:t>
      </w:r>
    </w:p>
    <w:p>
      <w:pPr>
        <w:spacing w:after="0" w:line="225"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believe that we are the only fertility and family building benefits company to collect data in a timely manner directly from providers on adherence to treatment protocols and clinical outcomes, including single embryo transfer rates, pregnancy rates, miscarriage rates, live birth rates, multiple birth rates, practice patterns, treatment timelines and costs per birth. Our data is used to understand the utilization of our benefits, our provider clinics’ adherence to best practices and the outcomes produced by each clinic and across our network. This data informs decisions across our platform, from services covered to our fertility network standards. The insights from our data also enable us to actively manage our fertility specialist network and ensure that our fertility specialists are utilizing best practices and optimizing outcomes. The data collection process also includes extensive member surveys, which allow us to understand and improve our member satisfaction. Finally, our data allows us to provide our clients with unique and detailed quarterly reports in order to provide full transparency into the utilization of their benefit program, their expenditures and the outcomes delivered and value created. We believe that we effectively utilize our thorough data collection and analysis process and our unique and robust data set to continuously improve the client and member experience across our platform.</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Prestigious Medical Advisory Board</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Our Medical Advisory Board is comprised of nationally recognized fertility specialists who are advancing fertility science and research. They are responsible for oversight of key clinical issues, including evaluating new fertility treatment diagnostics and procedures to ensure that our benefits design and overall program is comprehensive and designed to drive to the best outcomes. This review ensures that we are evaluating and covering the latest and most effective fertility treatments and identifying opportunities to improve our plan design, member experience and fertility specialists network standards.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Full Service Client Account Management</w:t>
      </w:r>
    </w:p>
    <w:p>
      <w:pPr>
        <w:spacing w:after="0" w:line="225"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We provide a dedicated account management team to ensure that we are delivering superior service. Our account managers support our clients’ day-to-day needs and resolve issues that arise. For example, to help our clients ensure that their employees are fully aware of the Progyny program, our account management teams work with our clients to create co-branded materials to support health fairs, open enrollment events and other employee communications. The account management team also attends open enrollment benefits fairs and other health fairs throughout the year and hosts virtual open enrollment webinars for members to attend live or on-demand. Our account management team also reviews all quarterly and annual program reports with our clients to reinforce the transparency we provide to clients into their expenditures and outcomes and to review and quantify the value created by our solutions. We believe our account management services, including our detailed client reporting, play an important role in helping us maintain and strengthen our client relationships.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Ease of Integration for Our Clients</w:t>
      </w:r>
    </w:p>
    <w:p>
      <w:pPr>
        <w:spacing w:after="0" w:line="22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Once we are selected by an employer to manage their fertility and family building benefit, our solution is easy to implement as part of their broader pre-tax medical benefits package. Integrating our solution involves only a small commitment of our client's time (typically only six to ten hours over the course of six weeks). Facilitating the ease of integration is the fact that we have developed multiple integration solutions that allow us to integrate with any health plan or health insurance carrier, reducing significant time and expense for our clients. Our ability to integrate our solution with our clients' health insurance coverage allows our benefit to be offered to employees on a pre-tax basis, providing our members with significant savings in comparison to a post-tax reimbursement. We believe our ability to integrate our benefits solutions with all of the large national health insurance carriers is a differentiating factor within the industry.</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Surrogacy and Adoption Reimbursement Program</w:t>
      </w:r>
    </w:p>
    <w:p>
      <w:pPr>
        <w:spacing w:after="0" w:line="22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We also offer a surrogacy and adoption reimbursement program. We can manage the reimbursement of surrogacy and adoption expenses for those clients who offer such reimbursement benefits. For these programs, employers designate a specific lifetime dollar amount toward surrogacy and/or adoption services for their employees. We then administer the expense reimbursement to employees up to this dollar amount. We work with our clients to determine what expenses related to adoption and/or surrogacy will be covered under their plan, thereby alleviating their administrative burden. Examples of reimbursement expenses typically include agency fees, surrogacy fees, travel expenses and healthcare expenses for the surrogate.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Value Proposition</w:t>
      </w:r>
    </w:p>
    <w:p>
      <w:pPr>
        <w:spacing w:after="0" w:line="229"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We believe that our competitive success is a function of our ability to concurrently: (1) provide tangible financial value to our clients; (2) deliver a better and more supported fertility journey to our members; and (3) provide value to, and work collaboratively with, the nation’s finest fertility specialists.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Measurable Value to Our Employer Clients</w:t>
      </w:r>
    </w:p>
    <w:p>
      <w:pPr>
        <w:spacing w:after="0" w:line="225" w:lineRule="exact"/>
        <w:rPr>
          <w:sz w:val="20"/>
          <w:szCs w:val="20"/>
          <w:color w:val="auto"/>
        </w:rPr>
      </w:pPr>
    </w:p>
    <w:p>
      <w:pPr>
        <w:ind w:left="1040" w:right="259" w:hanging="315"/>
        <w:spacing w:after="0" w:line="26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Substantial and Measurable Financial Value. </w:t>
      </w:r>
      <w:r>
        <w:rPr>
          <w:rFonts w:ascii="Arial" w:cs="Arial" w:eastAsia="Arial" w:hAnsi="Arial"/>
          <w:sz w:val="18"/>
          <w:szCs w:val="18"/>
          <w:color w:val="auto"/>
        </w:rPr>
        <w:t>Our superior clinical outcomes drive savings in both upfront</w:t>
      </w:r>
      <w:r>
        <w:rPr>
          <w:rFonts w:ascii="Arial" w:cs="Arial" w:eastAsia="Arial" w:hAnsi="Arial"/>
          <w:sz w:val="18"/>
          <w:szCs w:val="18"/>
          <w:i w:val="1"/>
          <w:iCs w:val="1"/>
          <w:color w:val="auto"/>
        </w:rPr>
        <w:t xml:space="preserve"> </w:t>
      </w:r>
      <w:r>
        <w:rPr>
          <w:rFonts w:ascii="Arial" w:cs="Arial" w:eastAsia="Arial" w:hAnsi="Arial"/>
          <w:sz w:val="18"/>
          <w:szCs w:val="18"/>
          <w:color w:val="auto"/>
        </w:rPr>
        <w:t>fertility treatment costs (due to our higher live birth rates) as well as subsequent maternity and NICU expenses for our clients (due to our lower multiple birth rates).</w:t>
      </w:r>
    </w:p>
    <w:p>
      <w:pPr>
        <w:spacing w:after="0" w:line="183" w:lineRule="exact"/>
        <w:rPr>
          <w:rFonts w:ascii="Arial" w:cs="Arial" w:eastAsia="Arial" w:hAnsi="Arial"/>
          <w:sz w:val="18"/>
          <w:szCs w:val="18"/>
          <w:color w:val="auto"/>
        </w:rPr>
      </w:pPr>
    </w:p>
    <w:p>
      <w:pPr>
        <w:ind w:left="1040" w:right="979" w:hanging="315"/>
        <w:spacing w:after="0" w:line="277"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Progyny Rx Savings. </w:t>
      </w:r>
      <w:r>
        <w:rPr>
          <w:rFonts w:ascii="Arial" w:cs="Arial" w:eastAsia="Arial" w:hAnsi="Arial"/>
          <w:sz w:val="18"/>
          <w:szCs w:val="18"/>
          <w:color w:val="auto"/>
        </w:rPr>
        <w:t>Progyny Rx delivers unit cost savings to our clients based on a reduction in</w:t>
      </w:r>
      <w:r>
        <w:rPr>
          <w:rFonts w:ascii="Arial" w:cs="Arial" w:eastAsia="Arial" w:hAnsi="Arial"/>
          <w:sz w:val="18"/>
          <w:szCs w:val="18"/>
          <w:i w:val="1"/>
          <w:iCs w:val="1"/>
          <w:color w:val="auto"/>
        </w:rPr>
        <w:t xml:space="preserve"> </w:t>
      </w:r>
      <w:r>
        <w:rPr>
          <w:rFonts w:ascii="Arial" w:cs="Arial" w:eastAsia="Arial" w:hAnsi="Arial"/>
          <w:sz w:val="18"/>
          <w:szCs w:val="18"/>
          <w:color w:val="auto"/>
        </w:rPr>
        <w:t>unnecessary quantities of medication dispensed.</w:t>
      </w:r>
    </w:p>
    <w:p>
      <w:pPr>
        <w:spacing w:after="0" w:line="170" w:lineRule="exact"/>
        <w:rPr>
          <w:rFonts w:ascii="Arial" w:cs="Arial" w:eastAsia="Arial" w:hAnsi="Arial"/>
          <w:sz w:val="18"/>
          <w:szCs w:val="18"/>
          <w:color w:val="auto"/>
        </w:rPr>
      </w:pPr>
    </w:p>
    <w:p>
      <w:pPr>
        <w:ind w:left="1040" w:right="159" w:hanging="315"/>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Employee Productivity and Retention. </w:t>
      </w:r>
      <w:r>
        <w:rPr>
          <w:rFonts w:ascii="Arial" w:cs="Arial" w:eastAsia="Arial" w:hAnsi="Arial"/>
          <w:sz w:val="16"/>
          <w:szCs w:val="16"/>
          <w:color w:val="auto"/>
        </w:rPr>
        <w:t>Our solution addresses employee absenteeism, poor productivity, and</w:t>
      </w:r>
      <w:r>
        <w:rPr>
          <w:rFonts w:ascii="Arial" w:cs="Arial" w:eastAsia="Arial" w:hAnsi="Arial"/>
          <w:sz w:val="16"/>
          <w:szCs w:val="16"/>
          <w:i w:val="1"/>
          <w:iCs w:val="1"/>
          <w:color w:val="auto"/>
        </w:rPr>
        <w:t xml:space="preserve"> </w:t>
      </w:r>
      <w:r>
        <w:rPr>
          <w:rFonts w:ascii="Arial" w:cs="Arial" w:eastAsia="Arial" w:hAnsi="Arial"/>
          <w:sz w:val="16"/>
          <w:szCs w:val="16"/>
          <w:color w:val="auto"/>
        </w:rPr>
        <w:t>the lack of employee retention driven by the stress of suffering from infertility (and undergoing fertility treatment) as well as the back-to-work issues related to multiple births. Our members are able to receive the most effective treatments more quickly and have access to high-touch member support services through our PCAs, thereby reducing the physical and emotional rigors of infertility and its treatment.</w:t>
      </w:r>
    </w:p>
    <w:p>
      <w:pPr>
        <w:spacing w:after="0" w:line="161" w:lineRule="exact"/>
        <w:rPr>
          <w:rFonts w:ascii="Arial" w:cs="Arial" w:eastAsia="Arial" w:hAnsi="Arial"/>
          <w:sz w:val="16"/>
          <w:szCs w:val="16"/>
          <w:color w:val="auto"/>
        </w:rPr>
      </w:pPr>
    </w:p>
    <w:p>
      <w:pPr>
        <w:ind w:left="1040" w:right="139" w:hanging="315"/>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Appeal to Existing and Prospective Employees. </w:t>
      </w:r>
      <w:r>
        <w:rPr>
          <w:rFonts w:ascii="Arial" w:cs="Arial" w:eastAsia="Arial" w:hAnsi="Arial"/>
          <w:sz w:val="16"/>
          <w:szCs w:val="16"/>
          <w:color w:val="auto"/>
        </w:rPr>
        <w:t>Better fertility benefits programs can be a key component of</w:t>
      </w:r>
      <w:r>
        <w:rPr>
          <w:rFonts w:ascii="Arial" w:cs="Arial" w:eastAsia="Arial" w:hAnsi="Arial"/>
          <w:sz w:val="16"/>
          <w:szCs w:val="16"/>
          <w:i w:val="1"/>
          <w:iCs w:val="1"/>
          <w:color w:val="auto"/>
        </w:rPr>
        <w:t xml:space="preserve"> </w:t>
      </w:r>
      <w:r>
        <w:rPr>
          <w:rFonts w:ascii="Arial" w:cs="Arial" w:eastAsia="Arial" w:hAnsi="Arial"/>
          <w:sz w:val="16"/>
          <w:szCs w:val="16"/>
          <w:color w:val="auto"/>
        </w:rPr>
        <w:t>enhancing a company’s overall benefits and an important tool in its recruiting efforts and in helping retain key talent. An appealing feature of the Progyny benefit from an employee retention perspective is that the benefit is both comprehensive and is accessible by all groups across an employee population. The level of employee satisfaction we provide is important for any employer focused on employee retention.</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Meaningful Value to Our Members</w:t>
      </w:r>
    </w:p>
    <w:p>
      <w:pPr>
        <w:spacing w:after="0" w:line="225" w:lineRule="exact"/>
        <w:rPr>
          <w:sz w:val="20"/>
          <w:szCs w:val="20"/>
          <w:color w:val="auto"/>
        </w:rPr>
      </w:pPr>
    </w:p>
    <w:p>
      <w:pPr>
        <w:ind w:left="1040" w:right="139" w:hanging="315"/>
        <w:spacing w:after="0" w:line="259" w:lineRule="auto"/>
        <w:tabs>
          <w:tab w:leader="none" w:pos="104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Superior Clinical Outcomes. </w:t>
      </w:r>
      <w:r>
        <w:rPr>
          <w:rFonts w:ascii="Arial" w:cs="Arial" w:eastAsia="Arial" w:hAnsi="Arial"/>
          <w:sz w:val="18"/>
          <w:szCs w:val="18"/>
          <w:color w:val="auto"/>
        </w:rPr>
        <w:t>Our members experience healthier pregnancies (with significantly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utilization of single embryo transfer) and superior rates of pregnancy and live births, as well as reduced rates of miscarriages and multiple births, saving valuable time and money and limiting personal and professional disruption.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80" w:type="dxa"/>
            <w:vAlign w:val="bottom"/>
          </w:tcPr>
          <w:p>
            <w:pPr>
              <w:jc w:val="center"/>
              <w:spacing w:after="0" w:line="161"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1"/>
              </w:rPr>
              <w:t>National Averages</w:t>
            </w:r>
          </w:p>
        </w:tc>
        <w:tc>
          <w:tcPr>
            <w:tcW w:w="1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Progyny In</w:t>
            </w:r>
            <w:r>
              <w:rPr>
                <w:rFonts w:ascii="MS PGothic" w:cs="MS PGothic" w:eastAsia="MS PGothic" w:hAnsi="MS PGothic"/>
                <w:sz w:val="14"/>
                <w:szCs w:val="14"/>
                <w:b w:val="1"/>
                <w:bCs w:val="1"/>
                <w:color w:val="auto"/>
                <w:w w:val="97"/>
              </w:rPr>
              <w:t>‑</w:t>
            </w:r>
            <w:r>
              <w:rPr>
                <w:rFonts w:ascii="Arial" w:cs="Arial" w:eastAsia="Arial" w:hAnsi="Arial"/>
                <w:sz w:val="14"/>
                <w:szCs w:val="14"/>
                <w:b w:val="1"/>
                <w:bCs w:val="1"/>
                <w:color w:val="auto"/>
                <w:w w:val="97"/>
              </w:rPr>
              <w:t>Network</w:t>
            </w:r>
          </w:p>
        </w:tc>
        <w:tc>
          <w:tcPr>
            <w:tcW w:w="1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Provider Clinic</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vMerge w:val="continue"/>
          </w:tcPr>
          <w:p>
            <w:pPr>
              <w:spacing w:after="0"/>
              <w:rPr>
                <w:sz w:val="14"/>
                <w:szCs w:val="14"/>
                <w:color w:val="auto"/>
              </w:rPr>
            </w:pPr>
          </w:p>
        </w:tc>
        <w:tc>
          <w:tcPr>
            <w:tcW w:w="1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Provider Clinic</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88"/>
              </w:rPr>
              <w:t>Averages</w:t>
            </w:r>
          </w:p>
        </w:tc>
        <w:tc>
          <w:tcPr>
            <w:tcW w:w="0" w:type="dxa"/>
            <w:vAlign w:val="bottom"/>
          </w:tcPr>
          <w:p>
            <w:pPr>
              <w:spacing w:after="0"/>
              <w:rPr>
                <w:sz w:val="1"/>
                <w:szCs w:val="1"/>
                <w:color w:val="auto"/>
              </w:rPr>
            </w:pPr>
          </w:p>
        </w:tc>
      </w:tr>
      <w:tr>
        <w:trPr>
          <w:trHeight w:val="144"/>
        </w:trPr>
        <w:tc>
          <w:tcPr>
            <w:tcW w:w="31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Outcome</w:t>
            </w:r>
          </w:p>
        </w:tc>
        <w:tc>
          <w:tcPr>
            <w:tcW w:w="1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4"/>
              </w:rPr>
              <w:t>for All Provider</w:t>
            </w:r>
          </w:p>
        </w:tc>
        <w:tc>
          <w:tcPr>
            <w:tcW w:w="19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88"/>
              </w:rPr>
              <w:t>Averages</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1"/>
              </w:rPr>
              <w:t>for Progyny</w:t>
            </w:r>
          </w:p>
        </w:tc>
        <w:tc>
          <w:tcPr>
            <w:tcW w:w="0" w:type="dxa"/>
            <w:vAlign w:val="bottom"/>
          </w:tcPr>
          <w:p>
            <w:pPr>
              <w:spacing w:after="0"/>
              <w:rPr>
                <w:sz w:val="1"/>
                <w:szCs w:val="1"/>
                <w:color w:val="auto"/>
              </w:rPr>
            </w:pPr>
          </w:p>
        </w:tc>
      </w:tr>
      <w:tr>
        <w:trPr>
          <w:trHeight w:val="176"/>
        </w:trPr>
        <w:tc>
          <w:tcPr>
            <w:tcW w:w="3180" w:type="dxa"/>
            <w:vAlign w:val="bottom"/>
            <w:gridSpan w:val="4"/>
            <w:vMerge w:val="continue"/>
          </w:tcPr>
          <w:p>
            <w:pPr>
              <w:spacing w:after="0"/>
              <w:rPr>
                <w:sz w:val="15"/>
                <w:szCs w:val="15"/>
                <w:color w:val="auto"/>
              </w:rPr>
            </w:pP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Clinics</w:t>
            </w:r>
          </w:p>
        </w:tc>
        <w:tc>
          <w:tcPr>
            <w:tcW w:w="1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All Patients</w:t>
            </w:r>
          </w:p>
        </w:tc>
        <w:tc>
          <w:tcPr>
            <w:tcW w:w="1780" w:type="dxa"/>
            <w:vAlign w:val="bottom"/>
          </w:tcPr>
          <w:p>
            <w:pPr>
              <w:jc w:val="center"/>
              <w:spacing w:after="0" w:line="176" w:lineRule="exact"/>
              <w:rPr>
                <w:sz w:val="20"/>
                <w:szCs w:val="20"/>
                <w:color w:val="auto"/>
              </w:rPr>
            </w:pPr>
            <w:r>
              <w:rPr>
                <w:rFonts w:ascii="Arial" w:cs="Arial" w:eastAsia="Arial" w:hAnsi="Arial"/>
                <w:sz w:val="14"/>
                <w:szCs w:val="14"/>
                <w:b w:val="1"/>
                <w:bCs w:val="1"/>
                <w:color w:val="auto"/>
                <w:w w:val="92"/>
              </w:rPr>
              <w:t>Members Only</w:t>
            </w:r>
            <w:r>
              <w:rPr>
                <w:rFonts w:ascii="Arial" w:cs="Arial" w:eastAsia="Arial" w:hAnsi="Arial"/>
                <w:sz w:val="20"/>
                <w:szCs w:val="20"/>
                <w:b w:val="1"/>
                <w:bCs w:val="1"/>
                <w:color w:val="auto"/>
                <w:w w:val="92"/>
                <w:vertAlign w:val="superscript"/>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940" w:type="dxa"/>
            <w:vAlign w:val="bottom"/>
            <w:tcBorders>
              <w:top w:val="single" w:sz="8" w:color="auto"/>
            </w:tcBorders>
            <w:gridSpan w:val="2"/>
            <w:shd w:val="clear" w:color="auto" w:fill="CCEEFF"/>
          </w:tcPr>
          <w:p>
            <w:pPr>
              <w:spacing w:after="0" w:line="210" w:lineRule="exact"/>
              <w:rPr>
                <w:sz w:val="20"/>
                <w:szCs w:val="20"/>
                <w:color w:val="auto"/>
              </w:rPr>
            </w:pPr>
            <w:r>
              <w:rPr>
                <w:rFonts w:ascii="Arial" w:cs="Arial" w:eastAsia="Arial" w:hAnsi="Arial"/>
                <w:sz w:val="17"/>
                <w:szCs w:val="17"/>
                <w:color w:val="auto"/>
              </w:rPr>
              <w:t>Single embryo transfer rate</w:t>
            </w:r>
            <w:r>
              <w:rPr>
                <w:rFonts w:ascii="Arial" w:cs="Arial" w:eastAsia="Arial" w:hAnsi="Arial"/>
                <w:sz w:val="24"/>
                <w:szCs w:val="24"/>
                <w:color w:val="auto"/>
                <w:vertAlign w:val="superscript"/>
              </w:rPr>
              <w:t>(1)</w:t>
            </w:r>
          </w:p>
        </w:tc>
        <w:tc>
          <w:tcPr>
            <w:tcW w:w="220" w:type="dxa"/>
            <w:vAlign w:val="bottom"/>
            <w:tcBorders>
              <w:top w:val="single" w:sz="8" w:color="CCEEFF"/>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ind w:right="57"/>
              <w:spacing w:after="0"/>
              <w:rPr>
                <w:sz w:val="20"/>
                <w:szCs w:val="20"/>
                <w:color w:val="auto"/>
              </w:rPr>
            </w:pPr>
            <w:r>
              <w:rPr>
                <w:rFonts w:ascii="Arial" w:cs="Arial" w:eastAsia="Arial" w:hAnsi="Arial"/>
                <w:sz w:val="18"/>
                <w:szCs w:val="18"/>
                <w:color w:val="auto"/>
              </w:rPr>
              <w:t>64.0 %</w:t>
            </w:r>
          </w:p>
        </w:tc>
        <w:tc>
          <w:tcPr>
            <w:tcW w:w="22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8"/>
              <w:spacing w:after="0"/>
              <w:rPr>
                <w:sz w:val="20"/>
                <w:szCs w:val="20"/>
                <w:color w:val="auto"/>
              </w:rPr>
            </w:pPr>
            <w:r>
              <w:rPr>
                <w:rFonts w:ascii="Arial" w:cs="Arial" w:eastAsia="Arial" w:hAnsi="Arial"/>
                <w:sz w:val="18"/>
                <w:szCs w:val="18"/>
                <w:color w:val="auto"/>
              </w:rPr>
              <w:t>67.1 %</w:t>
            </w:r>
          </w:p>
        </w:tc>
        <w:tc>
          <w:tcPr>
            <w:tcW w:w="2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90.1 %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tcPr>
          <w:p>
            <w:pPr>
              <w:spacing w:after="0" w:line="216" w:lineRule="exact"/>
              <w:rPr>
                <w:sz w:val="20"/>
                <w:szCs w:val="20"/>
                <w:color w:val="auto"/>
              </w:rPr>
            </w:pPr>
            <w:r>
              <w:rPr>
                <w:rFonts w:ascii="Arial" w:cs="Arial" w:eastAsia="Arial" w:hAnsi="Arial"/>
                <w:sz w:val="17"/>
                <w:szCs w:val="17"/>
                <w:color w:val="auto"/>
              </w:rPr>
              <w:t>Pregnancy rate per IVF transfer</w:t>
            </w:r>
            <w:r>
              <w:rPr>
                <w:rFonts w:ascii="Arial" w:cs="Arial" w:eastAsia="Arial" w:hAnsi="Arial"/>
                <w:sz w:val="25"/>
                <w:szCs w:val="25"/>
                <w:color w:val="auto"/>
                <w:vertAlign w:val="superscript"/>
              </w:rPr>
              <w:t>(1)</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53.0 %</w:t>
            </w:r>
          </w:p>
        </w:tc>
        <w:tc>
          <w:tcPr>
            <w:tcW w:w="220" w:type="dxa"/>
            <w:vAlign w:val="bottom"/>
          </w:tcPr>
          <w:p>
            <w:pPr>
              <w:spacing w:after="0"/>
              <w:rPr>
                <w:sz w:val="18"/>
                <w:szCs w:val="18"/>
                <w:color w:val="auto"/>
              </w:rPr>
            </w:pPr>
          </w:p>
        </w:tc>
        <w:tc>
          <w:tcPr>
            <w:tcW w:w="1780" w:type="dxa"/>
            <w:vAlign w:val="bottom"/>
          </w:tcPr>
          <w:p>
            <w:pPr>
              <w:jc w:val="right"/>
              <w:ind w:right="58"/>
              <w:spacing w:after="0"/>
              <w:rPr>
                <w:sz w:val="20"/>
                <w:szCs w:val="20"/>
                <w:color w:val="auto"/>
              </w:rPr>
            </w:pPr>
            <w:r>
              <w:rPr>
                <w:rFonts w:ascii="Arial" w:cs="Arial" w:eastAsia="Arial" w:hAnsi="Arial"/>
                <w:sz w:val="18"/>
                <w:szCs w:val="18"/>
                <w:color w:val="auto"/>
              </w:rPr>
              <w:t>54.7 %</w:t>
            </w:r>
          </w:p>
        </w:tc>
        <w:tc>
          <w:tcPr>
            <w:tcW w:w="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8"/>
                <w:szCs w:val="18"/>
                <w:color w:val="auto"/>
              </w:rPr>
              <w:t>61.4 %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Miscarriage rate</w:t>
            </w:r>
            <w:r>
              <w:rPr>
                <w:rFonts w:ascii="Arial" w:cs="Arial" w:eastAsia="Arial" w:hAnsi="Arial"/>
                <w:sz w:val="25"/>
                <w:szCs w:val="25"/>
                <w:color w:val="auto"/>
                <w:vertAlign w:val="superscript"/>
              </w:rPr>
              <w:t>(1)</w:t>
            </w:r>
          </w:p>
        </w:tc>
        <w:tc>
          <w:tcPr>
            <w:tcW w:w="1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18.6 %</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18.4 %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tcPr>
          <w:p>
            <w:pPr>
              <w:spacing w:after="0" w:line="216" w:lineRule="exact"/>
              <w:rPr>
                <w:sz w:val="20"/>
                <w:szCs w:val="20"/>
                <w:color w:val="auto"/>
              </w:rPr>
            </w:pPr>
            <w:r>
              <w:rPr>
                <w:rFonts w:ascii="Arial" w:cs="Arial" w:eastAsia="Arial" w:hAnsi="Arial"/>
                <w:sz w:val="17"/>
                <w:szCs w:val="17"/>
                <w:color w:val="auto"/>
              </w:rPr>
              <w:t>Live birth rate</w:t>
            </w:r>
            <w:r>
              <w:rPr>
                <w:rFonts w:ascii="Arial" w:cs="Arial" w:eastAsia="Arial" w:hAnsi="Arial"/>
                <w:sz w:val="25"/>
                <w:szCs w:val="25"/>
                <w:color w:val="auto"/>
                <w:vertAlign w:val="superscript"/>
              </w:rPr>
              <w:t>(2)</w:t>
            </w:r>
          </w:p>
        </w:tc>
        <w:tc>
          <w:tcPr>
            <w:tcW w:w="1760" w:type="dxa"/>
            <w:vAlign w:val="bottom"/>
          </w:tcPr>
          <w:p>
            <w:pPr>
              <w:jc w:val="right"/>
              <w:ind w:right="57"/>
              <w:spacing w:after="0"/>
              <w:rPr>
                <w:sz w:val="20"/>
                <w:szCs w:val="20"/>
                <w:color w:val="auto"/>
              </w:rPr>
            </w:pPr>
            <w:r>
              <w:rPr>
                <w:rFonts w:ascii="Arial" w:cs="Arial" w:eastAsia="Arial" w:hAnsi="Arial"/>
                <w:sz w:val="18"/>
                <w:szCs w:val="18"/>
                <w:color w:val="auto"/>
              </w:rPr>
              <w:t>42.2 %</w:t>
            </w:r>
          </w:p>
        </w:tc>
        <w:tc>
          <w:tcPr>
            <w:tcW w:w="220" w:type="dxa"/>
            <w:vAlign w:val="bottom"/>
          </w:tcPr>
          <w:p>
            <w:pPr>
              <w:spacing w:after="0"/>
              <w:rPr>
                <w:sz w:val="18"/>
                <w:szCs w:val="18"/>
                <w:color w:val="auto"/>
              </w:rPr>
            </w:pPr>
          </w:p>
        </w:tc>
        <w:tc>
          <w:tcPr>
            <w:tcW w:w="1780" w:type="dxa"/>
            <w:vAlign w:val="bottom"/>
          </w:tcPr>
          <w:p>
            <w:pPr>
              <w:jc w:val="right"/>
              <w:ind w:right="58"/>
              <w:spacing w:after="0"/>
              <w:rPr>
                <w:sz w:val="20"/>
                <w:szCs w:val="20"/>
                <w:color w:val="auto"/>
              </w:rPr>
            </w:pPr>
            <w:r>
              <w:rPr>
                <w:rFonts w:ascii="Arial" w:cs="Arial" w:eastAsia="Arial" w:hAnsi="Arial"/>
                <w:sz w:val="18"/>
                <w:szCs w:val="18"/>
                <w:color w:val="auto"/>
              </w:rPr>
              <w:t>43.6 %</w:t>
            </w:r>
          </w:p>
        </w:tc>
        <w:tc>
          <w:tcPr>
            <w:tcW w:w="200" w:type="dxa"/>
            <w:vAlign w:val="bottom"/>
          </w:tcPr>
          <w:p>
            <w:pPr>
              <w:spacing w:after="0"/>
              <w:rPr>
                <w:sz w:val="18"/>
                <w:szCs w:val="18"/>
                <w:color w:val="auto"/>
              </w:rPr>
            </w:pPr>
          </w:p>
        </w:tc>
        <w:tc>
          <w:tcPr>
            <w:tcW w:w="1780" w:type="dxa"/>
            <w:vAlign w:val="bottom"/>
          </w:tcPr>
          <w:p>
            <w:pPr>
              <w:jc w:val="right"/>
              <w:ind w:right="59"/>
              <w:spacing w:after="0"/>
              <w:rPr>
                <w:sz w:val="20"/>
                <w:szCs w:val="20"/>
                <w:color w:val="auto"/>
              </w:rPr>
            </w:pPr>
            <w:r>
              <w:rPr>
                <w:rFonts w:ascii="Arial" w:cs="Arial" w:eastAsia="Arial" w:hAnsi="Arial"/>
                <w:sz w:val="18"/>
                <w:szCs w:val="18"/>
                <w:color w:val="auto"/>
              </w:rPr>
              <w:t>52.9 %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60" w:type="dxa"/>
            <w:vAlign w:val="bottom"/>
            <w:gridSpan w:val="3"/>
            <w:shd w:val="clear" w:color="auto" w:fill="CCEEFF"/>
          </w:tcPr>
          <w:p>
            <w:pPr>
              <w:spacing w:after="0" w:line="216" w:lineRule="exact"/>
              <w:rPr>
                <w:sz w:val="20"/>
                <w:szCs w:val="20"/>
                <w:color w:val="auto"/>
              </w:rPr>
            </w:pPr>
            <w:r>
              <w:rPr>
                <w:rFonts w:ascii="Arial" w:cs="Arial" w:eastAsia="Arial" w:hAnsi="Arial"/>
                <w:sz w:val="17"/>
                <w:szCs w:val="17"/>
                <w:color w:val="auto"/>
              </w:rPr>
              <w:t>IVF multiples rate</w:t>
            </w:r>
            <w:r>
              <w:rPr>
                <w:rFonts w:ascii="Arial" w:cs="Arial" w:eastAsia="Arial" w:hAnsi="Arial"/>
                <w:sz w:val="25"/>
                <w:szCs w:val="25"/>
                <w:color w:val="auto"/>
                <w:vertAlign w:val="superscript"/>
              </w:rPr>
              <w:t>(2)</w:t>
            </w:r>
          </w:p>
        </w:tc>
        <w:tc>
          <w:tcPr>
            <w:tcW w:w="17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9.9 %</w:t>
            </w: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8"/>
              <w:spacing w:after="0"/>
              <w:rPr>
                <w:sz w:val="20"/>
                <w:szCs w:val="20"/>
                <w:color w:val="auto"/>
              </w:rPr>
            </w:pPr>
            <w:r>
              <w:rPr>
                <w:rFonts w:ascii="Arial" w:cs="Arial" w:eastAsia="Arial" w:hAnsi="Arial"/>
                <w:sz w:val="18"/>
                <w:szCs w:val="18"/>
                <w:color w:val="auto"/>
              </w:rPr>
              <w:t>9.1 %</w:t>
            </w:r>
          </w:p>
        </w:tc>
        <w:tc>
          <w:tcPr>
            <w:tcW w:w="200" w:type="dxa"/>
            <w:vAlign w:val="bottom"/>
            <w:shd w:val="clear" w:color="auto" w:fill="CCEEFF"/>
          </w:tcPr>
          <w:p>
            <w:pPr>
              <w:spacing w:after="0"/>
              <w:rPr>
                <w:sz w:val="18"/>
                <w:szCs w:val="18"/>
                <w:color w:val="auto"/>
              </w:rPr>
            </w:pPr>
          </w:p>
        </w:tc>
        <w:tc>
          <w:tcPr>
            <w:tcW w:w="178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2.8 %</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80" w:right="379" w:hanging="330"/>
        <w:spacing w:after="0" w:line="207" w:lineRule="auto"/>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Calculated based on the Society for Assisted Reproductive Technology, or SART, 2018 National Summary Report, finalized in 2021.</w:t>
      </w:r>
    </w:p>
    <w:p>
      <w:pPr>
        <w:spacing w:after="0" w:line="121" w:lineRule="exact"/>
        <w:rPr>
          <w:rFonts w:ascii="Arial" w:cs="Arial" w:eastAsia="Arial" w:hAnsi="Arial"/>
          <w:sz w:val="27"/>
          <w:szCs w:val="27"/>
          <w:color w:val="auto"/>
          <w:vertAlign w:val="superscript"/>
        </w:rPr>
      </w:pPr>
    </w:p>
    <w:p>
      <w:pPr>
        <w:ind w:left="380" w:hanging="330"/>
        <w:spacing w:after="0"/>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Calculated based on CDC, 2019 National Summary and Clinic Data Sets, published in 2021.</w:t>
      </w:r>
    </w:p>
    <w:p>
      <w:pPr>
        <w:spacing w:after="0" w:line="125" w:lineRule="exact"/>
        <w:rPr>
          <w:rFonts w:ascii="Arial" w:cs="Arial" w:eastAsia="Arial" w:hAnsi="Arial"/>
          <w:sz w:val="27"/>
          <w:szCs w:val="27"/>
          <w:color w:val="auto"/>
          <w:vertAlign w:val="superscript"/>
        </w:rPr>
      </w:pPr>
    </w:p>
    <w:p>
      <w:pPr>
        <w:ind w:left="380" w:hanging="330"/>
        <w:spacing w:after="0" w:line="236" w:lineRule="auto"/>
        <w:tabs>
          <w:tab w:leader="none" w:pos="380" w:val="left"/>
        </w:tabs>
        <w:numPr>
          <w:ilvl w:val="0"/>
          <w:numId w:val="8"/>
        </w:numPr>
        <w:rPr>
          <w:rFonts w:ascii="Arial" w:cs="Arial" w:eastAsia="Arial" w:hAnsi="Arial"/>
          <w:sz w:val="27"/>
          <w:szCs w:val="27"/>
          <w:color w:val="auto"/>
          <w:vertAlign w:val="superscript"/>
        </w:rPr>
      </w:pPr>
      <w:r>
        <w:rPr>
          <w:rFonts w:ascii="Arial" w:cs="Arial" w:eastAsia="Arial" w:hAnsi="Arial"/>
          <w:sz w:val="18"/>
          <w:szCs w:val="18"/>
          <w:color w:val="auto"/>
        </w:rPr>
        <w:t>Calculated based on the 12-month period ended December 31, 2020.</w:t>
      </w:r>
    </w:p>
    <w:p>
      <w:pPr>
        <w:spacing w:after="0" w:line="202" w:lineRule="exact"/>
        <w:rPr>
          <w:rFonts w:ascii="Arial" w:cs="Arial" w:eastAsia="Arial" w:hAnsi="Arial"/>
          <w:sz w:val="27"/>
          <w:szCs w:val="27"/>
          <w:color w:val="auto"/>
          <w:vertAlign w:val="superscript"/>
        </w:rPr>
      </w:pPr>
    </w:p>
    <w:p>
      <w:pPr>
        <w:ind w:left="1040" w:right="159" w:hanging="315"/>
        <w:spacing w:after="0" w:line="257"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Comprehensive Coverage. </w:t>
      </w:r>
      <w:r>
        <w:rPr>
          <w:rFonts w:ascii="Arial" w:cs="Arial" w:eastAsia="Arial" w:hAnsi="Arial"/>
          <w:sz w:val="18"/>
          <w:szCs w:val="18"/>
          <w:color w:val="auto"/>
        </w:rPr>
        <w:t>We provide all individuals with access to comprehensive coverage. Our Smart</w:t>
      </w:r>
      <w:r>
        <w:rPr>
          <w:rFonts w:ascii="Arial" w:cs="Arial" w:eastAsia="Arial" w:hAnsi="Arial"/>
          <w:sz w:val="18"/>
          <w:szCs w:val="18"/>
          <w:i w:val="1"/>
          <w:iCs w:val="1"/>
          <w:color w:val="auto"/>
        </w:rPr>
        <w:t xml:space="preserve"> </w:t>
      </w:r>
      <w:r>
        <w:rPr>
          <w:rFonts w:ascii="Arial" w:cs="Arial" w:eastAsia="Arial" w:hAnsi="Arial"/>
          <w:sz w:val="18"/>
          <w:szCs w:val="18"/>
          <w:color w:val="auto"/>
        </w:rPr>
        <w:t>Cycle design ensures that members always have coverage for a full treatment cycle as their access to treatment is not limited by a dollar maximum that could be exhausted mid-treatment. Additionally, members have access to the latest technologies and procedures, which are reviewed and approved by our Medical Advisory Board.</w:t>
      </w:r>
    </w:p>
    <w:p>
      <w:pPr>
        <w:spacing w:after="0" w:line="187" w:lineRule="exact"/>
        <w:rPr>
          <w:rFonts w:ascii="Arial" w:cs="Arial" w:eastAsia="Arial" w:hAnsi="Arial"/>
          <w:sz w:val="18"/>
          <w:szCs w:val="18"/>
          <w:color w:val="auto"/>
        </w:rPr>
      </w:pPr>
    </w:p>
    <w:p>
      <w:pPr>
        <w:ind w:left="1040" w:right="419" w:hanging="315"/>
        <w:spacing w:after="0" w:line="263"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Access for All Members and Dependents. </w:t>
      </w:r>
      <w:r>
        <w:rPr>
          <w:rFonts w:ascii="Arial" w:cs="Arial" w:eastAsia="Arial" w:hAnsi="Arial"/>
          <w:sz w:val="18"/>
          <w:szCs w:val="18"/>
          <w:color w:val="auto"/>
        </w:rPr>
        <w:t>Smart Cycles are available to be utilized across all employee</w:t>
      </w:r>
      <w:r>
        <w:rPr>
          <w:rFonts w:ascii="Arial" w:cs="Arial" w:eastAsia="Arial" w:hAnsi="Arial"/>
          <w:sz w:val="18"/>
          <w:szCs w:val="18"/>
          <w:i w:val="1"/>
          <w:iCs w:val="1"/>
          <w:color w:val="auto"/>
        </w:rPr>
        <w:t xml:space="preserve"> </w:t>
      </w:r>
      <w:r>
        <w:rPr>
          <w:rFonts w:ascii="Arial" w:cs="Arial" w:eastAsia="Arial" w:hAnsi="Arial"/>
          <w:sz w:val="18"/>
          <w:szCs w:val="18"/>
          <w:color w:val="auto"/>
        </w:rPr>
        <w:t>groups, including populations not typically covered, such as LGBTQ+ individuals and single mothers by choice.</w:t>
      </w:r>
    </w:p>
    <w:p>
      <w:pPr>
        <w:spacing w:after="0" w:line="183" w:lineRule="exact"/>
        <w:rPr>
          <w:rFonts w:ascii="Arial" w:cs="Arial" w:eastAsia="Arial" w:hAnsi="Arial"/>
          <w:sz w:val="18"/>
          <w:szCs w:val="18"/>
          <w:color w:val="auto"/>
        </w:rPr>
      </w:pPr>
    </w:p>
    <w:p>
      <w:pPr>
        <w:ind w:left="1040" w:right="119" w:hanging="315"/>
        <w:spacing w:after="0" w:line="263"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Equitable Access to Care. </w:t>
      </w:r>
      <w:r>
        <w:rPr>
          <w:rFonts w:ascii="Arial" w:cs="Arial" w:eastAsia="Arial" w:hAnsi="Arial"/>
          <w:sz w:val="18"/>
          <w:szCs w:val="18"/>
          <w:color w:val="auto"/>
        </w:rPr>
        <w:t>Our Smart Cycle design ensures members receive fair and balanced access to care</w:t>
      </w:r>
      <w:r>
        <w:rPr>
          <w:rFonts w:ascii="Arial" w:cs="Arial" w:eastAsia="Arial" w:hAnsi="Arial"/>
          <w:sz w:val="18"/>
          <w:szCs w:val="18"/>
          <w:i w:val="1"/>
          <w:iCs w:val="1"/>
          <w:color w:val="auto"/>
        </w:rPr>
        <w:t xml:space="preserve"> </w:t>
      </w:r>
      <w:r>
        <w:rPr>
          <w:rFonts w:ascii="Arial" w:cs="Arial" w:eastAsia="Arial" w:hAnsi="Arial"/>
          <w:sz w:val="18"/>
          <w:szCs w:val="18"/>
          <w:color w:val="auto"/>
        </w:rPr>
        <w:t>that is not dependent on where members live, how expensive a fertility specialist is or which specific treatments are required.</w:t>
      </w:r>
    </w:p>
    <w:p>
      <w:pPr>
        <w:spacing w:after="0" w:line="183" w:lineRule="exact"/>
        <w:rPr>
          <w:rFonts w:ascii="Arial" w:cs="Arial" w:eastAsia="Arial" w:hAnsi="Arial"/>
          <w:sz w:val="18"/>
          <w:szCs w:val="18"/>
          <w:color w:val="auto"/>
        </w:rPr>
      </w:pPr>
    </w:p>
    <w:p>
      <w:pPr>
        <w:ind w:left="1040" w:right="79" w:hanging="315"/>
        <w:spacing w:after="0" w:line="263" w:lineRule="auto"/>
        <w:tabs>
          <w:tab w:leader="none" w:pos="1040" w:val="left"/>
        </w:tabs>
        <w:numPr>
          <w:ilvl w:val="1"/>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High-Touch Concierge Member Experience. </w:t>
      </w:r>
      <w:r>
        <w:rPr>
          <w:rFonts w:ascii="Arial" w:cs="Arial" w:eastAsia="Arial" w:hAnsi="Arial"/>
          <w:sz w:val="18"/>
          <w:szCs w:val="18"/>
          <w:color w:val="auto"/>
        </w:rPr>
        <w:t>We provide our members with high-touch, end-to-end concierge</w:t>
      </w:r>
      <w:r>
        <w:rPr>
          <w:rFonts w:ascii="Arial" w:cs="Arial" w:eastAsia="Arial" w:hAnsi="Arial"/>
          <w:sz w:val="18"/>
          <w:szCs w:val="18"/>
          <w:i w:val="1"/>
          <w:iCs w:val="1"/>
          <w:color w:val="auto"/>
        </w:rPr>
        <w:t xml:space="preserve"> </w:t>
      </w:r>
      <w:r>
        <w:rPr>
          <w:rFonts w:ascii="Arial" w:cs="Arial" w:eastAsia="Arial" w:hAnsi="Arial"/>
          <w:sz w:val="18"/>
          <w:szCs w:val="18"/>
          <w:color w:val="auto"/>
        </w:rPr>
        <w:t>support, including logistical assistance, clinical guidance and emotional support through our PCAs and our in-house clinical staff.</w:t>
      </w:r>
    </w:p>
    <w:p>
      <w:pPr>
        <w:spacing w:after="0" w:line="183" w:lineRule="exact"/>
        <w:rPr>
          <w:rFonts w:ascii="Arial" w:cs="Arial" w:eastAsia="Arial" w:hAnsi="Arial"/>
          <w:sz w:val="18"/>
          <w:szCs w:val="18"/>
          <w:color w:val="auto"/>
        </w:rPr>
      </w:pPr>
    </w:p>
    <w:p>
      <w:pPr>
        <w:ind w:left="1040" w:right="99" w:hanging="315"/>
        <w:spacing w:after="0" w:line="279" w:lineRule="auto"/>
        <w:tabs>
          <w:tab w:leader="none" w:pos="1040" w:val="left"/>
        </w:tabs>
        <w:numPr>
          <w:ilvl w:val="1"/>
          <w:numId w:val="8"/>
        </w:numPr>
        <w:rPr>
          <w:rFonts w:ascii="Arial" w:cs="Arial" w:eastAsia="Arial" w:hAnsi="Arial"/>
          <w:sz w:val="17"/>
          <w:szCs w:val="17"/>
          <w:color w:val="auto"/>
        </w:rPr>
      </w:pPr>
      <w:r>
        <w:rPr>
          <w:rFonts w:ascii="Arial" w:cs="Arial" w:eastAsia="Arial" w:hAnsi="Arial"/>
          <w:sz w:val="17"/>
          <w:szCs w:val="17"/>
          <w:i w:val="1"/>
          <w:iCs w:val="1"/>
          <w:color w:val="auto"/>
        </w:rPr>
        <w:t xml:space="preserve">Access to Selective, Premier Fertility Specialist Network. </w:t>
      </w:r>
      <w:r>
        <w:rPr>
          <w:rFonts w:ascii="Arial" w:cs="Arial" w:eastAsia="Arial" w:hAnsi="Arial"/>
          <w:sz w:val="17"/>
          <w:szCs w:val="17"/>
          <w:color w:val="auto"/>
        </w:rPr>
        <w:t>Our solution provides members with access to the</w:t>
      </w:r>
      <w:r>
        <w:rPr>
          <w:rFonts w:ascii="Arial" w:cs="Arial" w:eastAsia="Arial" w:hAnsi="Arial"/>
          <w:sz w:val="17"/>
          <w:szCs w:val="17"/>
          <w:i w:val="1"/>
          <w:iCs w:val="1"/>
          <w:color w:val="auto"/>
        </w:rPr>
        <w:t xml:space="preserve"> </w:t>
      </w:r>
      <w:r>
        <w:rPr>
          <w:rFonts w:ascii="Arial" w:cs="Arial" w:eastAsia="Arial" w:hAnsi="Arial"/>
          <w:sz w:val="17"/>
          <w:szCs w:val="17"/>
          <w:color w:val="auto"/>
        </w:rPr>
        <w:t>nation’s most desired fertility providers, including approximately 900 fertility specialists who practice at approximately 650 provider clinic locations throughout the United States. Our network includes 46 of the top 50 fertility practice groups by volume in the United States according to 2019 CDC data.</w:t>
      </w:r>
    </w:p>
    <w:p>
      <w:pPr>
        <w:spacing w:after="0" w:line="171" w:lineRule="exact"/>
        <w:rPr>
          <w:rFonts w:ascii="Arial" w:cs="Arial" w:eastAsia="Arial" w:hAnsi="Arial"/>
          <w:sz w:val="17"/>
          <w:szCs w:val="17"/>
          <w:color w:val="auto"/>
        </w:rPr>
      </w:pPr>
    </w:p>
    <w:p>
      <w:pPr>
        <w:jc w:val="both"/>
        <w:ind w:left="1040" w:right="539" w:hanging="315"/>
        <w:spacing w:after="0" w:line="342" w:lineRule="auto"/>
        <w:tabs>
          <w:tab w:leader="none" w:pos="1040" w:val="left"/>
        </w:tabs>
        <w:numPr>
          <w:ilvl w:val="1"/>
          <w:numId w:val="8"/>
        </w:numPr>
        <w:rPr>
          <w:rFonts w:ascii="Arial" w:cs="Arial" w:eastAsia="Arial" w:hAnsi="Arial"/>
          <w:sz w:val="16"/>
          <w:szCs w:val="16"/>
          <w:color w:val="auto"/>
        </w:rPr>
      </w:pPr>
      <w:r>
        <w:rPr>
          <w:rFonts w:ascii="Arial" w:cs="Arial" w:eastAsia="Arial" w:hAnsi="Arial"/>
          <w:sz w:val="16"/>
          <w:szCs w:val="16"/>
          <w:i w:val="1"/>
          <w:iCs w:val="1"/>
          <w:color w:val="auto"/>
        </w:rPr>
        <w:t xml:space="preserve">Integrated Pharmacy Benefits Solution. </w:t>
      </w:r>
      <w:r>
        <w:rPr>
          <w:rFonts w:ascii="Arial" w:cs="Arial" w:eastAsia="Arial" w:hAnsi="Arial"/>
          <w:sz w:val="16"/>
          <w:szCs w:val="16"/>
          <w:color w:val="auto"/>
        </w:rPr>
        <w:t>Progyny Rx provides members with a simplified authorization</w:t>
      </w:r>
      <w:r>
        <w:rPr>
          <w:rFonts w:ascii="Arial" w:cs="Arial" w:eastAsia="Arial" w:hAnsi="Arial"/>
          <w:sz w:val="16"/>
          <w:szCs w:val="16"/>
          <w:i w:val="1"/>
          <w:iCs w:val="1"/>
          <w:color w:val="auto"/>
        </w:rPr>
        <w:t xml:space="preserve"> </w:t>
      </w:r>
      <w:r>
        <w:rPr>
          <w:rFonts w:ascii="Arial" w:cs="Arial" w:eastAsia="Arial" w:hAnsi="Arial"/>
          <w:sz w:val="16"/>
          <w:szCs w:val="16"/>
          <w:color w:val="auto"/>
        </w:rPr>
        <w:t>process, timely medication delivery and member support from pharmacy clinicians seven days a week.</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We Provide Meaningful Value to Our Fertility Specialists</w:t>
      </w:r>
    </w:p>
    <w:p>
      <w:pPr>
        <w:spacing w:after="0" w:line="225" w:lineRule="exact"/>
        <w:rPr>
          <w:sz w:val="20"/>
          <w:szCs w:val="20"/>
          <w:color w:val="auto"/>
        </w:rPr>
      </w:pPr>
    </w:p>
    <w:p>
      <w:pPr>
        <w:ind w:left="1040" w:right="139" w:hanging="315"/>
        <w:spacing w:after="0" w:line="301" w:lineRule="auto"/>
        <w:tabs>
          <w:tab w:leader="none" w:pos="1040" w:val="left"/>
        </w:tabs>
        <w:numPr>
          <w:ilvl w:val="0"/>
          <w:numId w:val="9"/>
        </w:numPr>
        <w:rPr>
          <w:rFonts w:ascii="Arial" w:cs="Arial" w:eastAsia="Arial" w:hAnsi="Arial"/>
          <w:sz w:val="16"/>
          <w:szCs w:val="16"/>
          <w:color w:val="auto"/>
        </w:rPr>
      </w:pPr>
      <w:r>
        <w:rPr>
          <w:rFonts w:ascii="Arial" w:cs="Arial" w:eastAsia="Arial" w:hAnsi="Arial"/>
          <w:sz w:val="16"/>
          <w:szCs w:val="16"/>
          <w:i w:val="1"/>
          <w:iCs w:val="1"/>
          <w:color w:val="auto"/>
        </w:rPr>
        <w:t xml:space="preserve">Members Supported With a Comprehensive Benefit. </w:t>
      </w:r>
      <w:r>
        <w:rPr>
          <w:rFonts w:ascii="Arial" w:cs="Arial" w:eastAsia="Arial" w:hAnsi="Arial"/>
          <w:sz w:val="16"/>
          <w:szCs w:val="16"/>
          <w:color w:val="auto"/>
        </w:rPr>
        <w:t>Our solutions allow our members to arrive at their</w:t>
      </w:r>
      <w:r>
        <w:rPr>
          <w:rFonts w:ascii="Arial" w:cs="Arial" w:eastAsia="Arial" w:hAnsi="Arial"/>
          <w:sz w:val="16"/>
          <w:szCs w:val="16"/>
          <w:i w:val="1"/>
          <w:iCs w:val="1"/>
          <w:color w:val="auto"/>
        </w:rPr>
        <w:t xml:space="preserve"> </w:t>
      </w:r>
      <w:r>
        <w:rPr>
          <w:rFonts w:ascii="Arial" w:cs="Arial" w:eastAsia="Arial" w:hAnsi="Arial"/>
          <w:sz w:val="16"/>
          <w:szCs w:val="16"/>
          <w:color w:val="auto"/>
        </w:rPr>
        <w:t>fertility specialist with a fully-covered course of treatment and the flexibility to utilize the latest approved technologies and best practices via our comprehensive Smart Cycle benefits plan design. These members are also educated on the use of best practices and are supported by PCAs along their fertility journey.</w:t>
      </w:r>
    </w:p>
    <w:p>
      <w:pPr>
        <w:spacing w:after="0" w:line="157" w:lineRule="exact"/>
        <w:rPr>
          <w:rFonts w:ascii="Arial" w:cs="Arial" w:eastAsia="Arial" w:hAnsi="Arial"/>
          <w:sz w:val="16"/>
          <w:szCs w:val="16"/>
          <w:color w:val="auto"/>
        </w:rPr>
      </w:pPr>
    </w:p>
    <w:p>
      <w:pPr>
        <w:ind w:left="1040" w:right="219" w:hanging="315"/>
        <w:spacing w:after="0" w:line="259" w:lineRule="auto"/>
        <w:tabs>
          <w:tab w:leader="none" w:pos="104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Eliminate Step Therapy Protocols. </w:t>
      </w:r>
      <w:r>
        <w:rPr>
          <w:rFonts w:ascii="Arial" w:cs="Arial" w:eastAsia="Arial" w:hAnsi="Arial"/>
          <w:sz w:val="18"/>
          <w:szCs w:val="18"/>
          <w:color w:val="auto"/>
        </w:rPr>
        <w:t>Our network of fertility specialists have access to the latest science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technologies through our innovative Smart Cycles, which free our fertility specialists from having to follow the ineffective protocols common to conventional coverage and allow them to pursue the most effective treatments first, thereby saving time and money.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40" w:right="63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Simplified Administration. </w:t>
      </w:r>
      <w:r>
        <w:rPr>
          <w:rFonts w:ascii="Arial" w:cs="Arial" w:eastAsia="Arial" w:hAnsi="Arial"/>
          <w:sz w:val="18"/>
          <w:szCs w:val="18"/>
          <w:color w:val="auto"/>
        </w:rPr>
        <w:t>Once a Smart Cycle treatment is authorized, fertility specialists within our</w:t>
      </w:r>
      <w:r>
        <w:rPr>
          <w:rFonts w:ascii="Arial" w:cs="Arial" w:eastAsia="Arial" w:hAnsi="Arial"/>
          <w:sz w:val="18"/>
          <w:szCs w:val="18"/>
          <w:i w:val="1"/>
          <w:iCs w:val="1"/>
          <w:color w:val="auto"/>
        </w:rPr>
        <w:t xml:space="preserve"> </w:t>
      </w:r>
      <w:r>
        <w:rPr>
          <w:rFonts w:ascii="Arial" w:cs="Arial" w:eastAsia="Arial" w:hAnsi="Arial"/>
          <w:sz w:val="18"/>
          <w:szCs w:val="18"/>
          <w:color w:val="auto"/>
        </w:rPr>
        <w:t>network are able to prescribe the optimal treatment plan without any need for pre-certification or pre-authorization.</w:t>
      </w:r>
    </w:p>
    <w:p>
      <w:pPr>
        <w:spacing w:after="0" w:line="183" w:lineRule="exact"/>
        <w:rPr>
          <w:rFonts w:ascii="Arial" w:cs="Arial" w:eastAsia="Arial" w:hAnsi="Arial"/>
          <w:sz w:val="18"/>
          <w:szCs w:val="18"/>
          <w:color w:val="auto"/>
        </w:rPr>
      </w:pPr>
    </w:p>
    <w:p>
      <w:pPr>
        <w:ind w:left="1040" w:right="399" w:hanging="315"/>
        <w:spacing w:after="0" w:line="301" w:lineRule="auto"/>
        <w:tabs>
          <w:tab w:leader="none" w:pos="104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Superior Clinical Outcomes. </w:t>
      </w:r>
      <w:r>
        <w:rPr>
          <w:rFonts w:ascii="Arial" w:cs="Arial" w:eastAsia="Arial" w:hAnsi="Arial"/>
          <w:sz w:val="16"/>
          <w:szCs w:val="16"/>
          <w:color w:val="auto"/>
        </w:rPr>
        <w:t>Outcomes for Progyny members across our fertility specialist network are</w:t>
      </w:r>
      <w:r>
        <w:rPr>
          <w:rFonts w:ascii="Arial" w:cs="Arial" w:eastAsia="Arial" w:hAnsi="Arial"/>
          <w:sz w:val="16"/>
          <w:szCs w:val="16"/>
          <w:i w:val="1"/>
          <w:iCs w:val="1"/>
          <w:color w:val="auto"/>
        </w:rPr>
        <w:t xml:space="preserve"> </w:t>
      </w:r>
      <w:r>
        <w:rPr>
          <w:rFonts w:ascii="Arial" w:cs="Arial" w:eastAsia="Arial" w:hAnsi="Arial"/>
          <w:sz w:val="16"/>
          <w:szCs w:val="16"/>
          <w:color w:val="auto"/>
        </w:rPr>
        <w:t>superior to the average outcomes that the same provider clinics report to the CDC for all of their patients. Specifically, as shown in the table above, the in-network average live birth rate for Progyny members is 52.9%, as compared to the 43.6 % average live birth rate for all of the patients at those same clinics.</w:t>
      </w:r>
    </w:p>
    <w:p>
      <w:pPr>
        <w:spacing w:after="0" w:line="157" w:lineRule="exact"/>
        <w:rPr>
          <w:rFonts w:ascii="Arial" w:cs="Arial" w:eastAsia="Arial" w:hAnsi="Arial"/>
          <w:sz w:val="16"/>
          <w:szCs w:val="16"/>
          <w:color w:val="auto"/>
        </w:rPr>
      </w:pPr>
    </w:p>
    <w:p>
      <w:pPr>
        <w:ind w:left="1040" w:right="219" w:hanging="315"/>
        <w:spacing w:after="0" w:line="286"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Eliminating Financial Risk Associated With Collections. </w:t>
      </w:r>
      <w:r>
        <w:rPr>
          <w:rFonts w:ascii="Arial" w:cs="Arial" w:eastAsia="Arial" w:hAnsi="Arial"/>
          <w:sz w:val="17"/>
          <w:szCs w:val="17"/>
          <w:color w:val="auto"/>
        </w:rPr>
        <w:t>We assume full responsibility for the collection of</w:t>
      </w:r>
      <w:r>
        <w:rPr>
          <w:rFonts w:ascii="Arial" w:cs="Arial" w:eastAsia="Arial" w:hAnsi="Arial"/>
          <w:sz w:val="17"/>
          <w:szCs w:val="17"/>
          <w:i w:val="1"/>
          <w:iCs w:val="1"/>
          <w:color w:val="auto"/>
        </w:rPr>
        <w:t xml:space="preserve"> </w:t>
      </w:r>
      <w:r>
        <w:rPr>
          <w:rFonts w:ascii="Arial" w:cs="Arial" w:eastAsia="Arial" w:hAnsi="Arial"/>
          <w:sz w:val="17"/>
          <w:szCs w:val="17"/>
          <w:color w:val="auto"/>
        </w:rPr>
        <w:t>all members’ deductibles and coinsurance, thereby eliminating the burden and cost of collection (and bad debt expense) for member payments that our provider clinics otherwise would experience.</w:t>
      </w:r>
    </w:p>
    <w:p>
      <w:pPr>
        <w:spacing w:after="0" w:line="165" w:lineRule="exact"/>
        <w:rPr>
          <w:rFonts w:ascii="Arial" w:cs="Arial" w:eastAsia="Arial" w:hAnsi="Arial"/>
          <w:sz w:val="17"/>
          <w:szCs w:val="17"/>
          <w:color w:val="auto"/>
        </w:rPr>
      </w:pPr>
    </w:p>
    <w:p>
      <w:pPr>
        <w:ind w:left="1040" w:right="279" w:hanging="315"/>
        <w:spacing w:after="0" w:line="277"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Data Sharing and Reporting. </w:t>
      </w:r>
      <w:r>
        <w:rPr>
          <w:rFonts w:ascii="Arial" w:cs="Arial" w:eastAsia="Arial" w:hAnsi="Arial"/>
          <w:sz w:val="18"/>
          <w:szCs w:val="18"/>
          <w:color w:val="auto"/>
        </w:rPr>
        <w:t>We produce clinic scorecards quarterly with key performance indicators that</w:t>
      </w:r>
      <w:r>
        <w:rPr>
          <w:rFonts w:ascii="Arial" w:cs="Arial" w:eastAsia="Arial" w:hAnsi="Arial"/>
          <w:sz w:val="18"/>
          <w:szCs w:val="18"/>
          <w:i w:val="1"/>
          <w:iCs w:val="1"/>
          <w:color w:val="auto"/>
        </w:rPr>
        <w:t xml:space="preserve"> </w:t>
      </w:r>
      <w:r>
        <w:rPr>
          <w:rFonts w:ascii="Arial" w:cs="Arial" w:eastAsia="Arial" w:hAnsi="Arial"/>
          <w:sz w:val="18"/>
          <w:szCs w:val="18"/>
          <w:color w:val="auto"/>
        </w:rPr>
        <w:t>allow fertility specialists to compare their results with peer averages.</w:t>
      </w:r>
    </w:p>
    <w:p>
      <w:pPr>
        <w:spacing w:after="0" w:line="170" w:lineRule="exact"/>
        <w:rPr>
          <w:rFonts w:ascii="Arial" w:cs="Arial" w:eastAsia="Arial" w:hAnsi="Arial"/>
          <w:sz w:val="18"/>
          <w:szCs w:val="18"/>
          <w:color w:val="auto"/>
        </w:rPr>
      </w:pPr>
    </w:p>
    <w:p>
      <w:pPr>
        <w:jc w:val="both"/>
        <w:ind w:left="1040" w:right="19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Higher Volumes and Improved Financial Performance. </w:t>
      </w:r>
      <w:r>
        <w:rPr>
          <w:rFonts w:ascii="Arial" w:cs="Arial" w:eastAsia="Arial" w:hAnsi="Arial"/>
          <w:sz w:val="18"/>
          <w:szCs w:val="18"/>
          <w:color w:val="auto"/>
        </w:rPr>
        <w:t>Fertility specialists in our network often experience</w:t>
      </w:r>
      <w:r>
        <w:rPr>
          <w:rFonts w:ascii="Arial" w:cs="Arial" w:eastAsia="Arial" w:hAnsi="Arial"/>
          <w:sz w:val="18"/>
          <w:szCs w:val="18"/>
          <w:i w:val="1"/>
          <w:iCs w:val="1"/>
          <w:color w:val="auto"/>
        </w:rPr>
        <w:t xml:space="preserve"> </w:t>
      </w:r>
      <w:r>
        <w:rPr>
          <w:rFonts w:ascii="Arial" w:cs="Arial" w:eastAsia="Arial" w:hAnsi="Arial"/>
          <w:sz w:val="18"/>
          <w:szCs w:val="18"/>
          <w:color w:val="auto"/>
        </w:rPr>
        <w:t>an increase in patient volume, and because of our comprehensive benefits design, an increase in the number of patients who progress from consultation to treatment.</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Expand Our Client Base</w:t>
      </w:r>
    </w:p>
    <w:p>
      <w:pPr>
        <w:spacing w:after="0" w:line="225"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We intend to continue increasing our client base of self-insured employers throughout the United States by leveraging our experienced salesforce and strong relationships with benefits consultants. We believe we have an addressable market of approximately 8,000 potential self-insured employer clients in the United States (excluding quasi-governmental entities, such as universities, school systems, and labor unions), who have a minimum of 1,000 employees and, with our base of over 265 clients under contract, are still in the early stages of our growth trajectory. Importantly, as we have continued to grow, we have meaningfully diversified our client base across an array of different industries. We are expanding our client base within each industry that we serve, and have an industry-specific strategy, which enables us to most effectively target our addressable market. Additionally, we believe that our expanding presence has resulted in a heightened awareness of fertility benefits and has informed the market of the value we provide to our employer clients and our members, which we believe also helps facilitate growth.</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Capitalize on Embedded Growth Potential within Our Existing Client Base</w:t>
      </w:r>
    </w:p>
    <w:p>
      <w:pPr>
        <w:spacing w:after="0" w:line="22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Because of how our revenue model is structured, we believe we are positioned to realize organic revenue growth as our clients and their respective employee bases grow and utilize more fertility treatment services as a result. A meaningful portion of our clients have grown, and we believe many of them will continue to grow. In addition, we have historically realized similar utilization trends of fertility services for new members compared with existing members on a same client basis. We believe the combination of these factors results in meaningful and sustainable embedded growth potential well into the future.</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Expansion of Progyny Benefits Solutions within Our Existing Client Base</w:t>
      </w:r>
    </w:p>
    <w:p>
      <w:pPr>
        <w:spacing w:after="0" w:line="225" w:lineRule="exact"/>
        <w:rPr>
          <w:sz w:val="20"/>
          <w:szCs w:val="20"/>
          <w:color w:val="auto"/>
        </w:rPr>
      </w:pPr>
    </w:p>
    <w:p>
      <w:pPr>
        <w:ind w:left="60" w:right="239" w:firstLine="648"/>
        <w:spacing w:after="0" w:line="285" w:lineRule="auto"/>
        <w:rPr>
          <w:sz w:val="20"/>
          <w:szCs w:val="20"/>
          <w:color w:val="auto"/>
        </w:rPr>
      </w:pPr>
      <w:r>
        <w:rPr>
          <w:rFonts w:ascii="Arial" w:cs="Arial" w:eastAsia="Arial" w:hAnsi="Arial"/>
          <w:sz w:val="16"/>
          <w:szCs w:val="16"/>
          <w:color w:val="auto"/>
        </w:rPr>
        <w:t>We expect to see further growth from existing clients that add incremental services to their fertility benefits program. For example, a client can expand the fertility benefits they offer to their employees by increasing the number of Smart Cycles they contract for. In addition, our fertility benefits solution clients can purchase our add-on Progyny Rx solution. We introduced Progyny Rx in the third quarter of 2017 and went live with a select number of clients in January 2018. Currently, 81% of our clients under contract are utilizing this solution, including 93% of the clients we signed in</w:t>
      </w:r>
    </w:p>
    <w:p>
      <w:pPr>
        <w:spacing w:after="0" w:line="2" w:lineRule="exact"/>
        <w:rPr>
          <w:sz w:val="20"/>
          <w:szCs w:val="20"/>
          <w:color w:val="auto"/>
        </w:rPr>
      </w:pPr>
    </w:p>
    <w:p>
      <w:pPr>
        <w:ind w:left="60" w:right="239"/>
        <w:spacing w:after="0" w:line="323" w:lineRule="auto"/>
        <w:rPr>
          <w:sz w:val="20"/>
          <w:szCs w:val="20"/>
          <w:color w:val="auto"/>
        </w:rPr>
      </w:pPr>
      <w:r>
        <w:rPr>
          <w:rFonts w:ascii="Arial" w:cs="Arial" w:eastAsia="Arial" w:hAnsi="Arial"/>
          <w:sz w:val="16"/>
          <w:szCs w:val="16"/>
          <w:color w:val="auto"/>
        </w:rPr>
        <w:t>2021. We believe our sales and marketing capabilities play an important role in informing and educating clients about the additional value and impact we can provide to them and their members by enhancing their benefit program.</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right="399"/>
        <w:spacing w:after="0" w:line="277" w:lineRule="auto"/>
        <w:rPr>
          <w:sz w:val="20"/>
          <w:szCs w:val="20"/>
          <w:color w:val="auto"/>
        </w:rPr>
      </w:pPr>
      <w:r>
        <w:rPr>
          <w:rFonts w:ascii="Arial" w:cs="Arial" w:eastAsia="Arial" w:hAnsi="Arial"/>
          <w:sz w:val="18"/>
          <w:szCs w:val="18"/>
          <w:b w:val="1"/>
          <w:bCs w:val="1"/>
          <w:i w:val="1"/>
          <w:iCs w:val="1"/>
          <w:color w:val="auto"/>
        </w:rPr>
        <w:t>New Services and Addressable Markets to Enhance the Depth and Breadth of Our Comprehensive Fertility Offering</w:t>
      </w:r>
    </w:p>
    <w:p>
      <w:pPr>
        <w:spacing w:after="0" w:line="170" w:lineRule="exact"/>
        <w:rPr>
          <w:sz w:val="20"/>
          <w:szCs w:val="20"/>
          <w:color w:val="auto"/>
        </w:rPr>
      </w:pPr>
    </w:p>
    <w:p>
      <w:pPr>
        <w:ind w:left="60" w:right="159" w:firstLine="648"/>
        <w:spacing w:after="0" w:line="269" w:lineRule="auto"/>
        <w:rPr>
          <w:sz w:val="20"/>
          <w:szCs w:val="20"/>
          <w:color w:val="auto"/>
        </w:rPr>
      </w:pPr>
      <w:r>
        <w:rPr>
          <w:rFonts w:ascii="Arial" w:cs="Arial" w:eastAsia="Arial" w:hAnsi="Arial"/>
          <w:sz w:val="17"/>
          <w:szCs w:val="17"/>
          <w:color w:val="auto"/>
        </w:rPr>
        <w:t>As we continue to grow and expand our client base, we are continuously evaluating the latest evolving trends to find ways we can better serve the needs of existing and new potential clients and their employees. We believe we are uniquely positioned to do this for several reasons. First, we believe the combination of our Medical Advisory Board and our selective network of high-quality fertility specialists, as well as the data we collect and analyze, provides us with differentiated insights into fertility care delivery and support. In addition, we believe we have positive and collaborative relationships with our clients that offer us additional insights into their needs. We believe the combination of these factors, coupled with our demonstrated track record of adding more services to our benefits design, highlights that we are well positioned to do so in the future. To date, we have identified several ways we believe we can potentially expand our offering, our addressable market, and our client base in the future. We will continue to evaluate opportunities as our platform continues to expand.</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Clients</w:t>
      </w:r>
    </w:p>
    <w:p>
      <w:pPr>
        <w:spacing w:after="0" w:line="229" w:lineRule="exact"/>
        <w:rPr>
          <w:sz w:val="20"/>
          <w:szCs w:val="20"/>
          <w:color w:val="auto"/>
        </w:rPr>
      </w:pPr>
    </w:p>
    <w:p>
      <w:pPr>
        <w:ind w:left="60" w:right="159" w:firstLine="648"/>
        <w:spacing w:after="0" w:line="275" w:lineRule="auto"/>
        <w:rPr>
          <w:sz w:val="20"/>
          <w:szCs w:val="20"/>
          <w:color w:val="auto"/>
        </w:rPr>
      </w:pPr>
      <w:r>
        <w:rPr>
          <w:rFonts w:ascii="Arial" w:cs="Arial" w:eastAsia="Arial" w:hAnsi="Arial"/>
          <w:sz w:val="17"/>
          <w:szCs w:val="17"/>
          <w:color w:val="auto"/>
        </w:rPr>
        <w:t>We currently have contracts to serve over 265 employers in the United States across more than 30 industries. Our current clients, who are industry leaders across both high-growth and mature industries and range in size from at least 1,000 to 500,000 employees, represent approximately 4.0 million covered lives under contract. For the year ended December 31, 2021, two clients accounted for 19% and 15%, or a combined 34%, of our total revenue. No other clients accounted for more than 10% for the year ended December 31, 2021.</w:t>
      </w:r>
    </w:p>
    <w:p>
      <w:pPr>
        <w:spacing w:after="0" w:line="1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We believe that our employer clients are thought leaders in their respective industries and are creating a network effect that is helping to drive more widespread adoption of fertility benefits in their specific industries. We have clients in the technology, consumer retail, industrial, healthcare, media, insurance, legal, food and beverage, financial services, life sciences, professional services, government services, energy, manufacturing, logistics, transportation, real estate, nonprofit and hospitality sectors.</w:t>
      </w:r>
    </w:p>
    <w:p>
      <w:pPr>
        <w:spacing w:after="0" w:line="188" w:lineRule="exact"/>
        <w:rPr>
          <w:sz w:val="20"/>
          <w:szCs w:val="20"/>
          <w:color w:val="auto"/>
        </w:rPr>
      </w:pPr>
    </w:p>
    <w:p>
      <w:pPr>
        <w:ind w:left="60" w:right="699" w:firstLine="648"/>
        <w:spacing w:after="0" w:line="263" w:lineRule="auto"/>
        <w:rPr>
          <w:sz w:val="20"/>
          <w:szCs w:val="20"/>
          <w:color w:val="auto"/>
        </w:rPr>
      </w:pPr>
      <w:r>
        <w:rPr>
          <w:rFonts w:ascii="Arial" w:cs="Arial" w:eastAsia="Arial" w:hAnsi="Arial"/>
          <w:sz w:val="18"/>
          <w:szCs w:val="18"/>
          <w:color w:val="auto"/>
        </w:rPr>
        <w:t>Substantially all of our clients have renewed their benefits management contracts since our initial benefits offerings launched in 2016. The majority of our clients have signed multi-year contracts or contracts that renew automatically on an annual basis.</w:t>
      </w:r>
    </w:p>
    <w:p>
      <w:pPr>
        <w:spacing w:after="0" w:line="174" w:lineRule="exact"/>
        <w:rPr>
          <w:sz w:val="20"/>
          <w:szCs w:val="20"/>
          <w:color w:val="auto"/>
        </w:rPr>
      </w:pPr>
    </w:p>
    <w:p>
      <w:pPr>
        <w:ind w:left="60" w:right="79" w:firstLine="648"/>
        <w:spacing w:after="0" w:line="235" w:lineRule="auto"/>
        <w:rPr>
          <w:sz w:val="20"/>
          <w:szCs w:val="20"/>
          <w:color w:val="auto"/>
        </w:rPr>
      </w:pPr>
      <w:r>
        <w:rPr>
          <w:rFonts w:ascii="Arial" w:cs="Arial" w:eastAsia="Arial" w:hAnsi="Arial"/>
          <w:sz w:val="18"/>
          <w:szCs w:val="18"/>
          <w:color w:val="auto"/>
        </w:rPr>
        <w:t>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the 2021 sales cycle, more clients have opted for comprehensive coverage, with substantially all of our new clients electing for Progyny Rx, multiple Smart Cycles and/or egg-freezing.</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Landscape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We believe we are the leader in the market for employer-sponsored fertility benefits and family building solutions.</w:t>
      </w:r>
    </w:p>
    <w:p>
      <w:pPr>
        <w:spacing w:after="0" w:line="24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believe we compete favorably based on the following competitive factors:</w:t>
      </w:r>
    </w:p>
    <w:p>
      <w:pPr>
        <w:spacing w:after="0" w:line="225" w:lineRule="exact"/>
        <w:rPr>
          <w:sz w:val="20"/>
          <w:szCs w:val="20"/>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value and comprehensiveness of the benefits solution and superior outcomes for employees;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benefits plan design;</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access for all employees and their covered dependents, including LGBTQ+ and single mothers by choice;</w:t>
      </w:r>
    </w:p>
    <w:p>
      <w:pPr>
        <w:spacing w:after="0" w:line="248" w:lineRule="exact"/>
        <w:rPr>
          <w:rFonts w:ascii="Arial" w:cs="Arial" w:eastAsia="Arial" w:hAnsi="Arial"/>
          <w:sz w:val="16"/>
          <w:szCs w:val="16"/>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equitable access to care across geographies;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treatment plans that maximize effectiveness and achieve desired outcomes;</w:t>
      </w:r>
    </w:p>
    <w:p>
      <w:pPr>
        <w:spacing w:after="0" w:line="225" w:lineRule="exact"/>
        <w:rPr>
          <w:rFonts w:ascii="Arial" w:cs="Arial" w:eastAsia="Arial" w:hAnsi="Arial"/>
          <w:sz w:val="18"/>
          <w:szCs w:val="18"/>
          <w:color w:val="auto"/>
        </w:rPr>
      </w:pPr>
    </w:p>
    <w:p>
      <w:pPr>
        <w:ind w:left="1040" w:right="659" w:hanging="315"/>
        <w:spacing w:after="0" w:line="277" w:lineRule="auto"/>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member experience, including unlimited dedicated patient education, clinical guidance and emotional support;</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a network of high-quality fertility specialists;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data reporting and sharing; and</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access to an integrated pharmacy solution.</w:t>
      </w:r>
    </w:p>
    <w:p>
      <w:pPr>
        <w:spacing w:after="0" w:line="22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While we do not believe any single competitor offers a comparably robust, integrated fertility and family building benefits solution, we compete primarily with health insurance companies and benefits administrators that also provide fertility benefits management services as part of their overall healthcare coverage. These competitors include conventional health insurance carriers, such as UnitedHealthcare, Cigna, Aetna and members of the Blue Cross Blue Shield Association. Other competitors who currently provide fertility benefits management services to employers include WIN Fertility and Optum Fertility Solutions as well as emerging companies such as Carrot Fertility and Maven Clinic, among others.</w:t>
      </w:r>
    </w:p>
    <w:p>
      <w:pPr>
        <w:spacing w:after="0" w:line="16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solutions are structured as a pre-tax benefit program integrated into employers’ overall employee medical insurance, which is unique compared to the offerings of benefits managers new to the industry that do not have integrated health insurance carrier solutions. In addition to our unique plan design, member support and fertility specialist network, one of the key structural differences between our pre-tax benefit and their post-tax reimbursement programs is that the individual receiving reimbursement for fertility treatments must pay income taxes on the amount of that reimbursement for the post-tax programs.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long-term relationships with industry participants and benefits executives at large employers. Our sales team is organized principally by geography and account size and is responsible for identifying potential clients and managing the overall sales process. The success and effectiveness of our sales team is evidenced by the approximately 85 new clients that we added in 2021, and the fact that a majority of our current clients terminated their existing fertility coverage to switch to Progyny.</w:t>
      </w:r>
    </w:p>
    <w:p>
      <w:pPr>
        <w:spacing w:after="0" w:line="177" w:lineRule="exact"/>
        <w:rPr>
          <w:sz w:val="20"/>
          <w:szCs w:val="20"/>
          <w:color w:val="auto"/>
        </w:rPr>
      </w:pPr>
    </w:p>
    <w:p>
      <w:pPr>
        <w:ind w:left="60" w:right="219" w:firstLine="648"/>
        <w:spacing w:after="0" w:line="293" w:lineRule="auto"/>
        <w:rPr>
          <w:sz w:val="20"/>
          <w:szCs w:val="20"/>
          <w:color w:val="auto"/>
        </w:rPr>
      </w:pPr>
      <w:r>
        <w:rPr>
          <w:rFonts w:ascii="Arial" w:cs="Arial" w:eastAsia="Arial" w:hAnsi="Arial"/>
          <w:sz w:val="16"/>
          <w:szCs w:val="16"/>
          <w:color w:val="auto"/>
        </w:rPr>
        <w:t>We generate client leads, accelerate sales opportunities and build brand awareness through our marketing programs. Our marketing programs target human resource, benefits and finance executives in addition to health professionals and senior business leaders. Our principal marketing programs include learning opportunities for potential members, demand generation, field marketing events, integrated marketing campaigns (including direct email and online advertising) and participation in industry events, trade shows and conferences. We also benefit from strong referrals as several of our prominent clients have publicly endorsed Progyny and discussed the value they and their members receive.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color w:val="auto"/>
        </w:rPr>
        <w:t>As a participant in the healthcare industry, we are required to comply with extensive and complex U.S. laws and regulations at the federal and state levels. Although many regulatory and governmental requirements do not directly apply to our business, our clients are required to comply with a variety of U.S. laws, and we may be affected by these laws as a result of our contractual obligations. We have attempted to structure our operations to comply with laws, regulations and other requirements applicable to us directly and to our clients, members, fertility specialists and specialty pharmacies, but there can be no assurance that our operations will not be challenged or impacted by enforcement initiatives.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Healthcare Reform</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It is uncertain how our operations will be affected by the changing political, legislative, and regulatory landscapes, as well as other influences impacting the healthcare industry. While the most salient vehicle for healthcare reform, the Patient Protection and Affordable Care Act, as amended by the Health Care and Education Reconciliation Act, or collectively the ACA, does not directly regulate our business, it does affect the coverage and plan designs that are or will be provided by certain insurance carriers and certain of our clients, as well as the overall reimbursement environment for healthcare providers. Since its enactment in March 2010, there have been judicial, executive and Congressional challenges</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to certain aspects of the ACA, and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as well as single payer or so-called “Medicare-for-All” proposals, which could have far-reaching implications for the healthcare industry if enacted. In October 2020, the Departments of Health and Human Services (“HHS”), Labor (“DOL”) and the Treasury issued a final rule that requires most group health plans and health insurance issuers in the individual and group markets to disclose certain price and cost-sharing information for all covered healthcare items and services, including prescription drugs to participants, beneficiaries and enrollees (the “Rule”). The Rule also requires plans and issuers to disclose in-network negotiated rates, historical out-of-network allowed amounts, and drug pricing information through three publicly available machine-readable files. On August 20, 2021, the agencies jointly released guidance regarding the implementation of the Rule. Importantly, the guidance announced that the agencies will (i) indefinitely defer enforcement of the Rule’s requirement that plans and issuers publish machine-readable files relating to prescription drug pricing pending further rulemaking and (ii) defer enforcement of the Rule’s requirement to publish the remaining machine-readable files until July 1, 2022. The cost-sharing information requirements under the Rule take effect in a phased approach beginning January 1, 2023. On January 28, 2021, President Joe Biden issued an Executive Order directing federal agencies to examine all existing regulations, orders, guidance documents, policies and similar agency 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effective as of December 27, 2021, contains provisions impacting group health plans, including protections for plan participants from surprise medical bills and ensuring health plan price transparency.</w:t>
      </w:r>
    </w:p>
    <w:p>
      <w:pPr>
        <w:spacing w:after="0" w:line="18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Several items pertain to disclosure.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DOL or HHS and the Internal Revenue Services, or the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prohibits providers from charging patients an amount beyond the in-network cost sharing amount for services rendered by out-of-network providers, subject to certain exceptions. Many states have also enacted comprehensive balance billing or surprise billing laws and the CAA defers to existing state requirements with respect to state-established payment amounts. Such state laws vary in their approach, resulting in different impacts on the healthcare system as a whole.</w:t>
      </w:r>
    </w:p>
    <w:p>
      <w:pPr>
        <w:spacing w:after="0" w:line="182"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and on our relationships with current and future clients, insurance carriers, and healthcare providers.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Licensing and Other Legal Requirements</w:t>
      </w:r>
    </w:p>
    <w:p>
      <w:pPr>
        <w:spacing w:after="0" w:line="229"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Many states have licensure or registration requirements for entities providing third-party administrator, or TPA, or pharmacy benefit management, or PBM, services. Given the nature and scope of the solutions and services that we provide, we are required to maintain TPA and/or PBM licenses and registrations in certain jurisdictions and to ensure that such licenses and registrations are in good standing on an annual basis. These licenses require us to comply with the rules and regulations of the governmental bodies that issued such licenses, including maintaining certain solvency or bond requirements. Our failure to comply with such rules and regulations could result in administrative penalties, the suspension of a license, or the loss of a license, all of which could negatively impact our business.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our services require us to be licensed under these state laws. We are unable to predict, however, how our services may be viewed by regulators over time, how these laws and regulations will be interpreted, or the full extent of their application. If a regulatory authority in any state determines that the nature of our business requires that we be licensed under such state laws, we may need to restructure our business to comply with any related requirements.</w:t>
      </w:r>
    </w:p>
    <w:p>
      <w:pPr>
        <w:spacing w:after="0" w:line="178"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b w:val="1"/>
          <w:bCs w:val="1"/>
          <w:i w:val="1"/>
          <w:iCs w:val="1"/>
          <w:color w:val="auto"/>
        </w:rPr>
        <w:t xml:space="preserve">Fraud and Abuse Laws. </w:t>
      </w:r>
      <w:r>
        <w:rPr>
          <w:rFonts w:ascii="Arial" w:cs="Arial" w:eastAsia="Arial" w:hAnsi="Arial"/>
          <w:sz w:val="16"/>
          <w:szCs w:val="16"/>
          <w:color w:val="auto"/>
        </w:rPr>
        <w:t>Many of our clients, insurance carriers, and network healthcare providers are impacted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directly and indirectly by certain fraud and abuse laws, including the federal anti-kickback and false claims laws. Because the solutions we provide are not reimbursed by government healthcare payors, such fraud and abuse laws generally do not directly apply to our business. However, many states have similar laws and regulations that may differ from each other and federal law in significant ways, thus complicating compliance efforts. For example, certain states have anti-kickback and false claims laws that may be broader in scope than analogous federal laws and may apply regardless of payor.</w:t>
      </w:r>
    </w:p>
    <w:p>
      <w:pPr>
        <w:spacing w:after="0" w:line="164"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b w:val="1"/>
          <w:bCs w:val="1"/>
          <w:i w:val="1"/>
          <w:iCs w:val="1"/>
          <w:color w:val="auto"/>
        </w:rPr>
        <w:t xml:space="preserve">ERISA. </w:t>
      </w:r>
      <w:r>
        <w:rPr>
          <w:rFonts w:ascii="Arial" w:cs="Arial" w:eastAsia="Arial" w:hAnsi="Arial"/>
          <w:sz w:val="18"/>
          <w:szCs w:val="18"/>
          <w:color w:val="auto"/>
        </w:rPr>
        <w:t>The Employee Retirement Income Security Act of 1974, or ERISA, regulates certain aspects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 health benefits plans, which includes both insured and self-funded health plans sponsored by our clients, with which we have agreements to provide TPA services. Although health plans and their fiduciaries are subject to the fiduciary obligations of ERISA, we believe that we are not fiduciaries in the conduct of our business vis-a-vis these plans. However, there can be no assurance the DOL, which is the agency that enforces ERISA, would not in the future assert that the fiduciary obligations imposed by ERISA apply to certain aspects of our operations or courts would not reach such a ruling in private ERISA litigation.</w:t>
      </w:r>
    </w:p>
    <w:p>
      <w:pPr>
        <w:spacing w:after="0" w:line="195"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ERISA also imposes civil and criminal liability on service providers and certain other persons with relationships to health plans subject to ERISA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w:t>
      </w:r>
    </w:p>
    <w:p>
      <w:pPr>
        <w:spacing w:after="0" w:line="178" w:lineRule="exact"/>
        <w:rPr>
          <w:sz w:val="20"/>
          <w:szCs w:val="20"/>
          <w:color w:val="auto"/>
        </w:rPr>
      </w:pPr>
    </w:p>
    <w:p>
      <w:pPr>
        <w:jc w:val="both"/>
        <w:ind w:left="60" w:right="279" w:firstLine="648"/>
        <w:spacing w:after="0" w:line="259" w:lineRule="auto"/>
        <w:rPr>
          <w:sz w:val="20"/>
          <w:szCs w:val="20"/>
          <w:color w:val="auto"/>
        </w:rPr>
      </w:pPr>
      <w:r>
        <w:rPr>
          <w:rFonts w:ascii="Arial" w:cs="Arial" w:eastAsia="Arial" w:hAnsi="Arial"/>
          <w:sz w:val="18"/>
          <w:szCs w:val="18"/>
          <w:color w:val="auto"/>
        </w:rPr>
        <w:t>Employee benefits plans subject to ERISA are subject to certain rules, published by the DOL, including certain reporting requirements for direct and indirect compensation received by plan service providers. Finally, although ERISA has broad preemptive effect with respect to certain state laws that “relate” to benefit plans, it does not preempt state laws imposing transparency requirements on PBMs.</w:t>
      </w:r>
    </w:p>
    <w:p>
      <w:pPr>
        <w:spacing w:after="0" w:line="187"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b w:val="1"/>
          <w:bCs w:val="1"/>
          <w:i w:val="1"/>
          <w:iCs w:val="1"/>
          <w:color w:val="auto"/>
        </w:rPr>
        <w:t xml:space="preserve">Prompt Pay Laws. </w:t>
      </w:r>
      <w:r>
        <w:rPr>
          <w:rFonts w:ascii="Arial" w:cs="Arial" w:eastAsia="Arial" w:hAnsi="Arial"/>
          <w:sz w:val="16"/>
          <w:szCs w:val="16"/>
          <w:color w:val="auto"/>
        </w:rPr>
        <w:t>Certain states have laws regulating the amount of time that may elapse from when a third-party payor receives a claim for services rendered to when those services are paid. Many of these state laws do not apply to our business as these laws are preempted by ERISA or otherwise exempt entities like us that provide TPA-only services.</w:t>
      </w:r>
    </w:p>
    <w:p>
      <w:pPr>
        <w:spacing w:after="0" w:line="149" w:lineRule="exact"/>
        <w:rPr>
          <w:sz w:val="20"/>
          <w:szCs w:val="20"/>
          <w:color w:val="auto"/>
        </w:rPr>
      </w:pPr>
    </w:p>
    <w:p>
      <w:pPr>
        <w:ind w:left="60" w:right="59"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Network Adequacy and Access. </w:t>
      </w:r>
      <w:r>
        <w:rPr>
          <w:rFonts w:ascii="Arial" w:cs="Arial" w:eastAsia="Arial" w:hAnsi="Arial"/>
          <w:sz w:val="18"/>
          <w:szCs w:val="18"/>
          <w:color w:val="auto"/>
        </w:rPr>
        <w:t>Certain states and government programs have laws regulating healthcare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provider networks in order to ensure adequacy and access for beneficiaries and providers. These laws may affect us and our payor clients in network design and management. If we do not comply, we could face enforcement action or other penalties.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Requirements Regarding the Privacy and Security of Personal Information</w:t>
      </w:r>
    </w:p>
    <w:p>
      <w:pPr>
        <w:spacing w:after="0" w:line="229" w:lineRule="exact"/>
        <w:rPr>
          <w:sz w:val="20"/>
          <w:szCs w:val="20"/>
          <w:color w:val="auto"/>
        </w:rPr>
      </w:pPr>
    </w:p>
    <w:p>
      <w:pPr>
        <w:ind w:left="60" w:right="179" w:firstLine="648"/>
        <w:spacing w:after="0" w:line="293" w:lineRule="auto"/>
        <w:rPr>
          <w:sz w:val="20"/>
          <w:szCs w:val="20"/>
          <w:color w:val="auto"/>
        </w:rPr>
      </w:pPr>
      <w:r>
        <w:rPr>
          <w:rFonts w:ascii="Arial" w:cs="Arial" w:eastAsia="Arial" w:hAnsi="Arial"/>
          <w:sz w:val="16"/>
          <w:szCs w:val="16"/>
          <w:b w:val="1"/>
          <w:bCs w:val="1"/>
          <w:i w:val="1"/>
          <w:iCs w:val="1"/>
          <w:color w:val="auto"/>
        </w:rPr>
        <w:t xml:space="preserve">HIPAA Privacy and Security Requirements. </w:t>
      </w:r>
      <w:r>
        <w:rPr>
          <w:rFonts w:ascii="Arial" w:cs="Arial" w:eastAsia="Arial" w:hAnsi="Arial"/>
          <w:sz w:val="16"/>
          <w:szCs w:val="16"/>
          <w:color w:val="auto"/>
        </w:rPr>
        <w:t>Regulations promulgated pursuant to the Health Insurance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Portability and Accountability Act of 1996, as amended by the Health Information Technology for Economic and Clinical Health Act, or collectively referred to as HIPAA, establish privacy 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w:t>
      </w:r>
    </w:p>
    <w:p>
      <w:pPr>
        <w:spacing w:after="0" w:line="164" w:lineRule="exact"/>
        <w:rPr>
          <w:sz w:val="20"/>
          <w:szCs w:val="20"/>
          <w:color w:val="auto"/>
        </w:rPr>
      </w:pPr>
    </w:p>
    <w:p>
      <w:pPr>
        <w:ind w:left="60" w:right="399" w:firstLine="648"/>
        <w:spacing w:after="0" w:line="311" w:lineRule="auto"/>
        <w:rPr>
          <w:sz w:val="20"/>
          <w:szCs w:val="20"/>
          <w:color w:val="auto"/>
        </w:rPr>
      </w:pPr>
      <w:r>
        <w:rPr>
          <w:rFonts w:ascii="Arial" w:cs="Arial" w:eastAsia="Arial" w:hAnsi="Arial"/>
          <w:sz w:val="16"/>
          <w:szCs w:val="16"/>
          <w:color w:val="auto"/>
        </w:rPr>
        <w:t>As a provider of services to entities subject to HIPAA, we are directly subject to certain provisions of the regulations as a “Business Associate.” When acting as a Business Associate under HIPAA, we are permitted to use and disclose protected health information to perform our services and for other limited purposes, but other uses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7" w:lineRule="auto"/>
        <w:rPr>
          <w:sz w:val="20"/>
          <w:szCs w:val="20"/>
          <w:color w:val="auto"/>
        </w:rPr>
      </w:pPr>
      <w:r>
        <w:rPr>
          <w:rFonts w:ascii="Arial" w:cs="Arial" w:eastAsia="Arial" w:hAnsi="Arial"/>
          <w:sz w:val="18"/>
          <w:szCs w:val="18"/>
          <w:color w:val="auto"/>
        </w:rPr>
        <w:t>disclosures, such as marketing communications, require written authorization from the patient or must meet an exception specified under the privacy regulations.</w:t>
      </w:r>
    </w:p>
    <w:p>
      <w:pPr>
        <w:spacing w:after="0" w:line="170" w:lineRule="exact"/>
        <w:rPr>
          <w:sz w:val="20"/>
          <w:szCs w:val="20"/>
          <w:color w:val="auto"/>
        </w:rPr>
      </w:pPr>
    </w:p>
    <w:p>
      <w:pPr>
        <w:ind w:left="60" w:right="99" w:firstLine="648"/>
        <w:spacing w:after="0" w:line="267" w:lineRule="auto"/>
        <w:rPr>
          <w:sz w:val="20"/>
          <w:szCs w:val="20"/>
          <w:color w:val="auto"/>
        </w:rPr>
      </w:pPr>
      <w:r>
        <w:rPr>
          <w:rFonts w:ascii="Arial" w:cs="Arial" w:eastAsia="Arial" w:hAnsi="Arial"/>
          <w:sz w:val="17"/>
          <w:szCs w:val="17"/>
          <w:b w:val="1"/>
          <w:bCs w:val="1"/>
          <w:i w:val="1"/>
          <w:iCs w:val="1"/>
          <w:color w:val="auto"/>
        </w:rPr>
        <w:t xml:space="preserve">Other Privacy and Security Requirements. </w:t>
      </w:r>
      <w:r>
        <w:rPr>
          <w:rFonts w:ascii="Arial" w:cs="Arial" w:eastAsia="Arial" w:hAnsi="Arial"/>
          <w:sz w:val="17"/>
          <w:szCs w:val="17"/>
          <w:color w:val="auto"/>
        </w:rPr>
        <w:t>In addition to HIPAA, there are various federal and state laws that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State laws are contributing to increased enforcement activity and may also be subject to interpretation by various courts and other governmental authorities. Further, California recently enacted the California Consumer Privacy Act, or CCPA, which went into operation on January 1, 2020. The CCPA gives California residents expanded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or the CPRA, recently passed in California. The CPRA will impose additional data protection obligations on covered businesses, including additional consumer rights processes, limitations of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 level, reflecting a trend toward more stringent privacy legislation in the United States. The majority of these laws have express exemptions relating to any data handled pursuant to HIPAA, so many of these state laws do not supersede or conflict with any rules and requirements of HIPAA. However, the enactment of some state laws could still have potentially conflicting requirements that would make compliance challenging.</w:t>
      </w:r>
    </w:p>
    <w:p>
      <w:pPr>
        <w:spacing w:after="0" w:line="185"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b w:val="1"/>
          <w:bCs w:val="1"/>
          <w:i w:val="1"/>
          <w:iCs w:val="1"/>
          <w:color w:val="auto"/>
        </w:rPr>
        <w:t xml:space="preserve">Data Protection and Breaches. </w:t>
      </w:r>
      <w:r>
        <w:rPr>
          <w:rFonts w:ascii="Arial" w:cs="Arial" w:eastAsia="Arial" w:hAnsi="Arial"/>
          <w:sz w:val="17"/>
          <w:szCs w:val="17"/>
          <w:color w:val="auto"/>
        </w:rPr>
        <w:t>Laws in all 50 states require businesses to provide notice to clients whose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personally identifiable information has been disclosed as a result of a data breach. Most states require holders of personal information to maintain safeguards and take certain actions in response to a data breach, such as providing prompt notification of the breach to affected individuals or the state’s attorney general.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 As a Business Associate under HIPAA, we are required to report breaches of unsecured protected health information to Covered Entities within 60 days of discovery of the breach or such shorter period as set forth in the applicable Business Associate Agreement.</w:t>
      </w:r>
    </w:p>
    <w:p>
      <w:pPr>
        <w:spacing w:after="0" w:line="181" w:lineRule="exact"/>
        <w:rPr>
          <w:sz w:val="20"/>
          <w:szCs w:val="20"/>
          <w:color w:val="auto"/>
        </w:rPr>
      </w:pPr>
    </w:p>
    <w:p>
      <w:pPr>
        <w:ind w:left="60" w:right="59" w:firstLine="648"/>
        <w:spacing w:after="0" w:line="273" w:lineRule="auto"/>
        <w:rPr>
          <w:sz w:val="20"/>
          <w:szCs w:val="20"/>
          <w:color w:val="auto"/>
        </w:rPr>
      </w:pPr>
      <w:r>
        <w:rPr>
          <w:rFonts w:ascii="Arial" w:cs="Arial" w:eastAsia="Arial" w:hAnsi="Arial"/>
          <w:sz w:val="17"/>
          <w:szCs w:val="17"/>
          <w:b w:val="1"/>
          <w:bCs w:val="1"/>
          <w:i w:val="1"/>
          <w:iCs w:val="1"/>
          <w:color w:val="auto"/>
        </w:rPr>
        <w:t xml:space="preserve">HIPAA Transaction and Identifier Standards. </w:t>
      </w:r>
      <w:r>
        <w:rPr>
          <w:rFonts w:ascii="Arial" w:cs="Arial" w:eastAsia="Arial" w:hAnsi="Arial"/>
          <w:sz w:val="17"/>
          <w:szCs w:val="17"/>
          <w:color w:val="auto"/>
        </w:rPr>
        <w:t>HIPAA and its implementing regulations mandate format and data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content standards and provider identifier standards (known as the National Provider Identifier) that must be used in certain electronic transactions, such as claims, payment advice and eligibility inquiries. HHS now requires the use of updated standard code sets for diagnoses and procedures known as the ICD-10 code sets. Enforcement of compliance with these standards falls under HHS and is carried out by CMS. In the event new requirements are imposed, we will be required to modify our systems and processes to accommodate these changes.</w:t>
      </w:r>
    </w:p>
    <w:p>
      <w:pPr>
        <w:spacing w:after="0" w:line="178" w:lineRule="exact"/>
        <w:rPr>
          <w:sz w:val="20"/>
          <w:szCs w:val="20"/>
          <w:color w:val="auto"/>
        </w:rPr>
      </w:pPr>
    </w:p>
    <w:p>
      <w:pPr>
        <w:ind w:left="60" w:right="99" w:firstLine="648"/>
        <w:spacing w:after="0" w:line="290" w:lineRule="auto"/>
        <w:rPr>
          <w:sz w:val="20"/>
          <w:szCs w:val="20"/>
          <w:color w:val="auto"/>
        </w:rPr>
      </w:pPr>
      <w:r>
        <w:rPr>
          <w:rFonts w:ascii="Arial" w:cs="Arial" w:eastAsia="Arial" w:hAnsi="Arial"/>
          <w:sz w:val="16"/>
          <w:szCs w:val="16"/>
          <w:b w:val="1"/>
          <w:bCs w:val="1"/>
          <w:i w:val="1"/>
          <w:iCs w:val="1"/>
          <w:color w:val="auto"/>
        </w:rPr>
        <w:t xml:space="preserve">Consumer Protection Laws. </w:t>
      </w:r>
      <w:r>
        <w:rPr>
          <w:rFonts w:ascii="Arial" w:cs="Arial" w:eastAsia="Arial" w:hAnsi="Arial"/>
          <w:sz w:val="16"/>
          <w:szCs w:val="16"/>
          <w:color w:val="auto"/>
        </w:rPr>
        <w:t>Federal and state consumer protection laws are being applied increasingly by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our members that describe how we handle personal information and choices members may have about the way we handle personal information. If such information that we publish is considered untrue, we may be subject to government claims of unfair or deceptive trade practices, which could lead to significant liabilities and consequences.</w:t>
      </w:r>
    </w:p>
    <w:p>
      <w:pPr>
        <w:spacing w:after="0" w:line="165" w:lineRule="exact"/>
        <w:rPr>
          <w:sz w:val="20"/>
          <w:szCs w:val="20"/>
          <w:color w:val="auto"/>
        </w:rPr>
      </w:pPr>
    </w:p>
    <w:p>
      <w:pPr>
        <w:ind w:left="60" w:right="359" w:firstLine="648"/>
        <w:spacing w:after="0" w:line="296" w:lineRule="auto"/>
        <w:rPr>
          <w:sz w:val="20"/>
          <w:szCs w:val="20"/>
          <w:color w:val="auto"/>
        </w:rPr>
      </w:pPr>
      <w:r>
        <w:rPr>
          <w:rFonts w:ascii="Arial" w:cs="Arial" w:eastAsia="Arial" w:hAnsi="Arial"/>
          <w:sz w:val="16"/>
          <w:szCs w:val="16"/>
          <w:b w:val="1"/>
          <w:bCs w:val="1"/>
          <w:i w:val="1"/>
          <w:iCs w:val="1"/>
          <w:color w:val="auto"/>
        </w:rPr>
        <w:t xml:space="preserve">Restrictions on Communication. </w:t>
      </w:r>
      <w:r>
        <w:rPr>
          <w:rFonts w:ascii="Arial" w:cs="Arial" w:eastAsia="Arial" w:hAnsi="Arial"/>
          <w:sz w:val="16"/>
          <w:szCs w:val="16"/>
          <w:color w:val="auto"/>
        </w:rPr>
        <w:t>Communications with our members increasingly may be subject to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platforms and devices could adversely impact our business, financial condition and results of operations or subject us to fines or other penalties.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We rely on trademarks, copyrights, trade secrets,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our relationships with providers and clients, unique benefits model, ability to track outcomes and creation of resources for all constituents, along with the skills and ingenuity of our employees, are larger contributors to our success our company. Other than the trademark Progyny (and design), Smart Cycle and UnPack It, which are not subject to any known rights of others, including any impairments, assignments or pledges, we do not believe our business is dependent to a material degree on trademarks, patents, copyrights or trade secrets.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19" w:lineRule="exact"/>
        <w:rPr>
          <w:sz w:val="20"/>
          <w:szCs w:val="20"/>
          <w:color w:val="auto"/>
        </w:rPr>
      </w:pPr>
    </w:p>
    <w:p>
      <w:pPr>
        <w:ind w:left="60" w:right="99" w:firstLine="648"/>
        <w:spacing w:after="0" w:line="231" w:lineRule="auto"/>
        <w:rPr>
          <w:sz w:val="20"/>
          <w:szCs w:val="20"/>
          <w:color w:val="auto"/>
        </w:rPr>
      </w:pPr>
      <w:r>
        <w:rPr>
          <w:rFonts w:ascii="Arial" w:cs="Arial" w:eastAsia="Arial" w:hAnsi="Arial"/>
          <w:sz w:val="18"/>
          <w:szCs w:val="18"/>
          <w:color w:val="auto"/>
        </w:rPr>
        <w:t>Given that the majority of our clients contract with us for a January 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benefits plan start date, the first quarter has historically been the strongest in terms of sequential quarterly growth. We have in the past and expect in the future to experience seasonal fluctuations in our revenue as more members choose to start their fertility journey while also seeking to minimize their out-of-pocket costs as the calendar year progresses.</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 and Human Capital</w:t>
      </w:r>
    </w:p>
    <w:p>
      <w:pPr>
        <w:spacing w:after="0" w:line="229" w:lineRule="exact"/>
        <w:rPr>
          <w:sz w:val="20"/>
          <w:szCs w:val="20"/>
          <w:color w:val="auto"/>
        </w:rPr>
      </w:pPr>
    </w:p>
    <w:p>
      <w:pPr>
        <w:ind w:left="60" w:right="119" w:firstLine="630"/>
        <w:spacing w:after="0" w:line="272" w:lineRule="auto"/>
        <w:rPr>
          <w:sz w:val="20"/>
          <w:szCs w:val="20"/>
          <w:color w:val="auto"/>
        </w:rPr>
      </w:pPr>
      <w:r>
        <w:rPr>
          <w:rFonts w:ascii="Arial" w:cs="Arial" w:eastAsia="Arial" w:hAnsi="Arial"/>
          <w:sz w:val="17"/>
          <w:szCs w:val="17"/>
          <w:color w:val="auto"/>
        </w:rPr>
        <w:t>As of December 31, 2021, we had 313 employees, of which 311 are full-time. Our employees are our most important asset and our culture is a key to our success. In response to the COVID-19 pandemic, we implemented significant changes designed to ensure the safety and well-being of our employees as well as the communities in which we operate. For instance, we implemented a remote working policy for all of our employees. We have recently re-opened our corporate offices to employees on a hybrid basis, while implementing additional safety measures and protocols. We are committed to creating and maintaining a healthy and safe workplace for our employees. We have not furloughed or laid off any employees due to the ongoing pandemic.</w:t>
      </w:r>
    </w:p>
    <w:p>
      <w:pPr>
        <w:spacing w:after="0" w:line="177" w:lineRule="exact"/>
        <w:rPr>
          <w:sz w:val="20"/>
          <w:szCs w:val="20"/>
          <w:color w:val="auto"/>
        </w:rPr>
      </w:pPr>
    </w:p>
    <w:p>
      <w:pPr>
        <w:ind w:left="60" w:right="159" w:firstLine="324"/>
        <w:spacing w:after="0" w:line="286" w:lineRule="auto"/>
        <w:rPr>
          <w:sz w:val="20"/>
          <w:szCs w:val="20"/>
          <w:color w:val="auto"/>
        </w:rPr>
      </w:pPr>
      <w:r>
        <w:rPr>
          <w:rFonts w:ascii="Arial" w:cs="Arial" w:eastAsia="Arial" w:hAnsi="Arial"/>
          <w:sz w:val="17"/>
          <w:szCs w:val="17"/>
          <w:color w:val="auto"/>
        </w:rPr>
        <w:t>We are united around our mission and committed to our shared values of Passion, Collaboration, Innovation, Integrity and Growth. Our people strategy is focused on employee culture and engagement, competitive compensation and development, diversity, equity and inclusion, and community outreach and support.</w:t>
      </w:r>
    </w:p>
    <w:p>
      <w:pPr>
        <w:spacing w:after="0" w:line="165" w:lineRule="exact"/>
        <w:rPr>
          <w:sz w:val="20"/>
          <w:szCs w:val="20"/>
          <w:color w:val="auto"/>
        </w:rPr>
      </w:pPr>
    </w:p>
    <w:p>
      <w:pPr>
        <w:ind w:left="720" w:right="99" w:hanging="319"/>
        <w:spacing w:after="0" w:line="270"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Culture and Engagement. </w:t>
      </w:r>
      <w:r>
        <w:rPr>
          <w:rFonts w:ascii="Arial" w:cs="Arial" w:eastAsia="Arial" w:hAnsi="Arial"/>
          <w:sz w:val="17"/>
          <w:szCs w:val="17"/>
          <w:color w:val="auto"/>
        </w:rPr>
        <w:t>Our benefits are designed to help employees and their families stay healthy, meet their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goals, protect their income and help them balance their work and personal lives. These include access to mental health services, life and financial planning workshops, wellness initiatives, employee assistance programs, and new parent and return to work benefits. We also measure employee engagement on an ongoing basis, including through broad employee satisfaction surveys and pulse surveys on specific issues, intended to assess our success in promoting an environment where employees are engaged, satisfied, productive and possess a strong understanding of our business goals. The results from engagement surveys are used to implement programs and processes designed to enhance employee engagement and improve the employee experience or modify existing programs and benefits offerings.</w:t>
      </w:r>
    </w:p>
    <w:p>
      <w:pPr>
        <w:spacing w:after="0" w:line="180" w:lineRule="exact"/>
        <w:rPr>
          <w:rFonts w:ascii="Arial" w:cs="Arial" w:eastAsia="Arial" w:hAnsi="Arial"/>
          <w:sz w:val="17"/>
          <w:szCs w:val="17"/>
          <w:color w:val="auto"/>
        </w:rPr>
      </w:pPr>
    </w:p>
    <w:p>
      <w:pPr>
        <w:ind w:left="720" w:right="179" w:hanging="319"/>
        <w:spacing w:after="0" w:line="269" w:lineRule="auto"/>
        <w:tabs>
          <w:tab w:leader="none" w:pos="720" w:val="left"/>
        </w:tabs>
        <w:numPr>
          <w:ilvl w:val="0"/>
          <w:numId w:val="13"/>
        </w:numPr>
        <w:rPr>
          <w:rFonts w:ascii="Arial" w:cs="Arial" w:eastAsia="Arial" w:hAnsi="Arial"/>
          <w:sz w:val="17"/>
          <w:szCs w:val="17"/>
          <w:color w:val="auto"/>
        </w:rPr>
      </w:pPr>
      <w:r>
        <w:rPr>
          <w:rFonts w:ascii="Arial" w:cs="Arial" w:eastAsia="Arial" w:hAnsi="Arial"/>
          <w:sz w:val="17"/>
          <w:szCs w:val="17"/>
          <w:i w:val="1"/>
          <w:iCs w:val="1"/>
          <w:color w:val="auto"/>
        </w:rPr>
        <w:t xml:space="preserve">Competitive Compensation and Development. </w:t>
      </w:r>
      <w:r>
        <w:rPr>
          <w:rFonts w:ascii="Arial" w:cs="Arial" w:eastAsia="Arial" w:hAnsi="Arial"/>
          <w:sz w:val="17"/>
          <w:szCs w:val="17"/>
          <w:color w:val="auto"/>
        </w:rPr>
        <w:t>We invest in our workforce by offering competitive salaries,</w:t>
      </w:r>
      <w:r>
        <w:rPr>
          <w:rFonts w:ascii="Arial" w:cs="Arial" w:eastAsia="Arial" w:hAnsi="Arial"/>
          <w:sz w:val="17"/>
          <w:szCs w:val="17"/>
          <w:i w:val="1"/>
          <w:iCs w:val="1"/>
          <w:color w:val="auto"/>
        </w:rPr>
        <w:t xml:space="preserve"> </w:t>
      </w:r>
      <w:r>
        <w:rPr>
          <w:rFonts w:ascii="Arial" w:cs="Arial" w:eastAsia="Arial" w:hAnsi="Arial"/>
          <w:sz w:val="17"/>
          <w:szCs w:val="17"/>
          <w:color w:val="auto"/>
        </w:rPr>
        <w:t>attractive incentives and innovative benefits. We focus on creating opportunities for employee growth, development and training, including opportunities to cultivate talent and identify candidates for new roles from within the company, management and leadership development programs, technical skill building initiatives and mentoring programs. We include the Progyny benefit in our own health plan, allowing Progyny employees to realize their dreams of parenthood. We offer paid parental leave for new parents and offer a pregnancy loss leave benefit as an enhancement to our bereavement leave policy, explicitly recognizing the physical, emotional, and mental health impact of a pregnancy loss, or failed adoption or surrogacy, for any employee. We also offer additional paid leave to all employees to support other family health and care challenges. Additionally, we expanded our mental health resources to assist our employees with managing the stresses and uncertainties associated with COVID-19.</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9" w:hanging="319"/>
        <w:spacing w:after="0" w:line="271"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Diversity, Equity and Inclusion</w:t>
      </w:r>
      <w:r>
        <w:rPr>
          <w:rFonts w:ascii="Arial" w:cs="Arial" w:eastAsia="Arial" w:hAnsi="Arial"/>
          <w:sz w:val="17"/>
          <w:szCs w:val="17"/>
          <w:color w:val="auto"/>
        </w:rPr>
        <w:t>. We believe diversity, equity and inclusion results in business growth and</w:t>
      </w:r>
      <w:r>
        <w:rPr>
          <w:rFonts w:ascii="Arial" w:cs="Arial" w:eastAsia="Arial" w:hAnsi="Arial"/>
          <w:sz w:val="17"/>
          <w:szCs w:val="17"/>
          <w:i w:val="1"/>
          <w:iCs w:val="1"/>
          <w:color w:val="auto"/>
        </w:rPr>
        <w:t xml:space="preserve"> </w:t>
      </w:r>
      <w:r>
        <w:rPr>
          <w:rFonts w:ascii="Arial" w:cs="Arial" w:eastAsia="Arial" w:hAnsi="Arial"/>
          <w:sz w:val="17"/>
          <w:szCs w:val="17"/>
          <w:color w:val="auto"/>
        </w:rPr>
        <w:t>encourages increased innovation, retention of talent and a more engaged workforce. We strive to create a workplace where all individuals feel valued, empowered and welcomed. Our key initiatives focus on recruiting outreach, internal resource groups representing employees and allies from historically underrepresented and/or marginalized communities, mentoring programs and career development ladders. We published our first corporate sustainability report on our website, which further highlights our approach to diversity and inclusion, and we also publish EEO-1 reports on our website. Nothing on our website shall be deemed incorporated by reference into this Annual Report on Form 10-K.</w:t>
      </w:r>
    </w:p>
    <w:p>
      <w:pPr>
        <w:spacing w:after="0" w:line="178" w:lineRule="exact"/>
        <w:rPr>
          <w:rFonts w:ascii="Arial" w:cs="Arial" w:eastAsia="Arial" w:hAnsi="Arial"/>
          <w:sz w:val="17"/>
          <w:szCs w:val="17"/>
          <w:color w:val="auto"/>
        </w:rPr>
      </w:pPr>
    </w:p>
    <w:p>
      <w:pPr>
        <w:ind w:left="720" w:right="159" w:hanging="319"/>
        <w:spacing w:after="0" w:line="275" w:lineRule="auto"/>
        <w:tabs>
          <w:tab w:leader="none" w:pos="720" w:val="left"/>
        </w:tabs>
        <w:numPr>
          <w:ilvl w:val="0"/>
          <w:numId w:val="14"/>
        </w:numPr>
        <w:rPr>
          <w:rFonts w:ascii="Arial" w:cs="Arial" w:eastAsia="Arial" w:hAnsi="Arial"/>
          <w:sz w:val="17"/>
          <w:szCs w:val="17"/>
          <w:color w:val="auto"/>
        </w:rPr>
      </w:pPr>
      <w:r>
        <w:rPr>
          <w:rFonts w:ascii="Arial" w:cs="Arial" w:eastAsia="Arial" w:hAnsi="Arial"/>
          <w:sz w:val="17"/>
          <w:szCs w:val="17"/>
          <w:i w:val="1"/>
          <w:iCs w:val="1"/>
          <w:color w:val="auto"/>
        </w:rPr>
        <w:t>Community Outreach and Support</w:t>
      </w:r>
      <w:r>
        <w:rPr>
          <w:rFonts w:ascii="Arial" w:cs="Arial" w:eastAsia="Arial" w:hAnsi="Arial"/>
          <w:sz w:val="17"/>
          <w:szCs w:val="17"/>
          <w:color w:val="auto"/>
        </w:rPr>
        <w:t>. We believe it is important to give back and promote community outreach and</w:t>
      </w:r>
      <w:r>
        <w:rPr>
          <w:rFonts w:ascii="Arial" w:cs="Arial" w:eastAsia="Arial" w:hAnsi="Arial"/>
          <w:sz w:val="17"/>
          <w:szCs w:val="17"/>
          <w:i w:val="1"/>
          <w:iCs w:val="1"/>
          <w:color w:val="auto"/>
        </w:rPr>
        <w:t xml:space="preserve"> </w:t>
      </w:r>
      <w:r>
        <w:rPr>
          <w:rFonts w:ascii="Arial" w:cs="Arial" w:eastAsia="Arial" w:hAnsi="Arial"/>
          <w:sz w:val="17"/>
          <w:szCs w:val="17"/>
          <w:color w:val="auto"/>
        </w:rPr>
        <w:t>support through corporate giving, charitable matching, and employee volunteerism in the communities in which we live and work. We allow flexible work hours to accommodate employee volunteer opportunities, provide corporate sponsored charitable events and have designed initiatives in the fertility and maternal health space to include corporate matching of employee charitable donations.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 xml:space="preserve">We were incorporated in Delaware in 2008 under the name Auxogen Bioscience, Inc. In 2010, we changed our name to Auxogen, Inc. and in 2015 we changed our name to Progyny, Inc. Our principal executive offices are located at 1359 Broadway, New York, New York 10018, and our telephone number is (212) 888-3124. Our website address is </w:t>
      </w:r>
      <w:r>
        <w:rPr>
          <w:rFonts w:ascii="Arial" w:cs="Arial" w:eastAsia="Arial" w:hAnsi="Arial"/>
          <w:sz w:val="18"/>
          <w:szCs w:val="18"/>
          <w:i w:val="1"/>
          <w:iCs w:val="1"/>
          <w:color w:val="auto"/>
        </w:rPr>
        <w:t>www.progyny.com</w:t>
      </w:r>
      <w:r>
        <w:rPr>
          <w:rFonts w:ascii="Arial" w:cs="Arial" w:eastAsia="Arial" w:hAnsi="Arial"/>
          <w:sz w:val="18"/>
          <w:szCs w:val="18"/>
          <w:color w:val="auto"/>
        </w:rPr>
        <w:t>. Information contained on, or that can be accessed through, our website is not incorporated by reference</w:t>
      </w:r>
      <w:r>
        <w:rPr>
          <w:rFonts w:ascii="Arial" w:cs="Arial" w:eastAsia="Arial" w:hAnsi="Arial"/>
          <w:sz w:val="18"/>
          <w:szCs w:val="18"/>
          <w:i w:val="1"/>
          <w:iCs w:val="1"/>
          <w:color w:val="auto"/>
        </w:rPr>
        <w:t xml:space="preserve"> </w:t>
      </w:r>
      <w:r>
        <w:rPr>
          <w:rFonts w:ascii="Arial" w:cs="Arial" w:eastAsia="Arial" w:hAnsi="Arial"/>
          <w:sz w:val="18"/>
          <w:szCs w:val="18"/>
          <w:color w:val="auto"/>
        </w:rPr>
        <w:t>into this Annual Report on Form 10-K, and should not consider information on our website to be part of this Annual Report on Form 10-K.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ind w:left="60" w:right="139" w:firstLine="648"/>
        <w:spacing w:after="0" w:line="272" w:lineRule="auto"/>
        <w:rPr>
          <w:sz w:val="20"/>
          <w:szCs w:val="20"/>
          <w:color w:val="auto"/>
        </w:rPr>
      </w:pPr>
      <w:r>
        <w:rPr>
          <w:rFonts w:ascii="Arial" w:cs="Arial" w:eastAsia="Arial" w:hAnsi="Arial"/>
          <w:sz w:val="17"/>
          <w:szCs w:val="17"/>
          <w:color w:val="auto"/>
        </w:rPr>
        <w:t xml:space="preserve">We file electronically with the SEC, our annual reports on Form 10-K, quarterly reports on Form 10-Q, current reports on Form 8-K (including amendments to those reports), proxy statements, and other information. Our SEC filings are available to the public over the Internet at the SEC’s website at </w:t>
      </w:r>
      <w:r>
        <w:rPr>
          <w:rFonts w:ascii="Arial" w:cs="Arial" w:eastAsia="Arial" w:hAnsi="Arial"/>
          <w:sz w:val="17"/>
          <w:szCs w:val="17"/>
          <w:i w:val="1"/>
          <w:iCs w:val="1"/>
          <w:color w:val="auto"/>
        </w:rPr>
        <w:t>http://www.sec.gov</w:t>
      </w:r>
      <w:r>
        <w:rPr>
          <w:rFonts w:ascii="Arial" w:cs="Arial" w:eastAsia="Arial" w:hAnsi="Arial"/>
          <w:sz w:val="17"/>
          <w:szCs w:val="17"/>
          <w:color w:val="auto"/>
        </w:rPr>
        <w:t xml:space="preserve">. We make available on our website at </w:t>
      </w:r>
      <w:r>
        <w:rPr>
          <w:rFonts w:ascii="Arial" w:cs="Arial" w:eastAsia="Arial" w:hAnsi="Arial"/>
          <w:sz w:val="17"/>
          <w:szCs w:val="17"/>
          <w:i w:val="1"/>
          <w:iCs w:val="1"/>
          <w:color w:val="auto"/>
        </w:rPr>
        <w:t>investors.progyny.com</w:t>
      </w:r>
      <w:r>
        <w:rPr>
          <w:rFonts w:ascii="Arial" w:cs="Arial" w:eastAsia="Arial" w:hAnsi="Arial"/>
          <w:sz w:val="17"/>
          <w:szCs w:val="17"/>
          <w:color w:val="auto"/>
        </w:rPr>
        <w:t>, under “Financials—SEC Filings,” free of charge, copies of these reports as soon as reasonably practicable after filing or furnishing these reports with the SEC. The information contained on the websites referenced in this Annual Report on Form 10-K is not incorporated by reference into this filing. Further, our references to website URLs are intended to be inactive textual references only.</w:t>
      </w:r>
    </w:p>
    <w:p>
      <w:pPr>
        <w:spacing w:after="0" w:line="177" w:lineRule="exact"/>
        <w:rPr>
          <w:sz w:val="20"/>
          <w:szCs w:val="20"/>
          <w:color w:val="auto"/>
        </w:rPr>
      </w:pPr>
    </w:p>
    <w:p>
      <w:pPr>
        <w:ind w:left="60" w:right="299" w:firstLine="648"/>
        <w:spacing w:after="0" w:line="275" w:lineRule="auto"/>
        <w:rPr>
          <w:sz w:val="20"/>
          <w:szCs w:val="20"/>
          <w:color w:val="auto"/>
        </w:rPr>
      </w:pPr>
      <w:r>
        <w:rPr>
          <w:rFonts w:ascii="Arial" w:cs="Arial" w:eastAsia="Arial" w:hAnsi="Arial"/>
          <w:sz w:val="17"/>
          <w:szCs w:val="17"/>
          <w:color w:val="auto"/>
        </w:rPr>
        <w:t xml:space="preserve">We announce material information to the public through filings with the SEC, our investor relations website at </w:t>
      </w:r>
      <w:r>
        <w:rPr>
          <w:rFonts w:ascii="Arial" w:cs="Arial" w:eastAsia="Arial" w:hAnsi="Arial"/>
          <w:sz w:val="17"/>
          <w:szCs w:val="17"/>
          <w:i w:val="1"/>
          <w:iCs w:val="1"/>
          <w:color w:val="auto"/>
        </w:rPr>
        <w:t>investors.progyny.com</w:t>
      </w:r>
      <w:r>
        <w:rPr>
          <w:rFonts w:ascii="Arial" w:cs="Arial" w:eastAsia="Arial" w:hAnsi="Arial"/>
          <w:sz w:val="17"/>
          <w:szCs w:val="17"/>
          <w:color w:val="auto"/>
        </w:rPr>
        <w:t>, press releases, public conference calls, and webcasts to achieve broad, non-exclusionary</w:t>
      </w:r>
      <w:r>
        <w:rPr>
          <w:rFonts w:ascii="Arial" w:cs="Arial" w:eastAsia="Arial" w:hAnsi="Arial"/>
          <w:sz w:val="17"/>
          <w:szCs w:val="17"/>
          <w:i w:val="1"/>
          <w:iCs w:val="1"/>
          <w:color w:val="auto"/>
        </w:rPr>
        <w:t xml:space="preserve"> </w:t>
      </w:r>
      <w:r>
        <w:rPr>
          <w:rFonts w:ascii="Arial" w:cs="Arial" w:eastAsia="Arial" w:hAnsi="Arial"/>
          <w:sz w:val="17"/>
          <w:szCs w:val="17"/>
          <w:color w:val="auto"/>
        </w:rPr>
        <w:t>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388"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all of the information in this Annual Report on Form 10-K, including the sections titled “Cautionary Note Regarding Forward-Looking Statements,” and Part II, Item 7 “Management’s Discussion and Analysis of Financial Condition and Results of Operation” and our consolidated financial statements and the accompanying notes included elsewhere in this Annual Report on Form 10-K. The risks described below are not the only ones we face. Any of the following risks could materially and adversely affect our business, financial condition and results of operations, the actual outcome of matters as to which forward-looking statements are made in this Annual Report on Form 10-K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Business and Industry</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The ongoing COVID-19 pandemic, including variants, has had and is expected to continue to have, and similar health epidemics or pandemics could in the future have, an adverse impact on our business, operations, and the markets and communities in which we and our clients, members and providers operate.</w:t>
      </w:r>
    </w:p>
    <w:p>
      <w:pPr>
        <w:spacing w:after="0" w:line="165"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ongoing COVID-19 pandemic, including variants, has adversely impacted, and may continue to adversely impact, many aspects of our business. Our revenue growth for the years ended December 31, 2021 and 2020 were negatively impacted by COVID-19, including variants, and our revenue growth in future periods may continue to be adversely impacted by COVID-19. Our providers have and may in the future delay new fertility cycles because they operate in areas acutely affected by the COVID-19 pandemic, on account of executive orders to postpone non-emergent surgeries or other medical treatments, or in order to conserve medical resources for non-fertility related medical treatments. Many of our members live in communities that have been acutely affected by the COVID-19 pandemic and have delayed and may not want to continue or begin new fertility cycles during the pandemic. Emerging research and the lack of consumer information on the impact of COVID-19 vaccines on pregnancy may also affect member behavior and utilization. Furthermore, as certain of our potential clients experience downturns or uncertainty in their own business operations and revenue because of the economic effects resulting from the spread of COVID-19, they have and may continue to decrease their spending on health benefits, which may disproportionately impact fertility benefits, and delay or cancel implementation of fertility benefits. Each of these factors could affect member behavior, our utilization rates and the number of members enrolled in our clients’ benefit plans.</w:t>
      </w:r>
    </w:p>
    <w:p>
      <w:pPr>
        <w:spacing w:after="0" w:line="184"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response to the COVID-19 pandemic, governments may at any time choose to impose and/or fully reinstate quarantines, executive orders, shelter-in-place orders, and similar government orders, restrictions and public health and safety measures in order to control the spread of the disease. Such orders, restrictions or measures, or the perception that such orders, restrictions or measures could occur or reoccur, could result in business closures, work stoppages, slowdowns and delays, work-from-home policies, travel restrictions, and cancellation or postponement of events, among other effects that could negatively impact productivity and disrupt our operations and those of our clients and providers and could negatively impact member behavior.</w:t>
      </w:r>
    </w:p>
    <w:p>
      <w:pPr>
        <w:spacing w:after="0" w:line="195" w:lineRule="exact"/>
        <w:rPr>
          <w:sz w:val="20"/>
          <w:szCs w:val="20"/>
          <w:color w:val="auto"/>
        </w:rPr>
      </w:pPr>
    </w:p>
    <w:p>
      <w:pPr>
        <w:jc w:val="both"/>
        <w:ind w:left="60" w:right="59" w:firstLine="648"/>
        <w:spacing w:after="0" w:line="279" w:lineRule="auto"/>
        <w:rPr>
          <w:sz w:val="20"/>
          <w:szCs w:val="20"/>
          <w:color w:val="auto"/>
        </w:rPr>
      </w:pPr>
      <w:r>
        <w:rPr>
          <w:rFonts w:ascii="Arial" w:cs="Arial" w:eastAsia="Arial" w:hAnsi="Arial"/>
          <w:sz w:val="17"/>
          <w:szCs w:val="17"/>
          <w:color w:val="auto"/>
        </w:rPr>
        <w:t>In addition to the potential direct impacts to our business, the economy may continue to be impacted as a result of the actions taken in response to COVID-19. To the extent a weakened economy impacts clients’ or members’ ability or willingness to pay for our benefit, or our vendors’, including any pharmacy program partners’, ability to provide services to us, we could see our business and results of operations negatively impacted.</w:t>
      </w:r>
    </w:p>
    <w:p>
      <w:pPr>
        <w:spacing w:after="0" w:line="171"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implemented a work-from-home policy for all of our employees in March 2020 and have recently re-opened our corporate offices to employees on a hybrid basis, while implementing additional safety measures and protocols. We may take further actions that alter our operations as may be required by federal, state, or local authorities, or which we determine are in the best interests of our business, our employees and the communities we serve. While most of our operations can be performed remotely, there is no guarantee that we will be as effective while working partially remotely because our team is dispersed, many employees may have additional personal needs to attend to (such as looking after children as a result of school closures or family who become sick), and employees may become sick themselves and be unable to work. Decreased effectiveness of our team could adversely affect our results due to our inability to meet in person with potential clients, and in some cases, relative to our previous expectations, delays in onboarding new clients, responding to members, data collection and review, and a corresponding reduction in growth, or other decreases in productivity that could seriously harm our business. In addition, working remotely could increase our cybersecurity risk and make us more susceptible to communication disruptions, which could adversely impact our business operations or delay necessary interactions with our clients, member, providers and other third parties. Furthermore, we may decide to postpone or cancel planned investments in our business in response to changes in our business as a result of the spread of COVID-19, which may impact our member utilization and rate of growth, either of which could seriously harm our business.</w:t>
      </w:r>
    </w:p>
    <w:p>
      <w:pPr>
        <w:spacing w:after="0" w:line="18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Moreover, to the extent the COVID-19 pandemic adversely affects our business, financial condition and results of operations, it may also have the effect of heightening many of the other risks described in this “Risk Factors” section, including but not limited to, those related to our ability to expand our customer base and develop and expand our sales and marketing capabilities.</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global impact of COVID-19 continues to rapidly evolve, and we will continue to monitor the situation closely. We do not yet know the full extent of potential delays or impacts on our business, operations, or the global economy as a whole. The ultimate impact of the COVID-19 pandemic or a similar health epidemic or pandemic is highly uncertain and subject to change; and will depend on numerous evolving factors that we may not be able to accurately predict, including without limitation: the trajectory, duration, scope, severity, and any resurgences of the COVID-19 pandemic; the effectiveness of vaccine rollout plans, including any mandates; the public’s perception of the safety of the vaccines and other treatments and their willingness to take the vaccines or other treatments; the existence and prevalence of new variants of the virus; the continued impact on worldwide macroeconomic conditions, including interest rates, employment rates and consumer confidence; governmental, business, and individuals’ actions that have been, and continue to be, taken in response to the pandemic; the effect on our providers, clients and members; changes in demand for our services; our ability to sell and provide our services; the ability of our clients and members to pay for our services; the health of, and the effect on, our workforce; and the potential effects on our internal control, including those over financial reporting, as a result of changes in working environments for our employees and business partners. While the spread of COVID-19 may eventually be contained or mitigated, there is no guarantee that a future outbreak of this or any other widespread epidemics or pandemics will not occur, or that the global economy will recover, either of which could seriously harm our business.</w:t>
      </w:r>
    </w:p>
    <w:p>
      <w:pPr>
        <w:spacing w:after="0" w:line="18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fail to meet our publicly announced guidance or other expectations about our business and future operating results, which would cause our stock price to decline.</w:t>
      </w:r>
    </w:p>
    <w:p>
      <w:pPr>
        <w:spacing w:after="0" w:line="170"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color w:val="auto"/>
        </w:rPr>
        <w:t>We have provided and may continue to provide guidance about our business and future operating results. On February 28, 2022, we issued guidance for the first quarter of 2022 and full year 2022. In developing this guidance, our management must make certain assumptions and judgments about its future performance. Some of those key assumptions relate to the impact of the COVID-19 pandemic and the associated economic uncertainty on our business and the timing and scope of economic recovery globally and how long it will take both clinics and members to return to normal practice volumes and behavior, which are inherently difficult to predict. This guidance, which consists of forward-looking statements, is qualified by, and subject to, such assumptions, estimates and expectations as of the date such guidance is given and may be revised at a later time, solely in our discretion, as we learn more information. While presented with numerical specificity, this guidance is necessarily speculative in nature, and is inherently subject to significant business, economic and competitive uncertainties and contingencies, many of which are beyond our control and are based upon specific assumptions with respect to future business decisions, economic conditions or member behavior, some of which may change.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that consensus due to a number of factors, many of which are outside of our control, including due to the global economic uncertainty, financial market conditions and member behavior caused by the COVID-19 pandemic, and which could adversely affect our business and future operating results. There are no comparable recent events that provide insights as to the probable effect of the COVID-19 pandemic, and, as a result, the ultimate impact of the COVID-19 outbreak is highly uncertain and subject to change. We are relying on the reports and models of economic and medical experts in making assumptions relating to the duration of this crisis and predictions as to timing and pace of any future economic recovery. If these models are incorrect or incomplete, or if we fail to accurately predict the full impact that the COVID-19 pandemic will have on all aspects of our business, the guidance and other forward-looking statements we provide may also be incorrect or incomplete. Furthermore, if we make downward revisions of our previously announced guidance, or if our publicly announced guidance of future operating results fails to meet expectations of securities analysts, investors or other interested parties, the price of our common stock would decline.</w:t>
      </w:r>
    </w:p>
    <w:p>
      <w:pPr>
        <w:spacing w:after="0" w:line="39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fertility market in which we participate is competitive, and if we do not continue to compete effectively, our results of operations could be harmed.</w:t>
      </w:r>
    </w:p>
    <w:p>
      <w:pPr>
        <w:spacing w:after="0" w:line="170"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The market for our solutions is competitive and is likely to attract increased competition, which could make it hard for us to succeed. We compete on the basis of several factors, including the comprehensiveness of our benefits solutions and the Smart Cycle (our unique approach to benefits plan design which ensures that members always have coverage for a full treatment cycle as their access to treatment is not limited by a dollar maximum that could be exhausted mid-treatment), superior clinical outcomes, access for all employee groups (including LGBTQ+ and single mothers by choice), equitable access to care across geographies, quality of the member experience and comprehensive member support, access to our selective Center of Excellence (our proprietary, credentialed network of high-quality fertility specialists), data reporting and sharing and access to an integrated pharmacy solution. While we do not believe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254" w:lineRule="auto"/>
        <w:rPr>
          <w:sz w:val="20"/>
          <w:szCs w:val="20"/>
          <w:color w:val="auto"/>
        </w:rPr>
      </w:pPr>
      <w:r>
        <w:rPr>
          <w:rFonts w:ascii="Arial" w:cs="Arial" w:eastAsia="Arial" w:hAnsi="Arial"/>
          <w:sz w:val="18"/>
          <w:szCs w:val="18"/>
          <w:color w:val="auto"/>
        </w:rPr>
        <w:t>any single competitor offers a similarly robust and integrated fertility and family building benefits solution, we compete primarily with health insurance companies and benefits administrators that also provide fertility benefits management services as part of their overall healthcare coverage. These competitors include all conventional health insurers, such as UnitedHealthcare, Cigna, Aetna and members of the Blue Cross Blue Shield Association. Other competitors that currently provide fertility benefits management services to employers include WIN Fertility and Optum Fertility Solutions. We also compete with benefits managers that are new to the industry that do not have integrated health insurance carrier solutions, such as Carrot Fertility and Maven Clinic, which currently offer employees post-tax reimbursement programs for fertility benefits.</w:t>
      </w:r>
    </w:p>
    <w:p>
      <w:pPr>
        <w:spacing w:after="0" w:line="192"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As we market our solutions to potential clients that currently utilize other vendors to manage their employees’ fertility benefits,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seek to develop or integrate solutions and services that may become more efficient or appealing to our existing and potential clients. For example, fertility-focused pharmacy benefits managers, or PBMs, could emerge that would compete with Progyny Rx. In addition, we believe one of our key competitive advantages is our purpose-built, data-driven platform. While we do not believe any competitors have developed a similarly robust data collection, analysis and reporting process at this time, current or future competitors may be successful in doing so in the future. In addition, we believe that there is growing awareness of the demand for fertility benefits. As the fertility benefits field gains more attention, more competitors may be drawn into the market.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the failure of our platform to continue to maintain market acceptance, which would harm our business, financial condition and results of operations.</w:t>
      </w:r>
    </w:p>
    <w:p>
      <w:pPr>
        <w:spacing w:after="0" w:line="18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Many healthcare industry participants are consolidating to create larger and more integrated healthcare delivery systems with greater market power and we expect regulatory and economic conditions to result in additional consolidation in the healthcare industry. Additionally, financial investors are acquiring fertility practices and this may accelerate consolidation within the industry. Although comprehensive, our solution is a standalone fertility benefit. Clients may prefer a single healthcare solution, which could adversely affect our ability to retain existing clients or grow our client base. In addition, we work with partner organizations to market our benefit to potential clients. As consolidation accelerates, the economies of scale of our partners’ organizations may grow. If a partner experiences sizable growth following consolidation, it may determine that it no longer needs to rely on us and may reduce its demand for our services. In addition,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have a material adverse effect on our business, financial condition and results of operations.</w:t>
      </w:r>
    </w:p>
    <w:p>
      <w:pPr>
        <w:spacing w:after="0" w:line="174"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24"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As part of our growth strategy, we are focused on retaining and expanding our services within our existing client base. A client can expand the fertility benefits they offer to their employees a number of ways, including by adding egg freezing or increasing the number of Smart Cycle units under their benefits plan (i.e., from two to three Smart Cycles per household). In addition, our fertility benefits solution clients can purchase our add-on Progyny Rx solution. We went live with Progyny Rx in 2018 and 81% of our current clients under contract are utilizing this solution, including approximately 93% of the clients we signed in 2021.</w:t>
      </w:r>
    </w:p>
    <w:p>
      <w:pPr>
        <w:spacing w:after="0" w:line="192"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Factors that may affect our ability to retain our existing clients and sell additional solutions to them include, but are not limited to, the following:</w:t>
      </w:r>
    </w:p>
    <w:p>
      <w:pPr>
        <w:spacing w:after="0" w:line="170" w:lineRule="exact"/>
        <w:rPr>
          <w:sz w:val="20"/>
          <w:szCs w:val="20"/>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price, timeliness and outcomes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price, timeliness, outcome, performance and functionality of competing solutions;</w:t>
      </w:r>
    </w:p>
    <w:p>
      <w:pPr>
        <w:spacing w:after="0" w:line="225" w:lineRule="exact"/>
        <w:rPr>
          <w:rFonts w:ascii="Arial" w:cs="Arial" w:eastAsia="Arial" w:hAnsi="Arial"/>
          <w:sz w:val="18"/>
          <w:szCs w:val="18"/>
          <w:color w:val="auto"/>
        </w:rPr>
      </w:pPr>
    </w:p>
    <w:p>
      <w:pPr>
        <w:ind w:left="720" w:right="639" w:hanging="319"/>
        <w:spacing w:after="0" w:line="277" w:lineRule="auto"/>
        <w:tabs>
          <w:tab w:leader="none" w:pos="7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maintain and appropriately expand our Center of Excellence network of high-quality fertility specialists;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hanging="319"/>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offer complementary solutions and services that will enhance our comprehensive fertility offering;</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healthcare laws, regulations or the enforcement of such laws and regulations, or trends;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material increase in unemployment rate;</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business environment of our clients and, in particular, reduction in our clients’ headcount;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consolidation of our clients, resulting in a change to their benefits program or a shift to one of our competitors.</w:t>
      </w:r>
    </w:p>
    <w:p>
      <w:pPr>
        <w:spacing w:after="0" w:line="237"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124"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Our largest clients account for a significant portion of our revenue and a significant number of our clients are in the technology industry. The loss of one or more of these clients, changes to pricing terms with these clients or changes within the technology industry could negatively impact our business, financial condition and results of operations.</w:t>
      </w:r>
    </w:p>
    <w:p>
      <w:pPr>
        <w:spacing w:after="0" w:line="131"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currently have contracts to serve over 265 employers with at least 1,000 covered lives in the United States across more than 30 industries. For the year ended December 31, 2021, two of our clients accounted for 19% and 15%, respectively, or a combined 34%, of our total revenue. For the year ended December 31, 2020, two clients accounted for 18% and 17%, or a combined 35%, of our total revenue. No other clients accounted for more than 10% for the years ended December 31, 2021 and 2020. Engagement with these clients is generally covered through contracts that are multi-year in duration. One or both of these clients may terminate early or decline to renew their existing contracts with us upon expiration and any such termination or failure to renew could have a negative impact on our revenue and compromise our growth strategy. Clients, including our two largest clients, could also renegotiate pricing terms at the time of renewal, which could have a negative impact on our revenue. In addition, we generate a significant portion of our revenue from clients in the technology industry. Any of a variety of changes in that industry, including changes in economic conditions, mergers or consolidations, reduced spending on benefits programs and other factors, could adversely affect our business, financial condition and results of operations.</w:t>
      </w:r>
    </w:p>
    <w:p>
      <w:pPr>
        <w:spacing w:after="0" w:line="179"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are unable to attract new clients, our business, financial condition and results of operations would be adversely affected.</w:t>
      </w:r>
    </w:p>
    <w:p>
      <w:pPr>
        <w:spacing w:after="0" w:line="170"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To increase our revenue, we must continue to attract new clients. Our ability to do so depends in large part on the success of our sales and marketing efforts, and the success of attracting industry leaders in diversified sectors, which could prompt others in the same sectors to follow suit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due to general economic conditions, outbreaks of contagious diseases or worsening thereof, including the COVID-19 pandemic, a decrease in business investments, including spending on employee benefits, and other factors. If the markets for our solutions decline or grow more slowly than we expect, or if the number of clients that contract with us for our solutions declines or fails to increase as we expect, our financial results could be harmed. As the markets in which we participate mature, fertility solutions and services evolve and competitors begin to enter into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18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 significant change in the level or the mix of the utilization of our solutions could have an adverse effect on our business, financial condition and results of operations.</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We do not control nor can we impact the level of utilization of our solutions or the mix of utilization of our solutions for each of our clients, in particular for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 that results in business failures and high unemployment rates; outbreaks of contagious diseases or the</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worsening thereof, including the COVID-19 pandemic; employers no longer offering comprehensive health coverage or offering alternative solutions such as coverage on a voluntary, employee-funded basis; labor shortages at our clinics; federal and state regulatory changes; changes to taxability of medical benefits; failure to adapt and respond effectively to the changing medical landscape, changing laws, regulations and government enforcement priorities, changing client needs, requirements or preferences; premium increases and benefits changes; negative publicity, through social media or otherwise and news coverage.</w:t>
      </w:r>
    </w:p>
    <w:p>
      <w:pPr>
        <w:spacing w:after="0" w:line="192"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It is also difficult for us to predict the level or mix of utilization of our services at the member level nor do we have any control over the level or mix of utilization of our services. If the actual utilization of our services by members is significantly greater than budgeted, the client may be responsible for corresponding costs that exceed its planned expenditure. If we cannot help our clients accurately predict the level of utilization by their employees, our clients may turn to alternative solutions, and our business and profitability would be adversely impacted.</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have a limited operating history with our current platform of solutions, which makes it difficult to predict our future results of operations.</w:t>
      </w:r>
    </w:p>
    <w:p>
      <w:pPr>
        <w:spacing w:after="0" w:line="17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We went live with our fertility benefits solution in 2016 and Progyny Rx in 2018. As a result of our limited operating history with the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benefits in general, change in utilization trends by our members, general economic slowdown, an increase in unemployment, an increase in competition, changes to healthcare trends and regulations, changes to science relating to the fertility market, a decrease in the growth of the fertility market, or our failure, for any reason, to continue to take advantage of growth opportunities. If our assumptions regarding these risks and uncertainties and our future revenue growth are incorrect or change, or if we do not address these risks successfully, our operating and financial results could differ materially from our expectations, and our business could suffer.</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have a history of operating losses and may not sustain profitability in the future.</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We experienced net losses from 2015 to 2019. Our net loss from continuing operations was $8.6 million for the year ended December 31, 2019. While we have experienced significant revenue growth since 2016, achieved profitability starting in 2020 and currently project future profitability, we cannot guarantee whether we will obtain sufficient levels of sales to sustain our growth or maintain profitability in the future. We also expect our costs and expenses to increase in future periods, which could negatively affect our future results of operations if our revenue does not increase. In particular, we intend to continue to incrementally expand our sales and client account management teams to educate potential clients and drive new client adoption, as well as enhance the scope of Progyny benefits within our existing client base. We also expect to incur additional costs as we introduce new solutions and services to enhance our comprehensive fertility offering. We will also face increased compliance costs associated with growth,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17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Changes or developments in the health insurance markets in the United States, including passage and implementation of a law to create a single-payer or government-run health insurance program, could materially and adversely harm our business and operating results.</w:t>
      </w:r>
    </w:p>
    <w:p>
      <w:pPr>
        <w:spacing w:after="0" w:line="18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Our business operates within the public and private sectors of the U.S. health insurance system, which are evolving quickly and subject to a changing regulatory environment, and our future financial performance will depend in part on growth in the market for private health insurance, as our solutions are integrated with health insurance plans offered by insurance carriers for our clients or our clients’ self-insured plans, as well as our ability to adapt to regulatory developments. Changes and developments in the health insurance system in the United States could reduce demand for our services and harm our business. For example, there has been an ongoing national debate relating to the health insurance system in the United States. Certain elected officials have introduced proposals that would create a new single-payer national health insurance program for all United States residents, replacing virtually all other sources of public and private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6" w:name="page27"/>
    <w:bookmarkEnd w:id="2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insurance, to more incremental approaches, or creating a new public health insurance option that would compete with private insurers. Additionally, proposals to establish a single-payer or government-run healthcare system at the state level are regularly introduced, such as in New York and California. At the federal level, President Biden and Congress may consider other legislation and/or executive orders to change elements of the ACA. In December 2019, a federal appeals court held that the individual mandate portion of the ACA was unconstitutional and left open the question whether the remaining provisions of the ACA would be valid without the individual mandate. On November 10, 2020, the U.S. Supreme Court heard oral arguments in this matter, and issued its decision in June 2021, ruling that the plaintiffs lacked standing to challenge the individual mandate provision, thus leaving the ACA in effect without ruling on the constitutionality of the individual mandate.</w:t>
      </w:r>
    </w:p>
    <w:p>
      <w:pPr>
        <w:spacing w:after="0" w:line="181"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On January 28, 2021, President Biden issued an Executive Order that iterates the policy of the Administration to protect and strengthen the ACA, making high-quality healthcare accessible and affordable to all Americans. The Executive Order directed federal agencies to examine agency actions to determine whether they are consistent with the Administration’s commitment regarding the ACA, and begin rulemaking to suspend, revise, or rescind any inconsistent actions. Areas of focus include policies or practices that may reduce affordability of coverage, present unnecessary barriers to coverage, or undermine protections for people with preexisting conditions. We continue to evaluate the effect that the ACA and its possible modifications, repeal and replacement has on our business.</w:t>
      </w:r>
    </w:p>
    <w:p>
      <w:pPr>
        <w:spacing w:after="0" w:line="177"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In the event that laws, regulations or rules that eliminate or reduce private sources of health insurance or require such benefits to be taxable are adopted, the subsequent impact on the insurance carriers and/or self-insured plans may in turn adversely impact our ability to accurately forecast future results and harm our business, financial condition and results of operations.</w:t>
      </w:r>
    </w:p>
    <w:p>
      <w:pPr>
        <w:spacing w:after="0" w:line="18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 health benefits industry may be subject to negative publicity, which can arise from, among other things, increases in premium rates, industry consolidation, cost of care initiatives, drug prices and the ongoing debate over the ACA. In addition, negative publicity may result in increased regulation and legislative review of industry practices, which may further increase our costs of doing business and adversely affect our profitability. For example, PBM programs and drug rebates have recently been criticized as leading to a lack of transparency about the true cost of a drug, and certain members of Congress as well as HHS’s Office of Inspector General, or OIG, have proposed regulatory changes that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1" w:lineRule="exact"/>
        <w:rPr>
          <w:sz w:val="20"/>
          <w:szCs w:val="20"/>
          <w:color w:val="auto"/>
        </w:rPr>
      </w:pPr>
    </w:p>
    <w:p>
      <w:pPr>
        <w:jc w:val="both"/>
        <w:ind w:left="60" w:right="59"/>
        <w:spacing w:after="0" w:line="311" w:lineRule="auto"/>
        <w:rPr>
          <w:sz w:val="20"/>
          <w:szCs w:val="20"/>
          <w:color w:val="auto"/>
        </w:rPr>
      </w:pPr>
      <w:r>
        <w:rPr>
          <w:rFonts w:ascii="Arial" w:cs="Arial" w:eastAsia="Arial" w:hAnsi="Arial"/>
          <w:sz w:val="16"/>
          <w:szCs w:val="16"/>
          <w:b w:val="1"/>
          <w:bCs w:val="1"/>
          <w:i w:val="1"/>
          <w:iCs w:val="1"/>
          <w:color w:val="auto"/>
        </w:rPr>
        <w:t>If our computer systems, or those of our provider clinics, specialty pharmacies or other downstream vendors lag, fail or suffer security breaches, we may incur a material disruption of our services or suffer a loss or inappropriate disclosure of confidential information, which could materially impact our business and the results of operations</w:t>
      </w:r>
      <w:r>
        <w:rPr>
          <w:rFonts w:ascii="Arial" w:cs="Arial" w:eastAsia="Arial" w:hAnsi="Arial"/>
          <w:sz w:val="16"/>
          <w:szCs w:val="16"/>
          <w:i w:val="1"/>
          <w:iCs w:val="1"/>
          <w:color w:val="auto"/>
        </w:rPr>
        <w:t>.</w:t>
      </w:r>
    </w:p>
    <w:p>
      <w:pPr>
        <w:spacing w:after="0" w:line="149"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Our business is increasingly dependent on critical, complex and interdependent information technology systems, including cloud-based systems, to support business processes as well as internal and external communications. Our success therefore is dependent in part on our ability to secure, integrate, develop, redesign and enhance our (or contract with vendors to provide) technology systems that support our business strategy initiatives and processes in a compliant, secure, and cost and resource efficient manner. If we or our provider clinics, specialty pharmacies or other downstream vendors have an issue with our or their respective technology systems, it may result in a disruption to our operations or downstream disruption to our relationships with our clients or our selective network of high-quality fertility specialists. Additionally, if we choose to insource any of the services currently handled by a third party, it may result in technological or operational disruptions.</w:t>
      </w:r>
    </w:p>
    <w:p>
      <w:pPr>
        <w:spacing w:after="0" w:line="196"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the current environment, there are numerous and evolving risks to cybersecurity and privacy, including criminal hackers, hacktivists, state-sponsored intrusions, industrial espionage, employee malfeasance and human or technological error. High-profile security breaches at other companies and in government agencies have increased in recent years. There is possibility of targeted cyber-attacks by foreign countries or entities that could impact United States government and private companies’ technological infrastructures, some of which we utilize to provide our services. The healthcare industry has seen a shift to an accelerated use of digital and technological platforms, especially due to the ongoing COVID-19 pandemic. As a result of such shift, there have been and may continue to be more targeted cybersecurity attacks and threats on us, our vendors, provider clinics and specialty pharmacies. Despite the implementation</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of security measures, including steps designed to secure our technology infrastructure and sensitive data, we can provide no assurance that our current technology system or any updates or upgrades thereto, the current or future technology systems of our provider clinics, specialty pharmacies or other downstream vendors, are fully protected against malicious intrusion, malware, computer viruses, unauthorized access, natural disasters, terrorism, war, telecommunication and electrical failures, information or data theft or other similar risks.</w:t>
      </w:r>
    </w:p>
    <w:p>
      <w:pPr>
        <w:spacing w:after="0" w:line="188"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have experienced in the past and expect to continue to experience actual and attempted cyber-attacks of our IT networks,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security breach were to result in a loss or inappropriate disclosure of confidential information, we could incur liability. We have access to sensitive information relating to members, our employees and our business partners in the ordinary course of our business. Any failure or perceived failure by us, or our third-party contractors on our behalf, to comply with local and foreign laws regarding privacy and data security, as well as contractual commitments in this respect, may result in governmental enforcement claims,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customers and have a material adverse effect on us. To the extent such disruptions or uncertainties result in the theft, destruction, loss or misappropriation or release of our confidential data or our intellectual property, our business and results of operations could be materially and adversely affected. See “—Risks Related to Government Regulation—We operate in a highly regulated industry and must comply with a significant number of complex and evolving legal and regulatory requirements—Data Protection and Breaches.”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If we fail to offer high-quality support, our reputation could suffer.</w:t>
      </w:r>
    </w:p>
    <w:p>
      <w:pPr>
        <w:spacing w:after="0" w:line="225"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Our clients rely on our client account management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account management personnel, our ability to provide adequate and timely support to our members and clients would be negatively impacted, and our members’ and clients’ satisfaction with our solutions and services would be adversely affected.</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marketing efforts depend significantly on our ability to receive positive references from our existing clients, channel partners and benefit consultants.</w:t>
      </w:r>
    </w:p>
    <w:p>
      <w:pPr>
        <w:spacing w:after="0" w:line="170"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marketing efforts depend significantly on our ability to call on our current clients, channel partners and benefit consultants to provide positive references to new, potential clients. Given our limited number of long-term clients, the loss or dissatisfaction of any client, channel partnership or benefit consulting relationship could substantially harm our brand and reputation, inhibit the market adoption of our offering and impair our ability to attract new clients and maintain existing clients. Any of these consequences could have an adverse effect on our business, financial condition and results of operations.</w:t>
      </w:r>
    </w:p>
    <w:p>
      <w:pPr>
        <w:spacing w:after="0" w:line="192"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Failure to effectively develop and expand our marketing and sales capabilities could harm our ability to increase our client base and achieve broader market acceptance of solutions we provide.</w:t>
      </w:r>
    </w:p>
    <w:p>
      <w:pPr>
        <w:spacing w:after="0" w:line="170"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ability to increase our client base and achieve broader market acceptance of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future revenue may not grow at the rates they historically have, or at all.</w:t>
      </w:r>
    </w:p>
    <w:p>
      <w:pPr>
        <w:spacing w:after="0" w:line="225"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continue to attract new clients and maintain existing clients;</w:t>
      </w:r>
    </w:p>
    <w:p>
      <w:pPr>
        <w:spacing w:after="0" w:line="225"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price our solutions and services effectively so that we are able to attract new clients, expand sales to our existing clients and maintain profitability;</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6"/>
          <w:szCs w:val="16"/>
          <w:color w:val="auto"/>
        </w:rPr>
      </w:pPr>
      <w:r>
        <w:rPr>
          <w:rFonts w:ascii="Arial" w:cs="Arial" w:eastAsia="Arial" w:hAnsi="Arial"/>
          <w:sz w:val="16"/>
          <w:szCs w:val="16"/>
          <w:color w:val="auto"/>
        </w:rPr>
        <w:t>provide our clients and members with client support that meets their needs, including through dedicated PCAs;</w:t>
      </w:r>
    </w:p>
    <w:p>
      <w:pPr>
        <w:spacing w:after="0" w:line="248" w:lineRule="exact"/>
        <w:rPr>
          <w:rFonts w:ascii="Arial" w:cs="Arial" w:eastAsia="Arial" w:hAnsi="Arial"/>
          <w:sz w:val="16"/>
          <w:szCs w:val="16"/>
          <w:color w:val="auto"/>
        </w:rPr>
      </w:pPr>
    </w:p>
    <w:p>
      <w:pPr>
        <w:ind w:left="720" w:right="51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successful collection of member cost shares and other applicable receivable balances directly from members;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retain and maintain relationships with high-quality and respected fertility specialists;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attract and retain highly qualified personnel to support all clients and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satisfactory relationships with insurance carriers;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 awareness of our brand and successfully compete with other companies.</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 addition, we expect to continue to expend substantial financial and other resources on:</w:t>
      </w:r>
    </w:p>
    <w:p>
      <w:pPr>
        <w:spacing w:after="0" w:line="225" w:lineRule="exact"/>
        <w:rPr>
          <w:sz w:val="20"/>
          <w:szCs w:val="20"/>
          <w:color w:val="auto"/>
        </w:rPr>
      </w:pPr>
    </w:p>
    <w:p>
      <w:pPr>
        <w:ind w:left="720" w:hanging="319"/>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and marketing;</w:t>
      </w:r>
    </w:p>
    <w:p>
      <w:pPr>
        <w:spacing w:after="0" w:line="198" w:lineRule="exact"/>
        <w:rPr>
          <w:rFonts w:ascii="Arial" w:cs="Arial" w:eastAsia="Arial" w:hAnsi="Arial"/>
          <w:sz w:val="18"/>
          <w:szCs w:val="18"/>
          <w:color w:val="auto"/>
        </w:rPr>
      </w:pPr>
    </w:p>
    <w:p>
      <w:pPr>
        <w:ind w:left="720" w:right="23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technology infrastructure, including systems architecture, scalability, availability, performance and security; and</w:t>
      </w:r>
    </w:p>
    <w:p>
      <w:pPr>
        <w:spacing w:after="0" w:line="129" w:lineRule="exact"/>
        <w:rPr>
          <w:rFonts w:ascii="Arial" w:cs="Arial" w:eastAsia="Arial" w:hAnsi="Arial"/>
          <w:sz w:val="18"/>
          <w:szCs w:val="18"/>
          <w:color w:val="auto"/>
        </w:rPr>
      </w:pPr>
    </w:p>
    <w:p>
      <w:pPr>
        <w:ind w:left="720" w:right="739" w:hanging="319"/>
        <w:spacing w:after="0" w:line="277" w:lineRule="auto"/>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general administration, including increased legal and accounting expenses associated with being a public company.</w:t>
      </w:r>
    </w:p>
    <w:p>
      <w:pPr>
        <w:spacing w:after="0" w:line="130"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188"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If our revenue growth does not meet our expectations in future periods, we may not maintain profitability in the future, our business, financial position and results of operations may be harmed.</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70"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Market opportunity estimates and growth forecasts are subject to significant uncertainty and are based on assumptions and estimates that may not prove to be accurate. Furthermore, the healthcare industry is rapidly evolving and the markets for fertility benefits management and the related fertility pharmacy benefits management are relatively immature. Market opportunity estimates and growth forecasts, including those we have generated ourselves, are subject to significant uncertainty and are based on assumptions and estimates that may not prove to be accurate, including the risks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described herein. Even if the markets in which we compete achieve the forecasted growth, our business could fail to grow at similar rates, if at all.</w:t>
      </w:r>
    </w:p>
    <w:p>
      <w:pPr>
        <w:spacing w:after="0" w:line="170"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Our estimates of the market opportunity for our services are based on the assumption that the purpose-built, data-driven and disruptive fertility benefits platform with the Smart Cycle plan design we offer will be attractive to employers. Employers may pursue alternatives or may not see the value in providing enhanced fertility-related coverage and services to their employees. In addition, we believe we are expanding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177"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165"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w:t>
      </w:r>
    </w:p>
    <w:p>
      <w:pPr>
        <w:spacing w:after="0" w:line="192"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Arial" w:cs="Arial" w:eastAsia="Arial" w:hAnsi="Arial"/>
          <w:sz w:val="18"/>
          <w:szCs w:val="18"/>
          <w:b w:val="1"/>
          <w:bCs w:val="1"/>
          <w:color w:val="auto"/>
        </w:rPr>
        <w:t>.</w:t>
      </w:r>
    </w:p>
    <w:p>
      <w:pPr>
        <w:spacing w:after="0" w:line="170"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As usage of our solutions grows, we will need to devote additional resources to improving and maintaining our infrastructure. In addition, we will need to appropriately scale our internal business systems and our client account management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181" w:lineRule="exact"/>
        <w:rPr>
          <w:sz w:val="20"/>
          <w:szCs w:val="20"/>
          <w:color w:val="auto"/>
        </w:rPr>
      </w:pPr>
    </w:p>
    <w:p>
      <w:pPr>
        <w:jc w:val="both"/>
        <w:ind w:left="60" w:right="59"/>
        <w:spacing w:after="0" w:line="342" w:lineRule="auto"/>
        <w:rPr>
          <w:sz w:val="20"/>
          <w:szCs w:val="20"/>
          <w:color w:val="auto"/>
        </w:rPr>
      </w:pPr>
      <w:r>
        <w:rPr>
          <w:rFonts w:ascii="Arial" w:cs="Arial" w:eastAsia="Arial" w:hAnsi="Arial"/>
          <w:sz w:val="16"/>
          <w:szCs w:val="16"/>
          <w:b w:val="1"/>
          <w:bCs w:val="1"/>
          <w:i w:val="1"/>
          <w:iCs w:val="1"/>
          <w:color w:val="auto"/>
        </w:rPr>
        <w:t>Reductions in employee benefits spending or price pressures due to unfavorable conditions in our industry or the United States economy could limit our ability to grow our business and negatively affect our results of operations.</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including conditions resulting from changes in gross domestic product growth, financial and credit market fluctuations, international trade relations, political turmoil, natural catastrophes, outbreaks of contagious diseases or the worsening thereof, including the COVID-19 pandemic, warfare and terrorist attacks on the United States, could cause a decrease in business investments, including spending on employee benefits, and negatively affect the growth of our business. Unfavorable economic conditions could result in the delay or cancellation by certain clients especially if purchases of our solution are perceived by clients and potential clients to be discretionary, or if they experience a reduction in their number of employees or there are material defaults by members on past amounts due. To the extent purchases of our solution are perceived by clients and potential clients to be discretionary, our revenue may be disproportionately affected by delays or reductions in general healthcare spending.</w:t>
      </w:r>
    </w:p>
    <w:p>
      <w:pPr>
        <w:spacing w:after="0" w:line="17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Unfavorable changes in our industry or in the United States economy could have a negative effect on our and our clients’ and potential clients’ results of operations. Further, economic conditions including inflation, interest rate fluctuations, changes in capital market conditions and regulatory changes, such as the taxability of medical benefits like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0" w:name="page31"/>
    <w:bookmarkEnd w:id="3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ours, may affect our ability to obtain necessary financing on acceptable terms. An increase in the cost of obtaining fertility medication or general medical cost inflation could negatively impact our results of operation. In addition, the increased pace of consolidation in the healthcare industry may result in competitors with greater market power. We cannot predict the timing, strength, or duration of any economic slowdown, instability, or recovery, generally or within any particular industry.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Our business experiences seasonality, which may cause fluctuations in our sales and results of operations.</w:t>
      </w:r>
    </w:p>
    <w:p>
      <w:pPr>
        <w:spacing w:after="0" w:line="237" w:lineRule="exact"/>
        <w:rPr>
          <w:sz w:val="20"/>
          <w:szCs w:val="20"/>
          <w:color w:val="auto"/>
        </w:rPr>
      </w:pPr>
    </w:p>
    <w:p>
      <w:pPr>
        <w:jc w:val="both"/>
        <w:ind w:left="60" w:right="59" w:firstLine="648"/>
        <w:spacing w:after="0" w:line="266" w:lineRule="auto"/>
        <w:rPr>
          <w:sz w:val="20"/>
          <w:szCs w:val="20"/>
          <w:color w:val="auto"/>
        </w:rPr>
      </w:pPr>
      <w:r>
        <w:rPr>
          <w:rFonts w:ascii="Arial" w:cs="Arial" w:eastAsia="Arial" w:hAnsi="Arial"/>
          <w:sz w:val="17"/>
          <w:szCs w:val="17"/>
          <w:color w:val="auto"/>
        </w:rPr>
        <w:t>Our business experiences moderate seasonality in revenue with a slightly higher proportion of revenue during the second half of the year as compared with the first half. Given that the majority of our clients contract with us for a January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benefits plan start date and that the average cost of treatments earlier in the overall treatment process is somewhat lower than the average cost as treatment progresses, our revenue from treatment services tend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5"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In addition, the seasonality of our businesses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5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24"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To date, we have derived a substantial majority of our revenue from sales of our fertility benefits and Progyny Rx solutions. As we operate in an evolving industry and new markets, our long-term results of operations and continued growth will depend on our ability to successfully develop and market new successful solutions and services to our clients. If our existing clients and members do not value and/or are not willing to make additional payments for such new solutions or services, it could adversely affect our business, financial condition and results of operations. If we are unable to predict clients’ or members’ preferences, if the markets in which we participate change, including in response to government regulation, or if we are unable to modify our solutions and services on a timely basis, we may lose clients. Our results of operations would also suffer if our innovations are not responsive to the needs of the members, appropriately timed with market opportunity or effectively brought to market.</w:t>
      </w:r>
    </w:p>
    <w:p>
      <w:pPr>
        <w:spacing w:after="0" w:line="181"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If we fail to adapt and respond effectively to the changing medical landscape, changing laws, regulations and government enforcement priorities, changing client needs, requirements or preferences, our offerings may become less competitive.</w:t>
      </w:r>
    </w:p>
    <w:p>
      <w:pPr>
        <w:spacing w:after="0" w:line="18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The market in which we compete is subject to a changing medical landscape and changing laws, regulations and government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upon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168"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70"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93" w:lineRule="auto"/>
        <w:rPr>
          <w:sz w:val="20"/>
          <w:szCs w:val="20"/>
          <w:color w:val="auto"/>
        </w:rPr>
      </w:pPr>
      <w:r>
        <w:rPr>
          <w:rFonts w:ascii="Arial" w:cs="Arial" w:eastAsia="Arial" w:hAnsi="Arial"/>
          <w:sz w:val="16"/>
          <w:szCs w:val="16"/>
          <w:color w:val="auto"/>
        </w:rPr>
        <w:t>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164"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If we fail to retain and motivate members of our management team or other key employees, or fail to attract additional qualified personnel to support our operations, our business and future growth prospects could be harmed.</w:t>
      </w:r>
    </w:p>
    <w:p>
      <w:pPr>
        <w:spacing w:after="0" w:line="10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Our success and future growth depend largely upon the continued services of our management team and our other key employees. From time to time, there may be changes in our executive management team or other key employees resulting from the hiring or departure of these personnel. Our executive officers and other key employees are employed on an at-will basis, which means that these personnel could terminate their employment with us at any time. The loss of one or more of our executive officers, or the failure by our executive team to effectively work with our employees and lead our company, could harm our business.</w:t>
      </w:r>
    </w:p>
    <w:p>
      <w:pPr>
        <w:spacing w:after="0" w:line="192"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In addition, to execute our growth plan, we must attract and retain highly qualified personnel. Competition for these personnel is intense, especially for experienced sales and client account management personnel. There is no guarantee we will be able to attract such personnel or that competition among potential employers will not result in increased salaries or other benefits. From time to time, we have experienced, and we expect to continue to experience, difficulty in hiring and retaining employees with appropriate qualifications. Many of the companies with which we compete for experienced personnel have greater resources than we have. If we hire employees from competitors or other companies, their former employers may attempt to assert that these employees or we have breached their legal obligations, resulting in a diversion of our time and resources. In addition, prospective and existing employees often consider the value of the equity awards they receive in connection with their employment. If the perceived value of our equity awards declines, experiences significant volatility, or increases such that prospective employees believe there is limited upside to the value of our equity awards, it may adversely affect our ability to recruit and retain key employees. If we fail to attract new personnel or fail to retain and motivate our current personnel, our business and future growth prospects could be harmed. Further, if members of our management and other key personnel in critical functions across our organization are unable to perform their duties or have limited availability due to COVID-19, we may not be able to execute on our business strategy and/or our operations may be negatively impacted.</w:t>
      </w:r>
    </w:p>
    <w:p>
      <w:pPr>
        <w:spacing w:after="0" w:line="16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cannot maintain our company culture as we grow, our success and our business and competitive position may be harmed.</w:t>
      </w:r>
    </w:p>
    <w:p>
      <w:pPr>
        <w:spacing w:after="0" w:line="170"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believe our culture has been a key contributor to our success to date and that the critical nature of the mission we are pursuing promotes a sense of greater purpose and fulfillment in our employees. Any failure to preserve our culture could negatively affect our ability to retain and recruit personnel, which is critical to our growth, and to effectively focus on and pursue our corporate objectives. As we grow and develop the infrastructure of a public company, we may find it difficult to maintain these important aspects of our culture. If we fail to maintain our company culture, our business and competitive position may be harmed.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Relationships with Third Parties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Our success is dependent upon our continued ability to maintain a selective Center of Excellence, our proprietary, credentialed network of high-quality fertility specialists. Fertility specialists and our other network providers could refuse to contract,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profitably. If we are not successful in maintaining our relationships with top</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86" w:lineRule="auto"/>
        <w:rPr>
          <w:sz w:val="20"/>
          <w:szCs w:val="20"/>
          <w:color w:val="auto"/>
        </w:rPr>
      </w:pPr>
      <w:r>
        <w:rPr>
          <w:rFonts w:ascii="Arial" w:cs="Arial" w:eastAsia="Arial" w:hAnsi="Arial"/>
          <w:sz w:val="17"/>
          <w:szCs w:val="17"/>
          <w:color w:val="auto"/>
        </w:rPr>
        <w:t>fertility specialists, these fertility specialists may refuse to renew their contracts with us, and potential competitors may be effective in onboarding these or other high-quality fertility specialists to create a similarly high-quality network. Any of these events could have a material adverse effect on the provision of services to our members and our operations.</w:t>
      </w:r>
    </w:p>
    <w:p>
      <w:pPr>
        <w:spacing w:after="0" w:line="165"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not associated with us, such as legal and regulatory changes, including changes in government enforcement priorities, impacting providers or consolidation activity among hospitals, physician groups and healthcare providers. In addition, in some markets and geographies,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and may change the competitive landscape. Such organizations or groups of healthcare providers may compete directly with us, which could adversely affect our operations, and our results of operations, financial position, and cash flows by impacting our relationships with these providers or affecting the way that we price our products and estimate our costs, which might require us to incur costs to change our operations.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17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From time to time, our network providers may assert, or threaten to assert, claims seeking to terminate our contractual arrangements. If enough provider agreements were terminated, such termination could adversely impact the adequacy of our network to service our members, and may put us at risk of non-compliance with applicable federal and state laws.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In addition,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166"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In addition, the perceived value of our solutions and our reputation may be negatively impacted if the services provided by one or more of our fertility specialists or another network healthcare provider are not satisfactory to our members, including as a result of provider error that could result in litigation. For example, if a provider within our network experiences an issue with their cryopreservation techniques or releases sensitive information of our members, we could incur additional expenses and it could give rise to litigation against us. Any such issue with one of our providers may expose us to public scrutiny, adversely affect our brand and reputation, expose us to litigation and/or regulatory action, and otherwise make our operations vulnerable. Further, if a fertility specialist provides services that result in less than favorable outcomes, this could cause us to fail to meet our contractually guaranteed specified service metrics, and we could be obligated to provide the client with a fee reduction. The failure to maintain our selective network of high-quality fertility specialists and other healthcare providers or the failure of those providers to meet and exceed our members’ expectations, may result in a loss of or inability to grow or maintain our client base, which could adversely affect our business, financial condition and results of operations.</w:t>
      </w:r>
    </w:p>
    <w:p>
      <w:pPr>
        <w:spacing w:after="0" w:line="17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Our growth depends in part on the success of our strategic relationships with, and monitoring of, third parties, including channel partners, vendors and insurance carriers.</w:t>
      </w:r>
    </w:p>
    <w:p>
      <w:pPr>
        <w:spacing w:after="0" w:line="170"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In order to grow our business, we anticipate that we will continue to depend on our relationships with third parties, including channel partners, vendors and insurance carriers among others. As the fertility management market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195" w:lineRule="exact"/>
        <w:rPr>
          <w:sz w:val="20"/>
          <w:szCs w:val="20"/>
          <w:color w:val="auto"/>
        </w:rPr>
      </w:pPr>
    </w:p>
    <w:p>
      <w:pPr>
        <w:ind w:left="60" w:right="139" w:firstLine="648"/>
        <w:spacing w:after="0" w:line="342" w:lineRule="auto"/>
        <w:rPr>
          <w:sz w:val="20"/>
          <w:szCs w:val="20"/>
          <w:color w:val="auto"/>
        </w:rPr>
      </w:pPr>
      <w:r>
        <w:rPr>
          <w:rFonts w:ascii="Arial" w:cs="Arial" w:eastAsia="Arial" w:hAnsi="Arial"/>
          <w:sz w:val="16"/>
          <w:szCs w:val="16"/>
          <w:color w:val="auto"/>
        </w:rPr>
        <w:t>In addition, our arrangements with these third parties may expose us to public scrutiny, adversely affect our brand and reputation, expose us to litigation and/or regulatory action, and otherwise make our operations vulnerable if</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we fail to adequately monitor their performance or if they fail to meet their contractual obligations to us or to comply with applicable laws or regulations.</w:t>
      </w:r>
    </w:p>
    <w:p>
      <w:pPr>
        <w:spacing w:after="0" w:line="170"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If we fail to maintain an efficient pharmacy distribution network or if there is a disruption to our network of specialty pharmacies, our business, financial condition and results of operations could suffer.</w:t>
      </w:r>
    </w:p>
    <w:p>
      <w:pPr>
        <w:spacing w:after="0" w:line="103"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The timely delivery of fertility prescriptions is essential for fertility treatments. If prescriptions are delivered late, the delay may result in postponement of a member’s treatment cycle and member dissatisfaction with our solutions. We believe that our ability to maintain and grow the adoption of Progyny Rx is highly dependent on our success in maintaining an efficient pharmacy distribution network and our record of on-time delivery. The specialty pharmacies in our network could refuse to contract, demand higher drug pricing or take other actions that could result in higher medical costs or less attractive services for our members. Specialty pharmacies could face supply chain issues that could result in higher medical costs or negatively impact our rebates and results of operations. We do not control the pricing strategies of our specialty pharmacy partners, each of whom may be motivated by general economic considerations including inflation and other independent considerations and drivers that are outside our control and has the ability to set or impact market price for different prescription medications. We also cannot provide any assurance that we will be able to continue to renew our existing contracts,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the use of Progyny Rx may decline due to the inability to timely deliver prescription or offer competitive drug pricing to members, which could cause our business, financial condition and results of operations to suffer.</w:t>
      </w:r>
    </w:p>
    <w:p>
      <w:pPr>
        <w:spacing w:after="0" w:line="11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79" w:lineRule="exact"/>
        <w:rPr>
          <w:sz w:val="20"/>
          <w:szCs w:val="20"/>
          <w:color w:val="auto"/>
        </w:rPr>
      </w:pPr>
    </w:p>
    <w:p>
      <w:pPr>
        <w:jc w:val="both"/>
        <w:ind w:left="60" w:right="59" w:firstLine="648"/>
        <w:spacing w:after="0" w:line="268" w:lineRule="auto"/>
        <w:rPr>
          <w:sz w:val="20"/>
          <w:szCs w:val="20"/>
          <w:color w:val="auto"/>
        </w:rPr>
      </w:pPr>
      <w:r>
        <w:rPr>
          <w:rFonts w:ascii="Arial" w:cs="Arial" w:eastAsia="Arial" w:hAnsi="Arial"/>
          <w:sz w:val="17"/>
          <w:szCs w:val="17"/>
          <w:color w:val="auto"/>
        </w:rPr>
        <w:t>We maintain contractual relationships with select pharmacy program partners, which provide us with access to limited distribution specialty pharmaceutical rebates for drugs we purchase. While we have contractual relationships with such pharmacy program partners, they in turn often negotiate complex and multi-party pricing structures with other industry participants, and we have no control over the policies and strategies implemented in negotiating these pricing structures, and such structures may set or significantly impact market prices for prescription drugs we purchase and associated rebates for such drugs. Pharmacy program partners generally direct medication pricing by setting medication list prices and offering rebates and/or discounts for their medications. Various market considerations—such as the number of competitor medications, the availability of alternative treatment options, and negotiated rates among industry participants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the shortages of drugs provided by such manufacturers, the termination or material alteration of our contractual relationships, or our failure to renew such contracts on favorable terms could have a material adverse effect on our business and results of operations.</w:t>
      </w:r>
    </w:p>
    <w:p>
      <w:pPr>
        <w:spacing w:after="0" w:line="11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marketing efforts depend on our ability to maintain our relationship with benefits consultants.</w:t>
      </w:r>
    </w:p>
    <w:p>
      <w:pPr>
        <w:spacing w:after="0" w:line="158"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 with the benefits consultants, our marketing efforts, business and profitability would be adversely impacted.</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We are exposed to credit risk from our members</w:t>
      </w:r>
      <w:r>
        <w:rPr>
          <w:rFonts w:ascii="Arial" w:cs="Arial" w:eastAsia="Arial" w:hAnsi="Arial"/>
          <w:sz w:val="18"/>
          <w:szCs w:val="18"/>
          <w:i w:val="1"/>
          <w:iCs w:val="1"/>
          <w:color w:val="auto"/>
        </w:rPr>
        <w:t>.</w:t>
      </w:r>
    </w:p>
    <w:p>
      <w:pPr>
        <w:spacing w:after="0" w:line="158"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collect copayments, coinsurance and deductibles directly from members. We do not require collateral for such receivables. Our failure to collect a significant portion of the amount due on such receivables directly from members could adversely affect our business, financial condition and results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Government Regulation</w:t>
      </w:r>
    </w:p>
    <w:p>
      <w:pPr>
        <w:spacing w:after="0" w:line="162"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b w:val="1"/>
          <w:bCs w:val="1"/>
          <w:i w:val="1"/>
          <w:iCs w:val="1"/>
          <w:color w:val="auto"/>
        </w:rPr>
        <w:t>We operate in a highly regulated industry and must comply with a significant number of complex and evolving legal and regulatory requirements.</w:t>
      </w:r>
    </w:p>
    <w:p>
      <w:pPr>
        <w:spacing w:after="0" w:line="103"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color w:val="auto"/>
        </w:rPr>
        <w:t>We have attempted to structure our operations to comply with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determination by a court or agency that our corporate structure, solutions or services violate, or cause our clients to violate, applicable laws, regulations or other requirements could subject us or our clients to significant administrative, civil or criminal penalties. Such a determination also could require us to change or terminate portions of our business, disqualify us from serving clients that do business with government entities, or cause us to refund some or all of our service fees or otherwise compensate our clients. In addition, failure to satisfy laws, regulations or other requirements could adversely affect demand for our solutions and could force us to expend significant capital, research and development and other resources to address the failure. Even an unsuccessful challenge by regulatory and other authorities or parties could be expensive and time-consuming, could result in loss of business, exposure to adverse publicity, and injury to our reputation and could adversely affect our ability to retain and attract clients. If we fail to comply with applicable laws, regulations and other requirements, our business, financial condition and results of operations could be adversely affected. Such non-compliance could also require significant investment to address and may prove costly. There are several additional federal and state statutes, regulations, guidance and contractual provisions related to or impacting the healthcare industry that may apply to our business activities directly or indirectly, including, but not limited to:</w:t>
      </w:r>
    </w:p>
    <w:p>
      <w:pPr>
        <w:spacing w:after="0" w:line="311" w:lineRule="exact"/>
        <w:rPr>
          <w:sz w:val="20"/>
          <w:szCs w:val="20"/>
          <w:color w:val="auto"/>
        </w:rPr>
      </w:pPr>
    </w:p>
    <w:p>
      <w:pPr>
        <w:jc w:val="both"/>
        <w:ind w:left="1040" w:right="79" w:hanging="315"/>
        <w:spacing w:after="0" w:line="286"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b w:val="1"/>
          <w:bCs w:val="1"/>
          <w:i w:val="1"/>
          <w:iCs w:val="1"/>
          <w:color w:val="auto"/>
        </w:rPr>
        <w:t>Licensing and Licensed Personnel</w:t>
      </w:r>
      <w:r>
        <w:rPr>
          <w:rFonts w:ascii="Arial" w:cs="Arial" w:eastAsia="Arial" w:hAnsi="Arial"/>
          <w:sz w:val="16"/>
          <w:szCs w:val="16"/>
          <w:color w:val="auto"/>
        </w:rPr>
        <w:t>. Many states have licensure or registration requirements for entities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acting as a third-party administrator, or TPA, and/or PBMs. The scope of these laws differs from state to state, and the application of such laws to the activities of TPAs and/or PBMs is often unclear. Given the nature and scope of the solutions and services that we provide, we are required to maintain TPA and PBM licenses and registrations in certain jurisdictions and to ensure that such licenses and registrations are in good standing on an annual basis. We are licensed, have licensure applications pending before appropriate regulatory bodies, are exempt from licensure or registration, or believe that we are otherwise authorized under such laws in those states in which we provide our TPA and PBM services. These licenses require us to comply with the rules and regulations of the governmental bodies that issued such licenses, including maintaining certain solvency or bonds requirements. Our failure to comply with such rules and regulations could result in significant administrative penalties, the suspension of a license, or the loss of a license, all of which could negatively impact our business. Additionally, from time to time, legislation is considered that would purport to declare a PBM a fiduciary with respect to its clients. While the validity of such laws is questionable and we do not believe any such laws are currently in effect, we cannot predict what effect, if any, such statutes, if enacted, may have on our business and financial results.</w:t>
      </w:r>
    </w:p>
    <w:p>
      <w:pPr>
        <w:spacing w:after="0" w:line="86" w:lineRule="exact"/>
        <w:rPr>
          <w:sz w:val="20"/>
          <w:szCs w:val="20"/>
          <w:color w:val="auto"/>
        </w:rPr>
      </w:pPr>
    </w:p>
    <w:p>
      <w:pPr>
        <w:jc w:val="both"/>
        <w:ind w:left="1020" w:right="59"/>
        <w:spacing w:after="0" w:line="269" w:lineRule="auto"/>
        <w:rPr>
          <w:sz w:val="20"/>
          <w:szCs w:val="20"/>
          <w:color w:val="auto"/>
        </w:rPr>
      </w:pPr>
      <w:r>
        <w:rPr>
          <w:rFonts w:ascii="Arial" w:cs="Arial" w:eastAsia="Arial" w:hAnsi="Arial"/>
          <w:sz w:val="17"/>
          <w:szCs w:val="17"/>
          <w:color w:val="auto"/>
        </w:rPr>
        <w:t>Separately, states impose licensing requirements on insurers, risk-bearing entities, and insurance agents, as well as those entities that provide utilization review services. We do not believe that the nature of our services requires us to be licensed under applicable state law. We are unable to predict, however,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manage regulatory compliance, and paying additional regulatory fees or penalties, which could adversely affect our results of operation. Additionally, we may need to cease operations until we are able to obtain appropriate licensure, which may adversely affect our revenue for a period of time that we cannot estimate.</w:t>
      </w:r>
    </w:p>
    <w:p>
      <w:pPr>
        <w:spacing w:after="0" w:line="182" w:lineRule="exact"/>
        <w:rPr>
          <w:sz w:val="20"/>
          <w:szCs w:val="20"/>
          <w:color w:val="auto"/>
        </w:rPr>
      </w:pPr>
    </w:p>
    <w:p>
      <w:pPr>
        <w:jc w:val="both"/>
        <w:ind w:left="1020" w:right="59"/>
        <w:spacing w:after="0" w:line="291" w:lineRule="auto"/>
        <w:rPr>
          <w:sz w:val="20"/>
          <w:szCs w:val="20"/>
          <w:color w:val="auto"/>
        </w:rPr>
      </w:pPr>
      <w:r>
        <w:rPr>
          <w:rFonts w:ascii="Arial" w:cs="Arial" w:eastAsia="Arial" w:hAnsi="Arial"/>
          <w:sz w:val="16"/>
          <w:szCs w:val="16"/>
          <w:color w:val="auto"/>
        </w:rPr>
        <w:t>In addition, we employ PCAs to support and guide our members as part of our fertility benefits management services. The PCAs do not provide any licensed healthcare services, and in turn, are not licensed by any regulatory body to provide these services. We otherwise do not employ individuals to provide any healthcare services requiring licensure. If a professional board in any state determines that the services provided by our employed PCAs require a license to be provided, we may need to conduct additional training and credentialing, replace staff, obtain additional insurance, and pay increased salaries, which could adversely affect our results of operation. We may additionally need to suspend the PCA services we provide while our</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right="59"/>
        <w:spacing w:after="0" w:line="277" w:lineRule="auto"/>
        <w:rPr>
          <w:sz w:val="20"/>
          <w:szCs w:val="20"/>
          <w:color w:val="auto"/>
        </w:rPr>
      </w:pPr>
      <w:r>
        <w:rPr>
          <w:rFonts w:ascii="Arial" w:cs="Arial" w:eastAsia="Arial" w:hAnsi="Arial"/>
          <w:sz w:val="18"/>
          <w:szCs w:val="18"/>
          <w:color w:val="auto"/>
        </w:rPr>
        <w:t>personnel obtains the necessary licensure, which may adversely affect our relationships with our clients and members and cause us to be in breach of our contracts.</w:t>
      </w:r>
    </w:p>
    <w:p>
      <w:pPr>
        <w:spacing w:after="0" w:line="89" w:lineRule="exact"/>
        <w:rPr>
          <w:sz w:val="20"/>
          <w:szCs w:val="20"/>
          <w:color w:val="auto"/>
        </w:rPr>
      </w:pPr>
    </w:p>
    <w:p>
      <w:pPr>
        <w:jc w:val="both"/>
        <w:ind w:left="1040" w:right="79" w:hanging="315"/>
        <w:spacing w:after="0" w:line="286" w:lineRule="auto"/>
        <w:tabs>
          <w:tab w:leader="none" w:pos="1040" w:val="left"/>
        </w:tabs>
        <w:numPr>
          <w:ilvl w:val="0"/>
          <w:numId w:val="20"/>
        </w:numPr>
        <w:rPr>
          <w:rFonts w:ascii="Arial" w:cs="Arial" w:eastAsia="Arial" w:hAnsi="Arial"/>
          <w:sz w:val="16"/>
          <w:szCs w:val="16"/>
          <w:color w:val="auto"/>
        </w:rPr>
      </w:pPr>
      <w:r>
        <w:rPr>
          <w:rFonts w:ascii="Arial" w:cs="Arial" w:eastAsia="Arial" w:hAnsi="Arial"/>
          <w:sz w:val="16"/>
          <w:szCs w:val="16"/>
          <w:b w:val="1"/>
          <w:bCs w:val="1"/>
          <w:i w:val="1"/>
          <w:iCs w:val="1"/>
          <w:color w:val="auto"/>
        </w:rPr>
        <w:t>HIPAA Privacy and Security Requirements</w:t>
      </w:r>
      <w:r>
        <w:rPr>
          <w:rFonts w:ascii="Arial" w:cs="Arial" w:eastAsia="Arial" w:hAnsi="Arial"/>
          <w:sz w:val="16"/>
          <w:szCs w:val="16"/>
          <w:color w:val="auto"/>
        </w:rPr>
        <w:t>. Regulations promulgated pursuant to HIPAA establish privacy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security standards that limit the use and disclosure of certain individually identifiable health information (known as “protected health information”) and require the implementation of administrative, physical and technological organizational safeguards to protect the privacy of protected health information and ensure the confidentiality, integrity and availability of electronic protected health information. The privacy regulations established under HIPAA also provide patients with rights related to understanding and controlling how their protected health information is used and disclosed. As a provider of services to entities subject to HIPAA, we are directly subject to certain provisions of the regulations as a “Business Associate.” When acting as a Business Associate under HIPAA, to the extent permitted by applicable privacy regulations and contracts and associated Business Associate Agreements with our clients, we are permitted to use and disclose protected health information to perform our services and for other limited purposes, but other uses and disclosures, such as marketing communications, require written authorization from the patient or must meet an exception specified under the privacy regulations. We also have downstream Business Associates, which provide us with services and are also subject to HIPAA regulations.</w:t>
      </w:r>
    </w:p>
    <w:p>
      <w:pPr>
        <w:spacing w:after="0" w:line="90" w:lineRule="exact"/>
        <w:rPr>
          <w:sz w:val="20"/>
          <w:szCs w:val="20"/>
          <w:color w:val="auto"/>
        </w:rPr>
      </w:pPr>
    </w:p>
    <w:p>
      <w:pPr>
        <w:jc w:val="both"/>
        <w:ind w:left="1020" w:right="59"/>
        <w:spacing w:after="0" w:line="284" w:lineRule="auto"/>
        <w:rPr>
          <w:sz w:val="20"/>
          <w:szCs w:val="20"/>
          <w:color w:val="auto"/>
        </w:rPr>
      </w:pPr>
      <w:r>
        <w:rPr>
          <w:rFonts w:ascii="Arial" w:cs="Arial" w:eastAsia="Arial" w:hAnsi="Arial"/>
          <w:sz w:val="16"/>
          <w:szCs w:val="16"/>
          <w:color w:val="auto"/>
        </w:rPr>
        <w:t>If we, or any of our downstream Business Associates, are unable to properly protect the privacy and security of protected health information entrusted to us, we could be found to have breached our contracts with our clients and be subject to investigation by HHS, Office for Civil Rights, or OCR. In the event OCR finds that we have failed to comply with applicable HIPAA privacy and security standards, we could face civil and criminal penalties. In addition, OCR performs compliance audits of Covered Entities and Business Associates in order to proactively enforce the HIPAA privacy and security standards. OCR has become an increasingly active regulator and has signaled its intention to continue this trend. OCR has the discretion to impose penalties and may require companies to enter into resolution agreements and corrective action plans which impose ongoing compliance requirements. OCR enforcement activity, or a third-party audit related to a HIPAA incident regarding us or a third-party vendor, can result in financial liability and reputational harm, and responses to such enforcement activity can consume significant internal resources. In addition to enforcement by OCR, state attorneys general are authorized to bring civil actions under either HIPAA or relevant state laws seeking either injunctions or damages in response to violations that threaten the privacy of state residents. Although we have implemented and maintain policies, processes and compliance program infrastructure to assist us in complying with these laws and regulations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might require us to make costly system purchases and/or modifications or otherwise divert significant resources to HIPAA compliance initiatives from time to time.</w:t>
      </w:r>
    </w:p>
    <w:p>
      <w:pPr>
        <w:spacing w:after="0" w:line="87" w:lineRule="exact"/>
        <w:rPr>
          <w:sz w:val="20"/>
          <w:szCs w:val="20"/>
          <w:color w:val="auto"/>
        </w:rPr>
      </w:pPr>
    </w:p>
    <w:p>
      <w:pPr>
        <w:jc w:val="both"/>
        <w:ind w:left="1040" w:right="79" w:hanging="315"/>
        <w:spacing w:after="0" w:line="284" w:lineRule="auto"/>
        <w:tabs>
          <w:tab w:leader="none" w:pos="104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Other Privacy and Security Requirements</w:t>
      </w:r>
      <w:r>
        <w:rPr>
          <w:rFonts w:ascii="Arial" w:cs="Arial" w:eastAsia="Arial" w:hAnsi="Arial"/>
          <w:sz w:val="16"/>
          <w:szCs w:val="16"/>
          <w:color w:val="auto"/>
        </w:rPr>
        <w:t>. In addition to HIPAA, numerous other federal and state laws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govern the collection, dissemination, use, access to and confidentiality of personal information, some of which may be applicable to our business. Certain federal and state laws protect types of personal information that may be viewed as particularly sensitive. For example, New York’s Public Health Law, Article 27-F protects information that could reveal confidential HIV-related information about an individual. In many cases, state laws are more restrictive than, and not preempted by, HIPAA, and may allow personal rights of action with respect to privacy or security breaches, as well as fines. State laws are contributing to increased enforcement activity and may also be subject to interpretation by various courts and other governmental authorities. Further, California recently enacted the CCPA, which went into effect on January 1, 2020. The CCPA gives California residents certain rights to access and delete their personal information, opt out of certain personal information sharing, and receive detailed information about how their personal information is used. The CCPA provides for civil penalties for violations, as well as a private right of action for data breaches that is expected to increase data breach litigation. Further, the California Privacy Rights Act, or the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Similar laws have passed in Virginia and Colorado, and have been proposed in other states and at the federal</w:t>
      </w:r>
    </w:p>
    <w:p>
      <w:pPr>
        <w:sectPr>
          <w:pgSz w:w="11900" w:h="16838" w:orient="portrait"/>
          <w:cols w:equalWidth="0" w:num="1">
            <w:col w:w="9019"/>
          </w:cols>
          <w:pgMar w:left="1440" w:top="517" w:right="1440" w:bottom="1440" w:gutter="0" w:footer="0" w:header="0"/>
        </w:sect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6" w:name="page37"/>
    <w:bookmarkEnd w:id="3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level, reflecting a trend toward more stringent privacy legislation in the United States. The enactment of such laws could have potentially conflicting requirements that would make compliance challenging.</w:t>
      </w:r>
    </w:p>
    <w:p>
      <w:pPr>
        <w:spacing w:after="0" w:line="52" w:lineRule="exact"/>
        <w:rPr>
          <w:sz w:val="20"/>
          <w:szCs w:val="20"/>
          <w:color w:val="auto"/>
        </w:rPr>
      </w:pPr>
    </w:p>
    <w:p>
      <w:pPr>
        <w:jc w:val="both"/>
        <w:ind w:left="1020" w:right="59"/>
        <w:spacing w:after="0" w:line="284" w:lineRule="auto"/>
        <w:rPr>
          <w:sz w:val="20"/>
          <w:szCs w:val="20"/>
          <w:color w:val="auto"/>
        </w:rPr>
      </w:pPr>
      <w:r>
        <w:rPr>
          <w:rFonts w:ascii="Arial" w:cs="Arial" w:eastAsia="Arial" w:hAnsi="Arial"/>
          <w:sz w:val="16"/>
          <w:szCs w:val="16"/>
          <w:color w:val="auto"/>
        </w:rPr>
        <w:t>Certain of our solutions and services involve the transmission and storage of client and member data in various jurisdictions, which subjects the operation of those solutions and services to privacy or data protection laws and regulations in those jurisdictions. While we believe these solutions and services comply with current regulatory and security requirements in the jurisdictions in which we provide these solutions and services, there can be no assurance that such requirements will not change or that we will not otherwise be subject to legal or regulatory actions. These laws and regulations are rapidly evolving and changing, and could have an adverse impact on our operations. These laws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and regulations. An adverse outcome under any such investigation or audit could result in fines, penalties, other liability, or could result in adverse publicity or a loss of reputation, and adversely affect our business. Any failure or perceived failure by us or by our solutions to comply with these laws and regulations may subject us to legal or regulatory actions, damage our reputation or adversely affect our ability to provide our solutions in the jurisdiction that has enacted the applicable law or regulation. Moreover, if these laws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results of operations.</w:t>
      </w:r>
    </w:p>
    <w:p>
      <w:pPr>
        <w:spacing w:after="0" w:line="101" w:lineRule="exact"/>
        <w:rPr>
          <w:sz w:val="20"/>
          <w:szCs w:val="20"/>
          <w:color w:val="auto"/>
        </w:rPr>
      </w:pPr>
    </w:p>
    <w:p>
      <w:pPr>
        <w:jc w:val="both"/>
        <w:ind w:left="1040" w:right="79" w:hanging="315"/>
        <w:spacing w:after="0" w:line="269" w:lineRule="auto"/>
        <w:tabs>
          <w:tab w:leader="none" w:pos="104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Data Protection and Breaches</w:t>
      </w:r>
      <w:r>
        <w:rPr>
          <w:rFonts w:ascii="Arial" w:cs="Arial" w:eastAsia="Arial" w:hAnsi="Arial"/>
          <w:sz w:val="17"/>
          <w:szCs w:val="17"/>
          <w:color w:val="auto"/>
        </w:rPr>
        <w:t>. In recent years, there have been a number of well-publicized data breaches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involving the improper dissemination of personal information of individuals both within and outside of the healthcare industry. Laws in all 50 states require businesses to provide notice to clients whose personally identifiable information has been disclosed as a result of a data breach. The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185" w:lineRule="exact"/>
        <w:rPr>
          <w:sz w:val="20"/>
          <w:szCs w:val="20"/>
          <w:color w:val="auto"/>
        </w:rPr>
      </w:pPr>
    </w:p>
    <w:p>
      <w:pPr>
        <w:jc w:val="both"/>
        <w:ind w:left="1020" w:right="59"/>
        <w:spacing w:after="0" w:line="270" w:lineRule="auto"/>
        <w:rPr>
          <w:sz w:val="20"/>
          <w:szCs w:val="20"/>
          <w:color w:val="auto"/>
        </w:rPr>
      </w:pPr>
      <w:r>
        <w:rPr>
          <w:rFonts w:ascii="Arial" w:cs="Arial" w:eastAsia="Arial" w:hAnsi="Arial"/>
          <w:sz w:val="17"/>
          <w:szCs w:val="17"/>
          <w:color w:val="auto"/>
        </w:rPr>
        <w:t>Additionally, under HIPAA, Covered Entities must report breaches of unsecured protected health information to affected individuals without unreasonable delay, not to exceed 60 days following discovery of the breach by a Covered Entity or its agents. Notification also must be made to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the information has been compromised consistent with requirements enumerated in HIPAA.</w:t>
      </w:r>
    </w:p>
    <w:p>
      <w:pPr>
        <w:spacing w:after="0" w:line="181" w:lineRule="exact"/>
        <w:rPr>
          <w:sz w:val="20"/>
          <w:szCs w:val="20"/>
          <w:color w:val="auto"/>
        </w:rPr>
      </w:pPr>
    </w:p>
    <w:p>
      <w:pPr>
        <w:jc w:val="both"/>
        <w:ind w:left="1020" w:right="59"/>
        <w:spacing w:after="0" w:line="286" w:lineRule="auto"/>
        <w:rPr>
          <w:sz w:val="20"/>
          <w:szCs w:val="20"/>
          <w:color w:val="auto"/>
        </w:rPr>
      </w:pPr>
      <w:r>
        <w:rPr>
          <w:rFonts w:ascii="Arial" w:cs="Arial" w:eastAsia="Arial" w:hAnsi="Arial"/>
          <w:sz w:val="16"/>
          <w:szCs w:val="16"/>
          <w:color w:val="auto"/>
        </w:rPr>
        <w:t>Despite our security management efforts with respect to physical and technological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and processing functions) are vulnerable to, and from time to time experience, unauthorized access to data and/or breaches of confidential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security measures, some of which are managed by third parties, or the security measures of our service providers or vendors, are breached or fail, it is possible that unauthorized or illegal access to or acquisition, disclosure, use or processing of personal information, confidential information, or other sensitive client, member, or employee data, including HIPAA-regulated protected health information, may occur. A security breach or failure could result from a variety of circumstances and events, including third-party action, human</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spacing w:after="0" w:line="259" w:lineRule="auto"/>
        <w:rPr>
          <w:sz w:val="20"/>
          <w:szCs w:val="20"/>
          <w:color w:val="auto"/>
        </w:rPr>
      </w:pPr>
      <w:r>
        <w:rPr>
          <w:rFonts w:ascii="Arial" w:cs="Arial" w:eastAsia="Arial" w:hAnsi="Arial"/>
          <w:sz w:val="18"/>
          <w:szCs w:val="18"/>
          <w:color w:val="auto"/>
        </w:rPr>
        <w:t>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187" w:lineRule="exact"/>
        <w:rPr>
          <w:sz w:val="20"/>
          <w:szCs w:val="20"/>
          <w:color w:val="auto"/>
        </w:rPr>
      </w:pPr>
    </w:p>
    <w:p>
      <w:pPr>
        <w:jc w:val="both"/>
        <w:ind w:left="1020" w:right="59"/>
        <w:spacing w:after="0" w:line="267" w:lineRule="auto"/>
        <w:rPr>
          <w:sz w:val="20"/>
          <w:szCs w:val="20"/>
          <w:color w:val="auto"/>
        </w:rPr>
      </w:pPr>
      <w:r>
        <w:rPr>
          <w:rFonts w:ascii="Arial" w:cs="Arial" w:eastAsia="Arial" w:hAnsi="Arial"/>
          <w:sz w:val="17"/>
          <w:szCs w:val="17"/>
          <w:color w:val="auto"/>
        </w:rPr>
        <w:t>If our security measures, or those of our service providers or vendors, were to be breached or fail, our reputation could be severely damaged, adversely affecting client or investor confidence. As a result, clients may curtail their use of or stop using our offering and our business may suffer. In addition, we could face litigation, damages for contract breach, penalties and regulatory actions for violation of HIPAA and other laws or regulations applicable to data protection and significant costs for remediation and for measures to prevent future occurrences. In addition, any potential security breach could result in increased costs associated with liability for stolen assets or information, repairing system damage that may have been caused by such breaches,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covering certain security and privacy damages and claim expenses, we may not carry insurance or maintain coverage sufficient to compensate for all liability and such insurance may not be available for renewal on acceptable terms or at all, and in any event, insurance coverage would not address the reputational damage that could result from a security incident.</w:t>
      </w:r>
    </w:p>
    <w:p>
      <w:pPr>
        <w:spacing w:after="0" w:line="110" w:lineRule="exact"/>
        <w:rPr>
          <w:sz w:val="20"/>
          <w:szCs w:val="20"/>
          <w:color w:val="auto"/>
        </w:rPr>
      </w:pPr>
    </w:p>
    <w:p>
      <w:pPr>
        <w:jc w:val="both"/>
        <w:ind w:left="1040" w:right="79" w:hanging="315"/>
        <w:spacing w:after="0" w:line="287" w:lineRule="auto"/>
        <w:tabs>
          <w:tab w:leader="none" w:pos="104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HIPAA Transaction and Identifier Standards</w:t>
      </w:r>
      <w:r>
        <w:rPr>
          <w:rFonts w:ascii="Arial" w:cs="Arial" w:eastAsia="Arial" w:hAnsi="Arial"/>
          <w:sz w:val="16"/>
          <w:szCs w:val="16"/>
          <w:color w:val="auto"/>
        </w:rPr>
        <w:t>. HIPAA and its implementing regulations mandate format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 content standards and provider identifier standards (known as the National Provider Identifier) that must be used in certain electronic transactions, such as claims, payment advice and eligibility inquiries. HHS has established standards that health plans must use for electronic fund transfers with providers, has established operating rules for certain transactions, and is in the process of establishing operating rules to promote uniformity in the implementation of the remaining types of covered transactions. The ACA also requires HHS to establish standards for health claims attachment transactions. HHS has modified the standards for electronic healthcare transactions (such as, eligibility, claims submission and payment and electronic remittance) from Version 4010/4010A to Version 5010. Further, HHS now requires the use of updated standard code sets for diagnoses and procedures known as the ICD-10 code sets. Enforcement of compliance with these standards falls under HHS and is carried out by CMS.</w:t>
      </w:r>
    </w:p>
    <w:p>
      <w:pPr>
        <w:spacing w:after="0" w:line="172" w:lineRule="exact"/>
        <w:rPr>
          <w:sz w:val="20"/>
          <w:szCs w:val="20"/>
          <w:color w:val="auto"/>
        </w:rPr>
      </w:pPr>
    </w:p>
    <w:p>
      <w:pPr>
        <w:jc w:val="both"/>
        <w:ind w:left="1020" w:right="59"/>
        <w:spacing w:after="0" w:line="272" w:lineRule="auto"/>
        <w:rPr>
          <w:sz w:val="20"/>
          <w:szCs w:val="20"/>
          <w:color w:val="auto"/>
        </w:rPr>
      </w:pPr>
      <w:r>
        <w:rPr>
          <w:rFonts w:ascii="Arial" w:cs="Arial" w:eastAsia="Arial" w:hAnsi="Arial"/>
          <w:sz w:val="17"/>
          <w:szCs w:val="17"/>
          <w:color w:val="auto"/>
        </w:rPr>
        <w:t>In the event new requirements are imposed, we will be required to modify our systems and processes to accommodate these changes. We will seek to modify our systems and processes as needed to prepare for and implement changes to the transaction standards, code sets operating rules and identifier requirements; however, we may not be successful in responding to these changes, and any responsive changes we make to our systems and processes may result in errors or otherwise negatively impact our service levels. In addition, the compliance dates for new or modified transaction standards, operating rules and identifiers may overlap, which may further burden our resources.</w:t>
      </w:r>
    </w:p>
    <w:p>
      <w:pPr>
        <w:spacing w:after="0" w:line="177" w:lineRule="exact"/>
        <w:rPr>
          <w:sz w:val="20"/>
          <w:szCs w:val="20"/>
          <w:color w:val="auto"/>
        </w:rPr>
      </w:pPr>
    </w:p>
    <w:p>
      <w:pPr>
        <w:jc w:val="both"/>
        <w:ind w:left="1040" w:right="79" w:hanging="315"/>
        <w:spacing w:after="0" w:line="290" w:lineRule="auto"/>
        <w:tabs>
          <w:tab w:leader="none" w:pos="1040" w:val="left"/>
        </w:tabs>
        <w:numPr>
          <w:ilvl w:val="0"/>
          <w:numId w:val="24"/>
        </w:numPr>
        <w:rPr>
          <w:rFonts w:ascii="Arial" w:cs="Arial" w:eastAsia="Arial" w:hAnsi="Arial"/>
          <w:sz w:val="16"/>
          <w:szCs w:val="16"/>
          <w:color w:val="auto"/>
        </w:rPr>
      </w:pPr>
      <w:r>
        <w:rPr>
          <w:rFonts w:ascii="Arial" w:cs="Arial" w:eastAsia="Arial" w:hAnsi="Arial"/>
          <w:sz w:val="16"/>
          <w:szCs w:val="16"/>
          <w:b w:val="1"/>
          <w:bCs w:val="1"/>
          <w:i w:val="1"/>
          <w:iCs w:val="1"/>
          <w:color w:val="auto"/>
        </w:rPr>
        <w:t>Fraud and Abuse Laws</w:t>
      </w:r>
      <w:r>
        <w:rPr>
          <w:rFonts w:ascii="Arial" w:cs="Arial" w:eastAsia="Arial" w:hAnsi="Arial"/>
          <w:sz w:val="16"/>
          <w:szCs w:val="16"/>
          <w:color w:val="auto"/>
        </w:rPr>
        <w:t>. Many of our clients, insurance carriers, and network healthcare providers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impacted directly and indirectly by certain fraud and abuse laws, including the federal Anti-Kickback Statute, the Physician Self-Referral Law, commonly referred to as the Stark Law, and the False Claims Act, as well as their state equivalents. Because the solutions and services we provide are not reimbursed by government healthcare payors, such fraud and abuse laws generally do not directly apply to our business, however, some laws may be applicable to us. For example, certain states have anti-kickback and false claims laws that may be broader in scope than analogous federal laws and may apply to items and services reimbursed by any third-party payor, including private insurers, self-insured employers and on a cash basis by patients.</w:t>
      </w:r>
    </w:p>
    <w:p>
      <w:pPr>
        <w:spacing w:after="0" w:line="165" w:lineRule="exact"/>
        <w:rPr>
          <w:sz w:val="20"/>
          <w:szCs w:val="20"/>
          <w:color w:val="auto"/>
        </w:rPr>
      </w:pPr>
    </w:p>
    <w:p>
      <w:pPr>
        <w:jc w:val="both"/>
        <w:ind w:left="1020" w:right="59"/>
        <w:spacing w:after="0" w:line="293" w:lineRule="auto"/>
        <w:rPr>
          <w:sz w:val="20"/>
          <w:szCs w:val="20"/>
          <w:color w:val="auto"/>
        </w:rPr>
      </w:pPr>
      <w:r>
        <w:rPr>
          <w:rFonts w:ascii="Arial" w:cs="Arial" w:eastAsia="Arial" w:hAnsi="Arial"/>
          <w:sz w:val="16"/>
          <w:szCs w:val="16"/>
          <w:color w:val="auto"/>
        </w:rPr>
        <w:t>The laws, regulations and other requirements in this area are both broad and complex and judicial and regulatory interpretation can also be inconsistent. We review our practices with regulatory experts in an effort to comply with all applicable laws, regulatory and other requirements. However, we are unable to predict how these laws, regulations and other requirements will be interpreted or the full extent of their application, particularly to services that are not directly reimbursed by federal and state healthcare programs. Any determination by a federal or state regulatory authority that any of our activities or those of our clients or</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1020" w:right="59"/>
        <w:spacing w:after="0" w:line="254" w:lineRule="auto"/>
        <w:rPr>
          <w:sz w:val="20"/>
          <w:szCs w:val="20"/>
          <w:color w:val="auto"/>
        </w:rPr>
      </w:pPr>
      <w:r>
        <w:rPr>
          <w:rFonts w:ascii="Arial" w:cs="Arial" w:eastAsia="Arial" w:hAnsi="Arial"/>
          <w:sz w:val="18"/>
          <w:szCs w:val="18"/>
          <w:color w:val="auto"/>
        </w:rPr>
        <w:t>vendors violate any of these laws or regulations could subject us to significant administrative, civil or criminal penalties, damages, disgorgement, monetary fines or imprisonment, require us to enter into corporate integrity agreements or similar agreements with ongoing compliance obligations, disqualify us from providing services to clients that are, or do business with, government healthcare programs and/or have an adverse impact on our business, financial condition and results of operations. Even an unsuccessful challenge by a regulatory authority of our activities could result in adverse publicity and could require a costly response from us.</w:t>
      </w:r>
    </w:p>
    <w:p>
      <w:pPr>
        <w:spacing w:after="0" w:line="195" w:lineRule="exact"/>
        <w:rPr>
          <w:sz w:val="20"/>
          <w:szCs w:val="20"/>
          <w:color w:val="auto"/>
        </w:rPr>
      </w:pPr>
    </w:p>
    <w:p>
      <w:pPr>
        <w:jc w:val="both"/>
        <w:ind w:left="1040" w:right="79" w:hanging="315"/>
        <w:spacing w:after="0" w:line="267" w:lineRule="auto"/>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State Corporate Practice and Fee-Splitting Prohibitions. </w:t>
      </w:r>
      <w:r>
        <w:rPr>
          <w:rFonts w:ascii="Arial" w:cs="Arial" w:eastAsia="Arial" w:hAnsi="Arial"/>
          <w:sz w:val="17"/>
          <w:szCs w:val="17"/>
          <w:color w:val="auto"/>
        </w:rPr>
        <w:t>There is a risk that regulatory authorities in some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jurisdictions may find that our contractual relationships with our fertility specialists violate laws prohibiting the corporate practice of medicine and/or fee-splitting. These laws generally prohibit non-physician entities from practicing medicine, exercising control over physicians or engaging in certain practices such as fee-splitting with physicians. Although we believe all of our arrangements with our network providers are in compliance with such laws, where applicable, there can be no assurance that these laws will be interpreted in a manner consistent with our practices or that other laws or regulations will not be enacted in the future that could have a material and adverse effect on our business, results of operations, and financial condition. Regulatory authorities, state medical boards, state attorneys general and other parties, including our network physicians, may assert that we are engaged in the prohibited corporate practice of medicine, and/or that our arrangement with our network providers constitutes unlawful fee-splitting. If a state’s prohibition on corporate practice of medicine or fee-splitting law is interpreted in a manner that is inconsistent with our practices, we would be required to restructure or terminate our contractual relationship with our network providers to bring our activities into compliance with such laws, disciplinary action, penalties, damages, fines, and/or a loss of revenue, any of which could have a material and adverse effect on our business, results of operations, and financial condition. State corporate practice of medicine doctrines and fee-splitting prohibitions also often impose penalties on physicians themselves for aiding the corporate practice of medicine or unlawful fee-splitting, which could discourage physicians from participating in our network of providers.</w:t>
      </w:r>
    </w:p>
    <w:p>
      <w:pPr>
        <w:spacing w:after="0" w:line="188" w:lineRule="exact"/>
        <w:rPr>
          <w:rFonts w:ascii="Arial" w:cs="Arial" w:eastAsia="Arial" w:hAnsi="Arial"/>
          <w:sz w:val="17"/>
          <w:szCs w:val="17"/>
          <w:color w:val="auto"/>
        </w:rPr>
      </w:pPr>
    </w:p>
    <w:p>
      <w:pPr>
        <w:jc w:val="both"/>
        <w:ind w:left="1040" w:right="79" w:hanging="315"/>
        <w:spacing w:after="0" w:line="285"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ERISA Regulation</w:t>
      </w:r>
      <w:r>
        <w:rPr>
          <w:rFonts w:ascii="Arial" w:cs="Arial" w:eastAsia="Arial" w:hAnsi="Arial"/>
          <w:sz w:val="16"/>
          <w:szCs w:val="16"/>
          <w:color w:val="auto"/>
        </w:rPr>
        <w:t>. The Employee Retirement Income Security Act of 1974, or ERISA, regulates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certain aspects of employee health plans, including both insured and self-funded health plans sponsored by our clients, with which we have agreements to provide TPA services. As part of our agreements with a number of these clients, we offer PBM services through Progyny Rx. Because we believe the conduct of our business vis-à-vis these plans is not of a fiduciary nature, it is not generally subject to the fiduciary obligations of ERISA. However, there can be no assurance the United States Department of Labor, or the DOL, which is the agency that enforces ERISA, would not in the future assert that the fiduciary obligations imposed by ERISA apply to certain aspects of our operations or courts would not reach such a ruling in private ERISA litigation. ERISA also imposes civil and criminal liability on service providers to health plans subject to ERISA and certain other persons with relationships to such plans if certain forms of illegal or prohibited remuneration are made or received by such service providers or other persons. These provisions of ERISA are similar, but not identical, to the healthcare anti-kickback laws described above, although ERISA lacks the statutory and regulatory “safe harbor” exceptions incorporated into the healthcare anti-kickback laws. Like the healthcare anti-kickback laws, the corresponding provisions of ERISA are broadly written and their application to particular cases can be uncertain. ERISA plans are subject to certain rules, published by the DOL, including certain reporting requirements for direct and indirect compensation received by plan service providers. Separately, although ERISA generally preempts state laws that relate to ERISA plans, the recent Supreme Court ruling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established that ERISA does not preempt all state laws imposing transparency or other requirements on PBMs.</w:t>
      </w:r>
    </w:p>
    <w:p>
      <w:pPr>
        <w:spacing w:after="0" w:line="168" w:lineRule="exact"/>
        <w:rPr>
          <w:rFonts w:ascii="Arial" w:cs="Arial" w:eastAsia="Arial" w:hAnsi="Arial"/>
          <w:sz w:val="16"/>
          <w:szCs w:val="16"/>
          <w:color w:val="auto"/>
        </w:rPr>
      </w:pPr>
    </w:p>
    <w:p>
      <w:pPr>
        <w:jc w:val="both"/>
        <w:ind w:left="1040" w:right="79" w:hanging="315"/>
        <w:spacing w:after="0" w:line="288"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Prompt Pay Laws</w:t>
      </w:r>
      <w:r>
        <w:rPr>
          <w:rFonts w:ascii="Arial" w:cs="Arial" w:eastAsia="Arial" w:hAnsi="Arial"/>
          <w:sz w:val="16"/>
          <w:szCs w:val="16"/>
          <w:color w:val="auto"/>
        </w:rPr>
        <w:t>. Certain states have laws regulating the amount of time that may elapse from when a third-party payor receives a claim for services rendered to when those services are paid. These “prompt pay” laws may impact us as well as our self-insured clients and insurance carriers. Under these “prompt pay” laws, we may be obligated to pay healthcare providers within established time periods, and such time periods may be shorter than existing contracted terms and/or via electronic transfer. In many states, we are deemed to be exempt from the prompt pay laws, however, we seek to comply with them in each state in which we do business to the extent applicable, and our efforts include the use of controls such as policies and processing systems that ensure we pay claims as quickly as possible and contract language related to timeframes permitted by applicable law. If we do not make payments to healthcare providers in a timely fashion consistent with prompt pay laws, we may be required to pay interest in addition to any amounts owed to such</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9" w:name="page40"/>
    <w:bookmarkEnd w:id="3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308" w:lineRule="auto"/>
        <w:rPr>
          <w:sz w:val="20"/>
          <w:szCs w:val="20"/>
          <w:color w:val="auto"/>
        </w:rPr>
      </w:pPr>
      <w:r>
        <w:rPr>
          <w:rFonts w:ascii="Arial" w:cs="Arial" w:eastAsia="Arial" w:hAnsi="Arial"/>
          <w:sz w:val="17"/>
          <w:szCs w:val="17"/>
          <w:color w:val="auto"/>
        </w:rPr>
        <w:t>providers. In addition, our reputation may be harmed and our contractual obligations to certain clients may be breached, causing us to lose revenue or otherwise pay penalties under such contracts.</w:t>
      </w:r>
    </w:p>
    <w:p>
      <w:pPr>
        <w:spacing w:after="0" w:line="146" w:lineRule="exact"/>
        <w:rPr>
          <w:sz w:val="20"/>
          <w:szCs w:val="20"/>
          <w:color w:val="auto"/>
        </w:rPr>
      </w:pPr>
    </w:p>
    <w:p>
      <w:pPr>
        <w:jc w:val="both"/>
        <w:ind w:left="1040" w:right="79" w:hanging="315"/>
        <w:spacing w:after="0" w:line="285" w:lineRule="auto"/>
        <w:tabs>
          <w:tab w:leader="none" w:pos="1040" w:val="left"/>
        </w:tabs>
        <w:numPr>
          <w:ilvl w:val="0"/>
          <w:numId w:val="26"/>
        </w:numPr>
        <w:rPr>
          <w:rFonts w:ascii="Arial" w:cs="Arial" w:eastAsia="Arial" w:hAnsi="Arial"/>
          <w:sz w:val="16"/>
          <w:szCs w:val="16"/>
          <w:color w:val="auto"/>
        </w:rPr>
      </w:pPr>
      <w:r>
        <w:rPr>
          <w:rFonts w:ascii="Arial" w:cs="Arial" w:eastAsia="Arial" w:hAnsi="Arial"/>
          <w:sz w:val="16"/>
          <w:szCs w:val="16"/>
          <w:b w:val="1"/>
          <w:bCs w:val="1"/>
          <w:i w:val="1"/>
          <w:iCs w:val="1"/>
          <w:color w:val="auto"/>
        </w:rPr>
        <w:t>Network Adequacy and Access Requirements</w:t>
      </w:r>
      <w:r>
        <w:rPr>
          <w:rFonts w:ascii="Arial" w:cs="Arial" w:eastAsia="Arial" w:hAnsi="Arial"/>
          <w:sz w:val="16"/>
          <w:szCs w:val="16"/>
          <w:color w:val="auto"/>
        </w:rPr>
        <w:t>. Network adequacy and access laws require health plans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maintain a network of healthcare providers sufficient to deliver the benefits they contract to provide to their enrollees. In light of the increase in “narrow networks,” there has been a legislative push to ensure that commercial payors contract with a sufficient number of healthcare providers to create an “adequate network.” Additionally, a majority of states now have some form of legislation affecting our payor clients’ ability to limit access to a provider network or remove a provider from the network. Such legislation may require our clients to admit any healthcare provider including any pharmacy provider willing to meet the plan’s price and other terms for network participation (“any willing provider” legislation) or may provide that a provider may not be removed from a network except in compliance with certain procedures (“due process” legislation). Further, to ensure network adequacy and quality, a network may seek to accredit its healthcare providers through any number of accrediting bodies, such as the National Committee for Quality Assurance, or NCQA, and the Utilization Review Accreditation Commission. We follow NCQA standards to credential the health providers with whom we contract to provide services within our network, and engage Council for Affordable Quality Healthcare to conduct provider credentialing where required. Should any of the states we operate in determine that our network of providers does not meet adequacy or access requirements, we may be subject to administrative penalties and other administrative actions, as well as private litigation. In addition, if we are unable to contract with a sufficient number of providers, we may become subject to administrative penalties or enforcement actions from state regulatory agencies, litigation from consumers, and may be in breach of certain contractual covenants with our partners.</w:t>
      </w:r>
    </w:p>
    <w:p>
      <w:pPr>
        <w:spacing w:after="0" w:line="168" w:lineRule="exact"/>
        <w:rPr>
          <w:rFonts w:ascii="Arial" w:cs="Arial" w:eastAsia="Arial" w:hAnsi="Arial"/>
          <w:sz w:val="16"/>
          <w:szCs w:val="16"/>
          <w:color w:val="auto"/>
        </w:rPr>
      </w:pPr>
    </w:p>
    <w:p>
      <w:pPr>
        <w:jc w:val="both"/>
        <w:ind w:left="1040" w:right="79" w:hanging="315"/>
        <w:spacing w:after="0" w:line="269"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Consumer Protection Laws</w:t>
      </w:r>
      <w:r>
        <w:rPr>
          <w:rFonts w:ascii="Arial" w:cs="Arial" w:eastAsia="Arial" w:hAnsi="Arial"/>
          <w:sz w:val="17"/>
          <w:szCs w:val="17"/>
          <w:color w:val="auto"/>
        </w:rPr>
        <w:t>. Federal and state consumer protection laws are being applied increasingly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Federal Trade Commission, or FTC, Federal Communications Commission, or FCC, and states’ attorneys general to regulate the collection, use, storage and disclosure of personal or health information, through websites or otherwise, and to regulate the presentation of website content. Courts may also adopt the standards for fair information practices promulgated by the FTC, which concern consumer notice, choice, security and access. Consumer protection laws require us to publish statements to users of our services that describe how we handle personal information and choices consumers may have about the way we handle personal information. If such information that we publish is considered untrue, we may be subject to claims of unfair or deceptive trade practices, which could lead to significant liabilities and consequences, including, costs of defending against litigation, settling claims and loss of willingness of current and future clients to work with us.</w:t>
      </w:r>
    </w:p>
    <w:p>
      <w:pPr>
        <w:spacing w:after="0" w:line="181" w:lineRule="exact"/>
        <w:rPr>
          <w:rFonts w:ascii="Arial" w:cs="Arial" w:eastAsia="Arial" w:hAnsi="Arial"/>
          <w:sz w:val="17"/>
          <w:szCs w:val="17"/>
          <w:color w:val="auto"/>
        </w:rPr>
      </w:pPr>
    </w:p>
    <w:p>
      <w:pPr>
        <w:jc w:val="both"/>
        <w:ind w:left="1040" w:right="79" w:hanging="315"/>
        <w:spacing w:after="0" w:line="272" w:lineRule="auto"/>
        <w:tabs>
          <w:tab w:leader="none" w:pos="1040" w:val="left"/>
        </w:tabs>
        <w:numPr>
          <w:ilvl w:val="0"/>
          <w:numId w:val="26"/>
        </w:numPr>
        <w:rPr>
          <w:rFonts w:ascii="Arial" w:cs="Arial" w:eastAsia="Arial" w:hAnsi="Arial"/>
          <w:sz w:val="17"/>
          <w:szCs w:val="17"/>
          <w:color w:val="auto"/>
        </w:rPr>
      </w:pPr>
      <w:r>
        <w:rPr>
          <w:rFonts w:ascii="Arial" w:cs="Arial" w:eastAsia="Arial" w:hAnsi="Arial"/>
          <w:sz w:val="17"/>
          <w:szCs w:val="17"/>
          <w:b w:val="1"/>
          <w:bCs w:val="1"/>
          <w:i w:val="1"/>
          <w:iCs w:val="1"/>
          <w:color w:val="auto"/>
        </w:rPr>
        <w:t>Restrictions on Communication</w:t>
      </w:r>
      <w:r>
        <w:rPr>
          <w:rFonts w:ascii="Arial" w:cs="Arial" w:eastAsia="Arial" w:hAnsi="Arial"/>
          <w:sz w:val="17"/>
          <w:szCs w:val="17"/>
          <w:color w:val="auto"/>
        </w:rPr>
        <w:t>. Communications with our members increasingly may be subject to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restricted by laws and regulations governing communications via telephone, fax, text, and email. We also use email and social media platforms as marketing tools. For example, we maintain social media accounts. As laws and regulations, including FTC enforcement, rapidly evolve to govern the use of these platforms and devices, the failure by us, our employees or third parties acting at our direction to abide by applicable laws and regulations in the use of these platforms and devices could adversely impact our business, financial condition and results of operations or subject us to fines or other penalties.</w:t>
      </w:r>
    </w:p>
    <w:p>
      <w:pPr>
        <w:spacing w:after="0" w:line="17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The healthcare regulatory and political framework is uncertain and evolving. Recent and future developments in the healthcare industry could have an adverse impact on our business, financial condition and results of operations.</w:t>
      </w:r>
    </w:p>
    <w:p>
      <w:pPr>
        <w:spacing w:after="0" w:line="124"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All of our revenue is derived from the healthcare industry, which is highly regulated and subject to changing political, legislative, regulatory and other influences. Healthcare laws and regulations are rapidly evolving and may change significantly in the future. For example, the ACA may affect the coverage and plan designs that are or will be provided by certain insurance carriers and certain of our clients with self-insured plans, taxability of benefits under such plans, as well as the overall reimbursement and drug pricing environment for healthcare providers. Since its enactment, there have been judicial, executive and Congressional challenges to certain aspects of the ACA as well as efforts to repeal or replace certain aspects of the ACA, which may continue in the future. For example, on June 17, 2021, the U.S. Supreme Court dismissed the most recent judicial challenge to the ACA brought by several states without specifically ruling on the constitutionality of the ACA. Other health reform efforts have been proposed by members of Congress, such as measures that would expand the role of government-sponsored coverage, including further reform to the ACA, which could have far-reaching implications for the healthcare industry if enacted. On January 28, 2021, President Joe Biden issued an Executive Order directing federal agencies to examine all existing regulations, orders, guidance documents, policies and similar agency</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0" w:name="page41"/>
    <w:bookmarkEnd w:id="4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actions to determine if any such actions are inconsistent with the policy set forth in the Executive Order to protect and strengthen the ACA and make high-quality healthcare accessible and affordable for every American. As another example of recent healthcare legislative changes, the Consolidated Appropriations Act, or CAA, effective December 27, 2021, contains provisions impacting group health plans, including protections for plan participants from surprise medical bills and ensuring health plan price transparency. The CAA prohibits plans from entering into services agreements that directly or indirectly restrict the plans from disclosing provider-specific costs and quality of care information. It also requires disclosure by health insurance brokers and consultants to plan sponsors regarding reasonably expected direct and indirect compensation for referral of services to group health plans. Additionally, the CAA requires plans to submit reports to the Department of Labor, HHS and IRS with certain information on pharmacy benefits and drug costs for participants and beneficiaries and the application of in-network rates to out of network services. The CAA also requires certain service providers for health plans to comply with certain ERISA fee disclosure rules. In addition, effective January 1, 2022, the No Surprises Act (enacted as part of the CAA) provides protection against surprise medical bills by prohibiting plans and providers from balance billing patients for emergency care performed by out-of-network providers as well as non-emergency and ancillary services performed by out-of-network providers at in-network facilities, subject to certain notice and consent exceptions for non-emergency and ancillary services. The new law also grants additional patient protections, including requiring providers to send a good faith estimate of the expected charges for furnishing items or services to an insured patient’s health plan (or directly to an uninsured patient) before such items or services are delivered (including items or services reasonably expected to be provided in conjunction with scheduled items or services or that are reasonably expected to be delivered by another provider). The No Surprises Act also provides a dispute resolution process in the event the actual charges for such items and services are substantially higher than the plan’s estimate, and will prohibit providers from charging patients an amount beyond the in-network cost sharing amount for services rendered by out-of-network providers, subject to certain exceptions. Several states have also enacted comprehensive balance billing or surprise billing laws and the CAA defers to existing state requirements with respect to state-established payment amounts. Such state laws vary in their approach, resulting in different impacts on the health care system as a whole.</w:t>
      </w:r>
    </w:p>
    <w:p>
      <w:pPr>
        <w:spacing w:after="0" w:line="175"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are unable to predict how these changes to the ACA and other healthcare reform initiatives from new legislation, regulation, judicial action and/or executive action, including the CAA and No Surprises Act and state laws, will ultimately impact the healthcare industry and what the potential impact may be on our business or on our business and on our relationships with future clients, insurance carriers, and healthcare providers. If we are unable to comply with these laws or regulations or provide adequate assistance to our clients subject to these laws or regulations, it is reasonably possible that our business operations and operating results could be materially adversely affected.</w:t>
      </w:r>
    </w:p>
    <w:p>
      <w:pPr>
        <w:spacing w:after="0" w:line="178" w:lineRule="exact"/>
        <w:rPr>
          <w:sz w:val="20"/>
          <w:szCs w:val="20"/>
          <w:color w:val="auto"/>
        </w:rPr>
      </w:pPr>
    </w:p>
    <w:p>
      <w:pPr>
        <w:jc w:val="both"/>
        <w:ind w:left="60" w:right="59"/>
        <w:spacing w:after="0" w:line="340" w:lineRule="auto"/>
        <w:rPr>
          <w:sz w:val="20"/>
          <w:szCs w:val="20"/>
          <w:color w:val="auto"/>
        </w:rPr>
      </w:pPr>
      <w:r>
        <w:rPr>
          <w:rFonts w:ascii="Arial" w:cs="Arial" w:eastAsia="Arial" w:hAnsi="Arial"/>
          <w:sz w:val="15"/>
          <w:szCs w:val="15"/>
          <w:b w:val="1"/>
          <w:bCs w:val="1"/>
          <w:i w:val="1"/>
          <w:iCs w:val="1"/>
          <w:color w:val="auto"/>
        </w:rPr>
        <w:t>We are subject to potential changes in laws, regulations, government enforcement priorities, public policy, industry standards and other requirements, including with respect to Progyny Rx’s PBM practices, which create risks and challenges with respect to our compliance efforts and our business strategies, and may adversely affect our business.</w:t>
      </w:r>
    </w:p>
    <w:p>
      <w:pPr>
        <w:spacing w:after="0" w:line="131"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not be clear. Because our clients are subject to various requirements, we may be impacted as a result of our contractual obligations even when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The ACA, efforts to revise, expand or materially change the ACA, and other federal and state efforts to reform or revise aspects of the healthcare industry or to revise or create additional legal or and regulatory requirements could impact our operations, the use of our solutions and services, and our ability to market new solutions and services, or could create unexpected liabilities for us. We also may be impacted by laws, industry standards and other requirements that are not specific to the healthcare industry, such as consumer protection laws and payment card industry standards. These requirements may impact our operations and, if not followed, could result in fines, penalties and other liabilities and adverse publicity and injury to our reputation.</w:t>
      </w:r>
    </w:p>
    <w:p>
      <w:pPr>
        <w:spacing w:after="0" w:line="174"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In recent years, there have been a number of reform efforts, including from federal and state legislatures as well as the HHS OIG, around PBM program pricing and transparency that could affect our business. Current PBM laws and regulations govern, and proposed legislation and regulations may govern and/or further restrict critical PBM practices, including, among other things, disclosure, receipt and retention of rebates and other payments received from pharmaceutical manufacturers or pharmacy program partners, rules governing contractual provisions between PBMs and their contracted payers and/or pharmacies, and registration or licensing of PBMs. For example, in 2019, the U.S. Senate and House of Representatives proposed a number of bills that would, among other things, require PBMs to submit information on their costs, fees and rebates, requiring 100% of the rebates to be passed on to consumers, and/or impose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1" w:name="page42"/>
    <w:bookmarkEnd w:id="4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 xml:space="preserve">rebates on manufacturers that chose to increase their drug prices more rapidly than inflation. Further, the U.S. Supreme Court’s decision in </w:t>
      </w:r>
      <w:r>
        <w:rPr>
          <w:rFonts w:ascii="Arial" w:cs="Arial" w:eastAsia="Arial" w:hAnsi="Arial"/>
          <w:sz w:val="16"/>
          <w:szCs w:val="16"/>
          <w:i w:val="1"/>
          <w:iCs w:val="1"/>
          <w:color w:val="auto"/>
        </w:rPr>
        <w:t>Rutledge v. Pharm. Care Mgmt. Ass’n</w:t>
      </w:r>
      <w:r>
        <w:rPr>
          <w:rFonts w:ascii="Arial" w:cs="Arial" w:eastAsia="Arial" w:hAnsi="Arial"/>
          <w:sz w:val="16"/>
          <w:szCs w:val="16"/>
          <w:color w:val="auto"/>
        </w:rPr>
        <w:t xml:space="preserve"> on December 10, 2020, which held that an Arkansas state law requiring PBMs to reimburse pharmacies at a price equal to or greater than the price pharmacies pay in purchasing medications from a wholesaler, was not preempted by the federal ERISA statute. The Supreme Court’s ruling solidifies the legality of state-level legislation regulating PBMs, which may encourage a new wave of legislation aimed at controlling prescription drug costs and providing pricing transparency. In the wake of the </w:t>
      </w:r>
      <w:r>
        <w:rPr>
          <w:rFonts w:ascii="Arial" w:cs="Arial" w:eastAsia="Arial" w:hAnsi="Arial"/>
          <w:sz w:val="16"/>
          <w:szCs w:val="16"/>
          <w:i w:val="1"/>
          <w:iCs w:val="1"/>
          <w:color w:val="auto"/>
        </w:rPr>
        <w:t>Rutledge</w:t>
      </w:r>
      <w:r>
        <w:rPr>
          <w:rFonts w:ascii="Arial" w:cs="Arial" w:eastAsia="Arial" w:hAnsi="Arial"/>
          <w:sz w:val="16"/>
          <w:szCs w:val="16"/>
          <w:color w:val="auto"/>
        </w:rPr>
        <w:t xml:space="preserve"> ruling, for example, New York reintroduced previously vetoed PBM legislation and Governor Andrew Cuomo issued an Executive Budget for 2022 that highlights the need for PBM accountability. States proposed over 100 separate PBM bills in 2021 alone, and at least 18 states adopted new PBM oversight laws. A number of these proposed laws would require PBMs to submit annual transparency reports or otherwise disclose contractual arrangements with health benefit plans or health insurance issuers, or allow regulators to conduct audits of PBM operations. Additionally, certain quasi-regulatory organizations, including the National Association of Boards of Pharmacy and the National Association of Insurance Commissioners, have issued model regulations or may propose future model regulations concerning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We do not believe our operations are directly subject to such laws (including regulations under the federal anti-kickback statute directly applicable to PBMs) as the PBM solutions and services we provide are not reimbursed by government healthcare payors. Some states’ anti-kickback and false claims laws may be broader in scope than analogous federal laws and may apply to items and services reimbursed by any third-party payor, including private insurers, self-insured employers and on a cash basis by patients, and may be applicable to us.</w:t>
      </w:r>
    </w:p>
    <w:p>
      <w:pPr>
        <w:spacing w:after="0" w:line="178"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Accordingly, it is reasonably possible that our business operations and operating results could be materially adversely affected by legislative, regulatory and public policy changes at the federal or state level, increased government involvement in drug reimbursement and pricing, and/or increased regulation of PBMs. Adoption of new laws, rules or regulations or changes in government enforcement priorities of or new interpretations of, existing laws, rules or regulations relating to PBMs could materially adversely affect our business and results of operations with respect to Progyny Rx. Additionally, such legal and regulatory changes may adversely affect our ability to conduct business on commercially reasonable terms in states where PBM legislation is in effect and the Company’s ability to standardize its Progyny Rx PBM products and services across state lines. Further, failure by the Company to comply with these laws or regulations could result in material fines and/or sanctions and could have a material adverse effect on the Company’s operating results and/or cash flows.</w:t>
      </w:r>
    </w:p>
    <w:p>
      <w:pPr>
        <w:spacing w:after="0" w:line="185" w:lineRule="exact"/>
        <w:rPr>
          <w:sz w:val="20"/>
          <w:szCs w:val="20"/>
          <w:color w:val="auto"/>
        </w:rPr>
      </w:pPr>
    </w:p>
    <w:p>
      <w:pPr>
        <w:jc w:val="both"/>
        <w:ind w:left="60" w:right="59"/>
        <w:spacing w:after="0" w:line="381" w:lineRule="auto"/>
        <w:rPr>
          <w:sz w:val="20"/>
          <w:szCs w:val="20"/>
          <w:color w:val="auto"/>
        </w:rPr>
      </w:pPr>
      <w:r>
        <w:rPr>
          <w:rFonts w:ascii="Arial" w:cs="Arial" w:eastAsia="Arial" w:hAnsi="Arial"/>
          <w:sz w:val="15"/>
          <w:szCs w:val="15"/>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0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While we operate only in the United States, we remain subject to the U.S. Foreign Corrupt Practices Act, U.S. domestic bribery laws, and other anti-corruption and anti-money laundering laws in the countries in which we conduct activities.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or private sector. If we expand our business and sales outside the United States and to the public sector, we may engage with business partners and third-party intermediaries to market our services and to obtain for us the necessary permits, licenses, and other regulatory approvals. In addition, we or our third-party intermediaries may have direct or indirect interactions with officials and employees of government agencies or state-owned or affiliated entities. We can be held liable for the corrupt or other illegal activities of these third-party intermediaries, our employees, representatives, contractors, partners and agents, even if we do not explicitly authorize such activities.</w:t>
      </w:r>
    </w:p>
    <w:p>
      <w:pPr>
        <w:spacing w:after="0" w:line="182" w:lineRule="exact"/>
        <w:rPr>
          <w:sz w:val="20"/>
          <w:szCs w:val="20"/>
          <w:color w:val="auto"/>
        </w:rPr>
      </w:pPr>
    </w:p>
    <w:p>
      <w:pPr>
        <w:jc w:val="both"/>
        <w:ind w:left="60" w:right="59" w:firstLine="648"/>
        <w:spacing w:after="0" w:line="290" w:lineRule="auto"/>
        <w:rPr>
          <w:sz w:val="20"/>
          <w:szCs w:val="20"/>
          <w:color w:val="auto"/>
        </w:rPr>
      </w:pPr>
      <w:r>
        <w:rPr>
          <w:rFonts w:ascii="Arial" w:cs="Arial" w:eastAsia="Arial" w:hAnsi="Arial"/>
          <w:sz w:val="16"/>
          <w:szCs w:val="16"/>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possible civil or criminal proceeding, our business, financial condition and results of operations could be harmed. In addition, responding to any action will likely result in a materially significant diversion of</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2" w:name="page43"/>
    <w:bookmarkEnd w:id="4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management’s attention and resources and significant defense costs and other professional fees, which could adversely affect our business, financial condition and results of operations.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Any potential sales to government entities are subject to a number of challenges and risks.</w:t>
      </w:r>
    </w:p>
    <w:p>
      <w:pPr>
        <w:spacing w:after="0" w:line="225" w:lineRule="exact"/>
        <w:rPr>
          <w:sz w:val="20"/>
          <w:szCs w:val="20"/>
          <w:color w:val="auto"/>
        </w:rPr>
      </w:pPr>
    </w:p>
    <w:p>
      <w:pPr>
        <w:jc w:val="both"/>
        <w:ind w:left="60" w:right="59" w:firstLine="648"/>
        <w:spacing w:after="0" w:line="254" w:lineRule="auto"/>
        <w:rPr>
          <w:sz w:val="20"/>
          <w:szCs w:val="20"/>
          <w:color w:val="auto"/>
        </w:rPr>
      </w:pPr>
      <w:r>
        <w:rPr>
          <w:rFonts w:ascii="Arial" w:cs="Arial" w:eastAsia="Arial" w:hAnsi="Arial"/>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the revised certification. Government demand and payment for our offerings is dependent on many factors outside our control, including general economic conditions, public sector budgetary constraints and funding authorizations, and general political priorities, with funding reductions or delays adversely affecting public sector demand for our offerings.</w:t>
      </w:r>
    </w:p>
    <w:p>
      <w:pPr>
        <w:spacing w:after="0" w:line="192"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187"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Any failure to protect our intellectual property rights could impair our ability to protect our proprietary technology and our brand.</w:t>
      </w:r>
    </w:p>
    <w:p>
      <w:pPr>
        <w:spacing w:after="0" w:line="170" w:lineRule="exact"/>
        <w:rPr>
          <w:sz w:val="20"/>
          <w:szCs w:val="20"/>
          <w:color w:val="auto"/>
        </w:rPr>
      </w:pPr>
    </w:p>
    <w:p>
      <w:pPr>
        <w:jc w:val="both"/>
        <w:ind w:left="60" w:right="59" w:firstLine="648"/>
        <w:spacing w:after="0" w:line="287" w:lineRule="auto"/>
        <w:rPr>
          <w:sz w:val="20"/>
          <w:szCs w:val="20"/>
          <w:color w:val="auto"/>
        </w:rPr>
      </w:pPr>
      <w:r>
        <w:rPr>
          <w:rFonts w:ascii="Arial" w:cs="Arial" w:eastAsia="Arial" w:hAnsi="Arial"/>
          <w:sz w:val="16"/>
          <w:szCs w:val="16"/>
          <w:color w:val="auto"/>
        </w:rPr>
        <w:t>Our success depends in part on our ability to protect our brand and proprietary trade secret and confidential information, including unpatented know-how, technology and other proprietary information, maintaining, defending and enforcing our intellectual property rights. We rely on our agreements with our clients, and non-disclosure and confidentiality agreements with employees and third parties, and our trademarks, trade secrets, and copyrights to protect our intellectual property rights. However, any of these parties may breach such agreements and disclose our proprietary information, and we may not be able to obtain adequate remedies for such breaches.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or other violations of our intellectual property. Any litigation and any infringement, misappropriation or other violations of our intellectual property could hinder our ability to market and sell our solutions, and our business, financial condition and results of operations could be adversely affected.</w:t>
      </w:r>
    </w:p>
    <w:p>
      <w:pPr>
        <w:spacing w:after="0" w:line="172"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184"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the third-party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personnel from their normal responsibilities.</w:t>
      </w:r>
    </w:p>
    <w:p>
      <w:pPr>
        <w:spacing w:after="0" w:line="166"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Moreover,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192"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Furthermore, we currently own registered trademarks. In addition, any of our trademarks or trade names, whether registered or unregistered, may be challenged, opposed, infringed, cancelled, circumvented or declared generic, or determined to be infringing on other marks, as applicable. We may not be able to protect our rights to these trademarks</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and trade names, which we will need to build name recognition by potential collaborators or clients in our markets of interest.</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Any litigation against us could be costly and time-consuming to defend and could harm our business, financial condition and results of operations.</w:t>
      </w:r>
    </w:p>
    <w:p>
      <w:pPr>
        <w:spacing w:after="0" w:line="170"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As discussed in Part I, Item 3 of this Annual Report on Form 10-K, we were subject to a vendor arbitration that was settled in December 2020. As part of our settlement and to avoid further costs, we agreed to pay the vendor a total of $5.75 million. Insurance might not cover litigation claims, might not provide sufficient payments to cover all the costs to resolve one or more such claims, and might not continue to be available on terms acceptable to us. A claim brought against us that is uninsured or underinsured could result in unanticipated costs, potentially harming our business, financial condition and results of operations. See Note 14 – Commitments and Contingencies – in the notes to the consolidated financial statements included in Part II, Item 8, of this Annual Report on Form 10-K.</w:t>
      </w:r>
    </w:p>
    <w:p>
      <w:pPr>
        <w:spacing w:after="0" w:line="179"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Acquisitions, strategic investments, partnerships, or alliances could be difficult to identify, pose integration challenges, divert the attention of management, disrupt our business, dilute stockholder value, and adversely affect our business, financial condition and results of operations.</w:t>
      </w:r>
    </w:p>
    <w:p>
      <w:pPr>
        <w:spacing w:after="0" w:line="18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We may in the future seek to acquire or invest in businesses, joint ventures, products and services, or technologies that we believe could complement or expand our platform, enhance our technical capabilities, or otherwise offer growth opportunities. Any such acquisition or investment may divert the attention of management and cause us to incur various expenses in identifying, investigating and pursuing suitable opportunities, whether or not the transactions are completed, and may result in unforeseen operating difficulties and expenditures. In particular, we may encounter difficulties assimilating or integrating the businesses, technologies, products and services, personnel or operations of the acquired companies, particularly if the key personnel of the acquired company choose not to work for us, they are operationally difficult to integrate, or we have difficulty retaining the clients of any acquired business due to changes in ownership, management or otherwise. These transactions may also disrupt our business, divert our resources, and require significant management attention that would otherwise be available for development of our existing business. Any such transactions that we are able to complete may not result in any synergies or other benefits we had expected to achieve, which could result in impairment charges that could be substantial. In addition, we may not be able to find and identify desirable acquisition targets or business opportunities or be successful in entering into an agreement with any particular strategic partner. These transactions could also result in dilutive issuances of equity securities or the incurrence of debt, which could adversely affect our results of operations. In addition, if the resulting business from such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7"/>
          <w:szCs w:val="17"/>
          <w:b w:val="1"/>
          <w:bCs w:val="1"/>
          <w:i w:val="1"/>
          <w:iCs w:val="1"/>
          <w:color w:val="auto"/>
        </w:rPr>
        <w:t>Changes in our effective tax rate or tax liabilities may have an adverse effect on our results of operations.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effective tax rate could be impacted due to several factors, including, but not limited to:</w:t>
      </w:r>
    </w:p>
    <w:p>
      <w:pPr>
        <w:spacing w:after="0" w:line="225" w:lineRule="exact"/>
        <w:rPr>
          <w:sz w:val="20"/>
          <w:szCs w:val="20"/>
          <w:color w:val="auto"/>
        </w:rPr>
      </w:pPr>
    </w:p>
    <w:p>
      <w:pPr>
        <w:ind w:left="720" w:right="179" w:hanging="319"/>
        <w:spacing w:after="0" w:line="277"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relative amounts of income before taxes in the various jurisdictions in which we operate that have differing statutory tax rates;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tax laws, tax treaties, and regulations or the interpretation of them;</w:t>
      </w:r>
    </w:p>
    <w:p>
      <w:pPr>
        <w:spacing w:after="0" w:line="225" w:lineRule="exact"/>
        <w:rPr>
          <w:rFonts w:ascii="Arial" w:cs="Arial" w:eastAsia="Arial" w:hAnsi="Arial"/>
          <w:sz w:val="18"/>
          <w:szCs w:val="18"/>
          <w:color w:val="auto"/>
        </w:rPr>
      </w:pPr>
    </w:p>
    <w:p>
      <w:pPr>
        <w:ind w:left="720" w:right="339" w:hanging="319"/>
        <w:spacing w:after="0" w:line="263" w:lineRule="auto"/>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183"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outcome of future tax audits, examinations, or administrative appeals;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limitations or adverse findings regarding our ability to do business in some jurisdictions; and</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99" w:hanging="319"/>
        <w:spacing w:after="0" w:line="277" w:lineRule="auto"/>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discrete impact tax items, including such items resulting from the amount and timing of equity exercises and our share price.</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Any of these developments could have an adverse effect on our results of operations.</w:t>
      </w:r>
    </w:p>
    <w:p>
      <w:pPr>
        <w:spacing w:after="0" w:line="225"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currently file state tax returns in certain states. There is a risk that certain state tax authorities, where we do not currently file a state tax return, could assert that we are liable for state and local taxes based upon income or gross receipts allocable to such states. States are becoming increasingly aggressive in asserting a nexus for state tax purposes. We could be subject to state and local taxation, including penalties and interest attributable to prior periods, if a state tax authority in which we do not currently file a state tax return successfully asserts that our activities give rise to a taxable nexus. Such tax assessments, penalties and interest may adversely affect our results of operations.</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may not be able to utilize a significant portion of our net operating loss or research tax credit carryforwards, which could adversely affect our profitability.</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also have a material effect on the use of our net operating loss carryforwards or other tax attributes, which could adversely affect our profitability.</w:t>
      </w:r>
    </w:p>
    <w:p>
      <w:pPr>
        <w:spacing w:after="0" w:line="16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reported financial results may be adversely affected by changes in accounting principles generally accepted in the United States.</w:t>
      </w:r>
    </w:p>
    <w:p>
      <w:pPr>
        <w:spacing w:after="0" w:line="170"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color w:val="auto"/>
        </w:rPr>
        <w:t xml:space="preserve">Accounting principles generally accepted in the United States are subject to interpretation by the Financial Accounting Standards Board, or FASB, the SEC and various bodies formed to promulgate and interpret appropriate accounting principles. As of January 1, 2021, we adopted ASC No. 2019-12, </w:t>
      </w:r>
      <w:r>
        <w:rPr>
          <w:rFonts w:ascii="Arial" w:cs="Arial" w:eastAsia="Arial" w:hAnsi="Arial"/>
          <w:sz w:val="16"/>
          <w:szCs w:val="16"/>
          <w:i w:val="1"/>
          <w:iCs w:val="1"/>
          <w:color w:val="auto"/>
        </w:rPr>
        <w:t>Income Taxes (Topic 740): Simplifying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Accounting for Income </w:t>
      </w:r>
      <w:r>
        <w:rPr>
          <w:rFonts w:ascii="Arial" w:cs="Arial" w:eastAsia="Arial" w:hAnsi="Arial"/>
          <w:sz w:val="16"/>
          <w:szCs w:val="16"/>
          <w:color w:val="auto"/>
        </w:rPr>
        <w:t>Taxes, which did not have a material impact on our consolidated financial statements. As of January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1, 2020, we adopted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xml:space="preserve"> using the modified retrospective transition method and recorded a right-of-use asset and lease liabilities of $9.5 million and $9.9 million, respectively. In addition, as of January 1, 2020, we also adopted ASU 2016-13,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xml:space="preserve"> using the modified retrospective transition method, which resulted in a cumulative-effect adjustment to accumulated deficit of $1.2 million and impacted our methodology for calculating and estimating our allowance for doubtful accounts. See Note 2 – Summary of Significant Accounting Policies, in the consolidated financial statements included in Part II, Item 8 of this Annual Report on Form 10-K for additional information on recently adopted accounting standards. A change in accounting principles or interpretations could have a significant effect on our reported results of operations and could affect the reporting of transactions already completed before the announcement of a change. The adoption of new or revised accounting principles may require us to make changes to our systems, processes and control,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w:t>
      </w:r>
    </w:p>
    <w:p>
      <w:pPr>
        <w:spacing w:after="0" w:line="1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prove to be incorrect, our results of operations could be adversely affected.</w:t>
      </w:r>
    </w:p>
    <w:p>
      <w:pPr>
        <w:spacing w:after="0" w:line="17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Annual Report on Form 10-K. We base our estimates on historical experience and on various other assumptions that we believe to be reasonable under the circumstances, as provided in Part II, Item 7. “Management’s Discussion and Analysis of Financial Condition and Results of Operations-Critical Accounting Policies and Estimates” of this Annual Report on Form 10-K. The results of these estimates form the basis for making judgments about the carrying values of assets, liabilities and equity, and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5" w:name="page46"/>
    <w:bookmarkEnd w:id="4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amount of revenue and expenses that are not readily apparent from other sources. We believe that the assumptions and estimates associated with our accrued receivables related to revenue recognition, accrued claims payable, stock-based compensation,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Ownership of Our Common Stock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Our stock price may be volatile, and the value of our common stock may decline.</w:t>
      </w:r>
    </w:p>
    <w:p>
      <w:pPr>
        <w:spacing w:after="0" w:line="225" w:lineRule="exact"/>
        <w:rPr>
          <w:sz w:val="20"/>
          <w:szCs w:val="20"/>
          <w:color w:val="auto"/>
        </w:rPr>
      </w:pPr>
    </w:p>
    <w:p>
      <w:pPr>
        <w:jc w:val="both"/>
        <w:ind w:left="60" w:right="59" w:firstLine="648"/>
        <w:spacing w:after="0" w:line="311" w:lineRule="auto"/>
        <w:rPr>
          <w:sz w:val="20"/>
          <w:szCs w:val="20"/>
          <w:color w:val="auto"/>
        </w:rPr>
      </w:pPr>
      <w:r>
        <w:rPr>
          <w:rFonts w:ascii="Arial" w:cs="Arial" w:eastAsia="Arial" w:hAnsi="Arial"/>
          <w:sz w:val="16"/>
          <w:szCs w:val="16"/>
          <w:color w:val="auto"/>
        </w:rPr>
        <w:t>As tenured investors look to monetize their positions, we have seen large blocks of shares enter the public market over a short period of time. The market price of our common stock may be highly volatile and may fluctuate or decline substantially as a result of this and a variety of factors, some of which are beyond our control, including, but not limited to:</w:t>
      </w:r>
    </w:p>
    <w:p>
      <w:pPr>
        <w:spacing w:after="0" w:line="149" w:lineRule="exact"/>
        <w:rPr>
          <w:sz w:val="20"/>
          <w:szCs w:val="20"/>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high volume of direct sales into the market by large investors;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actual or anticipated fluctuations in our financial condition or results of operations;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variance in our financial performance from expectations of securities analysts;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pricing of our solutions and services;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our projected operating and financial results;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products and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business developments, acquisitions, or new offerings;</w:t>
      </w:r>
    </w:p>
    <w:p>
      <w:pPr>
        <w:spacing w:after="0" w:line="236" w:lineRule="exact"/>
        <w:rPr>
          <w:rFonts w:ascii="Arial" w:cs="Arial" w:eastAsia="Arial" w:hAnsi="Arial"/>
          <w:sz w:val="17"/>
          <w:szCs w:val="17"/>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significant data breaches of our company, providers, vendors or pharmacies;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involvement in litigation;</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future sales of our common stock by us or our stockholders;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senior management or key personnel;</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trading volume of our common stock;</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changes in the anticipated future size and growth rate of our market; and</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29"/>
        </w:numPr>
        <w:rPr>
          <w:rFonts w:ascii="Arial" w:cs="Arial" w:eastAsia="Arial" w:hAnsi="Arial"/>
          <w:sz w:val="18"/>
          <w:szCs w:val="18"/>
          <w:color w:val="auto"/>
        </w:rPr>
      </w:pPr>
      <w:r>
        <w:rPr>
          <w:rFonts w:ascii="Arial" w:cs="Arial" w:eastAsia="Arial" w:hAnsi="Arial"/>
          <w:sz w:val="18"/>
          <w:szCs w:val="18"/>
          <w:color w:val="auto"/>
        </w:rPr>
        <w:t>general economic, industry, and market conditions.</w:t>
      </w:r>
    </w:p>
    <w:p>
      <w:pPr>
        <w:spacing w:after="0" w:line="225" w:lineRule="exact"/>
        <w:rPr>
          <w:sz w:val="20"/>
          <w:szCs w:val="20"/>
          <w:color w:val="auto"/>
        </w:rPr>
      </w:pPr>
    </w:p>
    <w:p>
      <w:pPr>
        <w:jc w:val="both"/>
        <w:ind w:left="60" w:right="59" w:firstLine="648"/>
        <w:spacing w:after="0" w:line="289" w:lineRule="auto"/>
        <w:rPr>
          <w:sz w:val="20"/>
          <w:szCs w:val="20"/>
          <w:color w:val="auto"/>
        </w:rPr>
      </w:pPr>
      <w:r>
        <w:rPr>
          <w:rFonts w:ascii="Arial" w:cs="Arial" w:eastAsia="Arial" w:hAnsi="Arial"/>
          <w:sz w:val="16"/>
          <w:szCs w:val="16"/>
          <w:color w:val="auto"/>
        </w:rPr>
        <w:t>Broad market and industry fluctuations, as well as general economic, political, regulatory, and market conditions, including those related to the ongoing COVID-19 pandemic, may also negatively impact the market price of our common stock. Fluctuations in our quarterly operating results and the price of our common stock may be particularly pronounced in the current economic environment due to the uncertainty caused by and the unprecedented nature of the current COVID-19 pandemic. 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6" w:name="page47"/>
    <w:bookmarkEnd w:id="4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An active trading market for our common stock may not be sustained.</w:t>
      </w:r>
    </w:p>
    <w:p>
      <w:pPr>
        <w:spacing w:after="0" w:line="225"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continue to fund operations by selling shares and may impair our ability to acquire other companies or technologies by using our shares as consideration.</w:t>
      </w:r>
    </w:p>
    <w:p>
      <w:pPr>
        <w:spacing w:after="0" w:line="188"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b w:val="1"/>
          <w:bCs w:val="1"/>
          <w:i w:val="1"/>
          <w:iCs w:val="1"/>
          <w:color w:val="auto"/>
        </w:rPr>
        <w:t>We expect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Our results of operations may fluctuate in the future due to a variety of factors, many of which are outside of our control. As a result, our past results may not be indicative of our future performance. In addition to the other risks described herein, factors that may affect our results of operations include the following:</w:t>
      </w:r>
    </w:p>
    <w:p>
      <w:pPr>
        <w:spacing w:after="0" w:line="184" w:lineRule="exact"/>
        <w:rPr>
          <w:sz w:val="20"/>
          <w:szCs w:val="20"/>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fluctuations in demand for or pricing of our solutions;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level and mix of utilization of our solutions by members;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attract new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retain our existing clients;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client expansion rates;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changes in clients’ budgets and in the timing of their budget cycles and purchasing decisions;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control costs, including our operating expenses and healthcare costs;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payment for operating expenses, particularly sales and marketing expenses;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non-cash expenses, including stock-based compensation, goodwill impairments and other non-cash charges;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 and timing of costs associated with recruiting, training and integrating new employees and retaining and motivating existing employees;</w:t>
      </w:r>
    </w:p>
    <w:p>
      <w:pPr>
        <w:spacing w:after="0" w:line="170"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general economic conditions, as well as economic conditions specifically affecting industries in which our clients participate, including those related to the ongoing COVID-19 pandemic;</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impact of new accounting pronouncements;</w:t>
      </w:r>
    </w:p>
    <w:p>
      <w:pPr>
        <w:spacing w:after="0" w:line="225" w:lineRule="exact"/>
        <w:rPr>
          <w:rFonts w:ascii="Arial" w:cs="Arial" w:eastAsia="Arial" w:hAnsi="Arial"/>
          <w:sz w:val="18"/>
          <w:szCs w:val="18"/>
          <w:color w:val="auto"/>
        </w:rPr>
      </w:pPr>
    </w:p>
    <w:p>
      <w:pPr>
        <w:ind w:left="720" w:hanging="319"/>
        <w:spacing w:after="0"/>
        <w:tabs>
          <w:tab w:leader="none" w:pos="720" w:val="left"/>
        </w:tabs>
        <w:numPr>
          <w:ilvl w:val="0"/>
          <w:numId w:val="30"/>
        </w:numPr>
        <w:rPr>
          <w:rFonts w:ascii="Arial" w:cs="Arial" w:eastAsia="Arial" w:hAnsi="Arial"/>
          <w:sz w:val="17"/>
          <w:szCs w:val="17"/>
          <w:color w:val="auto"/>
        </w:rPr>
      </w:pPr>
      <w:r>
        <w:rPr>
          <w:rFonts w:ascii="Arial" w:cs="Arial" w:eastAsia="Arial" w:hAnsi="Arial"/>
          <w:sz w:val="17"/>
          <w:szCs w:val="17"/>
          <w:color w:val="auto"/>
        </w:rPr>
        <w:t>changes in the competitive dynamics of our market, including consolidation among competitors or clients; and</w:t>
      </w:r>
    </w:p>
    <w:p>
      <w:pPr>
        <w:spacing w:after="0" w:line="236" w:lineRule="exact"/>
        <w:rPr>
          <w:rFonts w:ascii="Arial" w:cs="Arial" w:eastAsia="Arial" w:hAnsi="Arial"/>
          <w:sz w:val="17"/>
          <w:szCs w:val="17"/>
          <w:color w:val="auto"/>
        </w:rPr>
      </w:pPr>
    </w:p>
    <w:p>
      <w:pPr>
        <w:ind w:left="720" w:right="79" w:hanging="319"/>
        <w:spacing w:after="0" w:line="277" w:lineRule="auto"/>
        <w:tabs>
          <w:tab w:leader="none" w:pos="7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significant security breaches of, technical difficulties with, or interruptions to, the delivery and use of our solutions and services.</w:t>
      </w:r>
    </w:p>
    <w:p>
      <w:pPr>
        <w:spacing w:after="0" w:line="170" w:lineRule="exact"/>
        <w:rPr>
          <w:sz w:val="20"/>
          <w:szCs w:val="20"/>
          <w:color w:val="auto"/>
        </w:rPr>
      </w:pPr>
    </w:p>
    <w:p>
      <w:pPr>
        <w:jc w:val="both"/>
        <w:ind w:left="60" w:right="59" w:firstLine="648"/>
        <w:spacing w:after="0" w:line="255" w:lineRule="auto"/>
        <w:rPr>
          <w:sz w:val="20"/>
          <w:szCs w:val="20"/>
          <w:color w:val="auto"/>
        </w:rPr>
      </w:pPr>
      <w:r>
        <w:rPr>
          <w:rFonts w:ascii="Arial" w:cs="Arial" w:eastAsia="Arial" w:hAnsi="Arial"/>
          <w:sz w:val="18"/>
          <w:szCs w:val="18"/>
          <w:color w:val="auto"/>
        </w:rPr>
        <w:t>Any of these and other factors, or the cumulative effect of some of these factors, may cause our results of operations to vary significantly. For example, the full impact of the COVID-19 pandemic is unknown at this time, but could result in adverse changes in our results of operations for an unknown period of time as the virus and its related political, social and economic impacts spread. If our quarterly results of operations fall below the expectations of investors and securities analysts who follow our stock, the price of our common stock could decline substantially, and we could face costly lawsuits, including securities class action suits.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b w:val="1"/>
          <w:bCs w:val="1"/>
          <w:i w:val="1"/>
          <w:iCs w:val="1"/>
          <w:color w:val="auto"/>
        </w:rPr>
        <w:t>As a result of being a public company, we are obligated to develop and maintain proper and effective internal control over financial reporting, and any failure to maintain the adequacy of these internal control may adversely affect investor confidence in our company and, as a result, the value of our common stock.</w:t>
      </w:r>
    </w:p>
    <w:p>
      <w:pPr>
        <w:spacing w:after="0" w:line="165"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We are required, pursuant to Section 404 of the Sarbanes-Oxley Act, or Section 404,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of SOX. Our existing management team has and will continue to devote a substantial amount of time to these compliance initiatives, and we may need to hire additional accounting and financial staff with appropriate public company experience to assist us in ongoing compliance with these requirements. Moreover, these rules and regulations have increased and will continue to increase our legal and financial compliance costs and will make some activities more time consuming and costly.</w:t>
      </w:r>
    </w:p>
    <w:p>
      <w:pPr>
        <w:spacing w:after="0" w:line="168"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color w:val="auto"/>
        </w:rPr>
        <w:t>During the evaluation and testing process of our internal control, if we identify one or more material weaknesses in our internal control over financial reporting, we will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over financial reporting, which we determined we had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5"/>
          <w:szCs w:val="15"/>
          <w:b w:val="1"/>
          <w:bCs w:val="1"/>
          <w:i w:val="1"/>
          <w:iCs w:val="1"/>
          <w:color w:val="auto"/>
        </w:rPr>
        <w:t>Future sales of our common stock in the public market could cause the market price of our common stock to decline.</w:t>
      </w:r>
    </w:p>
    <w:p>
      <w:pPr>
        <w:spacing w:after="0" w:line="260"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187"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In addition, as of December 31, 2021, there were an aggregate of 14,924,013 and 1,765,518 shares of our common stock subject to outstanding options and unvested restricted stock units, respectively. We have registered all of the shares of common stock issuable upon exercise of outstanding options or other equity awards we may grant in the future, for public resale under the Securities Act. Accordingly, these shares will be eligible for sale in the public market to the extent such options are exercised and restricted stock units are vested, in compliance with applicable securities laws.</w:t>
      </w:r>
    </w:p>
    <w:p>
      <w:pPr>
        <w:spacing w:after="0" w:line="161"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Further, holders of a substantial number of shares of our common stock have rights, subject to certain conditions, to require us to file registration statements covering the sale of their shares or to include their shares in registration statements that we may file for ourselves or other stockholders.</w:t>
      </w:r>
    </w:p>
    <w:p>
      <w:pPr>
        <w:spacing w:after="0" w:line="184"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equity incentive plans or otherwise will dilute all other stockholders</w:t>
      </w:r>
      <w:r>
        <w:rPr>
          <w:rFonts w:ascii="Arial" w:cs="Arial" w:eastAsia="Arial" w:hAnsi="Arial"/>
          <w:sz w:val="18"/>
          <w:szCs w:val="18"/>
          <w:i w:val="1"/>
          <w:iCs w:val="1"/>
          <w:color w:val="auto"/>
        </w:rPr>
        <w:t>.</w:t>
      </w:r>
    </w:p>
    <w:p>
      <w:pPr>
        <w:spacing w:after="0" w:line="170"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We expect to issue additional capital stock in the future that will result in dilution to all other stockholders. We expect to grant equity awards to employees, directors and consultants under our equity incentive plans. We may also raise capital through equity financings in the future. As part of our business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7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market price and trading volume of our common stock will be heavily influenced by the way analysts interpret our financial information and other disclosures. We do not have control over these analysts. If few securities analysts commence coverage of us, or if industry analysts cease coverage of us, our stock price would be negatively affected. If securities or industry analysts do not publish research or reports about our business, downgrade our common stock, or publish negative reports about our business, our stock price would likely decline. If one or more of these analysts cease coverage of us or fail to publish reports on us regularly, demand for our common stock could decrease, which might cause our stock price to decline and could decrease the trading volume of our common stock. We have experienced and may in the future experience analyst coverage reduction due to analysts leaving firms, changing firms or going on temporary leaves of absences. Such reduction in analyst coverage, even if temporary, could lead to volatility in our stock price.</w:t>
      </w:r>
    </w:p>
    <w:p>
      <w:pPr>
        <w:spacing w:after="0" w:line="19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your ability to achieve a return on your investment will depend on appreciation in the price of our common stock.</w:t>
      </w:r>
    </w:p>
    <w:p>
      <w:pPr>
        <w:spacing w:after="0" w:line="170" w:lineRule="exact"/>
        <w:rPr>
          <w:sz w:val="20"/>
          <w:szCs w:val="20"/>
          <w:color w:val="auto"/>
        </w:rPr>
      </w:pPr>
    </w:p>
    <w:p>
      <w:pPr>
        <w:jc w:val="both"/>
        <w:ind w:left="60" w:right="79" w:firstLine="648"/>
        <w:spacing w:after="0" w:line="259" w:lineRule="auto"/>
        <w:rPr>
          <w:sz w:val="20"/>
          <w:szCs w:val="20"/>
          <w:color w:val="auto"/>
        </w:rPr>
      </w:pPr>
      <w:r>
        <w:rPr>
          <w:rFonts w:ascii="Arial" w:cs="Arial" w:eastAsia="Arial" w:hAnsi="Arial"/>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87"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b w:val="1"/>
          <w:bCs w:val="1"/>
          <w:i w:val="1"/>
          <w:iCs w:val="1"/>
          <w:color w:val="auto"/>
        </w:rPr>
        <w:t>We incur increased costs as a result of operating as a public company, and our management is required to devote substantial time to compliance with our public company responsibilities and corporate governance practices.</w:t>
      </w:r>
    </w:p>
    <w:p>
      <w:pPr>
        <w:spacing w:after="0" w:line="124"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color w:val="auto"/>
        </w:rPr>
        <w:t>As a public company, we have incurred and will continue to incur significant legal, accounting, and other expenses that we did not incur prior to our initial public offering. The Sarbanes-Oxley Act, the Dodd-Frank Wall Street Reform and Consumer Protection Act, the listing requirements of the Nasdaq Stock Market, or Nasdaq, and other applicable securities rules and regulations impose various requirements on public companies. Our management and other personnel devote a substantial amount of time to compliance with these requirements. Effective January 1, 2021, we became a “large accelerated filer” under SEC reporting rules and are required to file our annual report and quarterly reports more quickly than we previously had been required to file them, which may require us to dedicate additional resources to the timely filing of such reports. Moreover, these rules and regulations have increased and will continue to increase our legal and financial compliance costs and make some activities more time-consuming and costly. We cannot predict or estimate the amount of additional costs we will incur as a public company or the specific timing of such costs.</w:t>
      </w:r>
    </w:p>
    <w:p>
      <w:pPr>
        <w:spacing w:after="0" w:line="168"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8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of control or changes in our management. Our amended and restated certificate of incorporation and amended and restated bylaws include provisions that:</w:t>
      </w:r>
    </w:p>
    <w:p>
      <w:pPr>
        <w:spacing w:after="0" w:line="184" w:lineRule="exact"/>
        <w:rPr>
          <w:sz w:val="20"/>
          <w:szCs w:val="20"/>
          <w:color w:val="auto"/>
        </w:rPr>
      </w:pPr>
    </w:p>
    <w:p>
      <w:pPr>
        <w:ind w:left="720" w:right="79" w:hanging="319"/>
        <w:spacing w:after="0" w:line="263"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authorize our Board of Directors to issue, without further action by the stockholders, shares of undesignated preferred stock with terms, rights, and preferences determined by our Board of Directors that may be senior to our common stock;</w:t>
      </w:r>
    </w:p>
    <w:p>
      <w:pPr>
        <w:spacing w:after="0" w:line="183" w:lineRule="exact"/>
        <w:rPr>
          <w:rFonts w:ascii="Arial" w:cs="Arial" w:eastAsia="Arial" w:hAnsi="Arial"/>
          <w:sz w:val="18"/>
          <w:szCs w:val="18"/>
          <w:color w:val="auto"/>
        </w:rPr>
      </w:pPr>
    </w:p>
    <w:p>
      <w:pPr>
        <w:ind w:left="720" w:right="21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require that any action to be taken by our stockholders be effected at a duly called annual or special meeting and not by written consent;</w:t>
      </w:r>
    </w:p>
    <w:p>
      <w:pPr>
        <w:spacing w:after="0" w:line="170" w:lineRule="exact"/>
        <w:rPr>
          <w:rFonts w:ascii="Arial" w:cs="Arial" w:eastAsia="Arial" w:hAnsi="Arial"/>
          <w:sz w:val="18"/>
          <w:szCs w:val="18"/>
          <w:color w:val="auto"/>
        </w:rPr>
      </w:pPr>
    </w:p>
    <w:p>
      <w:pPr>
        <w:ind w:left="720" w:right="139" w:hanging="319"/>
        <w:spacing w:after="0" w:line="277" w:lineRule="auto"/>
        <w:tabs>
          <w:tab w:leader="none" w:pos="7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can be called only by our Board of Directors, the chairperson of our Board of Directors, or our chief executive officer;</w:t>
      </w:r>
    </w:p>
    <w:p>
      <w:pPr>
        <w:spacing w:after="0" w:line="170" w:lineRule="exact"/>
        <w:rPr>
          <w:rFonts w:ascii="Arial" w:cs="Arial" w:eastAsia="Arial" w:hAnsi="Arial"/>
          <w:sz w:val="18"/>
          <w:szCs w:val="18"/>
          <w:color w:val="auto"/>
        </w:rPr>
      </w:pPr>
    </w:p>
    <w:p>
      <w:pPr>
        <w:ind w:left="720" w:right="779" w:hanging="319"/>
        <w:spacing w:after="0" w:line="308" w:lineRule="auto"/>
        <w:tabs>
          <w:tab w:leader="none" w:pos="7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establish an advance notice procedure for stockholder proposals to be brought before an annual meeting, including proposed nominations of persons for election to our Board of Directors;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9" w:name="page50"/>
    <w:bookmarkEnd w:id="4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3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with each class serving three-year staggered terms;</w:t>
      </w:r>
    </w:p>
    <w:p>
      <w:pPr>
        <w:spacing w:after="0" w:line="170" w:lineRule="exact"/>
        <w:rPr>
          <w:rFonts w:ascii="Arial" w:cs="Arial" w:eastAsia="Arial" w:hAnsi="Arial"/>
          <w:sz w:val="18"/>
          <w:szCs w:val="18"/>
          <w:color w:val="auto"/>
        </w:rPr>
      </w:pPr>
    </w:p>
    <w:p>
      <w:pPr>
        <w:ind w:left="720" w:hanging="319"/>
        <w:spacing w:after="0"/>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prohibit cumulative voting in the election of directors;</w:t>
      </w:r>
    </w:p>
    <w:p>
      <w:pPr>
        <w:spacing w:after="0" w:line="225" w:lineRule="exact"/>
        <w:rPr>
          <w:rFonts w:ascii="Arial" w:cs="Arial" w:eastAsia="Arial" w:hAnsi="Arial"/>
          <w:sz w:val="18"/>
          <w:szCs w:val="18"/>
          <w:color w:val="auto"/>
        </w:rPr>
      </w:pPr>
    </w:p>
    <w:p>
      <w:pPr>
        <w:ind w:left="720" w:right="7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our directors may be removed for cause only upon the vote of at least 66 and 2/3% of our outstanding shares of voting stock;</w:t>
      </w:r>
    </w:p>
    <w:p>
      <w:pPr>
        <w:spacing w:after="0" w:line="170" w:lineRule="exact"/>
        <w:rPr>
          <w:rFonts w:ascii="Arial" w:cs="Arial" w:eastAsia="Arial" w:hAnsi="Arial"/>
          <w:sz w:val="18"/>
          <w:szCs w:val="18"/>
          <w:color w:val="auto"/>
        </w:rPr>
      </w:pPr>
    </w:p>
    <w:p>
      <w:pPr>
        <w:ind w:left="720" w:right="119" w:hanging="319"/>
        <w:spacing w:after="0" w:line="277" w:lineRule="auto"/>
        <w:tabs>
          <w:tab w:leader="none" w:pos="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provide that vacancies on our Board of Directors may be filled only by a majority of directors then in office, even though less than a quorum; and</w:t>
      </w:r>
    </w:p>
    <w:p>
      <w:pPr>
        <w:spacing w:after="0" w:line="170" w:lineRule="exact"/>
        <w:rPr>
          <w:rFonts w:ascii="Arial" w:cs="Arial" w:eastAsia="Arial" w:hAnsi="Arial"/>
          <w:sz w:val="18"/>
          <w:szCs w:val="18"/>
          <w:color w:val="auto"/>
        </w:rPr>
      </w:pPr>
    </w:p>
    <w:p>
      <w:pPr>
        <w:ind w:left="720" w:right="179" w:hanging="319"/>
        <w:spacing w:after="0" w:line="308" w:lineRule="auto"/>
        <w:tabs>
          <w:tab w:leader="none" w:pos="7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require the approval of our Board of Directors or the holders of at least 66 and 2/3% of our outstanding shares of voting stock to amend our bylaws and certain provisions of our certificate of incorporation.</w:t>
      </w:r>
    </w:p>
    <w:p>
      <w:pPr>
        <w:spacing w:after="0" w:line="146" w:lineRule="exact"/>
        <w:rPr>
          <w:sz w:val="20"/>
          <w:szCs w:val="20"/>
          <w:color w:val="auto"/>
        </w:rPr>
      </w:pPr>
    </w:p>
    <w:p>
      <w:pPr>
        <w:jc w:val="both"/>
        <w:ind w:left="60" w:right="59" w:firstLine="648"/>
        <w:spacing w:after="0" w:line="270" w:lineRule="auto"/>
        <w:rPr>
          <w:sz w:val="20"/>
          <w:szCs w:val="20"/>
          <w:color w:val="auto"/>
        </w:rPr>
      </w:pPr>
      <w:r>
        <w:rPr>
          <w:rFonts w:ascii="Arial" w:cs="Arial" w:eastAsia="Arial" w:hAnsi="Arial"/>
          <w:sz w:val="17"/>
          <w:szCs w:val="17"/>
          <w:color w:val="auto"/>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w:t>
      </w:r>
    </w:p>
    <w:p>
      <w:pPr>
        <w:spacing w:after="0" w:line="181"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b w:val="1"/>
          <w:bCs w:val="1"/>
          <w:i w:val="1"/>
          <w:iCs w:val="1"/>
          <w:color w:val="auto"/>
        </w:rPr>
        <w:t>Our amended and restated certificate of incorporation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employees.</w:t>
      </w:r>
    </w:p>
    <w:p>
      <w:pPr>
        <w:spacing w:after="0" w:line="171" w:lineRule="exact"/>
        <w:rPr>
          <w:sz w:val="20"/>
          <w:szCs w:val="20"/>
          <w:color w:val="auto"/>
        </w:rPr>
      </w:pPr>
    </w:p>
    <w:p>
      <w:pPr>
        <w:jc w:val="both"/>
        <w:ind w:left="60" w:right="59" w:firstLine="648"/>
        <w:spacing w:after="0" w:line="267" w:lineRule="auto"/>
        <w:rPr>
          <w:sz w:val="20"/>
          <w:szCs w:val="20"/>
          <w:color w:val="auto"/>
        </w:rPr>
      </w:pPr>
      <w:r>
        <w:rPr>
          <w:rFonts w:ascii="Arial" w:cs="Arial" w:eastAsia="Arial" w:hAnsi="Arial"/>
          <w:sz w:val="17"/>
          <w:szCs w:val="17"/>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Delaware General Corporation Law, our amended and restated certificate of incorporation, or our amended and restated bylaws; (4) or any action or proceeding to interpret, apply, enforce or determine the validity of our amended and restated certificate of incorporation or our amended and restated bylaws; (5) any action or proceeding as to which the Delaware General Corporation Law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court’s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190" w:lineRule="exact"/>
        <w:rPr>
          <w:sz w:val="20"/>
          <w:szCs w:val="20"/>
          <w:color w:val="auto"/>
        </w:rPr>
      </w:pPr>
    </w:p>
    <w:p>
      <w:pPr>
        <w:jc w:val="both"/>
        <w:ind w:left="60" w:right="59" w:firstLine="648"/>
        <w:spacing w:after="0" w:line="291" w:lineRule="auto"/>
        <w:rPr>
          <w:sz w:val="20"/>
          <w:szCs w:val="20"/>
          <w:color w:val="auto"/>
        </w:rPr>
      </w:pPr>
      <w:r>
        <w:rPr>
          <w:rFonts w:ascii="Arial" w:cs="Arial" w:eastAsia="Arial" w:hAnsi="Arial"/>
          <w:sz w:val="16"/>
          <w:szCs w:val="16"/>
          <w:color w:val="auto"/>
        </w:rPr>
        <w:t>These choice of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require significant additional costs. Furthermore, if a court were to find the choice of forum provisions contained in our amended and restated certificate of incorporation to be inapplicable or unenforceable in an action, we may incur additional costs associated with resolving such action in other jurisdictions.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9" w:lineRule="exact"/>
        <w:rPr>
          <w:sz w:val="20"/>
          <w:szCs w:val="20"/>
          <w:color w:val="auto"/>
        </w:rPr>
      </w:pPr>
    </w:p>
    <w:p>
      <w:pPr>
        <w:ind w:left="60" w:right="380" w:firstLine="648"/>
        <w:spacing w:after="0" w:line="301" w:lineRule="auto"/>
        <w:rPr>
          <w:sz w:val="20"/>
          <w:szCs w:val="20"/>
          <w:color w:val="auto"/>
        </w:rPr>
      </w:pPr>
      <w:r>
        <w:rPr>
          <w:rFonts w:ascii="Arial" w:cs="Arial" w:eastAsia="Arial" w:hAnsi="Arial"/>
          <w:sz w:val="16"/>
          <w:szCs w:val="16"/>
          <w:color w:val="auto"/>
        </w:rPr>
        <w:t>Our corporate headquarters is located at 1359 Broadway, New York, New York 10018, under a sublease that commenced in September 2019 and expires in May 2029. In February 2022, we entered into a lease, which expires in the first quarter of 2035, for additional space in the same location and also for continued occupancy of our current space after the current sublease expires. We use this space for administration, sales and marketing and client support.</w:t>
      </w:r>
    </w:p>
    <w:p>
      <w:pPr>
        <w:spacing w:after="0" w:line="153"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left="60" w:right="1280" w:firstLine="648"/>
        <w:spacing w:after="0" w:line="277" w:lineRule="auto"/>
        <w:rPr>
          <w:sz w:val="20"/>
          <w:szCs w:val="20"/>
          <w:color w:val="auto"/>
        </w:rPr>
      </w:pPr>
      <w:r>
        <w:rPr>
          <w:rFonts w:ascii="Arial" w:cs="Arial" w:eastAsia="Arial" w:hAnsi="Arial"/>
          <w:sz w:val="18"/>
          <w:szCs w:val="18"/>
          <w:color w:val="auto"/>
        </w:rPr>
        <w:t>See Part II, Item 8 “Financial Statements and Supplementary Data — Note 14 — Commitments and Contingencies — Arbitration/Litigation.”</w:t>
      </w:r>
    </w:p>
    <w:p>
      <w:pPr>
        <w:spacing w:after="0" w:line="166"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INFORMATION ABOUT OUR EXECUTIVE OFFICERS AND DIRECTORS</w:t>
      </w:r>
    </w:p>
    <w:p>
      <w:pPr>
        <w:spacing w:after="0" w:line="225" w:lineRule="exact"/>
        <w:rPr>
          <w:sz w:val="20"/>
          <w:szCs w:val="20"/>
          <w:color w:val="auto"/>
        </w:rPr>
      </w:pPr>
    </w:p>
    <w:p>
      <w:pPr>
        <w:ind w:left="60" w:right="480" w:firstLine="648"/>
        <w:spacing w:after="0" w:line="282" w:lineRule="auto"/>
        <w:rPr>
          <w:sz w:val="20"/>
          <w:szCs w:val="20"/>
          <w:color w:val="auto"/>
        </w:rPr>
      </w:pPr>
      <w:r>
        <w:rPr>
          <w:rFonts w:ascii="Arial" w:cs="Arial" w:eastAsia="Arial" w:hAnsi="Arial"/>
          <w:sz w:val="18"/>
          <w:szCs w:val="18"/>
          <w:b w:val="1"/>
          <w:bCs w:val="1"/>
          <w:color w:val="auto"/>
        </w:rPr>
        <w:t>The following table sets forth information regarding our executive officers and directors as of the date of this Annual Report on Form 10-K.</w:t>
      </w:r>
    </w:p>
    <w:p>
      <w:pPr>
        <w:spacing w:after="0" w:line="200" w:lineRule="exact"/>
        <w:rPr>
          <w:sz w:val="20"/>
          <w:szCs w:val="20"/>
          <w:color w:val="auto"/>
        </w:rPr>
      </w:pP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120" w:type="dxa"/>
            <w:vAlign w:val="bottom"/>
          </w:tcPr>
          <w:p>
            <w:pPr>
              <w:spacing w:after="0"/>
              <w:rPr>
                <w:sz w:val="20"/>
                <w:szCs w:val="20"/>
                <w:color w:val="auto"/>
              </w:rPr>
            </w:pPr>
          </w:p>
        </w:tc>
        <w:tc>
          <w:tcPr>
            <w:tcW w:w="470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rPr>
              <w:t>Name</w:t>
            </w:r>
          </w:p>
        </w:tc>
        <w:tc>
          <w:tcPr>
            <w:tcW w:w="220" w:type="dxa"/>
            <w:vAlign w:val="bottom"/>
          </w:tcPr>
          <w:p>
            <w:pPr>
              <w:spacing w:after="0"/>
              <w:rPr>
                <w:sz w:val="20"/>
                <w:szCs w:val="20"/>
                <w:color w:val="auto"/>
              </w:rPr>
            </w:pP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Age</w:t>
            </w:r>
          </w:p>
        </w:tc>
        <w:tc>
          <w:tcPr>
            <w:tcW w:w="220" w:type="dxa"/>
            <w:vAlign w:val="bottom"/>
          </w:tcPr>
          <w:p>
            <w:pPr>
              <w:spacing w:after="0"/>
              <w:rPr>
                <w:sz w:val="20"/>
                <w:szCs w:val="20"/>
                <w:color w:val="auto"/>
              </w:rPr>
            </w:pPr>
          </w:p>
        </w:tc>
        <w:tc>
          <w:tcPr>
            <w:tcW w:w="3020" w:type="dxa"/>
            <w:vAlign w:val="bottom"/>
            <w:tcBorders>
              <w:bottom w:val="single" w:sz="8" w:color="auto"/>
            </w:tcBorders>
          </w:tcPr>
          <w:p>
            <w:pPr>
              <w:ind w:left="1200"/>
              <w:spacing w:after="0"/>
              <w:rPr>
                <w:sz w:val="20"/>
                <w:szCs w:val="20"/>
                <w:color w:val="auto"/>
              </w:rPr>
            </w:pPr>
            <w:r>
              <w:rPr>
                <w:rFonts w:ascii="Arial" w:cs="Arial" w:eastAsia="Arial" w:hAnsi="Arial"/>
                <w:sz w:val="18"/>
                <w:szCs w:val="18"/>
                <w:b w:val="1"/>
                <w:bCs w:val="1"/>
                <w:color w:val="auto"/>
              </w:rPr>
              <w:t>Position</w:t>
            </w:r>
          </w:p>
        </w:tc>
        <w:tc>
          <w:tcPr>
            <w:tcW w:w="100" w:type="dxa"/>
            <w:vAlign w:val="bottom"/>
          </w:tcPr>
          <w:p>
            <w:pPr>
              <w:spacing w:after="0"/>
              <w:rPr>
                <w:sz w:val="20"/>
                <w:szCs w:val="20"/>
                <w:color w:val="auto"/>
              </w:rPr>
            </w:pPr>
          </w:p>
        </w:tc>
      </w:tr>
      <w:tr>
        <w:trPr>
          <w:trHeight w:val="108"/>
        </w:trPr>
        <w:tc>
          <w:tcPr>
            <w:tcW w:w="48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43"/>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Executive Officers</w:t>
            </w:r>
            <w:r>
              <w:rPr>
                <w:rFonts w:ascii="Arial" w:cs="Arial" w:eastAsia="Arial" w:hAnsi="Arial"/>
                <w:sz w:val="18"/>
                <w:szCs w:val="18"/>
                <w:color w:val="auto"/>
              </w:rPr>
              <w:t>:</w:t>
            </w: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David Schlanger</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62</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Executive Chairman</w:t>
            </w:r>
          </w:p>
        </w:tc>
        <w:tc>
          <w:tcPr>
            <w:tcW w:w="100" w:type="dxa"/>
            <w:vAlign w:val="bottom"/>
          </w:tcPr>
          <w:p>
            <w:pPr>
              <w:spacing w:after="0"/>
              <w:rPr>
                <w:sz w:val="20"/>
                <w:szCs w:val="20"/>
                <w:color w:val="auto"/>
              </w:rPr>
            </w:pPr>
          </w:p>
        </w:tc>
      </w:tr>
      <w:tr>
        <w:trPr>
          <w:trHeight w:val="249"/>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Peter Anevski</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54</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Executive Officer</w:t>
            </w:r>
          </w:p>
        </w:tc>
        <w:tc>
          <w:tcPr>
            <w:tcW w:w="100" w:type="dxa"/>
            <w:vAlign w:val="bottom"/>
            <w:shd w:val="clear" w:color="auto" w:fill="CCEEFF"/>
          </w:tcPr>
          <w:p>
            <w:pPr>
              <w:spacing w:after="0"/>
              <w:rPr>
                <w:sz w:val="21"/>
                <w:szCs w:val="21"/>
                <w:color w:val="auto"/>
              </w:rPr>
            </w:pPr>
          </w:p>
        </w:tc>
      </w:tr>
      <w:tr>
        <w:trPr>
          <w:trHeight w:val="230"/>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Jennifer Bealer</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41</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Executive Vice President, General</w:t>
            </w:r>
          </w:p>
        </w:tc>
        <w:tc>
          <w:tcPr>
            <w:tcW w:w="100" w:type="dxa"/>
            <w:vAlign w:val="bottom"/>
          </w:tcPr>
          <w:p>
            <w:pPr>
              <w:spacing w:after="0"/>
              <w:rPr>
                <w:sz w:val="20"/>
                <w:szCs w:val="20"/>
                <w:color w:val="auto"/>
              </w:rPr>
            </w:pPr>
          </w:p>
        </w:tc>
      </w:tr>
      <w:tr>
        <w:trPr>
          <w:trHeight w:val="249"/>
        </w:trPr>
        <w:tc>
          <w:tcPr>
            <w:tcW w:w="120" w:type="dxa"/>
            <w:vAlign w:val="bottom"/>
          </w:tcPr>
          <w:p>
            <w:pPr>
              <w:spacing w:after="0"/>
              <w:rPr>
                <w:sz w:val="21"/>
                <w:szCs w:val="21"/>
                <w:color w:val="auto"/>
              </w:rPr>
            </w:pPr>
          </w:p>
        </w:tc>
        <w:tc>
          <w:tcPr>
            <w:tcW w:w="47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Counsel and Secretary</w:t>
            </w:r>
          </w:p>
        </w:tc>
        <w:tc>
          <w:tcPr>
            <w:tcW w:w="100" w:type="dxa"/>
            <w:vAlign w:val="bottom"/>
          </w:tcPr>
          <w:p>
            <w:pPr>
              <w:spacing w:after="0"/>
              <w:rPr>
                <w:sz w:val="21"/>
                <w:szCs w:val="21"/>
                <w:color w:val="auto"/>
              </w:rPr>
            </w:pPr>
          </w:p>
        </w:tc>
      </w:tr>
      <w:tr>
        <w:trPr>
          <w:trHeight w:val="250"/>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Mark Livingston</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56</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Chief Financial Officer</w:t>
            </w:r>
          </w:p>
        </w:tc>
        <w:tc>
          <w:tcPr>
            <w:tcW w:w="100" w:type="dxa"/>
            <w:vAlign w:val="bottom"/>
            <w:shd w:val="clear" w:color="auto" w:fill="CCEEFF"/>
          </w:tcPr>
          <w:p>
            <w:pPr>
              <w:spacing w:after="0"/>
              <w:rPr>
                <w:sz w:val="21"/>
                <w:szCs w:val="21"/>
                <w:color w:val="auto"/>
              </w:rPr>
            </w:pPr>
          </w:p>
        </w:tc>
      </w:tr>
      <w:tr>
        <w:trPr>
          <w:trHeight w:val="23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Michael Sturmer</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45</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President</w:t>
            </w:r>
          </w:p>
        </w:tc>
        <w:tc>
          <w:tcPr>
            <w:tcW w:w="100" w:type="dxa"/>
            <w:vAlign w:val="bottom"/>
          </w:tcPr>
          <w:p>
            <w:pPr>
              <w:spacing w:after="0"/>
              <w:rPr>
                <w:sz w:val="20"/>
                <w:szCs w:val="20"/>
                <w:color w:val="auto"/>
              </w:rPr>
            </w:pPr>
          </w:p>
        </w:tc>
      </w:tr>
      <w:tr>
        <w:trPr>
          <w:trHeight w:val="249"/>
        </w:trPr>
        <w:tc>
          <w:tcPr>
            <w:tcW w:w="4820" w:type="dxa"/>
            <w:vAlign w:val="bottom"/>
            <w:gridSpan w:val="2"/>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76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0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39"/>
        </w:trPr>
        <w:tc>
          <w:tcPr>
            <w:tcW w:w="4820" w:type="dxa"/>
            <w:vAlign w:val="bottom"/>
            <w:gridSpan w:val="2"/>
          </w:tcPr>
          <w:p>
            <w:pPr>
              <w:ind w:left="120"/>
              <w:spacing w:after="0"/>
              <w:rPr>
                <w:sz w:val="20"/>
                <w:szCs w:val="20"/>
                <w:color w:val="auto"/>
              </w:rPr>
            </w:pPr>
            <w:r>
              <w:rPr>
                <w:rFonts w:ascii="Arial" w:cs="Arial" w:eastAsia="Arial" w:hAnsi="Arial"/>
                <w:sz w:val="18"/>
                <w:szCs w:val="18"/>
                <w:b w:val="1"/>
                <w:bCs w:val="1"/>
                <w:color w:val="auto"/>
              </w:rPr>
              <w:t>Non- Employee Directors:</w:t>
            </w: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Beth Seidenberg, M.D.</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64</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Lead Independent Director</w:t>
            </w:r>
          </w:p>
        </w:tc>
        <w:tc>
          <w:tcPr>
            <w:tcW w:w="100" w:type="dxa"/>
            <w:vAlign w:val="bottom"/>
            <w:shd w:val="clear" w:color="auto" w:fill="CCEEFF"/>
          </w:tcPr>
          <w:p>
            <w:pPr>
              <w:spacing w:after="0"/>
              <w:rPr>
                <w:sz w:val="21"/>
                <w:szCs w:val="21"/>
                <w:color w:val="auto"/>
              </w:rPr>
            </w:pPr>
          </w:p>
        </w:tc>
      </w:tr>
      <w:tr>
        <w:trPr>
          <w:trHeight w:val="23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Malissia Clinton</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53</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r>
      <w:tr>
        <w:trPr>
          <w:trHeight w:val="249"/>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Fred E. Cohen, D.Phil.</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65</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1"/>
                <w:szCs w:val="21"/>
                <w:color w:val="auto"/>
              </w:rPr>
            </w:pPr>
          </w:p>
        </w:tc>
      </w:tr>
      <w:tr>
        <w:trPr>
          <w:trHeight w:val="23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Kevin Gordon</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59</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r>
      <w:tr>
        <w:trPr>
          <w:trHeight w:val="249"/>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Roger Holstein</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69</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1"/>
                <w:szCs w:val="21"/>
                <w:color w:val="auto"/>
              </w:rPr>
            </w:pPr>
          </w:p>
        </w:tc>
      </w:tr>
      <w:tr>
        <w:trPr>
          <w:trHeight w:val="237"/>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Jeff Park</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50</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r>
      <w:tr>
        <w:trPr>
          <w:trHeight w:val="249"/>
        </w:trPr>
        <w:tc>
          <w:tcPr>
            <w:tcW w:w="4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Norman Payson, M.D.</w:t>
            </w:r>
          </w:p>
        </w:tc>
        <w:tc>
          <w:tcPr>
            <w:tcW w:w="980" w:type="dxa"/>
            <w:vAlign w:val="bottom"/>
            <w:gridSpan w:val="2"/>
            <w:shd w:val="clear" w:color="auto" w:fill="CCEEFF"/>
          </w:tcPr>
          <w:p>
            <w:pPr>
              <w:jc w:val="center"/>
              <w:ind w:left="110"/>
              <w:spacing w:after="0"/>
              <w:rPr>
                <w:sz w:val="20"/>
                <w:szCs w:val="20"/>
                <w:color w:val="auto"/>
              </w:rPr>
            </w:pPr>
            <w:r>
              <w:rPr>
                <w:rFonts w:ascii="Arial" w:cs="Arial" w:eastAsia="Arial" w:hAnsi="Arial"/>
                <w:sz w:val="18"/>
                <w:szCs w:val="18"/>
                <w:color w:val="auto"/>
                <w:w w:val="89"/>
              </w:rPr>
              <w:t>73</w:t>
            </w:r>
          </w:p>
        </w:tc>
        <w:tc>
          <w:tcPr>
            <w:tcW w:w="32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shd w:val="clear" w:color="auto" w:fill="CCEEFF"/>
          </w:tcPr>
          <w:p>
            <w:pPr>
              <w:spacing w:after="0"/>
              <w:rPr>
                <w:sz w:val="21"/>
                <w:szCs w:val="21"/>
                <w:color w:val="auto"/>
              </w:rPr>
            </w:pPr>
          </w:p>
        </w:tc>
      </w:tr>
      <w:tr>
        <w:trPr>
          <w:trHeight w:val="230"/>
        </w:trPr>
        <w:tc>
          <w:tcPr>
            <w:tcW w:w="4820" w:type="dxa"/>
            <w:vAlign w:val="bottom"/>
            <w:gridSpan w:val="2"/>
          </w:tcPr>
          <w:p>
            <w:pPr>
              <w:ind w:left="120"/>
              <w:spacing w:after="0"/>
              <w:rPr>
                <w:sz w:val="20"/>
                <w:szCs w:val="20"/>
                <w:color w:val="auto"/>
              </w:rPr>
            </w:pPr>
            <w:r>
              <w:rPr>
                <w:rFonts w:ascii="Arial" w:cs="Arial" w:eastAsia="Arial" w:hAnsi="Arial"/>
                <w:sz w:val="18"/>
                <w:szCs w:val="18"/>
                <w:color w:val="auto"/>
              </w:rPr>
              <w:t>Cheryl Scott</w:t>
            </w:r>
          </w:p>
        </w:tc>
        <w:tc>
          <w:tcPr>
            <w:tcW w:w="980" w:type="dxa"/>
            <w:vAlign w:val="bottom"/>
            <w:gridSpan w:val="2"/>
          </w:tcPr>
          <w:p>
            <w:pPr>
              <w:jc w:val="center"/>
              <w:ind w:left="110"/>
              <w:spacing w:after="0"/>
              <w:rPr>
                <w:sz w:val="20"/>
                <w:szCs w:val="20"/>
                <w:color w:val="auto"/>
              </w:rPr>
            </w:pPr>
            <w:r>
              <w:rPr>
                <w:rFonts w:ascii="Arial" w:cs="Arial" w:eastAsia="Arial" w:hAnsi="Arial"/>
                <w:sz w:val="18"/>
                <w:szCs w:val="18"/>
                <w:color w:val="auto"/>
                <w:w w:val="89"/>
              </w:rPr>
              <w:t>72</w:t>
            </w:r>
          </w:p>
        </w:tc>
        <w:tc>
          <w:tcPr>
            <w:tcW w:w="3240" w:type="dxa"/>
            <w:vAlign w:val="bottom"/>
            <w:gridSpan w:val="2"/>
          </w:tcPr>
          <w:p>
            <w:pPr>
              <w:ind w:left="220"/>
              <w:spacing w:after="0"/>
              <w:rPr>
                <w:sz w:val="20"/>
                <w:szCs w:val="20"/>
                <w:color w:val="auto"/>
              </w:rPr>
            </w:pPr>
            <w:r>
              <w:rPr>
                <w:rFonts w:ascii="Arial" w:cs="Arial" w:eastAsia="Arial" w:hAnsi="Arial"/>
                <w:sz w:val="18"/>
                <w:szCs w:val="18"/>
                <w:color w:val="auto"/>
              </w:rPr>
              <w:t>Director</w:t>
            </w:r>
          </w:p>
        </w:tc>
        <w:tc>
          <w:tcPr>
            <w:tcW w:w="100" w:type="dxa"/>
            <w:vAlign w:val="bottom"/>
          </w:tcPr>
          <w:p>
            <w:pPr>
              <w:spacing w:after="0"/>
              <w:rPr>
                <w:sz w:val="20"/>
                <w:szCs w:val="20"/>
                <w:color w:val="auto"/>
              </w:rPr>
            </w:pPr>
          </w:p>
        </w:tc>
      </w:tr>
    </w:tbl>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225" w:lineRule="exact"/>
        <w:rPr>
          <w:sz w:val="20"/>
          <w:szCs w:val="20"/>
          <w:color w:val="auto"/>
        </w:rPr>
      </w:pPr>
    </w:p>
    <w:p>
      <w:pPr>
        <w:jc w:val="both"/>
        <w:ind w:left="60" w:right="220" w:firstLine="648"/>
        <w:spacing w:after="0" w:line="291" w:lineRule="auto"/>
        <w:rPr>
          <w:sz w:val="20"/>
          <w:szCs w:val="20"/>
          <w:color w:val="auto"/>
        </w:rPr>
      </w:pPr>
      <w:r>
        <w:rPr>
          <w:rFonts w:ascii="Arial" w:cs="Arial" w:eastAsia="Arial" w:hAnsi="Arial"/>
          <w:sz w:val="16"/>
          <w:szCs w:val="16"/>
          <w:i w:val="1"/>
          <w:iCs w:val="1"/>
          <w:color w:val="auto"/>
        </w:rPr>
        <w:t xml:space="preserve">David Schlanger </w:t>
      </w:r>
      <w:r>
        <w:rPr>
          <w:rFonts w:ascii="Arial" w:cs="Arial" w:eastAsia="Arial" w:hAnsi="Arial"/>
          <w:sz w:val="16"/>
          <w:szCs w:val="16"/>
          <w:color w:val="auto"/>
        </w:rPr>
        <w:t>has served as our Executive Chairman since January 2022 and on our board of directors since</w:t>
      </w:r>
      <w:r>
        <w:rPr>
          <w:rFonts w:ascii="Arial" w:cs="Arial" w:eastAsia="Arial" w:hAnsi="Arial"/>
          <w:sz w:val="16"/>
          <w:szCs w:val="16"/>
          <w:i w:val="1"/>
          <w:iCs w:val="1"/>
          <w:color w:val="auto"/>
        </w:rPr>
        <w:t xml:space="preserve"> </w:t>
      </w:r>
      <w:r>
        <w:rPr>
          <w:rFonts w:ascii="Arial" w:cs="Arial" w:eastAsia="Arial" w:hAnsi="Arial"/>
          <w:sz w:val="16"/>
          <w:szCs w:val="16"/>
          <w:color w:val="auto"/>
        </w:rPr>
        <w:t>March 2017. Mr. Schlanger was previously our Chief Executive Officer from January 2017 to December 2021. From August 2013 until September 2016, he served as the Chief Executive Officer of WebMD, an online provider of information relating to health and well-being. Prior to that, he served as the Interim Chief Executive Officer and in various other senior executive positions at WebMD and predecessor companies for more than 15 years, including as Senior Vice President, Strategic and Corporate Development and Senior Vice President, Corporate Development. Mr. Schlanger received his B.S. from Georgetown University and his J.D. from the University of Michigan Law School. We believe that Mr. Schlanger is</w:t>
      </w:r>
    </w:p>
    <w:p>
      <w:pPr>
        <w:sectPr>
          <w:pgSz w:w="11900" w:h="16838" w:orient="portrait"/>
          <w:cols w:equalWidth="0" w:num="1">
            <w:col w:w="9180"/>
          </w:cols>
          <w:pgMar w:left="1440" w:top="517" w:right="1279" w:bottom="1440" w:gutter="0" w:footer="0" w:header="0"/>
        </w:sectPr>
      </w:pPr>
    </w:p>
    <w:p>
      <w:pPr>
        <w:spacing w:after="0" w:line="382"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80"/>
          </w:cols>
          <w:pgMar w:left="1440" w:top="517" w:right="1279" w:bottom="1440" w:gutter="0" w:footer="0" w:header="0"/>
          <w:type w:val="continuous"/>
        </w:sectPr>
      </w:pPr>
    </w:p>
    <w:bookmarkStart w:id="51" w:name="page52"/>
    <w:bookmarkEnd w:id="5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7" w:lineRule="auto"/>
        <w:rPr>
          <w:sz w:val="20"/>
          <w:szCs w:val="20"/>
          <w:color w:val="auto"/>
        </w:rPr>
      </w:pPr>
      <w:r>
        <w:rPr>
          <w:rFonts w:ascii="Arial" w:cs="Arial" w:eastAsia="Arial" w:hAnsi="Arial"/>
          <w:sz w:val="18"/>
          <w:szCs w:val="18"/>
          <w:color w:val="auto"/>
        </w:rPr>
        <w:t>qualified to serve on our board of directors because of his extensive experience at healthcare companies and in executive management.</w:t>
      </w:r>
    </w:p>
    <w:p>
      <w:pPr>
        <w:spacing w:after="0" w:line="157" w:lineRule="exact"/>
        <w:rPr>
          <w:sz w:val="20"/>
          <w:szCs w:val="20"/>
          <w:color w:val="auto"/>
        </w:rPr>
      </w:pPr>
    </w:p>
    <w:p>
      <w:pPr>
        <w:ind w:left="60" w:right="139" w:firstLine="648"/>
        <w:spacing w:after="0" w:line="284" w:lineRule="auto"/>
        <w:rPr>
          <w:sz w:val="20"/>
          <w:szCs w:val="20"/>
          <w:color w:val="auto"/>
        </w:rPr>
      </w:pPr>
      <w:r>
        <w:rPr>
          <w:rFonts w:ascii="Arial" w:cs="Arial" w:eastAsia="Arial" w:hAnsi="Arial"/>
          <w:sz w:val="16"/>
          <w:szCs w:val="16"/>
          <w:i w:val="1"/>
          <w:iCs w:val="1"/>
          <w:color w:val="auto"/>
        </w:rPr>
        <w:t xml:space="preserve">Peter Anevski </w:t>
      </w:r>
      <w:r>
        <w:rPr>
          <w:rFonts w:ascii="Arial" w:cs="Arial" w:eastAsia="Arial" w:hAnsi="Arial"/>
          <w:sz w:val="16"/>
          <w:szCs w:val="16"/>
          <w:color w:val="auto"/>
        </w:rPr>
        <w:t>has served as our Chief Executive Officer and on our board of directors since January 2022. He</w:t>
      </w:r>
      <w:r>
        <w:rPr>
          <w:rFonts w:ascii="Arial" w:cs="Arial" w:eastAsia="Arial" w:hAnsi="Arial"/>
          <w:sz w:val="16"/>
          <w:szCs w:val="16"/>
          <w:i w:val="1"/>
          <w:iCs w:val="1"/>
          <w:color w:val="auto"/>
        </w:rPr>
        <w:t xml:space="preserve"> </w:t>
      </w:r>
      <w:r>
        <w:rPr>
          <w:rFonts w:ascii="Arial" w:cs="Arial" w:eastAsia="Arial" w:hAnsi="Arial"/>
          <w:sz w:val="16"/>
          <w:szCs w:val="16"/>
          <w:color w:val="auto"/>
        </w:rPr>
        <w:t>previously served as our Chief Operating Officer from January 2017 to December 2021 and our President from June 2019 to December 2021. From January 2017 to September 2020, he also served as our Chief Financial Officer. Mr. Anevski has extensive experience managing financial functions for public companies. From May 2013 until September 2016, he served as the Executive Vice President and Chief Financial Officer of WebMD. Prior to that, Mr. Anevski served in senior finance and operations roles at WebMD and predecessor companies for 14 years, including as Senior Vice President, Finance.</w:t>
      </w:r>
    </w:p>
    <w:p>
      <w:pPr>
        <w:spacing w:after="0" w:line="4" w:lineRule="exact"/>
        <w:rPr>
          <w:sz w:val="20"/>
          <w:szCs w:val="20"/>
          <w:color w:val="auto"/>
        </w:rPr>
      </w:pPr>
    </w:p>
    <w:p>
      <w:pPr>
        <w:ind w:left="60" w:right="179"/>
        <w:spacing w:after="0" w:line="255" w:lineRule="auto"/>
        <w:rPr>
          <w:sz w:val="20"/>
          <w:szCs w:val="20"/>
          <w:color w:val="auto"/>
        </w:rPr>
      </w:pPr>
      <w:r>
        <w:rPr>
          <w:rFonts w:ascii="Arial" w:cs="Arial" w:eastAsia="Arial" w:hAnsi="Arial"/>
          <w:sz w:val="18"/>
          <w:szCs w:val="18"/>
          <w:color w:val="auto"/>
        </w:rPr>
        <w:t>Mr. Anevski received his B.A. in Accounting from Montclair State University. We believe that Mr. Anevski is qualified to serve on our board of directors because of his significant experience at healthcare companies and as a member of our executive management team.</w:t>
      </w:r>
    </w:p>
    <w:p>
      <w:pPr>
        <w:spacing w:after="0" w:line="176"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i w:val="1"/>
          <w:iCs w:val="1"/>
          <w:color w:val="auto"/>
        </w:rPr>
        <w:t xml:space="preserve">Jennifer Bealer </w:t>
      </w:r>
      <w:r>
        <w:rPr>
          <w:rFonts w:ascii="Arial" w:cs="Arial" w:eastAsia="Arial" w:hAnsi="Arial"/>
          <w:sz w:val="17"/>
          <w:szCs w:val="17"/>
          <w:color w:val="auto"/>
        </w:rPr>
        <w:t>has served as our Executive Vice President, General Counsel and Secretary since October 2017.</w:t>
      </w:r>
      <w:r>
        <w:rPr>
          <w:rFonts w:ascii="Arial" w:cs="Arial" w:eastAsia="Arial" w:hAnsi="Arial"/>
          <w:sz w:val="17"/>
          <w:szCs w:val="17"/>
          <w:i w:val="1"/>
          <w:iCs w:val="1"/>
          <w:color w:val="auto"/>
        </w:rPr>
        <w:t xml:space="preserve"> </w:t>
      </w:r>
      <w:r>
        <w:rPr>
          <w:rFonts w:ascii="Arial" w:cs="Arial" w:eastAsia="Arial" w:hAnsi="Arial"/>
          <w:sz w:val="17"/>
          <w:szCs w:val="17"/>
          <w:color w:val="auto"/>
        </w:rPr>
        <w:t>Prior to that, she was an Associate at the law firm Ropes &amp; Gray’s nationally-ranked healthcare practice from November 2010 to October 2017, where she gained extensive expertise in providing healthcare clients with strategic, regulatory, compliance and transaction advice. Ms. Bealer holds a B.S. in Biology and Psychology from the Pennsylvania State University and received her J.D. from the University of Pennsylvania Law School, A.L.M from Harvard University, and Master of Bioethics from University of Pennsylvania School of Medicine.</w:t>
      </w:r>
    </w:p>
    <w:p>
      <w:pPr>
        <w:spacing w:after="0" w:line="151"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i w:val="1"/>
          <w:iCs w:val="1"/>
          <w:color w:val="auto"/>
        </w:rPr>
        <w:t xml:space="preserve">Mark Livingston </w:t>
      </w:r>
      <w:r>
        <w:rPr>
          <w:rFonts w:ascii="Arial" w:cs="Arial" w:eastAsia="Arial" w:hAnsi="Arial"/>
          <w:sz w:val="18"/>
          <w:szCs w:val="18"/>
          <w:color w:val="auto"/>
        </w:rPr>
        <w:t>has served as our Chief Financial Officer since September 2020. Previously, Mr. Livingston had</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our Executive Vice President of Finance from May 2019 to September 2020. Prior to that, he served as Chief Financial Officer of the International Business at Scripps Network Interactive, a media company, where he worked from August 2010 to April 2018, and as Chief Financial Officer of Emerson, Reid &amp; Company, an employee benefits wholesaler, from June 2007 to August 2010. Previously, Mr. Livingston has held senior financial leadership roles at WebMD and Hess Corporation. Mr. Livingston received his B.S. from Tulane University and is a licensed Certified Public Accountant.</w:t>
      </w:r>
    </w:p>
    <w:p>
      <w:pPr>
        <w:spacing w:after="0" w:line="181"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i w:val="1"/>
          <w:iCs w:val="1"/>
          <w:color w:val="auto"/>
        </w:rPr>
        <w:t xml:space="preserve">Michael Sturmer </w:t>
      </w:r>
      <w:r>
        <w:rPr>
          <w:rFonts w:ascii="Arial" w:cs="Arial" w:eastAsia="Arial" w:hAnsi="Arial"/>
          <w:sz w:val="18"/>
          <w:szCs w:val="18"/>
          <w:color w:val="auto"/>
        </w:rPr>
        <w:t>has served as our President since January 1, 2022 and was previously Executive Vice President,</w:t>
      </w:r>
      <w:r>
        <w:rPr>
          <w:rFonts w:ascii="Arial" w:cs="Arial" w:eastAsia="Arial" w:hAnsi="Arial"/>
          <w:sz w:val="18"/>
          <w:szCs w:val="18"/>
          <w:i w:val="1"/>
          <w:iCs w:val="1"/>
          <w:color w:val="auto"/>
        </w:rPr>
        <w:t xml:space="preserve"> </w:t>
      </w:r>
      <w:r>
        <w:rPr>
          <w:rFonts w:ascii="Arial" w:cs="Arial" w:eastAsia="Arial" w:hAnsi="Arial"/>
          <w:sz w:val="18"/>
          <w:szCs w:val="18"/>
          <w:color w:val="auto"/>
        </w:rPr>
        <w:t>Chief Growth and Strategy Officer from February 2021 to December 2021. Mr. Sturmer has over two decades of operations, sales and strategic experience in the healthcare industry. From September 2016 to February 2021, he was Senior Vice President of Health Services at Livongo. Prior to that, Mr. Sturmer held several senior positions at Cigna, including Chief Operating Officer for the New York/New Jersey Health Plan. Mr. Sturmer received his B.A. degree in Health Administration from Quinnipiac University.</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25"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 xml:space="preserve">Beth Seidenberg, M.D. </w:t>
      </w:r>
      <w:r>
        <w:rPr>
          <w:rFonts w:ascii="Arial" w:cs="Arial" w:eastAsia="Arial" w:hAnsi="Arial"/>
          <w:sz w:val="16"/>
          <w:szCs w:val="16"/>
          <w:color w:val="auto"/>
        </w:rPr>
        <w:t>has served on our board of directors since May 2010 and as Lead Independent Director</w:t>
      </w:r>
      <w:r>
        <w:rPr>
          <w:rFonts w:ascii="Arial" w:cs="Arial" w:eastAsia="Arial" w:hAnsi="Arial"/>
          <w:sz w:val="16"/>
          <w:szCs w:val="16"/>
          <w:i w:val="1"/>
          <w:iCs w:val="1"/>
          <w:color w:val="auto"/>
        </w:rPr>
        <w:t xml:space="preserve"> </w:t>
      </w:r>
      <w:r>
        <w:rPr>
          <w:rFonts w:ascii="Arial" w:cs="Arial" w:eastAsia="Arial" w:hAnsi="Arial"/>
          <w:sz w:val="16"/>
          <w:szCs w:val="16"/>
          <w:color w:val="auto"/>
        </w:rPr>
        <w:t>since January 2022. Previously, Dr. Seidenberg served as Chair of our board of directors from June 2015 to December 2021. Dr. Seidenberg has been a partner at Kleiner Perkins, a venture capital firm, since May 2005, where she primarily focuses on life sciences investing. She has also served as the Managing Director of Westlake Village BioPartners, another venture capital firm, since August 2018. Prior to joining Kleiner Perkins, Dr. Seidenberg was the Senior Vice President, Head of Global Development and Chief Medical Officer at Amgen, Inc., a biotechnology company. In addition, Dr. Seidenberg was a senior executive in research and development at Bristol Myers Squibb Company, a biopharmaceutical company, and Merck. Dr. Seidenberg has served on the board of directors of Atara Biotherapeutics since August 2012. Dr. Seidenberg previously served on the boards of directors of Epizyme, Inc., from February 2008 to September 2019, Tesaro, Inc., from June 2011 to February 2019, and ARMO BioSciences, Inc. from December 2012 until June 2018. Dr. Seidenberg received a B.S. from Barnard College and an M.D. from the University of Miami School of Medicine and completed her post-graduate training at the Johns Hopkins University, George Washington University and the National Institutes of Health. We believe that Dr. Seidenberg is qualified to serve on our board of directors because of her extensive experience in the life sciences industry as a senior executive and venture capitalist, as well as her training as a physician.</w:t>
      </w:r>
    </w:p>
    <w:p>
      <w:pPr>
        <w:spacing w:after="0" w:line="144"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Malissia Clinton </w:t>
      </w:r>
      <w:r>
        <w:rPr>
          <w:rFonts w:ascii="Arial" w:cs="Arial" w:eastAsia="Arial" w:hAnsi="Arial"/>
          <w:sz w:val="16"/>
          <w:szCs w:val="16"/>
          <w:color w:val="auto"/>
        </w:rPr>
        <w:t>has served as a member of our board of directors since November 2020. Ms. Clinton has served</w:t>
      </w:r>
      <w:r>
        <w:rPr>
          <w:rFonts w:ascii="Arial" w:cs="Arial" w:eastAsia="Arial" w:hAnsi="Arial"/>
          <w:sz w:val="16"/>
          <w:szCs w:val="16"/>
          <w:i w:val="1"/>
          <w:iCs w:val="1"/>
          <w:color w:val="auto"/>
        </w:rPr>
        <w:t xml:space="preserve"> </w:t>
      </w:r>
      <w:r>
        <w:rPr>
          <w:rFonts w:ascii="Arial" w:cs="Arial" w:eastAsia="Arial" w:hAnsi="Arial"/>
          <w:sz w:val="16"/>
          <w:szCs w:val="16"/>
          <w:color w:val="auto"/>
        </w:rPr>
        <w:t>as Senior Vice President, General Counsel and Secretary at The Aerospace Corporation, a non-profit corporation that provides technical guidance on space missions, since 2009. She previously worked at Northrop Grumman from 2002 to 2009, including her role as Senior Counsel for Special Projects beginning in 2007. Ms. Clinton joined TRW Space Technology, a division of TRW, Inc., in 1998 as Counsel in its Telecommunication Programs and Avionic Systems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division. She began her career as an Associate at Tuttle &amp; Taylor. Additionally, Ms. Clinton has served on the board of directors of 3D Systems Corporation since 2019 and on the board of directors of City of Hope Medical Center since 2016. Ms. Clinton holds a B.S. in Political Science and Government from Arizona State University and received her J.D. from Stanford Law School. We believe that Ms. Clinton is qualified to serve on our board of directors because of her strong legal background and extensive experience in corporate governance</w:t>
      </w:r>
      <w:r>
        <w:rPr>
          <w:rFonts w:ascii="Arial" w:cs="Arial" w:eastAsia="Arial" w:hAnsi="Arial"/>
          <w:sz w:val="21"/>
          <w:szCs w:val="21"/>
          <w:color w:val="auto"/>
        </w:rPr>
        <w:t>.</w:t>
      </w:r>
    </w:p>
    <w:p>
      <w:pPr>
        <w:spacing w:after="0" w:line="164" w:lineRule="exact"/>
        <w:rPr>
          <w:sz w:val="20"/>
          <w:szCs w:val="20"/>
          <w:color w:val="auto"/>
        </w:rPr>
      </w:pPr>
    </w:p>
    <w:p>
      <w:pPr>
        <w:jc w:val="both"/>
        <w:ind w:left="60" w:right="59" w:firstLine="648"/>
        <w:spacing w:after="0" w:line="285" w:lineRule="auto"/>
        <w:rPr>
          <w:sz w:val="20"/>
          <w:szCs w:val="20"/>
          <w:color w:val="auto"/>
        </w:rPr>
      </w:pPr>
      <w:r>
        <w:rPr>
          <w:rFonts w:ascii="Arial" w:cs="Arial" w:eastAsia="Arial" w:hAnsi="Arial"/>
          <w:sz w:val="16"/>
          <w:szCs w:val="16"/>
          <w:i w:val="1"/>
          <w:iCs w:val="1"/>
          <w:color w:val="auto"/>
        </w:rPr>
        <w:t xml:space="preserve">Fred E. Cohen, M.D. D.Phil. </w:t>
      </w:r>
      <w:r>
        <w:rPr>
          <w:rFonts w:ascii="Arial" w:cs="Arial" w:eastAsia="Arial" w:hAnsi="Arial"/>
          <w:sz w:val="16"/>
          <w:szCs w:val="16"/>
          <w:color w:val="auto"/>
        </w:rPr>
        <w:t>has served on our board of directors since March 2015. Dr. Cohen is currently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Advisor to TPG Capital, where he previously served for over 15 years as a Partner, and founder of TPG Biotechnology, a life science focused venture capital fund. Beginning in July 2021, Dr. Cohen has served as a co-founder and Chairman of Monograph Capital Partners, a biotechnology venture capital fund. Beginning in November 2017, Dr. Cohen has served as a co-founder and senior managing director of Vida Ventures, LLC, a biotechnology venture capital fund. In addition, for three decades throughout his career, Dr. Cohen has been affiliated with University of California, San Francisco where he held various clinical responsibilities, including as a research scientist, an internist for hospitalized patients, a consulting endocrinologist, and the Chief of the Division of Endocrinology and Metabolism. Dr. Cohen currently serves on the boards of directors of the following public companies: Urogen Pharma Ltd. (since May 2017), CareDx, Inc. (since January 2003), and lntellia Therapeutics, Inc. (since January 2019). Dr. Cohen also serves on the board of directors of several privately-held companies and previously served on the board of directors of BioCryst Pharmaceuticals, Inc. from July 2013 until January 2019, Quintiles Transnational Holdings, Inc. from May 2007 to November 2015, Roka Bioscience, Inc. from September 2009 to October 2017, Five Prime Therapeutics, Inc. from May 2002 until May 2018, Tandem Diabetes Care, Inc. from June 2013 until June 2019, Genomic Health Inc. from April 2002 until November 2019 and Veracyte, Inc. from 2007 until June 2021. Dr. Cohen received his B.S. in Molecular Biophysics and Biochemistry from Yale University, his D.Phil. in Molecular Biophysics from Oxford on a Rhodes Scholarship, and his M.D. from Stanford. He is a member of the National Academy of Medicine and the American Academy of Arts and Sciences. Dr. Cohen is a California licensed physician. We believe that Dr. Cohen is qualified to serve on our board of directors because of his financial and medical knowledge and experience.</w:t>
      </w:r>
    </w:p>
    <w:p>
      <w:pPr>
        <w:spacing w:after="0" w:line="374" w:lineRule="exact"/>
        <w:rPr>
          <w:sz w:val="20"/>
          <w:szCs w:val="20"/>
          <w:color w:val="auto"/>
        </w:rPr>
      </w:pPr>
    </w:p>
    <w:p>
      <w:pPr>
        <w:jc w:val="both"/>
        <w:ind w:left="60" w:right="59" w:firstLine="648"/>
        <w:spacing w:after="0" w:line="286" w:lineRule="auto"/>
        <w:rPr>
          <w:sz w:val="20"/>
          <w:szCs w:val="20"/>
          <w:color w:val="auto"/>
        </w:rPr>
      </w:pPr>
      <w:r>
        <w:rPr>
          <w:rFonts w:ascii="Arial" w:cs="Arial" w:eastAsia="Arial" w:hAnsi="Arial"/>
          <w:sz w:val="16"/>
          <w:szCs w:val="16"/>
          <w:i w:val="1"/>
          <w:iCs w:val="1"/>
          <w:color w:val="auto"/>
        </w:rPr>
        <w:t xml:space="preserve">Kevin Gordon </w:t>
      </w:r>
      <w:r>
        <w:rPr>
          <w:rFonts w:ascii="Arial" w:cs="Arial" w:eastAsia="Arial" w:hAnsi="Arial"/>
          <w:sz w:val="16"/>
          <w:szCs w:val="16"/>
          <w:color w:val="auto"/>
        </w:rPr>
        <w:t>has served as a member of our board of directors since October 2019. Mr. Gordon has also served</w:t>
      </w:r>
      <w:r>
        <w:rPr>
          <w:rFonts w:ascii="Arial" w:cs="Arial" w:eastAsia="Arial" w:hAnsi="Arial"/>
          <w:sz w:val="16"/>
          <w:szCs w:val="16"/>
          <w:i w:val="1"/>
          <w:iCs w:val="1"/>
          <w:color w:val="auto"/>
        </w:rPr>
        <w:t xml:space="preserve"> </w:t>
      </w:r>
      <w:r>
        <w:rPr>
          <w:rFonts w:ascii="Arial" w:cs="Arial" w:eastAsia="Arial" w:hAnsi="Arial"/>
          <w:sz w:val="16"/>
          <w:szCs w:val="16"/>
          <w:color w:val="auto"/>
        </w:rPr>
        <w:t>on the board of directors of Veracyte, Inc., a genomic diagnostics company, since December 2016 and as an advisor to 3i Group’s North American healthcare portfolio companies since January 2022, including currently as a director of privately held Q Holdco Limited, Sanisure, Cirtec Medical Corp. and ten23 health. From January 2018 until March 2019, he was the President and Chief Financial Officer of Liquidia Technologies Inc., a clinical biopharmaceutical company. Mr. Gordon served as Executive Vice President and Chief Operating Officer of Quintiles Transnational Holdings Inc., or Quintiles, a research, clinical trial and pharmaceutical consulting company, from October 2015 until its merger with IMS Health Holdings, Inc. (forming IQVIA Holdings, Inc.) in October 2016. Prior to that, he was the Executive Vice President and Chief Financial Officer of Quintiles from July 2010 until December 2015. Mr. Gordon served as Executive Vice President and Chief Financial Officer of Teleflex Incorporated, a medical device company, from March 2007 until January 2010. Mr. Gordon held various senior corporate development positions at Teleflex Incorporated from 1997 to 2007. Prior thereto he held various senior positions, including Chief Financial Officer, at Package Machinery Company and senior manager and other positions at KPMG LLP. Mr. Gordon holds a B.S. in Accounting from the University of Connecticut. We believe that Mr. Gordon is qualified to serve on our board of directors because of his extensive accounting experience and leadership experience in healthcare companies.</w:t>
      </w:r>
    </w:p>
    <w:p>
      <w:pPr>
        <w:spacing w:after="0" w:line="360"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i w:val="1"/>
          <w:iCs w:val="1"/>
          <w:color w:val="auto"/>
        </w:rPr>
        <w:t xml:space="preserve">Roger Holstein </w:t>
      </w:r>
      <w:r>
        <w:rPr>
          <w:rFonts w:ascii="Arial" w:cs="Arial" w:eastAsia="Arial" w:hAnsi="Arial"/>
          <w:sz w:val="18"/>
          <w:szCs w:val="18"/>
          <w:color w:val="auto"/>
        </w:rPr>
        <w:t>has served as a member of our board of directors since November 2020. He has been a Managing</w:t>
      </w:r>
      <w:r>
        <w:rPr>
          <w:rFonts w:ascii="Arial" w:cs="Arial" w:eastAsia="Arial" w:hAnsi="Arial"/>
          <w:sz w:val="18"/>
          <w:szCs w:val="18"/>
          <w:i w:val="1"/>
          <w:iCs w:val="1"/>
          <w:color w:val="auto"/>
        </w:rPr>
        <w:t xml:space="preserve"> </w:t>
      </w:r>
      <w:r>
        <w:rPr>
          <w:rFonts w:ascii="Arial" w:cs="Arial" w:eastAsia="Arial" w:hAnsi="Arial"/>
          <w:sz w:val="18"/>
          <w:szCs w:val="18"/>
          <w:color w:val="auto"/>
        </w:rPr>
        <w:t>Director at Vestar Capital Partners, a private equity firm, since 2006. He currently serves on the boards of Quest Analytics, and Mercury Healthcare. From 1997 to 2005, Mr. Holstein served as Chief Executive Officer, President or Director of WebMD Health Corp., or WebMD, and helped establish it as the leading source of healthcare information for consumers and professionals. From 1991 to 1996, Mr. Holstein was a member of the Office of the President at Medco, where he helped create the business of prescription benefit management. Prior to that, Mr. Holstein held executive positions at MCI, Warner Amex Cable and Grey Advertising. He began his career in marketing with the Spirits of St. Louis basketball team in the American Basketball Association. Mr. Holstein holds a B.A. with distinction, from Swarthmore College. We believe that Mr. Holstein is qualified to serve on our board of directors because of his extensive leadership and healthcare experience.</w:t>
      </w:r>
    </w:p>
    <w:p>
      <w:pPr>
        <w:spacing w:after="0" w:line="181"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i w:val="1"/>
          <w:iCs w:val="1"/>
          <w:color w:val="auto"/>
        </w:rPr>
        <w:t xml:space="preserve">Jeff Park </w:t>
      </w:r>
      <w:r>
        <w:rPr>
          <w:rFonts w:ascii="Arial" w:cs="Arial" w:eastAsia="Arial" w:hAnsi="Arial"/>
          <w:sz w:val="16"/>
          <w:szCs w:val="16"/>
          <w:color w:val="auto"/>
        </w:rPr>
        <w:t>has served as a member of our board of directors since October 2019. Mr. Park has served since</w:t>
      </w:r>
      <w:r>
        <w:rPr>
          <w:rFonts w:ascii="Arial" w:cs="Arial" w:eastAsia="Arial" w:hAnsi="Arial"/>
          <w:sz w:val="16"/>
          <w:szCs w:val="16"/>
          <w:i w:val="1"/>
          <w:iCs w:val="1"/>
          <w:color w:val="auto"/>
        </w:rPr>
        <w:t xml:space="preserve"> </w:t>
      </w:r>
      <w:r>
        <w:rPr>
          <w:rFonts w:ascii="Arial" w:cs="Arial" w:eastAsia="Arial" w:hAnsi="Arial"/>
          <w:sz w:val="16"/>
          <w:szCs w:val="16"/>
          <w:color w:val="auto"/>
        </w:rPr>
        <w:t>April 2019 as the Chairman and Chief Executive Officer of WellDyneRx, an independent pharmacy benefits manager and has served as a member of the board of directors for P3 Health Partners since December 2021. From January 2018 until May 2018, he was the Interim Chief Executive Officer of Diplomat Pharmacy, Inc., or Diplomat, a provider of specialty pharmacy services. Additionally, from June 2017 to February 2019, he served on the board of directors of Diplomat. Prior</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to that, from July 2015 until July 2016, he was the Chief Operating Officer of OptumRX, the entity resulting from the merger of Catamaran Corporation, or Catamaran, and OptumRX, UnitedHealthcare Group’s free-standing pharmacy care services business. Before the merger, from March 2014 until July 2015, he was Catamaran’s Executive Vice President, Operations, and previously served as Catamaran’s Chief Financial Officer, beginning in 2006. Mr. Park served as a member of the board of directors for Ray Graham Assoc. Illinois Disability not for profit from January 2010 to June 2016. Mr. Park holds a B.S. in Accounting from Brock University. We believe that Mr. Park is qualified to serve on our board of directors because of his extensive leadership experience in the pharmaceutical industry.</w:t>
      </w:r>
    </w:p>
    <w:p>
      <w:pPr>
        <w:spacing w:after="0" w:line="164" w:lineRule="exact"/>
        <w:rPr>
          <w:sz w:val="20"/>
          <w:szCs w:val="20"/>
          <w:color w:val="auto"/>
        </w:rPr>
      </w:pPr>
    </w:p>
    <w:p>
      <w:pPr>
        <w:jc w:val="both"/>
        <w:ind w:left="60" w:right="59" w:firstLine="648"/>
        <w:spacing w:after="0" w:line="284" w:lineRule="auto"/>
        <w:rPr>
          <w:sz w:val="20"/>
          <w:szCs w:val="20"/>
          <w:color w:val="auto"/>
        </w:rPr>
      </w:pPr>
      <w:r>
        <w:rPr>
          <w:rFonts w:ascii="Arial" w:cs="Arial" w:eastAsia="Arial" w:hAnsi="Arial"/>
          <w:sz w:val="16"/>
          <w:szCs w:val="16"/>
          <w:i w:val="1"/>
          <w:iCs w:val="1"/>
          <w:color w:val="auto"/>
        </w:rPr>
        <w:t xml:space="preserve">Norman Payson, M.D. </w:t>
      </w:r>
      <w:r>
        <w:rPr>
          <w:rFonts w:ascii="Arial" w:cs="Arial" w:eastAsia="Arial" w:hAnsi="Arial"/>
          <w:sz w:val="16"/>
          <w:szCs w:val="16"/>
          <w:color w:val="auto"/>
        </w:rPr>
        <w:t>has served on our board of directors since December 2016. Dr. Payson was co-founder of</w:t>
      </w:r>
      <w:r>
        <w:rPr>
          <w:rFonts w:ascii="Arial" w:cs="Arial" w:eastAsia="Arial" w:hAnsi="Arial"/>
          <w:sz w:val="16"/>
          <w:szCs w:val="16"/>
          <w:i w:val="1"/>
          <w:iCs w:val="1"/>
          <w:color w:val="auto"/>
        </w:rPr>
        <w:t xml:space="preserve"> </w:t>
      </w:r>
      <w:r>
        <w:rPr>
          <w:rFonts w:ascii="Arial" w:cs="Arial" w:eastAsia="Arial" w:hAnsi="Arial"/>
          <w:sz w:val="16"/>
          <w:szCs w:val="16"/>
          <w:color w:val="auto"/>
        </w:rPr>
        <w:t>Healthsource and its Chief Executive Officer from 1985 to 1997, Chief Executive Officer of Oxford Health Plans from 1998 to 2002, Chairman of Concentra from 2005 to 2008 and Chief Executive Officer of Apria Healthcare Group Inc. from 2008 to 2012, where he is currently a member of the board of directors. In February of 2021 Apria Healthcare Group, Inc. completed a public offering and is publicly traded. Since 1997, Dr. Payson has served as President and a director of NCP, Inc., his family office, through which he engages in consulting and personal investment activities. Additionally, Dr. Payson served as a strategic advisor for Evolent Health, Inc., or Evolent, from March 2014 through December 2020 and previously served on its board of directors from December 2013 to June 2019. Dr. Payson is currently serving on the board of directors of various private and not-for-profit companies including Access Clinical Partners, Smile Brands, Implantable Provider Group, HPM National Advisory Board at the Mailman School of Public Health at Columbia, USC Schaeffer Center Advisory Board and Executive Services Corporation of Southern California. Dr. Payson is also on the board of Kiva Foundation, a private charitable foundation organized by Dr. Payson and his wife in June 1998. Until June 2020, Dr. Payson served on the board for City of Hope, where he now serves as director emeritus. He continues to serve on the boards of AccessHope and Beckman Research Institute which are subsidiaries of City of Hope. Until June 2019, Dr. Payson served as a director at Geisel School of Medicine at Dartmouth, where he now serves as director emeritus. From May 2017 to August 2019 Dr. Payson was a board member of The Center for Orthopaedic and Research Excellence, Inc. Dr. Payson holds a B.S. in Earth and Planetary Sciences from the Massachusetts Institute of Technology and received his M.D. from Dartmouth Medical School. Dr. Payson is a California licensed physician. We believe that Dr. Payson is qualified to serve on our board of directors because of his 30-year career as chief executive officer or chairman of multiple healthcare organizations, including publicly-traded companies.</w:t>
      </w:r>
    </w:p>
    <w:p>
      <w:pPr>
        <w:spacing w:after="0" w:line="168" w:lineRule="exact"/>
        <w:rPr>
          <w:sz w:val="20"/>
          <w:szCs w:val="20"/>
          <w:color w:val="auto"/>
        </w:rPr>
      </w:pPr>
    </w:p>
    <w:p>
      <w:pPr>
        <w:jc w:val="both"/>
        <w:ind w:left="60" w:right="59" w:firstLine="648"/>
        <w:spacing w:after="0" w:line="288" w:lineRule="auto"/>
        <w:rPr>
          <w:sz w:val="20"/>
          <w:szCs w:val="20"/>
          <w:color w:val="auto"/>
        </w:rPr>
      </w:pPr>
      <w:r>
        <w:rPr>
          <w:rFonts w:ascii="Arial" w:cs="Arial" w:eastAsia="Arial" w:hAnsi="Arial"/>
          <w:sz w:val="16"/>
          <w:szCs w:val="16"/>
          <w:i w:val="1"/>
          <w:iCs w:val="1"/>
          <w:color w:val="auto"/>
        </w:rPr>
        <w:t xml:space="preserve">Cheryl Scott </w:t>
      </w:r>
      <w:r>
        <w:rPr>
          <w:rFonts w:ascii="Arial" w:cs="Arial" w:eastAsia="Arial" w:hAnsi="Arial"/>
          <w:sz w:val="16"/>
          <w:szCs w:val="16"/>
          <w:color w:val="auto"/>
        </w:rPr>
        <w:t>has served as a member of our board of directors since October 2019. Since July 2016, Ms. Scott has</w:t>
      </w:r>
      <w:r>
        <w:rPr>
          <w:rFonts w:ascii="Arial" w:cs="Arial" w:eastAsia="Arial" w:hAnsi="Arial"/>
          <w:sz w:val="16"/>
          <w:szCs w:val="16"/>
          <w:i w:val="1"/>
          <w:iCs w:val="1"/>
          <w:color w:val="auto"/>
        </w:rPr>
        <w:t xml:space="preserve"> </w:t>
      </w:r>
      <w:r>
        <w:rPr>
          <w:rFonts w:ascii="Arial" w:cs="Arial" w:eastAsia="Arial" w:hAnsi="Arial"/>
          <w:sz w:val="16"/>
          <w:szCs w:val="16"/>
          <w:color w:val="auto"/>
        </w:rPr>
        <w:t>served as the Main Principal of the McClintock Scott Group. From June 2006 to July 2016, Ms. Scott served as Senior Advisor to the Bill &amp; Melinda Gates Foundation. Previously, she served as President and Chief Executive Officer of the Seattle-based Group Health Cooperative for eight years. Ms. Scott has served as a member of the board of directors of Evolent since November 2015. She also currently serves on a variety of private company and not-for-profit boards. She was a member of the board of directors of Recreational Equipment Incorporated (REI) from 2005 to 2017, and served as the board chairperson from 2015 to 2017. Ms. Scott received her B.A. in Journalism and M.H.A. from the University of Washington, and is currently a Clinical Professor of Health Services at the University of Washington. We believe that Ms. Scott is qualified to serve on our board of directors because of her extensive career in healthcare, leadership and corporate governance, including her tenure as the Chief Executive Officer of Group Health Cooperative.</w:t>
      </w:r>
    </w:p>
    <w:p>
      <w:pPr>
        <w:spacing w:after="0" w:line="3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w:t>
      </w:r>
    </w:p>
    <w:p>
      <w:pPr>
        <w:spacing w:after="0" w:line="27" w:lineRule="exact"/>
        <w:rPr>
          <w:sz w:val="20"/>
          <w:szCs w:val="20"/>
          <w:color w:val="auto"/>
        </w:rPr>
      </w:pPr>
    </w:p>
    <w:p>
      <w:pPr>
        <w:ind w:left="1340"/>
        <w:spacing w:after="0"/>
        <w:rPr>
          <w:sz w:val="20"/>
          <w:szCs w:val="20"/>
          <w:color w:val="auto"/>
        </w:rPr>
      </w:pPr>
      <w:r>
        <w:rPr>
          <w:rFonts w:ascii="Arial" w:cs="Arial" w:eastAsia="Arial" w:hAnsi="Arial"/>
          <w:sz w:val="18"/>
          <w:szCs w:val="18"/>
          <w:b w:val="1"/>
          <w:bCs w:val="1"/>
          <w:color w:val="auto"/>
        </w:rPr>
        <w:t>MATTERS AND ISSUER PURCHASES OF EQUITY SECURITIES.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listed on the Nasdaq Global Select Market under the symbol “PGNY”.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Holders of Record</w:t>
      </w:r>
    </w:p>
    <w:p>
      <w:pPr>
        <w:spacing w:after="0" w:line="229"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As of January 31, 2022, there were approximately 59 stockholders of record of our common stock. Because many of our shares of common stock are held in “street name” by brokers and other institutions on behalf of stockholders, we are unable to estimate the total number of stockholders represented by these record holders.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4" w:name="page55"/>
    <w:bookmarkEnd w:id="5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We have never declared or paid cash dividends on our capital stock. We intend to retain any future earnings and do not expect to pay cash dividends in the foreseeable future.</w:t>
      </w:r>
    </w:p>
    <w:p>
      <w:pPr>
        <w:spacing w:after="0" w:line="166"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Our restricted stock units are subject to vesting and the underlying shares of common stock are issued when the restricted stock units vest.</w:t>
      </w:r>
    </w:p>
    <w:p>
      <w:pPr>
        <w:spacing w:after="0" w:line="170"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the fourth quarter of 2021, we withheld shares through net settlements (where the award holder receives the net of the shares vested, after surrendering a portion of the shares back to the Company for tax withholding) for certain restricted stock units that vested.</w:t>
      </w:r>
    </w:p>
    <w:p>
      <w:pPr>
        <w:spacing w:after="0" w:line="184" w:lineRule="exact"/>
        <w:rPr>
          <w:sz w:val="20"/>
          <w:szCs w:val="20"/>
          <w:color w:val="auto"/>
        </w:rPr>
      </w:pPr>
    </w:p>
    <w:p>
      <w:pPr>
        <w:ind w:left="60" w:right="579" w:firstLine="648"/>
        <w:spacing w:after="0" w:line="342" w:lineRule="auto"/>
        <w:rPr>
          <w:sz w:val="20"/>
          <w:szCs w:val="20"/>
          <w:color w:val="auto"/>
        </w:rPr>
      </w:pPr>
      <w:r>
        <w:rPr>
          <w:rFonts w:ascii="Arial" w:cs="Arial" w:eastAsia="Arial" w:hAnsi="Arial"/>
          <w:sz w:val="16"/>
          <w:szCs w:val="16"/>
          <w:color w:val="auto"/>
        </w:rPr>
        <w:t>The following table provides a summary of shares surrendered back to the Company for tax withholding on restricted stock units that vested under our equity incentive plans in the three months ended December 31, 2021:</w:t>
      </w:r>
    </w:p>
    <w:p>
      <w:pPr>
        <w:spacing w:after="0" w:line="11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Total Number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Maximum Dollar</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40" w:type="dxa"/>
            <w:vAlign w:val="bottom"/>
          </w:tcPr>
          <w:p>
            <w:pPr>
              <w:spacing w:after="0"/>
              <w:rPr>
                <w:sz w:val="12"/>
                <w:szCs w:val="12"/>
                <w:color w:val="auto"/>
              </w:rPr>
            </w:pPr>
          </w:p>
        </w:tc>
        <w:tc>
          <w:tcPr>
            <w:tcW w:w="940" w:type="dxa"/>
            <w:vAlign w:val="bottom"/>
          </w:tcPr>
          <w:p>
            <w:pPr>
              <w:jc w:val="center"/>
              <w:ind w:right="38"/>
              <w:spacing w:after="0" w:line="149" w:lineRule="exact"/>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Total Number of</w:t>
            </w: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Purchased as</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8"/>
        </w:trPr>
        <w:tc>
          <w:tcPr>
            <w:tcW w:w="224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2"/>
              </w:rPr>
              <w:t>Average Price</w:t>
            </w:r>
          </w:p>
        </w:tc>
        <w:tc>
          <w:tcPr>
            <w:tcW w:w="12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4"/>
        </w:trPr>
        <w:tc>
          <w:tcPr>
            <w:tcW w:w="40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24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89"/>
              </w:rPr>
              <w:t>Shares</w:t>
            </w:r>
          </w:p>
        </w:tc>
        <w:tc>
          <w:tcPr>
            <w:tcW w:w="1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6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1"/>
              </w:rPr>
              <w:t>Announced Plans</w:t>
            </w:r>
          </w:p>
        </w:tc>
        <w:tc>
          <w:tcPr>
            <w:tcW w:w="140" w:type="dxa"/>
            <w:vAlign w:val="bottom"/>
          </w:tcPr>
          <w:p>
            <w:pPr>
              <w:spacing w:after="0"/>
              <w:rPr>
                <w:sz w:val="12"/>
                <w:szCs w:val="12"/>
                <w:color w:val="auto"/>
              </w:rPr>
            </w:pPr>
          </w:p>
        </w:tc>
        <w:tc>
          <w:tcPr>
            <w:tcW w:w="940" w:type="dxa"/>
            <w:vAlign w:val="bottom"/>
          </w:tcPr>
          <w:p>
            <w:pPr>
              <w:jc w:val="center"/>
              <w:ind w:right="38"/>
              <w:spacing w:after="0" w:line="145" w:lineRule="exact"/>
              <w:rPr>
                <w:sz w:val="20"/>
                <w:szCs w:val="20"/>
                <w:color w:val="auto"/>
              </w:rPr>
            </w:pPr>
            <w:r>
              <w:rPr>
                <w:rFonts w:ascii="Arial" w:cs="Arial" w:eastAsia="Arial" w:hAnsi="Arial"/>
                <w:sz w:val="14"/>
                <w:szCs w:val="14"/>
                <w:b w:val="1"/>
                <w:bCs w:val="1"/>
                <w:color w:val="auto"/>
                <w:w w:val="94"/>
              </w:rPr>
              <w:t>Under the</w:t>
            </w:r>
          </w:p>
        </w:tc>
        <w:tc>
          <w:tcPr>
            <w:tcW w:w="0" w:type="dxa"/>
            <w:vAlign w:val="bottom"/>
          </w:tcPr>
          <w:p>
            <w:pPr>
              <w:spacing w:after="0"/>
              <w:rPr>
                <w:sz w:val="1"/>
                <w:szCs w:val="1"/>
                <w:color w:val="auto"/>
              </w:rPr>
            </w:pPr>
          </w:p>
        </w:tc>
      </w:tr>
      <w:tr>
        <w:trPr>
          <w:trHeight w:val="176"/>
        </w:trPr>
        <w:tc>
          <w:tcPr>
            <w:tcW w:w="4080" w:type="dxa"/>
            <w:vAlign w:val="bottom"/>
            <w:gridSpan w:val="3"/>
            <w:vMerge w:val="continue"/>
          </w:tcPr>
          <w:p>
            <w:pPr>
              <w:spacing w:after="0"/>
              <w:rPr>
                <w:sz w:val="15"/>
                <w:szCs w:val="15"/>
                <w:color w:val="auto"/>
              </w:rPr>
            </w:pPr>
          </w:p>
        </w:tc>
        <w:tc>
          <w:tcPr>
            <w:tcW w:w="1240" w:type="dxa"/>
            <w:vAlign w:val="bottom"/>
            <w:gridSpan w:val="2"/>
          </w:tcPr>
          <w:p>
            <w:pPr>
              <w:jc w:val="center"/>
              <w:ind w:right="180"/>
              <w:spacing w:after="0" w:line="176" w:lineRule="exact"/>
              <w:rPr>
                <w:sz w:val="20"/>
                <w:szCs w:val="20"/>
                <w:color w:val="auto"/>
              </w:rPr>
            </w:pPr>
            <w:r>
              <w:rPr>
                <w:rFonts w:ascii="Arial" w:cs="Arial" w:eastAsia="Arial" w:hAnsi="Arial"/>
                <w:sz w:val="14"/>
                <w:szCs w:val="14"/>
                <w:b w:val="1"/>
                <w:bCs w:val="1"/>
                <w:color w:val="auto"/>
                <w:w w:val="89"/>
              </w:rPr>
              <w:t xml:space="preserve">Repurchased </w:t>
            </w:r>
            <w:r>
              <w:rPr>
                <w:rFonts w:ascii="Arial" w:cs="Arial" w:eastAsia="Arial" w:hAnsi="Arial"/>
                <w:sz w:val="20"/>
                <w:szCs w:val="20"/>
                <w:b w:val="1"/>
                <w:bCs w:val="1"/>
                <w:color w:val="auto"/>
                <w:w w:val="89"/>
                <w:vertAlign w:val="superscript"/>
              </w:rPr>
              <w:t>(1)</w:t>
            </w: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Paid per Share</w:t>
            </w:r>
          </w:p>
        </w:tc>
        <w:tc>
          <w:tcPr>
            <w:tcW w:w="12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or Programs</w:t>
            </w:r>
          </w:p>
        </w:tc>
        <w:tc>
          <w:tcPr>
            <w:tcW w:w="140" w:type="dxa"/>
            <w:vAlign w:val="bottom"/>
          </w:tcPr>
          <w:p>
            <w:pPr>
              <w:spacing w:after="0"/>
              <w:rPr>
                <w:sz w:val="15"/>
                <w:szCs w:val="15"/>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w w:val="97"/>
              </w:rPr>
              <w:t>Program</w:t>
            </w:r>
          </w:p>
        </w:tc>
        <w:tc>
          <w:tcPr>
            <w:tcW w:w="0" w:type="dxa"/>
            <w:vAlign w:val="bottom"/>
          </w:tcPr>
          <w:p>
            <w:pPr>
              <w:spacing w:after="0"/>
              <w:rPr>
                <w:sz w:val="1"/>
                <w:szCs w:val="1"/>
                <w:color w:val="auto"/>
              </w:rPr>
            </w:pPr>
          </w:p>
        </w:tc>
      </w:tr>
      <w:tr>
        <w:trPr>
          <w:trHeight w:val="142"/>
        </w:trPr>
        <w:tc>
          <w:tcPr>
            <w:tcW w:w="224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October 1, 2021 through October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59.32</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tcPr>
          <w:p>
            <w:pPr>
              <w:ind w:left="20"/>
              <w:spacing w:after="0"/>
              <w:rPr>
                <w:sz w:val="20"/>
                <w:szCs w:val="20"/>
                <w:color w:val="auto"/>
              </w:rPr>
            </w:pPr>
            <w:r>
              <w:rPr>
                <w:rFonts w:ascii="Arial" w:cs="Arial" w:eastAsia="Arial" w:hAnsi="Arial"/>
                <w:sz w:val="18"/>
                <w:szCs w:val="18"/>
                <w:color w:val="auto"/>
              </w:rPr>
              <w:t>November 1, 2021 through November 30, 2021</w:t>
            </w:r>
          </w:p>
        </w:tc>
        <w:tc>
          <w:tcPr>
            <w:tcW w:w="1060" w:type="dxa"/>
            <w:vAlign w:val="bottom"/>
          </w:tcPr>
          <w:p>
            <w:pPr>
              <w:jc w:val="right"/>
              <w:spacing w:after="0"/>
              <w:rPr>
                <w:sz w:val="20"/>
                <w:szCs w:val="20"/>
                <w:color w:val="auto"/>
              </w:rPr>
            </w:pPr>
            <w:r>
              <w:rPr>
                <w:rFonts w:ascii="Arial" w:cs="Arial" w:eastAsia="Arial" w:hAnsi="Arial"/>
                <w:sz w:val="18"/>
                <w:szCs w:val="18"/>
                <w:color w:val="auto"/>
              </w:rPr>
              <w:t>2,499</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61.35</w:t>
            </w:r>
          </w:p>
        </w:tc>
        <w:tc>
          <w:tcPr>
            <w:tcW w:w="180" w:type="dxa"/>
            <w:vAlign w:val="bottom"/>
          </w:tcPr>
          <w:p>
            <w:pPr>
              <w:spacing w:after="0"/>
              <w:rPr>
                <w:sz w:val="18"/>
                <w:szCs w:val="18"/>
                <w:color w:val="auto"/>
              </w:rPr>
            </w:pPr>
          </w:p>
        </w:tc>
        <w:tc>
          <w:tcPr>
            <w:tcW w:w="126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December 1, 2021 through December 31, 2021</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080" w:type="dxa"/>
            <w:vAlign w:val="bottom"/>
            <w:gridSpan w:val="3"/>
          </w:tcPr>
          <w:p>
            <w:pPr>
              <w:ind w:left="120"/>
              <w:spacing w:after="0"/>
              <w:rPr>
                <w:sz w:val="20"/>
                <w:szCs w:val="20"/>
                <w:color w:val="auto"/>
              </w:rPr>
            </w:pPr>
            <w:r>
              <w:rPr>
                <w:rFonts w:ascii="Arial" w:cs="Arial" w:eastAsia="Arial" w:hAnsi="Arial"/>
                <w:sz w:val="18"/>
                <w:szCs w:val="18"/>
                <w:color w:val="auto"/>
              </w:rPr>
              <w:t>Total shares repurchased</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16,699</w:t>
            </w:r>
          </w:p>
        </w:tc>
        <w:tc>
          <w:tcPr>
            <w:tcW w:w="18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54.80</w:t>
            </w:r>
          </w:p>
        </w:tc>
        <w:tc>
          <w:tcPr>
            <w:tcW w:w="180" w:type="dxa"/>
            <w:vAlign w:val="bottom"/>
          </w:tcPr>
          <w:p>
            <w:pPr>
              <w:spacing w:after="0"/>
              <w:rPr>
                <w:sz w:val="18"/>
                <w:szCs w:val="18"/>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2240" w:type="dxa"/>
            <w:vAlign w:val="bottom"/>
            <w:tcBorders>
              <w:bottom w:val="single" w:sz="8" w:color="auto"/>
            </w:tcBorders>
          </w:tcPr>
          <w:p>
            <w:pPr>
              <w:spacing w:after="0"/>
              <w:rPr>
                <w:sz w:val="8"/>
                <w:szCs w:val="8"/>
                <w:color w:val="auto"/>
              </w:rPr>
            </w:pPr>
          </w:p>
        </w:tc>
        <w:tc>
          <w:tcPr>
            <w:tcW w:w="1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220" w:hanging="170"/>
        <w:spacing w:after="0"/>
        <w:tabs>
          <w:tab w:leader="none" w:pos="220" w:val="left"/>
        </w:tabs>
        <w:numPr>
          <w:ilvl w:val="0"/>
          <w:numId w:val="33"/>
        </w:numPr>
        <w:rPr>
          <w:rFonts w:ascii="Arial" w:cs="Arial" w:eastAsia="Arial" w:hAnsi="Arial"/>
          <w:sz w:val="19"/>
          <w:szCs w:val="19"/>
          <w:color w:val="auto"/>
          <w:vertAlign w:val="superscript"/>
        </w:rPr>
      </w:pPr>
      <w:r>
        <w:rPr>
          <w:rFonts w:ascii="Arial" w:cs="Arial" w:eastAsia="Arial" w:hAnsi="Arial"/>
          <w:sz w:val="17"/>
          <w:szCs w:val="17"/>
          <w:color w:val="auto"/>
        </w:rPr>
        <w:t>Represents shares withheld on net settlements of restricted stock units that vested under our equity incentive plans.</w:t>
      </w:r>
    </w:p>
    <w:p>
      <w:pPr>
        <w:spacing w:after="0" w:line="200" w:lineRule="exact"/>
        <w:rPr>
          <w:rFonts w:ascii="Arial" w:cs="Arial" w:eastAsia="Arial" w:hAnsi="Arial"/>
          <w:sz w:val="19"/>
          <w:szCs w:val="19"/>
          <w:color w:val="auto"/>
          <w:vertAlign w:val="superscript"/>
        </w:rPr>
      </w:pPr>
    </w:p>
    <w:p>
      <w:pPr>
        <w:spacing w:after="0" w:line="200" w:lineRule="exact"/>
        <w:rPr>
          <w:rFonts w:ascii="Arial" w:cs="Arial" w:eastAsia="Arial" w:hAnsi="Arial"/>
          <w:sz w:val="19"/>
          <w:szCs w:val="19"/>
          <w:color w:val="auto"/>
          <w:vertAlign w:val="superscript"/>
        </w:rPr>
      </w:pPr>
    </w:p>
    <w:p>
      <w:pPr>
        <w:spacing w:after="0" w:line="245" w:lineRule="exact"/>
        <w:rPr>
          <w:rFonts w:ascii="Arial" w:cs="Arial" w:eastAsia="Arial" w:hAnsi="Arial"/>
          <w:sz w:val="19"/>
          <w:szCs w:val="19"/>
          <w:color w:val="auto"/>
          <w:vertAlign w:val="superscript"/>
        </w:rPr>
      </w:pPr>
    </w:p>
    <w:p>
      <w:pPr>
        <w:ind w:left="4400"/>
        <w:spacing w:after="0"/>
        <w:rPr>
          <w:rFonts w:ascii="Arial" w:cs="Arial" w:eastAsia="Arial" w:hAnsi="Arial"/>
          <w:sz w:val="19"/>
          <w:szCs w:val="19"/>
          <w:color w:val="auto"/>
          <w:vertAlign w:val="superscript"/>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Performance Graph</w:t>
      </w:r>
    </w:p>
    <w:p>
      <w:pPr>
        <w:spacing w:after="0" w:line="229" w:lineRule="exact"/>
        <w:rPr>
          <w:sz w:val="20"/>
          <w:szCs w:val="20"/>
          <w:color w:val="auto"/>
        </w:rPr>
      </w:pPr>
    </w:p>
    <w:p>
      <w:pPr>
        <w:jc w:val="both"/>
        <w:ind w:left="60" w:right="740" w:firstLine="648"/>
        <w:spacing w:after="0" w:line="311" w:lineRule="auto"/>
        <w:rPr>
          <w:sz w:val="20"/>
          <w:szCs w:val="20"/>
          <w:color w:val="auto"/>
        </w:rPr>
      </w:pPr>
      <w:r>
        <w:rPr>
          <w:rFonts w:ascii="Arial" w:cs="Arial" w:eastAsia="Arial" w:hAnsi="Arial"/>
          <w:sz w:val="16"/>
          <w:szCs w:val="16"/>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Progyny, Inc. under the Securities Act or the Exchange Act.</w:t>
      </w:r>
    </w:p>
    <w:p>
      <w:pPr>
        <w:spacing w:after="0" w:line="149" w:lineRule="exact"/>
        <w:rPr>
          <w:sz w:val="20"/>
          <w:szCs w:val="20"/>
          <w:color w:val="auto"/>
        </w:rPr>
      </w:pPr>
    </w:p>
    <w:p>
      <w:pPr>
        <w:ind w:left="60" w:right="500" w:firstLine="648"/>
        <w:spacing w:after="0" w:line="279" w:lineRule="auto"/>
        <w:rPr>
          <w:sz w:val="20"/>
          <w:szCs w:val="20"/>
          <w:color w:val="auto"/>
        </w:rPr>
      </w:pPr>
      <w:r>
        <w:rPr>
          <w:rFonts w:ascii="Arial" w:cs="Arial" w:eastAsia="Arial" w:hAnsi="Arial"/>
          <w:sz w:val="17"/>
          <w:szCs w:val="17"/>
          <w:color w:val="auto"/>
        </w:rPr>
        <w:t>The graph set forth below compares cumulative total return on our common stock with the cumulative total return of the (i) S&amp;P Health Care (Sector) and (ii) the Nasdaq Composite Index resulting from an initial investment of $100 in each and, assuming the reinvestment of any dividends, based on closing prices. Measurement points are from October 24, 2019 (the date our common stock began trading on Nasdaq) through 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631190</wp:posOffset>
            </wp:positionH>
            <wp:positionV relativeFrom="paragraph">
              <wp:posOffset>117475</wp:posOffset>
            </wp:positionV>
            <wp:extent cx="4869180" cy="25546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869180" cy="25546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15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540" w:type="dxa"/>
            <w:vAlign w:val="bottom"/>
            <w:tcBorders>
              <w:bottom w:val="single" w:sz="8" w:color="auto"/>
            </w:tcBorders>
            <w:gridSpan w:val="14"/>
          </w:tcPr>
          <w:p>
            <w:pPr>
              <w:ind w:left="400"/>
              <w:spacing w:after="0"/>
              <w:rPr>
                <w:sz w:val="20"/>
                <w:szCs w:val="20"/>
                <w:color w:val="auto"/>
              </w:rPr>
            </w:pPr>
            <w:r>
              <w:rPr>
                <w:rFonts w:ascii="Arial" w:cs="Arial" w:eastAsia="Arial" w:hAnsi="Arial"/>
                <w:sz w:val="16"/>
                <w:szCs w:val="16"/>
                <w:b w:val="1"/>
                <w:bCs w:val="1"/>
                <w:color w:val="auto"/>
              </w:rPr>
              <w:t>Cumulative Total Returns since Initial Public Offering</w:t>
            </w:r>
          </w:p>
        </w:tc>
        <w:tc>
          <w:tcPr>
            <w:tcW w:w="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2"/>
        </w:trPr>
        <w:tc>
          <w:tcPr>
            <w:tcW w:w="1520" w:type="dxa"/>
            <w:vAlign w:val="bottom"/>
            <w:tcBorders>
              <w:bottom w:val="single" w:sz="8" w:color="CCEEFF"/>
            </w:tcBorders>
          </w:tcPr>
          <w:p>
            <w:pPr>
              <w:ind w:left="20"/>
              <w:spacing w:after="0"/>
              <w:rPr>
                <w:sz w:val="20"/>
                <w:szCs w:val="20"/>
                <w:color w:val="auto"/>
              </w:rPr>
            </w:pPr>
            <w:r>
              <w:rPr>
                <w:rFonts w:ascii="Arial" w:cs="Arial" w:eastAsia="Arial" w:hAnsi="Arial"/>
                <w:sz w:val="16"/>
                <w:szCs w:val="16"/>
                <w:b w:val="1"/>
                <w:bCs w:val="1"/>
                <w:color w:val="auto"/>
              </w:rPr>
              <w:t>Company/Index</w:t>
            </w: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10/24/2019</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12/31/2019</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w w:val="87"/>
              </w:rPr>
              <w:t>3/31/2020</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6/30/2020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9/30/2020</w:t>
            </w:r>
          </w:p>
        </w:tc>
        <w:tc>
          <w:tcPr>
            <w:tcW w:w="8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color w:val="auto"/>
                <w:w w:val="89"/>
              </w:rPr>
              <w:t>12/31/2020</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3/31/2021</w:t>
            </w:r>
          </w:p>
        </w:tc>
        <w:tc>
          <w:tcPr>
            <w:tcW w:w="8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w w:val="89"/>
              </w:rPr>
              <w:t>6/30/2021</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9/30/2021</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12/31/2021</w:t>
            </w:r>
          </w:p>
        </w:tc>
      </w:tr>
      <w:tr>
        <w:trPr>
          <w:trHeight w:val="196"/>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Progyny, Inc.</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211.15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$ 326.08</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$ 198.54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226.38</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326.08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$ 342.38</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rPr>
              <w:t>$ 453.85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430.77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394.54</w:t>
            </w:r>
          </w:p>
        </w:tc>
      </w:tr>
      <w:tr>
        <w:trPr>
          <w:trHeight w:val="203"/>
        </w:trPr>
        <w:tc>
          <w:tcPr>
            <w:tcW w:w="1520" w:type="dxa"/>
            <w:vAlign w:val="bottom"/>
          </w:tcPr>
          <w:p>
            <w:pPr>
              <w:ind w:left="20"/>
              <w:spacing w:after="0"/>
              <w:rPr>
                <w:sz w:val="20"/>
                <w:szCs w:val="20"/>
                <w:color w:val="auto"/>
              </w:rPr>
            </w:pPr>
            <w:r>
              <w:rPr>
                <w:rFonts w:ascii="Arial" w:cs="Arial" w:eastAsia="Arial" w:hAnsi="Arial"/>
                <w:sz w:val="16"/>
                <w:szCs w:val="16"/>
                <w:color w:val="auto"/>
                <w:w w:val="96"/>
              </w:rPr>
              <w:t>S&amp;P 500 Health Care</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111.78</w:t>
            </w:r>
          </w:p>
        </w:tc>
        <w:tc>
          <w:tcPr>
            <w:tcW w:w="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$ 124.56</w:t>
            </w:r>
          </w:p>
        </w:tc>
        <w:tc>
          <w:tcPr>
            <w:tcW w:w="10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$ 109.86</w:t>
            </w:r>
          </w:p>
        </w:tc>
        <w:tc>
          <w:tcPr>
            <w:tcW w:w="80" w:type="dxa"/>
            <w:vAlign w:val="bottom"/>
          </w:tcPr>
          <w:p>
            <w:pPr>
              <w:spacing w:after="0"/>
              <w:rPr>
                <w:sz w:val="17"/>
                <w:szCs w:val="17"/>
                <w:color w:val="auto"/>
              </w:rPr>
            </w:pPr>
          </w:p>
        </w:tc>
        <w:tc>
          <w:tcPr>
            <w:tcW w:w="120" w:type="dxa"/>
            <w:vAlign w:val="bottom"/>
          </w:tcPr>
          <w:p>
            <w:pPr>
              <w:spacing w:after="0"/>
              <w:rPr>
                <w:sz w:val="20"/>
                <w:szCs w:val="20"/>
                <w:color w:val="auto"/>
              </w:rPr>
            </w:pPr>
            <w:r>
              <w:rPr>
                <w:rFonts w:ascii="Arial" w:cs="Arial" w:eastAsia="Arial" w:hAnsi="Arial"/>
                <w:sz w:val="16"/>
                <w:szCs w:val="16"/>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w w:val="93"/>
              </w:rPr>
              <w:t>115.81</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124.56</w:t>
            </w:r>
          </w:p>
        </w:tc>
        <w:tc>
          <w:tcPr>
            <w:tcW w:w="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$ 127.98</w:t>
            </w:r>
          </w:p>
        </w:tc>
        <w:tc>
          <w:tcPr>
            <w:tcW w:w="80" w:type="dxa"/>
            <w:vAlign w:val="bottom"/>
          </w:tcPr>
          <w:p>
            <w:pPr>
              <w:spacing w:after="0"/>
              <w:rPr>
                <w:sz w:val="17"/>
                <w:szCs w:val="17"/>
                <w:color w:val="auto"/>
              </w:rPr>
            </w:pPr>
          </w:p>
        </w:tc>
        <w:tc>
          <w:tcPr>
            <w:tcW w:w="660" w:type="dxa"/>
            <w:vAlign w:val="bottom"/>
          </w:tcPr>
          <w:p>
            <w:pPr>
              <w:spacing w:after="0"/>
              <w:rPr>
                <w:sz w:val="20"/>
                <w:szCs w:val="20"/>
                <w:color w:val="auto"/>
              </w:rPr>
            </w:pPr>
            <w:r>
              <w:rPr>
                <w:rFonts w:ascii="Arial" w:cs="Arial" w:eastAsia="Arial" w:hAnsi="Arial"/>
                <w:sz w:val="16"/>
                <w:szCs w:val="16"/>
                <w:color w:val="auto"/>
              </w:rPr>
              <w:t>$ 138.19</w:t>
            </w:r>
          </w:p>
        </w:tc>
        <w:tc>
          <w:tcPr>
            <w:tcW w:w="8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139.61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155.27</w:t>
            </w:r>
          </w:p>
        </w:tc>
      </w:tr>
      <w:tr>
        <w:trPr>
          <w:trHeight w:val="203"/>
        </w:trPr>
        <w:tc>
          <w:tcPr>
            <w:tcW w:w="15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shd w:val="clear" w:color="auto" w:fill="CCEEFF"/>
              </w:rPr>
              <w:t>NASDAQ Composite</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100.00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shd w:val="clear" w:color="auto" w:fill="CCEEFF"/>
              </w:rPr>
              <w:t>109.61</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$ 157.45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$ 122.88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shd w:val="clear" w:color="auto" w:fill="CCEEFF"/>
              </w:rPr>
              <w:t>136.43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157.45</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$ 161.83</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6"/>
                <w:szCs w:val="16"/>
                <w:color w:val="auto"/>
                <w:shd w:val="clear" w:color="auto" w:fill="CCEEFF"/>
              </w:rPr>
              <w:t>$ 177.18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shd w:val="clear" w:color="auto" w:fill="CCEEFF"/>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176.51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shd w:val="clear" w:color="auto" w:fill="CCEEFF"/>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shd w:val="clear" w:color="auto" w:fill="CCEEFF"/>
              </w:rPr>
              <w:t>192.30</w:t>
            </w: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60" w:right="460" w:firstLine="648"/>
        <w:spacing w:after="0" w:line="290" w:lineRule="auto"/>
        <w:rPr>
          <w:sz w:val="20"/>
          <w:szCs w:val="20"/>
          <w:color w:val="auto"/>
        </w:rPr>
      </w:pPr>
      <w:r>
        <w:rPr>
          <w:rFonts w:ascii="Arial" w:cs="Arial" w:eastAsia="Arial" w:hAnsi="Arial"/>
          <w:sz w:val="16"/>
          <w:szCs w:val="16"/>
          <w:color w:val="auto"/>
        </w:rPr>
        <w:t>On October 29, 2019, in connection with our IPO, we issued and sold 6,700,000 shares of our common stock and certain of our selling stockholders offered and sold 4,800,000 shares of our common stock at a price to the public of $13.00 per share resulting in net proceeds to us of $77.6 million, after deducting the underwriting discount of $5.9 million and offering expenses of $3.6 million. All of the shares issued and sold in our IPO were registered under the Securities Act pursuant to a registration statement on Form S-1 (File No. 333-233965), which was declared effective by the SEC on October 24, 2019. The net proceeds of $77.6 million from our IPO have been invested in investment grade, interest-bearing instruments. There has been no material change in the expected use of the net proceeds from our IPO as described in our final prospectus, filed with the SEC on October 25, 2019 pursuant to Rule 424(b) relating to our Registration Statement.</w:t>
      </w:r>
    </w:p>
    <w:p>
      <w:pPr>
        <w:spacing w:after="0" w:line="200" w:lineRule="exact"/>
        <w:rPr>
          <w:sz w:val="20"/>
          <w:szCs w:val="20"/>
          <w:color w:val="auto"/>
        </w:rPr>
      </w:pPr>
    </w:p>
    <w:p>
      <w:pPr>
        <w:spacing w:after="0" w:line="397" w:lineRule="exact"/>
        <w:rPr>
          <w:sz w:val="20"/>
          <w:szCs w:val="20"/>
          <w:color w:val="auto"/>
        </w:rPr>
      </w:pPr>
    </w:p>
    <w:p>
      <w:pPr>
        <w:jc w:val="center"/>
        <w:ind w:right="40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400"/>
          </w:cols>
          <w:pgMar w:left="1440" w:top="517" w:right="1059" w:bottom="1440" w:gutter="0" w:footer="0" w:header="0"/>
        </w:sectPr>
      </w:pPr>
    </w:p>
    <w:bookmarkStart w:id="56" w:name="page57"/>
    <w:bookmarkEnd w:id="5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25" w:lineRule="exact"/>
        <w:rPr>
          <w:sz w:val="20"/>
          <w:szCs w:val="20"/>
          <w:color w:val="auto"/>
        </w:rPr>
      </w:pPr>
    </w:p>
    <w:p>
      <w:pPr>
        <w:ind w:left="1420" w:right="659" w:hanging="1363"/>
        <w:spacing w:after="0" w:line="282" w:lineRule="auto"/>
        <w:tabs>
          <w:tab w:leader="none" w:pos="140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8"/>
          <w:szCs w:val="18"/>
          <w:b w:val="1"/>
          <w:bCs w:val="1"/>
          <w:color w:val="auto"/>
        </w:rPr>
        <w:t>MANAGEMENT’S DISCUSSION AND ANALYSIS OF FINANCIAL CONDITION AND RESULTS OF OPERATIONS</w:t>
      </w:r>
    </w:p>
    <w:p>
      <w:pPr>
        <w:spacing w:after="0" w:line="166" w:lineRule="exact"/>
        <w:rPr>
          <w:sz w:val="20"/>
          <w:szCs w:val="20"/>
          <w:color w:val="auto"/>
        </w:rPr>
      </w:pPr>
    </w:p>
    <w:p>
      <w:pPr>
        <w:ind w:left="60" w:right="79" w:firstLine="648"/>
        <w:spacing w:after="0" w:line="269" w:lineRule="auto"/>
        <w:rPr>
          <w:rFonts w:ascii="Arial" w:cs="Arial" w:eastAsia="Arial" w:hAnsi="Arial"/>
          <w:sz w:val="17"/>
          <w:szCs w:val="17"/>
          <w:i w:val="1"/>
          <w:iCs w:val="1"/>
          <w:color w:val="0000EE"/>
        </w:rPr>
      </w:pPr>
      <w:r>
        <w:rPr>
          <w:rFonts w:ascii="Arial" w:cs="Arial" w:eastAsia="Arial" w:hAnsi="Arial"/>
          <w:sz w:val="17"/>
          <w:szCs w:val="17"/>
          <w:i w:val="1"/>
          <w:iCs w:val="1"/>
          <w:color w:val="auto"/>
        </w:rPr>
        <w:t xml:space="preserve">The following discussion and analysis of our financial condition and results of operations should be read in conjunction with our consolidated financial statements and the related notes and other financial information included elsewhere in this Annual Report on Form 10-K. In addition to historical consolidated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Part I, Item 1A. “Risk Factors” of this Annual Report on Form 10-K. A discussion of the year ended December 31, 2020 compared to the year ended December 31, 2019 has been reported previously in our Annual Report on Form 10-K for the year ended </w:t>
      </w:r>
      <w:hyperlink r:id="rId74">
        <w:r>
          <w:rPr>
            <w:rFonts w:ascii="Arial" w:cs="Arial" w:eastAsia="Arial" w:hAnsi="Arial"/>
            <w:sz w:val="17"/>
            <w:szCs w:val="17"/>
            <w:i w:val="1"/>
            <w:iCs w:val="1"/>
            <w:color w:val="auto"/>
          </w:rPr>
          <w:t>December 31, 2020 filed with the SEC on March 1, 2021 (File No. 001-39100) under the heading “</w:t>
        </w:r>
        <w:r>
          <w:rPr>
            <w:rFonts w:ascii="Arial" w:cs="Arial" w:eastAsia="Arial" w:hAnsi="Arial"/>
            <w:sz w:val="17"/>
            <w:szCs w:val="17"/>
            <w:i w:val="1"/>
            <w:iCs w:val="1"/>
            <w:u w:val="single" w:color="auto"/>
            <w:color w:val="0000EE"/>
          </w:rPr>
          <w:t>Management’s</w:t>
        </w:r>
      </w:hyperlink>
      <w:r>
        <w:rPr>
          <w:rFonts w:ascii="Arial" w:cs="Arial" w:eastAsia="Arial" w:hAnsi="Arial"/>
          <w:sz w:val="17"/>
          <w:szCs w:val="17"/>
          <w:i w:val="1"/>
          <w:iCs w:val="1"/>
          <w:color w:val="auto"/>
        </w:rPr>
        <w:t xml:space="preserve"> </w:t>
      </w:r>
      <w:hyperlink r:id="rId74">
        <w:r>
          <w:rPr>
            <w:rFonts w:ascii="Arial" w:cs="Arial" w:eastAsia="Arial" w:hAnsi="Arial"/>
            <w:sz w:val="17"/>
            <w:szCs w:val="17"/>
            <w:i w:val="1"/>
            <w:iCs w:val="1"/>
            <w:u w:val="single" w:color="auto"/>
            <w:color w:val="0000EE"/>
          </w:rPr>
          <w:t>Discussion and Analysis of Financial Condition and Results of Operations – Comparison of Years Ended December 31,</w:t>
        </w:r>
      </w:hyperlink>
      <w:r>
        <w:rPr>
          <w:rFonts w:ascii="Arial" w:cs="Arial" w:eastAsia="Arial" w:hAnsi="Arial"/>
          <w:sz w:val="17"/>
          <w:szCs w:val="17"/>
          <w:i w:val="1"/>
          <w:iCs w:val="1"/>
          <w:u w:val="single" w:color="auto"/>
          <w:color w:val="0000EE"/>
        </w:rPr>
        <w:t xml:space="preserve"> </w:t>
      </w:r>
      <w:hyperlink r:id="rId74">
        <w:r>
          <w:rPr>
            <w:rFonts w:ascii="Arial" w:cs="Arial" w:eastAsia="Arial" w:hAnsi="Arial"/>
            <w:sz w:val="17"/>
            <w:szCs w:val="17"/>
            <w:i w:val="1"/>
            <w:iCs w:val="1"/>
            <w:u w:val="single" w:color="auto"/>
            <w:color w:val="0000EE"/>
          </w:rPr>
          <w:t>2020 and 2019.</w:t>
        </w:r>
        <w:r>
          <w:rPr>
            <w:rFonts w:ascii="Arial" w:cs="Arial" w:eastAsia="Arial" w:hAnsi="Arial"/>
            <w:sz w:val="17"/>
            <w:szCs w:val="17"/>
            <w:i w:val="1"/>
            <w:iCs w:val="1"/>
            <w:color w:val="000000"/>
          </w:rPr>
          <w:t>”</w:t>
        </w:r>
      </w:hyperlink>
    </w:p>
    <w:p>
      <w:pPr>
        <w:spacing w:after="0" w:line="178" w:lineRule="exact"/>
        <w:rPr>
          <w:rFonts w:ascii="Arial" w:cs="Arial" w:eastAsia="Arial" w:hAnsi="Arial"/>
          <w:sz w:val="17"/>
          <w:szCs w:val="17"/>
          <w:i w:val="1"/>
          <w:iCs w:val="1"/>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rFonts w:ascii="Arial" w:cs="Arial" w:eastAsia="Arial" w:hAnsi="Arial"/>
          <w:sz w:val="17"/>
          <w:szCs w:val="17"/>
          <w:i w:val="1"/>
          <w:iCs w:val="1"/>
          <w:color w:val="auto"/>
        </w:rPr>
      </w:pPr>
    </w:p>
    <w:p>
      <w:pPr>
        <w:ind w:left="60" w:right="419" w:firstLine="648"/>
        <w:spacing w:after="0" w:line="301" w:lineRule="auto"/>
        <w:rPr>
          <w:sz w:val="20"/>
          <w:szCs w:val="20"/>
          <w:color w:val="auto"/>
        </w:rPr>
      </w:pPr>
      <w:r>
        <w:rPr>
          <w:rFonts w:ascii="Arial" w:cs="Arial" w:eastAsia="Arial" w:hAnsi="Arial"/>
          <w:sz w:val="16"/>
          <w:szCs w:val="16"/>
          <w:color w:val="auto"/>
        </w:rPr>
        <w:t>We envision a world where anyone who wants to have a child can do so. Our mission is to make dreams of parenthood come true through healthy, timely and supported fertility journeys. Through our differentiated approach to benefits plan design, patient education and support and active network management, our clients’ employees are able to pursue the most effective treatment from the best physicians and achieve optimal outcomes.</w:t>
      </w:r>
    </w:p>
    <w:p>
      <w:pPr>
        <w:spacing w:after="0" w:line="157" w:lineRule="exact"/>
        <w:rPr>
          <w:rFonts w:ascii="Arial" w:cs="Arial" w:eastAsia="Arial" w:hAnsi="Arial"/>
          <w:sz w:val="17"/>
          <w:szCs w:val="17"/>
          <w:i w:val="1"/>
          <w:iCs w:val="1"/>
          <w:color w:val="auto"/>
        </w:rPr>
      </w:pPr>
    </w:p>
    <w:p>
      <w:pPr>
        <w:jc w:val="both"/>
        <w:ind w:left="60" w:right="99" w:firstLine="648"/>
        <w:spacing w:after="0" w:line="286" w:lineRule="auto"/>
        <w:rPr>
          <w:sz w:val="20"/>
          <w:szCs w:val="20"/>
          <w:color w:val="auto"/>
        </w:rPr>
      </w:pPr>
      <w:r>
        <w:rPr>
          <w:rFonts w:ascii="Arial" w:cs="Arial" w:eastAsia="Arial" w:hAnsi="Arial"/>
          <w:sz w:val="16"/>
          <w:szCs w:val="16"/>
          <w:color w:val="auto"/>
        </w:rPr>
        <w:t>Progyny is a leading benefits management company specializing in fertility and family building benefits solutions in the United States. Our clients include many of the nation’s most prominent employers across a broad array of industries. We launched our fertility benefits solution in 2016 with our first five employer clients, and we have grown our current base of clients to over 265 with at least 1,000 covered lives. We currently have contracts to provide coverage to approximately</w:t>
      </w:r>
    </w:p>
    <w:p>
      <w:pPr>
        <w:spacing w:after="0" w:line="1" w:lineRule="exact"/>
        <w:rPr>
          <w:rFonts w:ascii="Arial" w:cs="Arial" w:eastAsia="Arial" w:hAnsi="Arial"/>
          <w:sz w:val="17"/>
          <w:szCs w:val="17"/>
          <w:i w:val="1"/>
          <w:iCs w:val="1"/>
          <w:color w:val="auto"/>
        </w:rPr>
      </w:pPr>
    </w:p>
    <w:p>
      <w:pPr>
        <w:ind w:left="60" w:right="119"/>
        <w:spacing w:after="0" w:line="268" w:lineRule="auto"/>
        <w:rPr>
          <w:sz w:val="20"/>
          <w:szCs w:val="20"/>
          <w:color w:val="auto"/>
        </w:rPr>
      </w:pPr>
      <w:r>
        <w:rPr>
          <w:rFonts w:ascii="Arial" w:cs="Arial" w:eastAsia="Arial" w:hAnsi="Arial"/>
          <w:sz w:val="17"/>
          <w:szCs w:val="17"/>
          <w:color w:val="auto"/>
        </w:rPr>
        <w:t>4.0 million employees and their partners (known in our industry as covered lives),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inception, and our member satisfaction over that same time period is evidenced by our most recent industry-leading Net Promoter Score, or NPS, of +81 for our fertility benefits solution and +79 for our integrated pharmacy benefits solution, Progyny Rx as of December 31, 2021. Our members experience healthier pregnancies and superior rates of pregnancy and live births, as well as reduced rates of miscarriages and multiple births, saving valuable time and money and limiting personal and professional disruption.</w:t>
      </w:r>
    </w:p>
    <w:p>
      <w:pPr>
        <w:spacing w:after="0" w:line="183" w:lineRule="exact"/>
        <w:rPr>
          <w:rFonts w:ascii="Arial" w:cs="Arial" w:eastAsia="Arial" w:hAnsi="Arial"/>
          <w:sz w:val="17"/>
          <w:szCs w:val="17"/>
          <w:i w:val="1"/>
          <w:iCs w:val="1"/>
          <w:color w:val="auto"/>
        </w:rPr>
      </w:pPr>
    </w:p>
    <w:p>
      <w:pPr>
        <w:ind w:left="60" w:right="99" w:firstLine="648"/>
        <w:spacing w:after="0" w:line="269" w:lineRule="auto"/>
        <w:rPr>
          <w:sz w:val="20"/>
          <w:szCs w:val="20"/>
          <w:color w:val="auto"/>
        </w:rPr>
      </w:pPr>
      <w:r>
        <w:rPr>
          <w:rFonts w:ascii="Arial" w:cs="Arial" w:eastAsia="Arial" w:hAnsi="Arial"/>
          <w:sz w:val="17"/>
          <w:szCs w:val="17"/>
          <w:b w:val="1"/>
          <w:bCs w:val="1"/>
          <w:i w:val="1"/>
          <w:iCs w:val="1"/>
          <w:color w:val="auto"/>
        </w:rPr>
        <w:t xml:space="preserve">Fertility Benefits Solution. </w:t>
      </w:r>
      <w:r>
        <w:rPr>
          <w:rFonts w:ascii="Arial" w:cs="Arial" w:eastAsia="Arial" w:hAnsi="Arial"/>
          <w:sz w:val="17"/>
          <w:szCs w:val="17"/>
          <w:color w:val="auto"/>
        </w:rPr>
        <w:t>Our fertility benefits solution includes providing members with access to effective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cost-efficient fertility 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in the case of in vitro fertilization, or IVF, preimplantation genetic testing). We currently offer 19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Patient Care Advocates, or PCAs, can choose their preferred provider clinics within our network and utilize the specific Smart Cycle treatment bundles necessary for the treatment pathway they determine throughout their fertility journey.</w:t>
      </w:r>
    </w:p>
    <w:p>
      <w:pPr>
        <w:spacing w:after="0" w:line="179" w:lineRule="exact"/>
        <w:rPr>
          <w:rFonts w:ascii="Arial" w:cs="Arial" w:eastAsia="Arial" w:hAnsi="Arial"/>
          <w:sz w:val="17"/>
          <w:szCs w:val="17"/>
          <w:i w:val="1"/>
          <w:iCs w:val="1"/>
          <w:color w:val="auto"/>
        </w:rPr>
      </w:pPr>
    </w:p>
    <w:p>
      <w:pPr>
        <w:ind w:left="60" w:right="299" w:firstLine="648"/>
        <w:spacing w:after="0" w:line="296" w:lineRule="auto"/>
        <w:rPr>
          <w:sz w:val="20"/>
          <w:szCs w:val="20"/>
          <w:color w:val="auto"/>
        </w:rPr>
      </w:pPr>
      <w:r>
        <w:rPr>
          <w:rFonts w:ascii="Arial" w:cs="Arial" w:eastAsia="Arial" w:hAnsi="Arial"/>
          <w:sz w:val="16"/>
          <w:szCs w:val="16"/>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account management teams and end-to-end comprehensive concierge member support provided by our in-house staff of PCAs. Clients can also add adoption and surrogacy reimbursement programs as part of this solution.</w:t>
      </w:r>
    </w:p>
    <w:p>
      <w:pPr>
        <w:spacing w:after="0" w:line="161" w:lineRule="exact"/>
        <w:rPr>
          <w:rFonts w:ascii="Arial" w:cs="Arial" w:eastAsia="Arial" w:hAnsi="Arial"/>
          <w:sz w:val="17"/>
          <w:szCs w:val="17"/>
          <w:i w:val="1"/>
          <w:iCs w:val="1"/>
          <w:color w:val="auto"/>
        </w:rPr>
      </w:pPr>
    </w:p>
    <w:p>
      <w:pPr>
        <w:ind w:left="60" w:right="199" w:firstLine="648"/>
        <w:spacing w:after="0" w:line="342" w:lineRule="auto"/>
        <w:rPr>
          <w:sz w:val="20"/>
          <w:szCs w:val="20"/>
          <w:color w:val="auto"/>
        </w:rPr>
      </w:pPr>
      <w:r>
        <w:rPr>
          <w:rFonts w:ascii="Arial" w:cs="Arial" w:eastAsia="Arial" w:hAnsi="Arial"/>
          <w:sz w:val="16"/>
          <w:szCs w:val="16"/>
          <w:b w:val="1"/>
          <w:bCs w:val="1"/>
          <w:i w:val="1"/>
          <w:iCs w:val="1"/>
          <w:color w:val="auto"/>
        </w:rPr>
        <w:t xml:space="preserve">Pharmacy Benefits Solution. </w:t>
      </w:r>
      <w:r>
        <w:rPr>
          <w:rFonts w:ascii="Arial" w:cs="Arial" w:eastAsia="Arial" w:hAnsi="Arial"/>
          <w:sz w:val="16"/>
          <w:szCs w:val="16"/>
          <w:color w:val="auto"/>
        </w:rPr>
        <w:t>We went live with our integrated pharmacy benefits solution in 2018. Progyny Rx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 only be purchased by clients that purchase our fertility benefits solution. Progyny Rx provides our members with</w:t>
      </w:r>
    </w:p>
    <w:p>
      <w:pPr>
        <w:sectPr>
          <w:pgSz w:w="11900" w:h="16838" w:orient="portrait"/>
          <w:cols w:equalWidth="0" w:num="1">
            <w:col w:w="9019"/>
          </w:cols>
          <w:pgMar w:left="1440" w:top="517" w:right="1440" w:bottom="1440" w:gutter="0" w:footer="0" w:header="0"/>
        </w:sectPr>
      </w:pPr>
    </w:p>
    <w:p>
      <w:pPr>
        <w:spacing w:after="0" w:line="340" w:lineRule="exact"/>
        <w:rPr>
          <w:rFonts w:ascii="Arial" w:cs="Arial" w:eastAsia="Arial" w:hAnsi="Arial"/>
          <w:sz w:val="17"/>
          <w:szCs w:val="17"/>
          <w:i w:val="1"/>
          <w:iCs w:val="1"/>
          <w:color w:val="auto"/>
        </w:rPr>
      </w:pPr>
    </w:p>
    <w:p>
      <w:pPr>
        <w:jc w:val="center"/>
        <w:ind w:right="39"/>
        <w:spacing w:after="0"/>
        <w:rPr>
          <w:sz w:val="20"/>
          <w:szCs w:val="20"/>
          <w:color w:val="auto"/>
        </w:rPr>
      </w:pPr>
      <w:r>
        <w:rPr>
          <w:rFonts w:ascii="Arial" w:cs="Arial" w:eastAsia="Arial" w:hAnsi="Arial"/>
          <w:sz w:val="16"/>
          <w:szCs w:val="16"/>
          <w:color w:val="auto"/>
        </w:rPr>
        <w:t>57</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7" w:name="page58"/>
    <w:bookmarkEnd w:id="5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9" w:lineRule="auto"/>
        <w:rPr>
          <w:sz w:val="20"/>
          <w:szCs w:val="20"/>
          <w:color w:val="auto"/>
        </w:rPr>
      </w:pPr>
      <w:r>
        <w:rPr>
          <w:rFonts w:ascii="Arial" w:cs="Arial" w:eastAsia="Arial" w:hAnsi="Arial"/>
          <w:sz w:val="18"/>
          <w:szCs w:val="18"/>
          <w:color w:val="auto"/>
        </w:rPr>
        <w:t>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87" w:lineRule="exact"/>
        <w:rPr>
          <w:sz w:val="20"/>
          <w:szCs w:val="20"/>
          <w:color w:val="auto"/>
        </w:rPr>
      </w:pPr>
    </w:p>
    <w:p>
      <w:pPr>
        <w:jc w:val="both"/>
        <w:ind w:left="60" w:right="379" w:firstLine="648"/>
        <w:spacing w:after="0" w:line="259" w:lineRule="auto"/>
        <w:rPr>
          <w:sz w:val="20"/>
          <w:szCs w:val="20"/>
          <w:color w:val="auto"/>
        </w:rPr>
      </w:pPr>
      <w:r>
        <w:rPr>
          <w:rFonts w:ascii="Arial" w:cs="Arial" w:eastAsia="Arial" w:hAnsi="Arial"/>
          <w:sz w:val="18"/>
          <w:szCs w:val="18"/>
          <w:b w:val="1"/>
          <w:bCs w:val="1"/>
          <w:i w:val="1"/>
          <w:iCs w:val="1"/>
          <w:color w:val="auto"/>
        </w:rPr>
        <w:t xml:space="preserve">Our Clients. </w:t>
      </w:r>
      <w:r>
        <w:rPr>
          <w:rFonts w:ascii="Arial" w:cs="Arial" w:eastAsia="Arial" w:hAnsi="Arial"/>
          <w:sz w:val="18"/>
          <w:szCs w:val="18"/>
          <w:color w:val="auto"/>
        </w:rPr>
        <w:t>We currently have contracts to serve over 265 employers with at least 1,000 covered lives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United States across more than 30 industries. Our current clients, who are industry leaders across both high-growth and mature industries and who range in size from approximately 1,000 to 500,000 employees, represent approximately 4.0 million covered lives under contract.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Model</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84" w:lineRule="exact"/>
        <w:rPr>
          <w:sz w:val="20"/>
          <w:szCs w:val="20"/>
          <w:color w:val="auto"/>
        </w:rPr>
      </w:pPr>
    </w:p>
    <w:p>
      <w:pPr>
        <w:ind w:left="1040" w:right="159" w:hanging="315"/>
        <w:spacing w:after="0" w:line="254"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Utilization Component. </w:t>
      </w:r>
      <w:r>
        <w:rPr>
          <w:rFonts w:ascii="Arial" w:cs="Arial" w:eastAsia="Arial" w:hAnsi="Arial"/>
          <w:sz w:val="18"/>
          <w:szCs w:val="18"/>
          <w:color w:val="auto"/>
        </w:rPr>
        <w:t>Clients pay us for the fertility benefits and Progyny Rx solutions utilized by their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employees. With respect to the fertility 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91" w:lineRule="exact"/>
        <w:rPr>
          <w:rFonts w:ascii="Arial" w:cs="Arial" w:eastAsia="Arial" w:hAnsi="Arial"/>
          <w:sz w:val="18"/>
          <w:szCs w:val="18"/>
          <w:color w:val="auto"/>
        </w:rPr>
      </w:pPr>
    </w:p>
    <w:p>
      <w:pPr>
        <w:ind w:left="1040" w:right="299" w:hanging="315"/>
        <w:spacing w:after="0" w:line="296" w:lineRule="auto"/>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Population-Based Component. </w:t>
      </w:r>
      <w:r>
        <w:rPr>
          <w:rFonts w:ascii="Arial" w:cs="Arial" w:eastAsia="Arial" w:hAnsi="Arial"/>
          <w:sz w:val="16"/>
          <w:szCs w:val="16"/>
          <w:color w:val="auto"/>
        </w:rPr>
        <w:t>Clients who purchase our fertility benefits solution also typically pay us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 employee per month fee, or PEPM fee, which is population-based. This allows us to provide access to our PCAs for fertility and family building education and guidance and other digital tools to all of our members, regardless of whether they ultimately pursue fertility treatment. PEPM fees represented 1% and 2% of our total revenue for the years ended December 31, 2021 and 2020, respectively.</w:t>
      </w:r>
    </w:p>
    <w:p>
      <w:pPr>
        <w:spacing w:after="0" w:line="161" w:lineRule="exact"/>
        <w:rPr>
          <w:sz w:val="20"/>
          <w:szCs w:val="20"/>
          <w:color w:val="auto"/>
        </w:rPr>
      </w:pPr>
    </w:p>
    <w:p>
      <w:pPr>
        <w:ind w:left="60" w:right="139" w:firstLine="648"/>
        <w:spacing w:after="0" w:line="252" w:lineRule="auto"/>
        <w:rPr>
          <w:sz w:val="20"/>
          <w:szCs w:val="20"/>
          <w:color w:val="auto"/>
        </w:rPr>
      </w:pPr>
      <w:r>
        <w:rPr>
          <w:rFonts w:ascii="Arial" w:cs="Arial" w:eastAsia="Arial" w:hAnsi="Arial"/>
          <w:sz w:val="17"/>
          <w:szCs w:val="17"/>
          <w:color w:val="auto"/>
        </w:rPr>
        <w:t>Our revenue in a given year is determined by the level and mix of the utilization of our fertility benefits and Progyny Rx solutions by our members as well as the number of members enrolled in our clients’ benefits plans. Each year, we contract with new clients for our fertility benefits solution and, where added by the client, our Progyny Rx solution. Given that the majority of our clients contract with us for a January 1</w:t>
      </w:r>
      <w:r>
        <w:rPr>
          <w:rFonts w:ascii="Arial" w:cs="Arial" w:eastAsia="Arial" w:hAnsi="Arial"/>
          <w:sz w:val="25"/>
          <w:szCs w:val="25"/>
          <w:color w:val="auto"/>
          <w:vertAlign w:val="superscript"/>
        </w:rPr>
        <w:t>st</w:t>
      </w:r>
      <w:r>
        <w:rPr>
          <w:rFonts w:ascii="Arial" w:cs="Arial" w:eastAsia="Arial" w:hAnsi="Arial"/>
          <w:sz w:val="17"/>
          <w:szCs w:val="17"/>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w:t>
      </w:r>
    </w:p>
    <w:p>
      <w:pPr>
        <w:spacing w:after="0" w:line="195" w:lineRule="exact"/>
        <w:rPr>
          <w:sz w:val="20"/>
          <w:szCs w:val="20"/>
          <w:color w:val="auto"/>
        </w:rPr>
      </w:pPr>
    </w:p>
    <w:p>
      <w:pPr>
        <w:ind w:left="60" w:right="159" w:firstLine="648"/>
        <w:spacing w:after="0" w:line="342" w:lineRule="auto"/>
        <w:rPr>
          <w:sz w:val="20"/>
          <w:szCs w:val="20"/>
          <w:color w:val="auto"/>
        </w:rPr>
      </w:pPr>
      <w:r>
        <w:rPr>
          <w:rFonts w:ascii="Arial" w:cs="Arial" w:eastAsia="Arial" w:hAnsi="Arial"/>
          <w:sz w:val="16"/>
          <w:szCs w:val="16"/>
          <w:color w:val="auto"/>
        </w:rPr>
        <w:t>Similarly, for existing clients, any changes in plan designs are typically elected by the end of October so that clients can inform their employees of the benefits during the open enrollment period ahead of a January 1st plan year start.</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Key Operational and Business Metrics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84"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b w:val="1"/>
          <w:bCs w:val="1"/>
          <w:i w:val="1"/>
          <w:iCs w:val="1"/>
          <w:color w:val="auto"/>
        </w:rPr>
        <w:t xml:space="preserve">Member and Client Base. </w:t>
      </w:r>
      <w:r>
        <w:rPr>
          <w:rFonts w:ascii="Arial" w:cs="Arial" w:eastAsia="Arial" w:hAnsi="Arial"/>
          <w:sz w:val="16"/>
          <w:szCs w:val="16"/>
          <w:color w:val="auto"/>
        </w:rPr>
        <w:t>Our addressable market is primarily large self-insured employers. There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approximately 8,000 employers in the United States (excluding quasi-governmental entities, such as universities, school systems, and labor unions) who have a minimum of 1,000 employees, representing approximately 75 million potential covered lives in total. Our current member base of approximately 4.0 million covered lives under contract represents a low 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8" w:name="page59"/>
    <w:bookmarkEnd w:id="5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79"/>
        <w:spacing w:after="0" w:line="277" w:lineRule="auto"/>
        <w:rPr>
          <w:sz w:val="20"/>
          <w:szCs w:val="20"/>
          <w:color w:val="auto"/>
        </w:rPr>
      </w:pPr>
      <w:r>
        <w:rPr>
          <w:rFonts w:ascii="Arial" w:cs="Arial" w:eastAsia="Arial" w:hAnsi="Arial"/>
          <w:sz w:val="18"/>
          <w:szCs w:val="18"/>
          <w:color w:val="auto"/>
        </w:rPr>
        <w:t>more than 2,500 covered lives. As of December 31, 2021 and 2020, we served 191 and 135 clients, respectively, representing 2,935,000 and 2,335,000 members, respectively.</w:t>
      </w:r>
    </w:p>
    <w:p>
      <w:pPr>
        <w:spacing w:after="0" w:line="170"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6"/>
          <w:szCs w:val="16"/>
          <w:color w:val="auto"/>
        </w:rPr>
        <w:t>Importantly, as we have continued to grow, we have meaningfully diversified our client base across more than 30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w w:val="93"/>
              </w:rPr>
              <w:t>As of December 31,</w:t>
            </w: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Client Tier (Members)</w:t>
            </w:r>
          </w:p>
        </w:tc>
        <w:tc>
          <w:tcPr>
            <w:tcW w:w="52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gridSpan w:val="2"/>
          </w:tcPr>
          <w:p>
            <w:pPr>
              <w:jc w:val="right"/>
              <w:ind w:right="539"/>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gridSpan w:val="2"/>
          </w:tcPr>
          <w:p>
            <w:pPr>
              <w:jc w:val="right"/>
              <w:ind w:right="516"/>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5760" w:type="dxa"/>
            <w:vAlign w:val="bottom"/>
            <w:gridSpan w:val="2"/>
            <w:vMerge w:val="continue"/>
          </w:tcPr>
          <w:p>
            <w:pPr>
              <w:spacing w:after="0"/>
              <w:rPr>
                <w:sz w:val="12"/>
                <w:szCs w:val="12"/>
                <w:color w:val="auto"/>
              </w:rPr>
            </w:pP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98"/>
              </w:rPr>
              <w:t>Clients</w:t>
            </w:r>
          </w:p>
        </w:tc>
        <w:tc>
          <w:tcPr>
            <w:tcW w:w="160" w:type="dxa"/>
            <w:vAlign w:val="bottom"/>
          </w:tcPr>
          <w:p>
            <w:pPr>
              <w:spacing w:after="0"/>
              <w:rPr>
                <w:sz w:val="12"/>
                <w:szCs w:val="12"/>
                <w:color w:val="auto"/>
              </w:rPr>
            </w:pPr>
          </w:p>
        </w:tc>
        <w:tc>
          <w:tcPr>
            <w:tcW w:w="840" w:type="dxa"/>
            <w:vAlign w:val="bottom"/>
          </w:tcPr>
          <w:p>
            <w:pPr>
              <w:jc w:val="right"/>
              <w:ind w:right="59"/>
              <w:spacing w:after="0" w:line="142" w:lineRule="exact"/>
              <w:rPr>
                <w:sz w:val="20"/>
                <w:szCs w:val="20"/>
                <w:color w:val="auto"/>
              </w:rPr>
            </w:pPr>
            <w:r>
              <w:rPr>
                <w:rFonts w:ascii="Arial" w:cs="Arial" w:eastAsia="Arial" w:hAnsi="Arial"/>
                <w:sz w:val="14"/>
                <w:szCs w:val="14"/>
                <w:b w:val="1"/>
                <w:bCs w:val="1"/>
                <w:color w:val="auto"/>
              </w:rPr>
              <w:t>Members</w:t>
            </w:r>
          </w:p>
        </w:tc>
        <w:tc>
          <w:tcPr>
            <w:tcW w:w="140" w:type="dxa"/>
            <w:vAlign w:val="bottom"/>
          </w:tcPr>
          <w:p>
            <w:pPr>
              <w:spacing w:after="0"/>
              <w:rPr>
                <w:sz w:val="12"/>
                <w:szCs w:val="12"/>
                <w:color w:val="auto"/>
              </w:rPr>
            </w:pPr>
          </w:p>
        </w:tc>
        <w:tc>
          <w:tcPr>
            <w:tcW w:w="54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Clients</w:t>
            </w:r>
          </w:p>
        </w:tc>
        <w:tc>
          <w:tcPr>
            <w:tcW w:w="100" w:type="dxa"/>
            <w:vAlign w:val="bottom"/>
          </w:tcPr>
          <w:p>
            <w:pPr>
              <w:spacing w:after="0"/>
              <w:rPr>
                <w:sz w:val="12"/>
                <w:szCs w:val="12"/>
                <w:color w:val="auto"/>
              </w:rPr>
            </w:pPr>
          </w:p>
        </w:tc>
        <w:tc>
          <w:tcPr>
            <w:tcW w:w="84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209"/>
        </w:trPr>
        <w:tc>
          <w:tcPr>
            <w:tcW w:w="5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Up to 2,500</w:t>
            </w:r>
          </w:p>
        </w:tc>
        <w:tc>
          <w:tcPr>
            <w:tcW w:w="1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79,000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38,000</w:t>
            </w:r>
          </w:p>
        </w:tc>
        <w:tc>
          <w:tcPr>
            <w:tcW w:w="0" w:type="dxa"/>
            <w:vAlign w:val="bottom"/>
          </w:tcPr>
          <w:p>
            <w:pPr>
              <w:spacing w:after="0"/>
              <w:rPr>
                <w:sz w:val="1"/>
                <w:szCs w:val="1"/>
                <w:color w:val="auto"/>
              </w:rPr>
            </w:pPr>
          </w:p>
        </w:tc>
      </w:tr>
      <w:tr>
        <w:trPr>
          <w:trHeight w:val="216"/>
        </w:trPr>
        <w:tc>
          <w:tcPr>
            <w:tcW w:w="5620" w:type="dxa"/>
            <w:vAlign w:val="bottom"/>
          </w:tcPr>
          <w:p>
            <w:pPr>
              <w:ind w:left="20"/>
              <w:spacing w:after="0"/>
              <w:rPr>
                <w:sz w:val="20"/>
                <w:szCs w:val="20"/>
                <w:color w:val="auto"/>
              </w:rPr>
            </w:pPr>
            <w:r>
              <w:rPr>
                <w:rFonts w:ascii="Arial" w:cs="Arial" w:eastAsia="Arial" w:hAnsi="Arial"/>
                <w:sz w:val="18"/>
                <w:szCs w:val="18"/>
                <w:color w:val="auto"/>
              </w:rPr>
              <w:t>2,501 - 10,000</w:t>
            </w: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93</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473,000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393,000</w:t>
            </w:r>
          </w:p>
        </w:tc>
        <w:tc>
          <w:tcPr>
            <w:tcW w:w="0" w:type="dxa"/>
            <w:vAlign w:val="bottom"/>
          </w:tcPr>
          <w:p>
            <w:pPr>
              <w:spacing w:after="0"/>
              <w:rPr>
                <w:sz w:val="1"/>
                <w:szCs w:val="1"/>
                <w:color w:val="auto"/>
              </w:rPr>
            </w:pPr>
          </w:p>
        </w:tc>
      </w:tr>
      <w:tr>
        <w:trPr>
          <w:trHeight w:val="216"/>
        </w:trPr>
        <w:tc>
          <w:tcPr>
            <w:tcW w:w="56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10,001 - 50,000</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957,000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645,000</w:t>
            </w:r>
          </w:p>
        </w:tc>
        <w:tc>
          <w:tcPr>
            <w:tcW w:w="0" w:type="dxa"/>
            <w:vAlign w:val="bottom"/>
          </w:tcPr>
          <w:p>
            <w:pPr>
              <w:spacing w:after="0"/>
              <w:rPr>
                <w:sz w:val="1"/>
                <w:szCs w:val="1"/>
                <w:color w:val="auto"/>
              </w:rPr>
            </w:pPr>
          </w:p>
        </w:tc>
      </w:tr>
      <w:tr>
        <w:trPr>
          <w:trHeight w:val="216"/>
        </w:trPr>
        <w:tc>
          <w:tcPr>
            <w:tcW w:w="5760" w:type="dxa"/>
            <w:vAlign w:val="bottom"/>
            <w:gridSpan w:val="2"/>
          </w:tcPr>
          <w:p>
            <w:pPr>
              <w:ind w:left="20"/>
              <w:spacing w:after="0"/>
              <w:rPr>
                <w:sz w:val="20"/>
                <w:szCs w:val="20"/>
                <w:color w:val="auto"/>
              </w:rPr>
            </w:pPr>
            <w:r>
              <w:rPr>
                <w:rFonts w:ascii="Arial" w:cs="Arial" w:eastAsia="Arial" w:hAnsi="Arial"/>
                <w:sz w:val="18"/>
                <w:szCs w:val="18"/>
                <w:color w:val="auto"/>
              </w:rPr>
              <w:t>Greater than 50,000</w:t>
            </w:r>
          </w:p>
        </w:tc>
        <w:tc>
          <w:tcPr>
            <w:tcW w:w="520" w:type="dxa"/>
            <w:vAlign w:val="bottom"/>
          </w:tcPr>
          <w:p>
            <w:pPr>
              <w:jc w:val="right"/>
              <w:spacing w:after="0"/>
              <w:rPr>
                <w:sz w:val="20"/>
                <w:szCs w:val="20"/>
                <w:color w:val="auto"/>
              </w:rPr>
            </w:pPr>
            <w:r>
              <w:rPr>
                <w:rFonts w:ascii="Arial" w:cs="Arial" w:eastAsia="Arial" w:hAnsi="Arial"/>
                <w:sz w:val="18"/>
                <w:szCs w:val="18"/>
                <w:color w:val="auto"/>
              </w:rPr>
              <w:t>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1,426,000</w:t>
            </w:r>
          </w:p>
        </w:tc>
        <w:tc>
          <w:tcPr>
            <w:tcW w:w="1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1,259,000</w:t>
            </w:r>
          </w:p>
        </w:tc>
        <w:tc>
          <w:tcPr>
            <w:tcW w:w="0" w:type="dxa"/>
            <w:vAlign w:val="bottom"/>
          </w:tcPr>
          <w:p>
            <w:pPr>
              <w:spacing w:after="0"/>
              <w:rPr>
                <w:sz w:val="1"/>
                <w:szCs w:val="1"/>
                <w:color w:val="auto"/>
              </w:rPr>
            </w:pPr>
          </w:p>
        </w:tc>
      </w:tr>
      <w:tr>
        <w:trPr>
          <w:trHeight w:val="210"/>
        </w:trPr>
        <w:tc>
          <w:tcPr>
            <w:tcW w:w="576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Total</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191</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2,935,000</w:t>
            </w: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135</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4"/>
              </w:rPr>
              <w:t>2,335,000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b w:val="1"/>
          <w:bCs w:val="1"/>
          <w:i w:val="1"/>
          <w:iCs w:val="1"/>
          <w:color w:val="auto"/>
        </w:rPr>
        <w:t xml:space="preserve">Benefits Utilization. </w:t>
      </w:r>
      <w:r>
        <w:rPr>
          <w:rFonts w:ascii="Arial" w:cs="Arial" w:eastAsia="Arial" w:hAnsi="Arial"/>
          <w:sz w:val="16"/>
          <w:szCs w:val="16"/>
          <w:color w:val="auto"/>
        </w:rPr>
        <w:t>A key driver of our revenue is the number of members we serve and the rate at which they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utilize their fertility benefits. As our client base has grown, our membership has grown from approximately 110,000 members in 2016 when we launched our fertility benefits solution to 2.9 million members as of December 31, 2021.</w:t>
      </w:r>
    </w:p>
    <w:p>
      <w:pPr>
        <w:spacing w:after="0" w:line="149"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following table highlights the number of ART cycles performed for Progyny members and the member utilization rates for each of the periods presented.</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220" w:type="dxa"/>
            <w:vAlign w:val="bottom"/>
          </w:tcPr>
          <w:p>
            <w:pPr>
              <w:spacing w:after="0"/>
              <w:rPr>
                <w:sz w:val="14"/>
                <w:szCs w:val="14"/>
                <w:color w:val="auto"/>
              </w:rPr>
            </w:pPr>
          </w:p>
        </w:tc>
        <w:tc>
          <w:tcPr>
            <w:tcW w:w="19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93"/>
              </w:rPr>
              <w:t>Three Months Ended</w:t>
            </w:r>
          </w:p>
        </w:tc>
        <w:tc>
          <w:tcPr>
            <w:tcW w:w="1720" w:type="dxa"/>
            <w:vAlign w:val="bottom"/>
            <w:gridSpan w:val="3"/>
          </w:tcPr>
          <w:p>
            <w:pPr>
              <w:jc w:val="right"/>
              <w:ind w:right="414"/>
              <w:spacing w:after="0"/>
              <w:rPr>
                <w:sz w:val="20"/>
                <w:szCs w:val="20"/>
                <w:color w:val="auto"/>
              </w:rPr>
            </w:pPr>
            <w:r>
              <w:rPr>
                <w:rFonts w:ascii="Arial" w:cs="Arial" w:eastAsia="Arial" w:hAnsi="Arial"/>
                <w:sz w:val="14"/>
                <w:szCs w:val="14"/>
                <w:b w:val="1"/>
                <w:bCs w:val="1"/>
                <w:color w:val="auto"/>
              </w:rPr>
              <w:t>Year Ended</w:t>
            </w:r>
          </w:p>
        </w:tc>
      </w:tr>
      <w:tr>
        <w:trPr>
          <w:trHeight w:val="171"/>
        </w:trPr>
        <w:tc>
          <w:tcPr>
            <w:tcW w:w="5220" w:type="dxa"/>
            <w:vAlign w:val="bottom"/>
          </w:tcPr>
          <w:p>
            <w:pPr>
              <w:spacing w:after="0"/>
              <w:rPr>
                <w:sz w:val="14"/>
                <w:szCs w:val="14"/>
                <w:color w:val="auto"/>
              </w:rPr>
            </w:pPr>
          </w:p>
        </w:tc>
        <w:tc>
          <w:tcPr>
            <w:tcW w:w="198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1720" w:type="dxa"/>
            <w:vAlign w:val="bottom"/>
            <w:gridSpan w:val="3"/>
          </w:tcPr>
          <w:p>
            <w:pPr>
              <w:jc w:val="right"/>
              <w:ind w:right="374"/>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5220" w:type="dxa"/>
            <w:vAlign w:val="bottom"/>
            <w:tcBorders>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9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178"/>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2020</w:t>
            </w:r>
          </w:p>
        </w:tc>
      </w:tr>
      <w:tr>
        <w:trPr>
          <w:trHeight w:val="210"/>
        </w:trPr>
        <w:tc>
          <w:tcPr>
            <w:tcW w:w="5220" w:type="dxa"/>
            <w:vAlign w:val="bottom"/>
            <w:shd w:val="clear" w:color="auto" w:fill="CCEEFF"/>
          </w:tcPr>
          <w:p>
            <w:pPr>
              <w:ind w:left="20"/>
              <w:spacing w:after="0" w:line="210" w:lineRule="exact"/>
              <w:rPr>
                <w:sz w:val="20"/>
                <w:szCs w:val="20"/>
                <w:color w:val="auto"/>
              </w:rPr>
            </w:pPr>
            <w:r>
              <w:rPr>
                <w:rFonts w:ascii="Arial" w:cs="Arial" w:eastAsia="Arial" w:hAnsi="Arial"/>
                <w:sz w:val="17"/>
                <w:szCs w:val="17"/>
                <w:color w:val="auto"/>
              </w:rPr>
              <w:t>Assisted Reproductive Treatment (ART) Cycles</w:t>
            </w:r>
            <w:r>
              <w:rPr>
                <w:rFonts w:ascii="Arial" w:cs="Arial" w:eastAsia="Arial" w:hAnsi="Arial"/>
                <w:sz w:val="24"/>
                <w:szCs w:val="24"/>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7,623</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28,413</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19,003</w:t>
            </w:r>
          </w:p>
        </w:tc>
      </w:tr>
      <w:tr>
        <w:trPr>
          <w:trHeight w:val="216"/>
        </w:trPr>
        <w:tc>
          <w:tcPr>
            <w:tcW w:w="5220" w:type="dxa"/>
            <w:vAlign w:val="bottom"/>
          </w:tcPr>
          <w:p>
            <w:pPr>
              <w:ind w:left="20"/>
              <w:spacing w:after="0" w:line="216" w:lineRule="exact"/>
              <w:rPr>
                <w:sz w:val="20"/>
                <w:szCs w:val="20"/>
                <w:color w:val="auto"/>
              </w:rPr>
            </w:pPr>
            <w:r>
              <w:rPr>
                <w:rFonts w:ascii="Arial" w:cs="Arial" w:eastAsia="Arial" w:hAnsi="Arial"/>
                <w:sz w:val="17"/>
                <w:szCs w:val="17"/>
                <w:color w:val="auto"/>
              </w:rPr>
              <w:t>Utilization - All Members</w:t>
            </w:r>
            <w:r>
              <w:rPr>
                <w:rFonts w:ascii="Arial" w:cs="Arial" w:eastAsia="Arial" w:hAnsi="Arial"/>
                <w:sz w:val="25"/>
                <w:szCs w:val="25"/>
                <w:color w:val="auto"/>
                <w:vertAlign w:val="superscript"/>
              </w:rPr>
              <w:t>(2)</w:t>
            </w:r>
          </w:p>
        </w:tc>
        <w:tc>
          <w:tcPr>
            <w:tcW w:w="840" w:type="dxa"/>
            <w:vAlign w:val="bottom"/>
          </w:tcPr>
          <w:p>
            <w:pPr>
              <w:jc w:val="right"/>
              <w:spacing w:after="0"/>
              <w:rPr>
                <w:sz w:val="20"/>
                <w:szCs w:val="20"/>
                <w:color w:val="auto"/>
              </w:rPr>
            </w:pPr>
            <w:r>
              <w:rPr>
                <w:rFonts w:ascii="Arial" w:cs="Arial" w:eastAsia="Arial" w:hAnsi="Arial"/>
                <w:sz w:val="18"/>
                <w:szCs w:val="18"/>
                <w:color w:val="auto"/>
              </w:rPr>
              <w:t>0.52%</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0.50%</w:t>
            </w: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1.30%</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16"/>
        </w:trPr>
        <w:tc>
          <w:tcPr>
            <w:tcW w:w="5220" w:type="dxa"/>
            <w:vAlign w:val="bottom"/>
            <w:shd w:val="clear" w:color="auto" w:fill="CCEEFF"/>
          </w:tcPr>
          <w:p>
            <w:pPr>
              <w:ind w:left="20"/>
              <w:spacing w:after="0" w:line="216" w:lineRule="exact"/>
              <w:rPr>
                <w:sz w:val="20"/>
                <w:szCs w:val="20"/>
                <w:color w:val="auto"/>
              </w:rPr>
            </w:pPr>
            <w:r>
              <w:rPr>
                <w:rFonts w:ascii="Arial" w:cs="Arial" w:eastAsia="Arial" w:hAnsi="Arial"/>
                <w:sz w:val="17"/>
                <w:szCs w:val="17"/>
                <w:color w:val="auto"/>
              </w:rPr>
              <w:t>Utilization - Female Only</w:t>
            </w:r>
            <w:r>
              <w:rPr>
                <w:rFonts w:ascii="Arial" w:cs="Arial" w:eastAsia="Arial" w:hAnsi="Arial"/>
                <w:sz w:val="25"/>
                <w:szCs w:val="25"/>
                <w:color w:val="auto"/>
                <w:vertAlign w:val="superscript"/>
              </w:rPr>
              <w:t>(2)</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0.45%</w:t>
            </w: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r>
      <w:tr>
        <w:trPr>
          <w:trHeight w:val="230"/>
        </w:trPr>
        <w:tc>
          <w:tcPr>
            <w:tcW w:w="5220" w:type="dxa"/>
            <w:vAlign w:val="bottom"/>
          </w:tcPr>
          <w:p>
            <w:pPr>
              <w:ind w:left="20"/>
              <w:spacing w:after="0"/>
              <w:rPr>
                <w:sz w:val="20"/>
                <w:szCs w:val="20"/>
                <w:color w:val="auto"/>
              </w:rPr>
            </w:pPr>
            <w:r>
              <w:rPr>
                <w:rFonts w:ascii="Arial" w:cs="Arial" w:eastAsia="Arial" w:hAnsi="Arial"/>
                <w:sz w:val="18"/>
                <w:szCs w:val="18"/>
                <w:color w:val="auto"/>
              </w:rPr>
              <w:t>Average Members</w:t>
            </w: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2,899,000</w:t>
            </w:r>
          </w:p>
        </w:tc>
        <w:tc>
          <w:tcPr>
            <w:tcW w:w="1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2,305,000</w:t>
            </w: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87"/>
              </w:rPr>
              <w:t>2,812,000</w:t>
            </w:r>
          </w:p>
        </w:tc>
        <w:tc>
          <w:tcPr>
            <w:tcW w:w="1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9"/>
              </w:rPr>
              <w:t>2,191,000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67945</wp:posOffset>
            </wp:positionV>
            <wp:extent cx="1414145"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94" w:lineRule="exact"/>
        <w:rPr>
          <w:sz w:val="20"/>
          <w:szCs w:val="20"/>
          <w:color w:val="auto"/>
        </w:rPr>
      </w:pPr>
    </w:p>
    <w:p>
      <w:pPr>
        <w:ind w:left="380" w:right="839" w:hanging="330"/>
        <w:spacing w:after="0" w:line="207" w:lineRule="auto"/>
        <w:tabs>
          <w:tab w:leader="none" w:pos="38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Represents the number of ART cycles performed, including IVF with a fresh embryo transfer, IVF freeze all cycles/embryo banking, frozen embryo transfers and egg freezing.</w:t>
      </w:r>
    </w:p>
    <w:p>
      <w:pPr>
        <w:spacing w:after="0" w:line="201" w:lineRule="exact"/>
        <w:rPr>
          <w:rFonts w:ascii="Arial" w:cs="Arial" w:eastAsia="Arial" w:hAnsi="Arial"/>
          <w:sz w:val="27"/>
          <w:szCs w:val="27"/>
          <w:color w:val="auto"/>
          <w:vertAlign w:val="superscript"/>
        </w:rPr>
      </w:pPr>
    </w:p>
    <w:p>
      <w:pPr>
        <w:ind w:left="380" w:right="99" w:hanging="330"/>
        <w:spacing w:after="0" w:line="233" w:lineRule="auto"/>
        <w:tabs>
          <w:tab w:leader="none" w:pos="380" w:val="left"/>
        </w:tabs>
        <w:numPr>
          <w:ilvl w:val="0"/>
          <w:numId w:val="35"/>
        </w:numPr>
        <w:rPr>
          <w:rFonts w:ascii="Arial" w:cs="Arial" w:eastAsia="Arial" w:hAnsi="Arial"/>
          <w:sz w:val="27"/>
          <w:szCs w:val="27"/>
          <w:color w:val="auto"/>
          <w:vertAlign w:val="superscript"/>
        </w:rPr>
      </w:pPr>
      <w:r>
        <w:rPr>
          <w:rFonts w:ascii="Arial" w:cs="Arial" w:eastAsia="Arial" w:hAnsi="Arial"/>
          <w:sz w:val="18"/>
          <w:szCs w:val="18"/>
          <w:color w:val="auto"/>
        </w:rPr>
        <w:t>Represents the member utilization rate for all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w:t>
      </w: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Impact of COVID-19 on our Business</w:t>
      </w:r>
    </w:p>
    <w:p>
      <w:pPr>
        <w:spacing w:after="0" w:line="229" w:lineRule="exact"/>
        <w:rPr>
          <w:sz w:val="20"/>
          <w:szCs w:val="20"/>
          <w:color w:val="auto"/>
        </w:rPr>
      </w:pPr>
    </w:p>
    <w:p>
      <w:pPr>
        <w:jc w:val="both"/>
        <w:ind w:left="60" w:right="79" w:firstLine="648"/>
        <w:spacing w:after="0" w:line="279" w:lineRule="auto"/>
        <w:rPr>
          <w:sz w:val="20"/>
          <w:szCs w:val="20"/>
          <w:color w:val="auto"/>
        </w:rPr>
      </w:pPr>
      <w:r>
        <w:rPr>
          <w:rFonts w:ascii="Arial" w:cs="Arial" w:eastAsia="Arial" w:hAnsi="Arial"/>
          <w:sz w:val="17"/>
          <w:szCs w:val="17"/>
          <w:color w:val="auto"/>
        </w:rPr>
        <w:t>The COVID-19 pandemic has significantly impacted various markets around the world, including the United States. As described below, restrictions related to COVID-19, including variants, and our responses to them have significantly impacted and may continue to impact how our members use our services, access our providers, and how our employees work and provide services to our clients and members, resulting in an impact to our revenue.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9" w:name="page60"/>
    <w:bookmarkEnd w:id="5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Employee safety is our first priority, and as a result, we had implemented a remote working policy for all of our employees. We have recently re-opened our corporate offices to employees on a hybrid basis, while implementing additional safety measures and protocols. We are also working closely with all of our clients, members, providers and other external business partners. We believe we have sufficient liquidity to satisfy our cash needs, however, we continue to monitor liquidity, as necessary, and ensure that our business can continue to operate during these uncertain times.</w:t>
      </w:r>
    </w:p>
    <w:p>
      <w:pPr>
        <w:spacing w:after="0" w:line="161"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outbreak and preventative measures taken to contain COVID-19, especially in the first half of 2020, negatively impacted our members’ access to care due to a temporary unavailability of the full range of fertility treatments at our provider clinics. In March 2020, the American Society for Reproductive Medicine, or ASRM, issued guidelines recommending suspension of fertility services. Those guidelines were lifted in May 2020, which has enabled our clinics to resume care with enhanced safety protocols for patient safety. COVID-19, including variants, and related restrictions continued to have a negative impact on our revenue growth for the three months and year ended December 31, 2021.</w:t>
      </w:r>
    </w:p>
    <w:p>
      <w:pPr>
        <w:spacing w:after="0" w:line="164" w:lineRule="exact"/>
        <w:rPr>
          <w:sz w:val="20"/>
          <w:szCs w:val="20"/>
          <w:color w:val="auto"/>
        </w:rPr>
      </w:pPr>
    </w:p>
    <w:p>
      <w:pPr>
        <w:jc w:val="both"/>
        <w:ind w:left="60" w:right="59" w:firstLine="648"/>
        <w:spacing w:after="0" w:line="253" w:lineRule="auto"/>
        <w:rPr>
          <w:sz w:val="20"/>
          <w:szCs w:val="20"/>
          <w:color w:val="auto"/>
        </w:rPr>
      </w:pPr>
      <w:r>
        <w:rPr>
          <w:rFonts w:ascii="Arial" w:cs="Arial" w:eastAsia="Arial" w:hAnsi="Arial"/>
          <w:sz w:val="18"/>
          <w:szCs w:val="18"/>
          <w:color w:val="auto"/>
        </w:rPr>
        <w:t>The full extent to which the COVID-19 pandemic will directly or indirectly impact our business, future results of operations and financial condition will depend on future developments that are highly uncertain and cannot be accurately predicted, including, without limitation, new information that may emerge concerning COVID-19 and variants, the timing, extent, trajectory and duration of the pandemic; the availability, distribution and effectiveness of vaccines as well as vaccine hesitancy; the imposition of protective public safety measures; and the economic impact on local, regional and national markets. To the extent that the markets we serve experience increased cases of COVID-19, state or local governments may reinstitute measures to control its spread, which could again negatively impact our members’ access to care. We will continue to evaluate the nature and extent of these potential impacts to our business, results of operations and liquidity.</w:t>
      </w:r>
    </w:p>
    <w:p>
      <w:pPr>
        <w:spacing w:after="0" w:line="196" w:lineRule="exact"/>
        <w:rPr>
          <w:sz w:val="20"/>
          <w:szCs w:val="20"/>
          <w:color w:val="auto"/>
        </w:rPr>
      </w:pPr>
    </w:p>
    <w:p>
      <w:pPr>
        <w:ind w:left="700"/>
        <w:spacing w:after="0"/>
        <w:rPr>
          <w:sz w:val="20"/>
          <w:szCs w:val="20"/>
          <w:color w:val="auto"/>
        </w:rPr>
      </w:pPr>
      <w:r>
        <w:rPr>
          <w:rFonts w:ascii="Arial" w:cs="Arial" w:eastAsia="Arial" w:hAnsi="Arial"/>
          <w:sz w:val="17"/>
          <w:szCs w:val="17"/>
          <w:color w:val="auto"/>
        </w:rPr>
        <w:t>For additional information on the various risks posed by the COVID-19 pandemic, please read Part I, Item 1A.</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Risk Factors included in this Annual Report on Form 10-K.</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Revenue includes fertility benefits solution revenue, pharmacy benefits solution revenue and PEPM fees.</w:t>
      </w:r>
    </w:p>
    <w:p>
      <w:pPr>
        <w:spacing w:after="0" w:line="237"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jc w:val="both"/>
        <w:ind w:left="60" w:right="499" w:firstLine="648"/>
        <w:spacing w:after="0" w:line="287" w:lineRule="auto"/>
        <w:rPr>
          <w:sz w:val="20"/>
          <w:szCs w:val="20"/>
          <w:color w:val="auto"/>
        </w:rPr>
      </w:pPr>
      <w:r>
        <w:rPr>
          <w:rFonts w:ascii="Arial" w:cs="Arial" w:eastAsia="Arial" w:hAnsi="Arial"/>
          <w:sz w:val="16"/>
          <w:szCs w:val="16"/>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w:t>
      </w:r>
    </w:p>
    <w:p>
      <w:pPr>
        <w:spacing w:after="0" w:line="2" w:lineRule="exact"/>
        <w:rPr>
          <w:sz w:val="20"/>
          <w:szCs w:val="20"/>
          <w:color w:val="auto"/>
        </w:rPr>
      </w:pPr>
    </w:p>
    <w:p>
      <w:pPr>
        <w:ind w:left="60" w:right="79"/>
        <w:spacing w:after="0" w:line="270" w:lineRule="auto"/>
        <w:rPr>
          <w:sz w:val="20"/>
          <w:szCs w:val="20"/>
          <w:color w:val="auto"/>
        </w:rPr>
      </w:pPr>
      <w:r>
        <w:rPr>
          <w:rFonts w:ascii="Arial" w:cs="Arial" w:eastAsia="Arial" w:hAnsi="Arial"/>
          <w:sz w:val="17"/>
          <w:szCs w:val="17"/>
          <w:color w:val="auto"/>
        </w:rPr>
        <w:t>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ind w:left="60" w:right="139" w:firstLine="648"/>
        <w:spacing w:after="0" w:line="288" w:lineRule="auto"/>
        <w:rPr>
          <w:sz w:val="20"/>
          <w:szCs w:val="20"/>
          <w:color w:val="auto"/>
        </w:rPr>
      </w:pPr>
      <w:r>
        <w:rPr>
          <w:rFonts w:ascii="Arial" w:cs="Arial" w:eastAsia="Arial" w:hAnsi="Arial"/>
          <w:sz w:val="16"/>
          <w:szCs w:val="16"/>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as well as the related clinical and care management services. Revenue from these arrangements is recognized</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0" w:name="page61"/>
    <w:bookmarkEnd w:id="6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spacing w:after="0" w:line="277" w:lineRule="auto"/>
        <w:rPr>
          <w:sz w:val="20"/>
          <w:szCs w:val="20"/>
          <w:color w:val="auto"/>
        </w:rPr>
      </w:pPr>
      <w:r>
        <w:rPr>
          <w:rFonts w:ascii="Arial" w:cs="Arial" w:eastAsia="Arial" w:hAnsi="Arial"/>
          <w:sz w:val="18"/>
          <w:szCs w:val="18"/>
          <w:color w:val="auto"/>
        </w:rPr>
        <w:t>when the drugs are dispensed. This solution was introduced in the marketplace in the third quarter of 2017 and went live with a select number of clients on January 1, 2018.</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Per employee per month (PEPM) fee</w:t>
      </w:r>
    </w:p>
    <w:p>
      <w:pPr>
        <w:spacing w:after="0" w:line="225"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25"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Our cost of services has three primary components: (1) fertility benefit services; (2) pharmacy benefit services; and (3) vendor rebates.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Fertility Benefits Services</w:t>
      </w:r>
    </w:p>
    <w:p>
      <w:pPr>
        <w:spacing w:after="0" w:line="225" w:lineRule="exact"/>
        <w:rPr>
          <w:sz w:val="20"/>
          <w:szCs w:val="20"/>
          <w:color w:val="auto"/>
        </w:rPr>
      </w:pPr>
    </w:p>
    <w:p>
      <w:pPr>
        <w:ind w:left="60" w:right="219" w:firstLine="648"/>
        <w:spacing w:after="0" w:line="255" w:lineRule="auto"/>
        <w:rPr>
          <w:sz w:val="20"/>
          <w:szCs w:val="20"/>
          <w:color w:val="auto"/>
        </w:rPr>
      </w:pPr>
      <w:r>
        <w:rPr>
          <w:rFonts w:ascii="Arial" w:cs="Arial" w:eastAsia="Arial" w:hAnsi="Arial"/>
          <w:sz w:val="18"/>
          <w:szCs w:val="18"/>
          <w:color w:val="auto"/>
        </w:rPr>
        <w:t>Fertility benefits services costs include: (1) fees paid to provider clinics within our network, labs and anesthesiologists; (2) costs incurred (including salaries, bonuses, benefits, stock-based compensation,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Pharmacy Benefits Services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jc w:val="both"/>
        <w:ind w:left="60" w:right="139" w:firstLine="648"/>
        <w:spacing w:after="0" w:line="311" w:lineRule="auto"/>
        <w:rPr>
          <w:sz w:val="20"/>
          <w:szCs w:val="20"/>
          <w:color w:val="auto"/>
        </w:rPr>
      </w:pPr>
      <w:r>
        <w:rPr>
          <w:rFonts w:ascii="Arial" w:cs="Arial" w:eastAsia="Arial" w:hAnsi="Arial"/>
          <w:sz w:val="16"/>
          <w:szCs w:val="16"/>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necessary to deliver our care management services will continue to grow as we continue to add clients and their associated members.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operating expenses consist of sales and marketing and general and administrative expenses.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1" w:name="page62"/>
    <w:bookmarkEnd w:id="6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2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Sales and marketing expense consists primarily of employee related costs, including salaries, bonuses, commissions, benefits, stock-based compensation,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61"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25" w:lineRule="exact"/>
        <w:rPr>
          <w:sz w:val="20"/>
          <w:szCs w:val="20"/>
          <w:color w:val="auto"/>
        </w:rPr>
      </w:pPr>
    </w:p>
    <w:p>
      <w:pPr>
        <w:ind w:left="60" w:right="179" w:firstLine="648"/>
        <w:spacing w:after="0" w:line="255" w:lineRule="auto"/>
        <w:rPr>
          <w:sz w:val="20"/>
          <w:szCs w:val="20"/>
          <w:color w:val="auto"/>
        </w:rPr>
      </w:pPr>
      <w:r>
        <w:rPr>
          <w:rFonts w:ascii="Arial" w:cs="Arial" w:eastAsia="Arial" w:hAnsi="Arial"/>
          <w:sz w:val="18"/>
          <w:szCs w:val="18"/>
          <w:color w:val="auto"/>
        </w:rPr>
        <w:t>General and administrative expense consists primarily of employee related costs, including salaries, bonuses, benefits, stock-based compensation, other related costs, and an allocation of our general overhead, depreciation and amortization for those employees associated with general and administrative services such as executive, legal, human resources, information technology, accounting, and finance. These expenses also include third-party consulting services and facilities costs. We anticipate that we will incur additional general and administrative expenses on an ongoing basis as a public company and to support growth in the business.</w:t>
      </w:r>
    </w:p>
    <w:p>
      <w:pPr>
        <w:spacing w:after="0" w:line="192"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income (expense) includes investment income as well as interest income and expense.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225"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We are subject to income taxes in the United States.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As of December 31, 2020, in part because we had achieved three years of cumulative income, along with our projections of profitability</w:t>
      </w:r>
      <w:r>
        <w:rPr>
          <w:rFonts w:ascii="Arial" w:cs="Arial" w:eastAsia="Arial" w:hAnsi="Arial"/>
          <w:sz w:val="17"/>
          <w:szCs w:val="17"/>
          <w:b w:val="1"/>
          <w:bCs w:val="1"/>
          <w:color w:val="auto"/>
        </w:rPr>
        <w:t>,</w:t>
      </w:r>
      <w:r>
        <w:rPr>
          <w:rFonts w:ascii="Arial" w:cs="Arial" w:eastAsia="Arial" w:hAnsi="Arial"/>
          <w:sz w:val="17"/>
          <w:szCs w:val="17"/>
          <w:color w:val="auto"/>
        </w:rPr>
        <w:t xml:space="preserve"> management determined that there was sufficient positive evidence to conclude that it was more likely than not that the net deferred tax assets of $38.0 million were realizable and therefore released substantially all of our valuation allowance. We continue to maintain this position as of December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Results of Operations</w:t>
      </w:r>
    </w:p>
    <w:p>
      <w:pPr>
        <w:spacing w:after="0" w:line="225" w:lineRule="exact"/>
        <w:rPr>
          <w:sz w:val="20"/>
          <w:szCs w:val="20"/>
          <w:color w:val="auto"/>
        </w:rPr>
      </w:pPr>
    </w:p>
    <w:p>
      <w:pPr>
        <w:ind w:left="60" w:right="59" w:firstLine="648"/>
        <w:spacing w:after="0" w:line="277" w:lineRule="auto"/>
        <w:rPr>
          <w:sz w:val="20"/>
          <w:szCs w:val="20"/>
          <w:color w:val="auto"/>
        </w:rPr>
      </w:pPr>
      <w:r>
        <w:rPr>
          <w:rFonts w:ascii="Arial" w:cs="Arial" w:eastAsia="Arial" w:hAnsi="Arial"/>
          <w:sz w:val="18"/>
          <w:szCs w:val="18"/>
          <w:color w:val="auto"/>
        </w:rPr>
        <w:t>The following tables set forth our results of operations for the periods presented and as a percentage of revenue for those periods:</w:t>
      </w:r>
    </w:p>
    <w:p>
      <w:pPr>
        <w:spacing w:after="0" w:line="175"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311"/>
              <w:spacing w:after="0" w:line="142"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22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4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7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500,621</w:t>
            </w:r>
          </w:p>
        </w:tc>
        <w:tc>
          <w:tcPr>
            <w:tcW w:w="240" w:type="dxa"/>
            <w:vAlign w:val="bottom"/>
          </w:tcPr>
          <w:p>
            <w:pPr>
              <w:spacing w:after="0"/>
              <w:rPr>
                <w:sz w:val="18"/>
                <w:szCs w:val="18"/>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w w:val="98"/>
              </w:rPr>
              <w:t>344,858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line="216" w:lineRule="exact"/>
              <w:rPr>
                <w:sz w:val="20"/>
                <w:szCs w:val="20"/>
                <w:color w:val="auto"/>
              </w:rPr>
            </w:pPr>
            <w:r>
              <w:rPr>
                <w:rFonts w:ascii="Arial" w:cs="Arial" w:eastAsia="Arial" w:hAnsi="Arial"/>
                <w:sz w:val="17"/>
                <w:szCs w:val="17"/>
                <w:color w:val="auto"/>
              </w:rPr>
              <w:t>Cost of services</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388,486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274,799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112,135</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70,059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00"/>
              <w:spacing w:after="0" w:line="216" w:lineRule="exact"/>
              <w:rPr>
                <w:sz w:val="20"/>
                <w:szCs w:val="20"/>
                <w:color w:val="auto"/>
              </w:rPr>
            </w:pPr>
            <w:r>
              <w:rPr>
                <w:rFonts w:ascii="Arial" w:cs="Arial" w:eastAsia="Arial" w:hAnsi="Arial"/>
                <w:sz w:val="17"/>
                <w:szCs w:val="17"/>
                <w:color w:val="auto"/>
              </w:rPr>
              <w:t>Sales and marketing</w:t>
            </w:r>
            <w:r>
              <w:rPr>
                <w:rFonts w:ascii="Arial" w:cs="Arial" w:eastAsia="Arial" w:hAnsi="Arial"/>
                <w:sz w:val="25"/>
                <w:szCs w:val="25"/>
                <w:color w:val="auto"/>
                <w:vertAlign w:val="superscript"/>
              </w:rPr>
              <w:t>(1)</w:t>
            </w:r>
          </w:p>
        </w:tc>
        <w:tc>
          <w:tcPr>
            <w:tcW w:w="1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20,179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00"/>
              <w:spacing w:after="0" w:line="216" w:lineRule="exact"/>
              <w:rPr>
                <w:sz w:val="20"/>
                <w:szCs w:val="20"/>
                <w:color w:val="auto"/>
              </w:rPr>
            </w:pPr>
            <w:r>
              <w:rPr>
                <w:rFonts w:ascii="Arial" w:cs="Arial" w:eastAsia="Arial" w:hAnsi="Arial"/>
                <w:sz w:val="17"/>
                <w:szCs w:val="17"/>
                <w:color w:val="auto"/>
              </w:rPr>
              <w:t>General and administrative</w:t>
            </w:r>
            <w:r>
              <w:rPr>
                <w:rFonts w:ascii="Arial" w:cs="Arial" w:eastAsia="Arial" w:hAnsi="Arial"/>
                <w:sz w:val="25"/>
                <w:szCs w:val="25"/>
                <w:color w:val="auto"/>
                <w:vertAlign w:val="superscript"/>
              </w:rPr>
              <w:t>(1)</w:t>
            </w:r>
          </w:p>
        </w:tc>
        <w:tc>
          <w:tcPr>
            <w:tcW w:w="15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59,616</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46,705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ind w:left="220"/>
              <w:spacing w:after="0"/>
              <w:rPr>
                <w:sz w:val="20"/>
                <w:szCs w:val="20"/>
                <w:color w:val="auto"/>
              </w:rPr>
            </w:pPr>
            <w:r>
              <w:rPr>
                <w:rFonts w:ascii="Arial" w:cs="Arial" w:eastAsia="Arial" w:hAnsi="Arial"/>
                <w:sz w:val="18"/>
                <w:szCs w:val="18"/>
                <w:color w:val="auto"/>
              </w:rPr>
              <w:t>Total operating expenses</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79,795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32,340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Other income, net</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32,435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Benefit for income taxes</w:t>
            </w:r>
          </w:p>
        </w:tc>
        <w:tc>
          <w:tcPr>
            <w:tcW w:w="15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33,334</w:t>
            </w:r>
          </w:p>
        </w:tc>
        <w:tc>
          <w:tcPr>
            <w:tcW w:w="2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5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65,769</w:t>
            </w:r>
          </w:p>
        </w:tc>
        <w:tc>
          <w:tcPr>
            <w:tcW w:w="2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0" w:type="dxa"/>
            <w:vAlign w:val="bottom"/>
          </w:tcPr>
          <w:p>
            <w:pPr>
              <w:spacing w:after="0"/>
              <w:rPr>
                <w:sz w:val="1"/>
                <w:szCs w:val="1"/>
                <w:color w:val="auto"/>
              </w:rPr>
            </w:pPr>
          </w:p>
        </w:tc>
      </w:tr>
      <w:tr>
        <w:trPr>
          <w:trHeight w:val="20"/>
        </w:trPr>
        <w:tc>
          <w:tcPr>
            <w:tcW w:w="5000" w:type="dxa"/>
            <w:vAlign w:val="bottom"/>
            <w:gridSpan w:val="3"/>
            <w:vMerge w:val="restart"/>
          </w:tcPr>
          <w:p>
            <w:pPr>
              <w:ind w:left="20"/>
              <w:spacing w:after="0" w:line="236" w:lineRule="exact"/>
              <w:rPr>
                <w:sz w:val="20"/>
                <w:szCs w:val="20"/>
                <w:color w:val="auto"/>
              </w:rPr>
            </w:pPr>
            <w:r>
              <w:rPr>
                <w:rFonts w:ascii="Arial" w:cs="Arial" w:eastAsia="Arial" w:hAnsi="Arial"/>
                <w:sz w:val="18"/>
                <w:szCs w:val="18"/>
                <w:color w:val="auto"/>
              </w:rPr>
              <w:t>Adjusted EBITDA</w:t>
            </w:r>
            <w:r>
              <w:rPr>
                <w:rFonts w:ascii="Arial" w:cs="Arial" w:eastAsia="Arial" w:hAnsi="Arial"/>
                <w:sz w:val="26"/>
                <w:szCs w:val="26"/>
                <w:color w:val="auto"/>
                <w:vertAlign w:val="superscript"/>
              </w:rPr>
              <w:t>(2)</w:t>
            </w:r>
          </w:p>
        </w:tc>
        <w:tc>
          <w:tcPr>
            <w:tcW w:w="1520" w:type="dxa"/>
            <w:vAlign w:val="bottom"/>
            <w:vMerge w:val="restart"/>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0" w:type="dxa"/>
            <w:vAlign w:val="bottom"/>
            <w:gridSpan w:val="3"/>
            <w:vMerge w:val="continue"/>
          </w:tcPr>
          <w:p>
            <w:pPr>
              <w:spacing w:after="0"/>
              <w:rPr>
                <w:sz w:val="17"/>
                <w:szCs w:val="17"/>
                <w:color w:val="auto"/>
              </w:rPr>
            </w:pPr>
          </w:p>
        </w:tc>
        <w:tc>
          <w:tcPr>
            <w:tcW w:w="1520" w:type="dxa"/>
            <w:vAlign w:val="bottom"/>
            <w:vMerge w:val="continue"/>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67,347</w:t>
            </w:r>
          </w:p>
        </w:tc>
        <w:tc>
          <w:tcPr>
            <w:tcW w:w="2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22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32,393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20" w:type="dxa"/>
            <w:vAlign w:val="bottom"/>
            <w:tcBorders>
              <w:bottom w:val="single" w:sz="8" w:color="auto"/>
            </w:tcBorders>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72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380" w:hanging="330"/>
        <w:spacing w:after="0" w:line="229" w:lineRule="auto"/>
        <w:tabs>
          <w:tab w:leader="none" w:pos="380" w:val="left"/>
        </w:tabs>
        <w:numPr>
          <w:ilvl w:val="0"/>
          <w:numId w:val="36"/>
        </w:numPr>
        <w:rPr>
          <w:rFonts w:ascii="Arial" w:cs="Arial" w:eastAsia="Arial" w:hAnsi="Arial"/>
          <w:sz w:val="27"/>
          <w:szCs w:val="27"/>
          <w:color w:val="auto"/>
          <w:vertAlign w:val="superscript"/>
        </w:rPr>
      </w:pPr>
      <w:r>
        <w:rPr>
          <w:rFonts w:ascii="Arial" w:cs="Arial" w:eastAsia="Arial" w:hAnsi="Arial"/>
          <w:sz w:val="18"/>
          <w:szCs w:val="18"/>
          <w:color w:val="auto"/>
        </w:rPr>
        <w:t>Includes stock-based compensation expense as follows: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2" w:name="page63"/>
    <w:bookmarkEnd w:id="6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7400"/>
        <w:spacing w:after="0"/>
        <w:rPr>
          <w:sz w:val="20"/>
          <w:szCs w:val="20"/>
          <w:color w:val="auto"/>
        </w:rPr>
      </w:pPr>
      <w:r>
        <w:rPr>
          <w:rFonts w:ascii="Arial" w:cs="Arial" w:eastAsia="Arial" w:hAnsi="Arial"/>
          <w:sz w:val="14"/>
          <w:szCs w:val="14"/>
          <w:b w:val="1"/>
          <w:bCs w:val="1"/>
          <w:color w:val="auto"/>
        </w:rPr>
        <w:t>Year Ended</w:t>
      </w:r>
    </w:p>
    <w:p>
      <w:pPr>
        <w:ind w:left="73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650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Sales and marketing</w:t>
            </w:r>
          </w:p>
        </w:tc>
        <w:tc>
          <w:tcPr>
            <w:tcW w:w="2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5,462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2,066</w:t>
            </w: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r>
      <w:tr>
        <w:trPr>
          <w:trHeight w:val="210"/>
        </w:trPr>
        <w:tc>
          <w:tcPr>
            <w:tcW w:w="6500" w:type="dxa"/>
            <w:vAlign w:val="bottom"/>
          </w:tcPr>
          <w:p>
            <w:pPr>
              <w:spacing w:after="0" w:line="207" w:lineRule="exact"/>
              <w:rPr>
                <w:sz w:val="20"/>
                <w:szCs w:val="20"/>
                <w:color w:val="auto"/>
              </w:rPr>
            </w:pPr>
            <w:r>
              <w:rPr>
                <w:rFonts w:ascii="Arial" w:cs="Arial" w:eastAsia="Arial" w:hAnsi="Arial"/>
                <w:sz w:val="18"/>
                <w:szCs w:val="18"/>
                <w:color w:val="auto"/>
              </w:rPr>
              <w:t>Total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33,706</w:t>
            </w:r>
          </w:p>
        </w:tc>
        <w:tc>
          <w:tcPr>
            <w:tcW w:w="2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r>
      <w:tr>
        <w:trPr>
          <w:trHeight w:val="20"/>
        </w:trPr>
        <w:tc>
          <w:tcPr>
            <w:tcW w:w="6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80" w:right="199" w:hanging="330"/>
        <w:spacing w:after="0" w:line="233" w:lineRule="auto"/>
        <w:tabs>
          <w:tab w:leader="none" w:pos="380" w:val="left"/>
        </w:tabs>
        <w:numPr>
          <w:ilvl w:val="0"/>
          <w:numId w:val="37"/>
        </w:numPr>
        <w:rPr>
          <w:rFonts w:ascii="Arial" w:cs="Arial" w:eastAsia="Arial" w:hAnsi="Arial"/>
          <w:sz w:val="27"/>
          <w:szCs w:val="27"/>
          <w:color w:val="auto"/>
          <w:vertAlign w:val="superscript"/>
        </w:rPr>
      </w:pPr>
      <w:r>
        <w:rPr>
          <w:rFonts w:ascii="Arial" w:cs="Arial" w:eastAsia="Arial" w:hAnsi="Arial"/>
          <w:sz w:val="18"/>
          <w:szCs w:val="18"/>
          <w:color w:val="auto"/>
        </w:rPr>
        <w:t>Adjusted EBITDA is a non-GAAP financial measure defined by us as net income, adjusted to exclude depreciation and amortization, stock-based compensation expense, other income (expense), net, interest income, net, benefit for income taxes, and settlement cost and legal fees associated with a vendor arbitration. See “Management’s Discussion and Analysis of Financial Condition and Result of Operations – Non-GAAP Financial Measure – Adjusted EBITDA’ below for a reconciliation of Adjusted EBITDA to net income, the most directly comparable measure calculated in accordance with GAAP.</w:t>
      </w:r>
    </w:p>
    <w:p>
      <w:pPr>
        <w:spacing w:after="0" w:line="211" w:lineRule="exact"/>
        <w:rPr>
          <w:sz w:val="20"/>
          <w:szCs w:val="20"/>
          <w:color w:val="auto"/>
        </w:rPr>
      </w:pPr>
    </w:p>
    <w:p>
      <w:pPr>
        <w:ind w:left="7620"/>
        <w:spacing w:after="0"/>
        <w:rPr>
          <w:sz w:val="20"/>
          <w:szCs w:val="20"/>
          <w:color w:val="auto"/>
        </w:rPr>
      </w:pPr>
      <w:r>
        <w:rPr>
          <w:rFonts w:ascii="Arial" w:cs="Arial" w:eastAsia="Arial" w:hAnsi="Arial"/>
          <w:sz w:val="14"/>
          <w:szCs w:val="14"/>
          <w:b w:val="1"/>
          <w:bCs w:val="1"/>
          <w:color w:val="auto"/>
        </w:rPr>
        <w:t>Year Ended</w:t>
      </w:r>
    </w:p>
    <w:p>
      <w:pPr>
        <w:ind w:left="75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712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bottom w:val="single" w:sz="8" w:color="CCEEFF"/>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31"/>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1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 as a percentage of revenue:</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spacing w:after="0"/>
              <w:rPr>
                <w:sz w:val="20"/>
                <w:szCs w:val="20"/>
                <w:color w:val="auto"/>
              </w:rPr>
            </w:pPr>
            <w:r>
              <w:rPr>
                <w:rFonts w:ascii="Arial" w:cs="Arial" w:eastAsia="Arial" w:hAnsi="Arial"/>
                <w:sz w:val="18"/>
                <w:szCs w:val="18"/>
                <w:color w:val="auto"/>
              </w:rPr>
              <w:t>Revenue</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100 %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tcPr>
          <w:p>
            <w:pPr>
              <w:spacing w:after="0"/>
              <w:rPr>
                <w:sz w:val="20"/>
                <w:szCs w:val="20"/>
                <w:color w:val="auto"/>
              </w:rPr>
            </w:pPr>
            <w:r>
              <w:rPr>
                <w:rFonts w:ascii="Arial" w:cs="Arial" w:eastAsia="Arial" w:hAnsi="Arial"/>
                <w:sz w:val="18"/>
                <w:szCs w:val="18"/>
                <w:color w:val="auto"/>
              </w:rPr>
              <w:t>Gross profit</w:t>
            </w: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Pr>
          <w:p>
            <w:pPr>
              <w:ind w:left="100"/>
              <w:spacing w:after="0"/>
              <w:rPr>
                <w:sz w:val="20"/>
                <w:szCs w:val="20"/>
                <w:color w:val="auto"/>
              </w:rPr>
            </w:pPr>
            <w:r>
              <w:rPr>
                <w:rFonts w:ascii="Arial" w:cs="Arial" w:eastAsia="Arial" w:hAnsi="Arial"/>
                <w:sz w:val="18"/>
                <w:szCs w:val="18"/>
                <w:color w:val="auto"/>
              </w:rPr>
              <w:t>Sales and marketing</w:t>
            </w:r>
          </w:p>
        </w:tc>
        <w:tc>
          <w:tcPr>
            <w:tcW w:w="680" w:type="dxa"/>
            <w:vAlign w:val="bottom"/>
          </w:tcPr>
          <w:p>
            <w:pPr>
              <w:jc w:val="right"/>
              <w:spacing w:after="0"/>
              <w:rPr>
                <w:sz w:val="20"/>
                <w:szCs w:val="20"/>
                <w:color w:val="auto"/>
              </w:rPr>
            </w:pPr>
            <w:r>
              <w:rPr>
                <w:rFonts w:ascii="Arial" w:cs="Arial" w:eastAsia="Arial" w:hAnsi="Arial"/>
                <w:sz w:val="18"/>
                <w:szCs w:val="18"/>
                <w:color w:val="auto"/>
              </w:rPr>
              <w:t>4</w:t>
            </w: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General and administrative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Total operating expenses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 income, net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7120" w:type="dxa"/>
            <w:vAlign w:val="bottom"/>
            <w:vMerge w:val="restart"/>
          </w:tcPr>
          <w:p>
            <w:pPr>
              <w:spacing w:after="0"/>
              <w:rPr>
                <w:sz w:val="20"/>
                <w:szCs w:val="20"/>
                <w:color w:val="auto"/>
              </w:rPr>
            </w:pPr>
            <w:r>
              <w:rPr>
                <w:rFonts w:ascii="Arial" w:cs="Arial" w:eastAsia="Arial" w:hAnsi="Arial"/>
                <w:sz w:val="18"/>
                <w:szCs w:val="18"/>
                <w:color w:val="auto"/>
              </w:rPr>
              <w:t>Adjusted EBITDA</w:t>
            </w:r>
          </w:p>
        </w:tc>
        <w:tc>
          <w:tcPr>
            <w:tcW w:w="680" w:type="dxa"/>
            <w:vAlign w:val="bottom"/>
            <w:tcBorders>
              <w:bottom w:val="single" w:sz="8" w:color="auto"/>
            </w:tcBorders>
          </w:tcPr>
          <w:p>
            <w:pPr>
              <w:spacing w:after="0" w:line="20" w:lineRule="exact"/>
              <w:rPr>
                <w:sz w:val="1"/>
                <w:szCs w:val="1"/>
                <w:color w:val="auto"/>
              </w:rPr>
            </w:pPr>
          </w:p>
        </w:tc>
        <w:tc>
          <w:tcPr>
            <w:tcW w:w="240" w:type="dxa"/>
            <w:vAlign w:val="bottom"/>
            <w:vMerge w:val="restart"/>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bottom w:val="single" w:sz="8" w:color="auto"/>
            </w:tcBorders>
          </w:tcPr>
          <w:p>
            <w:pPr>
              <w:spacing w:after="0" w:line="20" w:lineRule="exact"/>
              <w:rPr>
                <w:sz w:val="1"/>
                <w:szCs w:val="1"/>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line="20" w:lineRule="exact"/>
              <w:rPr>
                <w:sz w:val="1"/>
                <w:szCs w:val="1"/>
                <w:color w:val="auto"/>
              </w:rPr>
            </w:pPr>
          </w:p>
        </w:tc>
      </w:tr>
      <w:tr>
        <w:trPr>
          <w:trHeight w:val="197"/>
        </w:trPr>
        <w:tc>
          <w:tcPr>
            <w:tcW w:w="7120" w:type="dxa"/>
            <w:vAlign w:val="bottom"/>
            <w:vMerge w:val="continue"/>
          </w:tcPr>
          <w:p>
            <w:pPr>
              <w:spacing w:after="0"/>
              <w:rPr>
                <w:sz w:val="17"/>
                <w:szCs w:val="17"/>
                <w:color w:val="auto"/>
              </w:rPr>
            </w:pPr>
          </w:p>
        </w:tc>
        <w:tc>
          <w:tcPr>
            <w:tcW w:w="6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w:t>
            </w:r>
          </w:p>
        </w:tc>
        <w:tc>
          <w:tcPr>
            <w:tcW w:w="240" w:type="dxa"/>
            <w:vAlign w:val="bottom"/>
            <w:vMerge w:val="continue"/>
          </w:tcPr>
          <w:p>
            <w:pPr>
              <w:spacing w:after="0"/>
              <w:rPr>
                <w:sz w:val="17"/>
                <w:szCs w:val="17"/>
                <w:color w:val="auto"/>
              </w:rPr>
            </w:pPr>
          </w:p>
        </w:tc>
        <w:tc>
          <w:tcPr>
            <w:tcW w:w="7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Non-GAAP Financial Measure – Adjusted EBITDA</w:t>
      </w:r>
    </w:p>
    <w:p>
      <w:pPr>
        <w:spacing w:after="0" w:line="229" w:lineRule="exact"/>
        <w:rPr>
          <w:sz w:val="20"/>
          <w:szCs w:val="20"/>
          <w:color w:val="auto"/>
        </w:rPr>
      </w:pPr>
    </w:p>
    <w:p>
      <w:pPr>
        <w:ind w:left="60" w:right="339" w:firstLine="648"/>
        <w:spacing w:after="0" w:line="291" w:lineRule="auto"/>
        <w:rPr>
          <w:sz w:val="20"/>
          <w:szCs w:val="20"/>
          <w:color w:val="auto"/>
        </w:rPr>
      </w:pPr>
      <w:r>
        <w:rPr>
          <w:rFonts w:ascii="Arial" w:cs="Arial" w:eastAsia="Arial" w:hAnsi="Arial"/>
          <w:sz w:val="16"/>
          <w:szCs w:val="16"/>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66"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other income (expense), net and interest income (expense), net; (5) it does not reflect tax payments that may represent a reduction in cash available to us; and (6) it does not include settlement cost and legal fees associated with a vendor arbitration.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from continuing operations and other U.S. GAAP results.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We calculate Adjusted EBITDA as net income, adjusted to exclude depreciation and amortization, stock-based compensation expense, other income (expense), net, interest income, net, benefit for income taxes, and settlement cost and legal fees associated with a vendor arbitration. The following table presents a reconciliation of Adjusted EBITDA to net income for each of the periods indicated:</w:t>
      </w:r>
    </w:p>
    <w:p>
      <w:pPr>
        <w:spacing w:after="0" w:line="192" w:lineRule="exact"/>
        <w:rPr>
          <w:sz w:val="20"/>
          <w:szCs w:val="20"/>
          <w:color w:val="auto"/>
        </w:rPr>
      </w:pPr>
    </w:p>
    <w:p>
      <w:pPr>
        <w:ind w:left="7320"/>
        <w:spacing w:after="0"/>
        <w:rPr>
          <w:sz w:val="20"/>
          <w:szCs w:val="20"/>
          <w:color w:val="auto"/>
        </w:rPr>
      </w:pPr>
      <w:r>
        <w:rPr>
          <w:rFonts w:ascii="Arial" w:cs="Arial" w:eastAsia="Arial" w:hAnsi="Arial"/>
          <w:sz w:val="14"/>
          <w:szCs w:val="14"/>
          <w:b w:val="1"/>
          <w:bCs w:val="1"/>
          <w:color w:val="auto"/>
        </w:rPr>
        <w:t>Year Ended</w:t>
      </w:r>
    </w:p>
    <w:p>
      <w:pPr>
        <w:ind w:left="724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3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2020</w:t>
            </w:r>
          </w:p>
        </w:tc>
      </w:tr>
      <w:tr>
        <w:trPr>
          <w:trHeight w:val="129"/>
        </w:trPr>
        <w:tc>
          <w:tcPr>
            <w:tcW w:w="6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500" w:type="dxa"/>
            <w:vAlign w:val="bottom"/>
            <w:gridSpan w:val="3"/>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80" w:type="dxa"/>
            <w:vAlign w:val="bottom"/>
          </w:tcPr>
          <w:p>
            <w:pPr>
              <w:spacing w:after="0"/>
              <w:rPr>
                <w:sz w:val="11"/>
                <w:szCs w:val="11"/>
                <w:color w:val="auto"/>
              </w:rPr>
            </w:pPr>
          </w:p>
        </w:tc>
      </w:tr>
      <w:tr>
        <w:trPr>
          <w:trHeight w:val="216"/>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46,459</w:t>
            </w:r>
          </w:p>
        </w:tc>
      </w:tr>
      <w:tr>
        <w:trPr>
          <w:trHeight w:val="216"/>
        </w:trPr>
        <w:tc>
          <w:tcPr>
            <w:tcW w:w="6360" w:type="dxa"/>
            <w:vAlign w:val="bottom"/>
          </w:tcPr>
          <w:p>
            <w:pPr>
              <w:ind w:left="20"/>
              <w:spacing w:after="0"/>
              <w:rPr>
                <w:sz w:val="20"/>
                <w:szCs w:val="20"/>
                <w:color w:val="auto"/>
              </w:rPr>
            </w:pPr>
            <w:r>
              <w:rPr>
                <w:rFonts w:ascii="Arial" w:cs="Arial" w:eastAsia="Arial" w:hAnsi="Arial"/>
                <w:sz w:val="18"/>
                <w:szCs w:val="18"/>
                <w:color w:val="auto"/>
              </w:rPr>
              <w:t>Add:</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r>
      <w:tr>
        <w:trPr>
          <w:trHeight w:val="216"/>
        </w:trPr>
        <w:tc>
          <w:tcPr>
            <w:tcW w:w="6360" w:type="dxa"/>
            <w:vAlign w:val="bottom"/>
          </w:tcPr>
          <w:p>
            <w:pPr>
              <w:ind w:left="220"/>
              <w:spacing w:after="0" w:line="207"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33,706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12,821</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Interest income, net</w:t>
            </w:r>
          </w:p>
        </w:tc>
        <w:tc>
          <w:tcPr>
            <w:tcW w:w="26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(461)</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16"/>
        </w:trPr>
        <w:tc>
          <w:tcPr>
            <w:tcW w:w="6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Benefit for income taxes</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(33,334)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(37,780)</w:t>
            </w:r>
          </w:p>
        </w:tc>
      </w:tr>
      <w:tr>
        <w:trPr>
          <w:trHeight w:val="216"/>
        </w:trPr>
        <w:tc>
          <w:tcPr>
            <w:tcW w:w="6360" w:type="dxa"/>
            <w:vAlign w:val="bottom"/>
          </w:tcPr>
          <w:p>
            <w:pPr>
              <w:ind w:left="220"/>
              <w:spacing w:after="0"/>
              <w:rPr>
                <w:sz w:val="20"/>
                <w:szCs w:val="20"/>
                <w:color w:val="auto"/>
              </w:rPr>
            </w:pPr>
            <w:r>
              <w:rPr>
                <w:rFonts w:ascii="Arial" w:cs="Arial" w:eastAsia="Arial" w:hAnsi="Arial"/>
                <w:sz w:val="18"/>
                <w:szCs w:val="18"/>
                <w:color w:val="auto"/>
              </w:rPr>
              <w:t>Settlement cost and legal fees associated with a vendor arbitration</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9,318</w:t>
            </w:r>
          </w:p>
        </w:tc>
      </w:tr>
      <w:tr>
        <w:trPr>
          <w:trHeight w:val="209"/>
        </w:trPr>
        <w:tc>
          <w:tcPr>
            <w:tcW w:w="6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67,347</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32,393</w:t>
            </w:r>
          </w:p>
        </w:tc>
      </w:tr>
      <w:tr>
        <w:trPr>
          <w:trHeight w:val="20"/>
        </w:trPr>
        <w:tc>
          <w:tcPr>
            <w:tcW w:w="6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Comparison of Years Ended December 31, 2021 and 2020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Revenue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58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78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$ 500,621</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$ 344,858</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firstLine="648"/>
        <w:spacing w:after="0" w:line="271" w:lineRule="auto"/>
        <w:rPr>
          <w:sz w:val="20"/>
          <w:szCs w:val="20"/>
          <w:color w:val="auto"/>
        </w:rPr>
      </w:pPr>
      <w:r>
        <w:rPr>
          <w:rFonts w:ascii="Arial" w:cs="Arial" w:eastAsia="Arial" w:hAnsi="Arial"/>
          <w:sz w:val="17"/>
          <w:szCs w:val="17"/>
          <w:color w:val="auto"/>
        </w:rPr>
        <w:t>Revenue increased by $155.8 million, or 45%, for the year ended December 31, 2021 compared to the year ended December 31, 2020. This increase is primarily due to a $102.1 million, or 40% increase, in revenue from our fertility benefits solution and a $53.7 million or 59% increase in revenue from our Progyny Rx solution. The increase in revenue from our fertility benefits solution was primarily due to the increase in the number of clients and covered lives. The increase in revenue from our pharmacy benefits solution was also driven by the number of clients and covered lives that added the Progyny Rx benefit. Progyny Rx went live with only a select number of clients on January 1, 2018 and has continued to add both new and existing fertility benefit solution clients since its initial launch. Our revenue growth for the years ended December 31, 2021 and 2020 was negatively impacted by COVID-19.</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Cost of Services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Year Ended</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74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80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940" w:type="dxa"/>
            <w:vAlign w:val="bottom"/>
            <w:gridSpan w:val="2"/>
          </w:tcPr>
          <w:p>
            <w:pPr>
              <w:jc w:val="right"/>
              <w:ind w:right="188"/>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840" w:type="dxa"/>
            <w:vAlign w:val="bottom"/>
          </w:tcPr>
          <w:p>
            <w:pPr>
              <w:spacing w:after="0"/>
              <w:rPr>
                <w:sz w:val="11"/>
                <w:szCs w:val="11"/>
                <w:color w:val="auto"/>
              </w:rPr>
            </w:pPr>
          </w:p>
        </w:tc>
        <w:tc>
          <w:tcPr>
            <w:tcW w:w="1720" w:type="dxa"/>
            <w:vAlign w:val="bottom"/>
          </w:tcPr>
          <w:p>
            <w:pPr>
              <w:spacing w:after="0"/>
              <w:rPr>
                <w:sz w:val="11"/>
                <w:szCs w:val="11"/>
                <w:color w:val="auto"/>
              </w:rPr>
            </w:pPr>
          </w:p>
        </w:tc>
        <w:tc>
          <w:tcPr>
            <w:tcW w:w="8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8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rPr>
              <w:t>thousands)</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52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$ 388,486</w:t>
            </w:r>
          </w:p>
        </w:tc>
        <w:tc>
          <w:tcPr>
            <w:tcW w:w="9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7"/>
              </w:rPr>
              <w:t>$ 274,799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Cost of services increased by $113.7 million, or 41%, for the year ended December 31, 2021 compared to the year ended December 31, 2020 primarily due to an increase in medical treatment and pharmacy prescription costs associated with fertility treatments delivered as well as increases in personnel-related costs, including stock-based compensation.</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640" w:type="dxa"/>
            <w:vAlign w:val="bottom"/>
            <w:gridSpan w:val="3"/>
          </w:tcPr>
          <w:p>
            <w:pPr>
              <w:jc w:val="right"/>
              <w:ind w:right="408"/>
              <w:spacing w:after="0"/>
              <w:rPr>
                <w:sz w:val="20"/>
                <w:szCs w:val="20"/>
                <w:color w:val="auto"/>
              </w:rPr>
            </w:pPr>
            <w:r>
              <w:rPr>
                <w:rFonts w:ascii="Arial" w:cs="Arial" w:eastAsia="Arial" w:hAnsi="Arial"/>
                <w:sz w:val="14"/>
                <w:szCs w:val="14"/>
                <w:b w:val="1"/>
                <w:bCs w:val="1"/>
                <w:color w:val="auto"/>
              </w:rPr>
              <w:t>Year Ended</w:t>
            </w:r>
          </w:p>
        </w:tc>
        <w:tc>
          <w:tcPr>
            <w:tcW w:w="1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640" w:type="dxa"/>
            <w:vAlign w:val="bottom"/>
            <w:tcBorders>
              <w:bottom w:val="single" w:sz="8" w:color="auto"/>
            </w:tcBorders>
            <w:gridSpan w:val="3"/>
          </w:tcPr>
          <w:p>
            <w:pPr>
              <w:jc w:val="right"/>
              <w:ind w:right="368"/>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780" w:type="dxa"/>
            <w:vAlign w:val="bottom"/>
          </w:tcPr>
          <w:p>
            <w:pPr>
              <w:jc w:val="right"/>
              <w:ind w:right="188"/>
              <w:spacing w:after="0" w:line="142" w:lineRule="exact"/>
              <w:rPr>
                <w:sz w:val="20"/>
                <w:szCs w:val="20"/>
                <w:color w:val="auto"/>
              </w:rPr>
            </w:pPr>
            <w:r>
              <w:rPr>
                <w:rFonts w:ascii="Arial" w:cs="Arial" w:eastAsia="Arial" w:hAnsi="Arial"/>
                <w:sz w:val="14"/>
                <w:szCs w:val="14"/>
                <w:b w:val="1"/>
                <w:bCs w:val="1"/>
                <w:color w:val="auto"/>
              </w:rPr>
              <w:t>2021</w:t>
            </w:r>
          </w:p>
        </w:tc>
        <w:tc>
          <w:tcPr>
            <w:tcW w:w="860" w:type="dxa"/>
            <w:vAlign w:val="bottom"/>
            <w:gridSpan w:val="2"/>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8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8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7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60" w:type="dxa"/>
            <w:vAlign w:val="bottom"/>
          </w:tcPr>
          <w:p>
            <w:pPr>
              <w:spacing w:after="0"/>
              <w:rPr>
                <w:sz w:val="11"/>
                <w:szCs w:val="11"/>
                <w:color w:val="auto"/>
              </w:rPr>
            </w:pPr>
          </w:p>
        </w:tc>
        <w:tc>
          <w:tcPr>
            <w:tcW w:w="700" w:type="dxa"/>
            <w:vAlign w:val="bottom"/>
            <w:tcBorders>
              <w:top w:val="single" w:sz="8" w:color="auto"/>
            </w:tcBorders>
          </w:tcPr>
          <w:p>
            <w:pPr>
              <w:jc w:val="right"/>
              <w:ind w:right="48"/>
              <w:spacing w:after="0" w:line="129" w:lineRule="exact"/>
              <w:rPr>
                <w:sz w:val="20"/>
                <w:szCs w:val="20"/>
                <w:color w:val="auto"/>
              </w:rPr>
            </w:pPr>
            <w:r>
              <w:rPr>
                <w:rFonts w:ascii="Arial" w:cs="Arial" w:eastAsia="Arial" w:hAnsi="Arial"/>
                <w:sz w:val="14"/>
                <w:szCs w:val="14"/>
                <w:b w:val="1"/>
                <w:bCs w:val="1"/>
                <w:color w:val="auto"/>
                <w:w w:val="74"/>
              </w:rPr>
              <w:t>thousands)</w:t>
            </w:r>
          </w:p>
        </w:tc>
        <w:tc>
          <w:tcPr>
            <w:tcW w:w="14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$ 112,135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$ 70,059</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800" w:type="dxa"/>
            <w:vAlign w:val="bottom"/>
          </w:tcPr>
          <w:p>
            <w:pPr>
              <w:spacing w:after="0"/>
              <w:rPr>
                <w:sz w:val="20"/>
                <w:szCs w:val="20"/>
                <w:color w:val="auto"/>
              </w:rPr>
            </w:pPr>
            <w:r>
              <w:rPr>
                <w:rFonts w:ascii="Arial" w:cs="Arial" w:eastAsia="Arial" w:hAnsi="Arial"/>
                <w:sz w:val="18"/>
                <w:szCs w:val="18"/>
                <w:color w:val="auto"/>
              </w:rPr>
              <w:t>Gross margin</w:t>
            </w:r>
          </w:p>
        </w:tc>
        <w:tc>
          <w:tcPr>
            <w:tcW w:w="264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20.3%</w:t>
            </w: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Gross profit increased by $42.1 million, or 60%, for the year ended December 31, 2021 compared to the year ended December 31, 2020.</w:t>
      </w:r>
    </w:p>
    <w:p>
      <w:pPr>
        <w:spacing w:after="0" w:line="170" w:lineRule="exact"/>
        <w:rPr>
          <w:sz w:val="20"/>
          <w:szCs w:val="20"/>
          <w:color w:val="auto"/>
        </w:rPr>
      </w:pPr>
    </w:p>
    <w:p>
      <w:pPr>
        <w:ind w:left="60" w:right="259" w:firstLine="648"/>
        <w:spacing w:after="0" w:line="311" w:lineRule="auto"/>
        <w:rPr>
          <w:sz w:val="20"/>
          <w:szCs w:val="20"/>
          <w:color w:val="auto"/>
        </w:rPr>
      </w:pPr>
      <w:r>
        <w:rPr>
          <w:rFonts w:ascii="Arial" w:cs="Arial" w:eastAsia="Arial" w:hAnsi="Arial"/>
          <w:sz w:val="16"/>
          <w:szCs w:val="16"/>
          <w:color w:val="auto"/>
        </w:rPr>
        <w:t>Gross margin increased 210 basis points for the year ended December 31, 2021 compared to year ended December 31, 2020, primarily due to favorable new terms with our pharmacy program partners, the net impact of regular contract renewals with our providers as well as continued efficiencies gained across our care management services.</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Sales and Marketing Expense</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308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8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36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$ 20,179</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$ 15,006</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Sales and marketing expense increased by $5.2 million, or 34%, for the year ended December 31, 2021 compared to the year ended December 31, 2020. This increase was primarily due to a $4.4 million increase in personnel-related costs (including a $3.4 million increase in stock-based compensation) relating to additional headcount, employee equity grants, and commissions for sales and marketing functions, and a $0.8 million increase in other related sales and marketing expenses.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General and Administrative Expense</w:t>
      </w:r>
    </w:p>
    <w:p>
      <w:pPr>
        <w:spacing w:after="0" w:line="218"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70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3"/>
              </w:rPr>
              <w:t>Year Ended</w:t>
            </w:r>
          </w:p>
        </w:tc>
        <w:tc>
          <w:tcPr>
            <w:tcW w:w="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80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2"/>
              </w:rPr>
              <w:t>December 31,</w:t>
            </w:r>
          </w:p>
        </w:tc>
        <w:tc>
          <w:tcPr>
            <w:tcW w:w="68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4800" w:type="dxa"/>
            <w:vAlign w:val="bottom"/>
          </w:tcPr>
          <w:p>
            <w:pPr>
              <w:spacing w:after="0"/>
              <w:rPr>
                <w:sz w:val="12"/>
                <w:szCs w:val="12"/>
                <w:color w:val="auto"/>
              </w:rPr>
            </w:pPr>
          </w:p>
        </w:tc>
        <w:tc>
          <w:tcPr>
            <w:tcW w:w="700" w:type="dxa"/>
            <w:vAlign w:val="bottom"/>
            <w:tcBorders>
              <w:top w:val="single" w:sz="8" w:color="auto"/>
              <w:bottom w:val="single" w:sz="8" w:color="auto"/>
            </w:tcBorders>
          </w:tcPr>
          <w:p>
            <w:pPr>
              <w:jc w:val="right"/>
              <w:ind w:right="12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2"/>
                <w:szCs w:val="12"/>
                <w:color w:val="auto"/>
              </w:rPr>
            </w:pPr>
          </w:p>
        </w:tc>
        <w:tc>
          <w:tcPr>
            <w:tcW w:w="68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4800" w:type="dxa"/>
            <w:vAlign w:val="bottom"/>
          </w:tcPr>
          <w:p>
            <w:pPr>
              <w:spacing w:after="0"/>
              <w:rPr>
                <w:sz w:val="11"/>
                <w:szCs w:val="11"/>
                <w:color w:val="auto"/>
              </w:rPr>
            </w:pPr>
          </w:p>
        </w:tc>
        <w:tc>
          <w:tcPr>
            <w:tcW w:w="840" w:type="dxa"/>
            <w:vAlign w:val="bottom"/>
            <w:gridSpan w:val="2"/>
          </w:tcPr>
          <w:p>
            <w:pPr>
              <w:ind w:left="100"/>
              <w:spacing w:after="0" w:line="129" w:lineRule="exact"/>
              <w:rPr>
                <w:sz w:val="20"/>
                <w:szCs w:val="20"/>
                <w:color w:val="auto"/>
              </w:rPr>
            </w:pPr>
            <w:r>
              <w:rPr>
                <w:rFonts w:ascii="Arial" w:cs="Arial" w:eastAsia="Arial" w:hAnsi="Arial"/>
                <w:sz w:val="14"/>
                <w:szCs w:val="14"/>
                <w:b w:val="1"/>
                <w:bCs w:val="1"/>
                <w:color w:val="auto"/>
              </w:rPr>
              <w:t>(dollars in</w:t>
            </w:r>
          </w:p>
        </w:tc>
        <w:tc>
          <w:tcPr>
            <w:tcW w:w="720" w:type="dxa"/>
            <w:vAlign w:val="bottom"/>
          </w:tcPr>
          <w:p>
            <w:pPr>
              <w:spacing w:after="0" w:line="129" w:lineRule="exact"/>
              <w:rPr>
                <w:sz w:val="20"/>
                <w:szCs w:val="20"/>
                <w:color w:val="auto"/>
              </w:rPr>
            </w:pPr>
            <w:r>
              <w:rPr>
                <w:rFonts w:ascii="Arial" w:cs="Arial" w:eastAsia="Arial" w:hAnsi="Arial"/>
                <w:sz w:val="14"/>
                <w:szCs w:val="14"/>
                <w:b w:val="1"/>
                <w:bCs w:val="1"/>
                <w:color w:val="auto"/>
                <w:w w:val="92"/>
              </w:rPr>
              <w:t>thousands)</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$ 59,616</w:t>
            </w:r>
          </w:p>
        </w:tc>
        <w:tc>
          <w:tcPr>
            <w:tcW w:w="8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$ 46,705</w:t>
            </w: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General and administrative expense increased by $12.9 million, or 28%, for the year ended December 31, 2021 compared to the year ended December 31, 2020. This increase was primarily due to a $16.9 million increase in personnel-related costs (including a $11.6 million increase in stock-based compensation) as a result of additional headcount and employee equity grants, a $4.2 million increase in bad debt expense, and a $1.1 million increase in other related general and administrative expenses, which was partially offset by a $9.3 million decrease in settlement cost and legal fees for a vendor arbitration. See Note 14 – Commitments and Contingencies – in the notes to the consolidated financial statements included in Part II, Item 8, of this Annual Report on Form 10-K for further details regarding the vendor arbitration.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8" w:lineRule="exact"/>
        <w:rPr>
          <w:sz w:val="20"/>
          <w:szCs w:val="20"/>
          <w:color w:val="auto"/>
        </w:rPr>
      </w:pPr>
    </w:p>
    <w:tbl>
      <w:tblPr>
        <w:tblLayout w:type="fixed"/>
        <w:tblInd w:w="88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28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6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5020" w:type="dxa"/>
            <w:vAlign w:val="bottom"/>
          </w:tcPr>
          <w:p>
            <w:pPr>
              <w:spacing w:after="0"/>
              <w:rPr>
                <w:sz w:val="11"/>
                <w:szCs w:val="11"/>
                <w:color w:val="auto"/>
              </w:rPr>
            </w:pPr>
          </w:p>
        </w:tc>
        <w:tc>
          <w:tcPr>
            <w:tcW w:w="800" w:type="dxa"/>
            <w:vAlign w:val="bottom"/>
            <w:gridSpan w:val="3"/>
          </w:tcPr>
          <w:p>
            <w:pPr>
              <w:ind w:left="40"/>
              <w:spacing w:after="0" w:line="129" w:lineRule="exact"/>
              <w:rPr>
                <w:sz w:val="20"/>
                <w:szCs w:val="20"/>
                <w:color w:val="auto"/>
              </w:rPr>
            </w:pPr>
            <w:r>
              <w:rPr>
                <w:rFonts w:ascii="Arial" w:cs="Arial" w:eastAsia="Arial" w:hAnsi="Arial"/>
                <w:sz w:val="14"/>
                <w:szCs w:val="14"/>
                <w:b w:val="1"/>
                <w:bCs w:val="1"/>
                <w:color w:val="auto"/>
              </w:rPr>
              <w:t>(dollars in</w:t>
            </w:r>
          </w:p>
        </w:tc>
        <w:tc>
          <w:tcPr>
            <w:tcW w:w="6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w w:val="79"/>
              </w:rPr>
              <w:t>thousands)</w:t>
            </w: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Other income, net decreased by $0.2 million, or 71%, for the year ended December 31, 2021 compared to the year ended December 31, 2020, primarily due to decreases in income on investments.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Benefit for Income Taxes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Year Ended</w:t>
            </w: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700" w:type="dxa"/>
            <w:vAlign w:val="bottom"/>
            <w:gridSpan w:val="4"/>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1"/>
              </w:rPr>
              <w:t>% Change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4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00" w:type="dxa"/>
            <w:vAlign w:val="bottom"/>
            <w:tcBorders>
              <w:top w:val="single" w:sz="8" w:color="auto"/>
            </w:tcBorders>
          </w:tcPr>
          <w:p>
            <w:pPr>
              <w:jc w:val="right"/>
              <w:ind w:right="148"/>
              <w:spacing w:after="0" w:line="142" w:lineRule="exact"/>
              <w:rPr>
                <w:sz w:val="20"/>
                <w:szCs w:val="20"/>
                <w:color w:val="auto"/>
              </w:rPr>
            </w:pPr>
            <w:r>
              <w:rPr>
                <w:rFonts w:ascii="Arial" w:cs="Arial" w:eastAsia="Arial" w:hAnsi="Arial"/>
                <w:sz w:val="14"/>
                <w:szCs w:val="14"/>
                <w:b w:val="1"/>
                <w:bCs w:val="1"/>
                <w:color w:val="auto"/>
              </w:rPr>
              <w:t>2021</w:t>
            </w:r>
          </w:p>
        </w:tc>
        <w:tc>
          <w:tcPr>
            <w:tcW w:w="840" w:type="dxa"/>
            <w:vAlign w:val="bottom"/>
            <w:tcBorders>
              <w:top w:val="single" w:sz="8" w:color="auto"/>
            </w:tcBorders>
            <w:gridSpan w:val="2"/>
          </w:tcPr>
          <w:p>
            <w:pPr>
              <w:jc w:val="right"/>
              <w:ind w:right="128"/>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24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(dollars in</w:t>
            </w:r>
          </w:p>
        </w:tc>
        <w:tc>
          <w:tcPr>
            <w:tcW w:w="140" w:type="dxa"/>
            <w:vAlign w:val="bottom"/>
          </w:tcPr>
          <w:p>
            <w:pPr>
              <w:spacing w:after="0"/>
              <w:rPr>
                <w:sz w:val="11"/>
                <w:szCs w:val="11"/>
                <w:color w:val="auto"/>
              </w:rPr>
            </w:pPr>
          </w:p>
        </w:tc>
        <w:tc>
          <w:tcPr>
            <w:tcW w:w="70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b w:val="1"/>
                <w:bCs w:val="1"/>
                <w:color w:val="auto"/>
                <w:w w:val="90"/>
              </w:rPr>
              <w:t>thousands)</w:t>
            </w:r>
          </w:p>
        </w:tc>
        <w:tc>
          <w:tcPr>
            <w:tcW w:w="160" w:type="dxa"/>
            <w:vAlign w:val="bottom"/>
          </w:tcPr>
          <w:p>
            <w:pPr>
              <w:spacing w:after="0"/>
              <w:rPr>
                <w:sz w:val="11"/>
                <w:szCs w:val="11"/>
                <w:color w:val="auto"/>
              </w:rPr>
            </w:pPr>
          </w:p>
        </w:tc>
        <w:tc>
          <w:tcPr>
            <w:tcW w:w="6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40" w:type="dxa"/>
            <w:vAlign w:val="bottom"/>
            <w:shd w:val="clear" w:color="auto" w:fill="CCEEFF"/>
          </w:tcPr>
          <w:p>
            <w:pPr>
              <w:spacing w:after="0"/>
              <w:rPr>
                <w:sz w:val="20"/>
                <w:szCs w:val="20"/>
                <w:color w:val="auto"/>
              </w:rPr>
            </w:pPr>
            <w:r>
              <w:rPr>
                <w:rFonts w:ascii="Arial" w:cs="Arial" w:eastAsia="Arial" w:hAnsi="Arial"/>
                <w:sz w:val="18"/>
                <w:szCs w:val="18"/>
                <w:color w:val="auto"/>
              </w:rPr>
              <w:t>Benefit for income taxes</w:t>
            </w:r>
          </w:p>
        </w:tc>
        <w:tc>
          <w:tcPr>
            <w:tcW w:w="2200" w:type="dxa"/>
            <w:vAlign w:val="bottom"/>
            <w:gridSpan w:val="2"/>
            <w:shd w:val="clear" w:color="auto" w:fill="CCEEFF"/>
          </w:tcPr>
          <w:p>
            <w:pPr>
              <w:jc w:val="right"/>
              <w:ind w:right="8"/>
              <w:spacing w:after="0"/>
              <w:rPr>
                <w:sz w:val="20"/>
                <w:szCs w:val="20"/>
                <w:color w:val="auto"/>
              </w:rPr>
            </w:pPr>
            <w:r>
              <w:rPr>
                <w:rFonts w:ascii="Arial" w:cs="Arial" w:eastAsia="Arial" w:hAnsi="Arial"/>
                <w:sz w:val="18"/>
                <w:szCs w:val="18"/>
                <w:color w:val="auto"/>
              </w:rPr>
              <w:t>$ 33,334</w:t>
            </w:r>
          </w:p>
        </w:tc>
        <w:tc>
          <w:tcPr>
            <w:tcW w:w="8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6"/>
              </w:rPr>
              <w:t>$ 37,780</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5" w:name="page66"/>
    <w:bookmarkEnd w:id="6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57" w:lineRule="auto"/>
        <w:rPr>
          <w:sz w:val="20"/>
          <w:szCs w:val="20"/>
          <w:color w:val="auto"/>
        </w:rPr>
      </w:pPr>
      <w:r>
        <w:rPr>
          <w:rFonts w:ascii="Arial" w:cs="Arial" w:eastAsia="Arial" w:hAnsi="Arial"/>
          <w:sz w:val="18"/>
          <w:szCs w:val="18"/>
          <w:color w:val="auto"/>
        </w:rPr>
        <w:t>For the year ended December 31, 2021, we recorded a benefit for income taxes of $33.3 million, primarily due to equity compensation activity that occurred during the period. During the year ended December 31, 2020, we recorded a benefit for income taxes of $37.8 million, primarily as a result of the release of substantially all of our valuation allowance on our deferred tax assets as we concluded there was sufficient positive evidence that it is more likely than not that the deferred tax assets are realizable.</w:t>
      </w:r>
    </w:p>
    <w:p>
      <w:pPr>
        <w:spacing w:after="0" w:line="40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As of December 31, 2021, we had $91.4 million of cash and cash equivalents and $28.0 million of marketable securities. Since inception, we have financed our operations primarily through sales of our solutions and the net proceeds we have received from sales of equity securities as further detailed below.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1st,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8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On October 29, 2019, we completed our IPO in which we issued and sold 6,700,000 shares of our common stock at a public offering price of $13.00 per share. We received net proceeds of approximately $77.6 million from the IPO, after deducting underwriters’ discounts and commissions of $5.9 million and offering costs of $3.6 million. For additional information, See Note 1 – Business and Basis of Presentation to our financial statements included in Part II, Item 8 of this Annual Report on Form 10-K.</w:t>
      </w:r>
    </w:p>
    <w:p>
      <w:pPr>
        <w:spacing w:after="0" w:line="188"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7"/>
          <w:szCs w:val="17"/>
          <w:color w:val="auto"/>
        </w:rPr>
        <w:t>We believe that our existing cash and cash equivalents, including the proceeds from our IPO, and cash flow from operations will be sufficient to support working capital and capital expenditure requirements for at least the next</w:t>
      </w:r>
    </w:p>
    <w:p>
      <w:pPr>
        <w:ind w:left="60" w:right="199"/>
        <w:spacing w:after="0" w:line="255" w:lineRule="auto"/>
        <w:rPr>
          <w:sz w:val="20"/>
          <w:szCs w:val="20"/>
          <w:color w:val="auto"/>
        </w:rPr>
      </w:pPr>
      <w:r>
        <w:rPr>
          <w:rFonts w:ascii="Arial" w:cs="Arial" w:eastAsia="Arial" w:hAnsi="Arial"/>
          <w:sz w:val="18"/>
          <w:szCs w:val="18"/>
          <w:color w:val="auto"/>
        </w:rPr>
        <w:t>12 months. Our future capital requirements will depend on many factors, including sales of our solutions and client renewals, the timing and the amount of cash received from clients, the expansion of our sales and marketing activities and the continuing market adoption of our solutions.</w:t>
      </w:r>
    </w:p>
    <w:p>
      <w:pPr>
        <w:spacing w:after="0" w:line="190"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Other than the impact on our revenue growth and the related cash flows resulting from the various restrictions on activities due to the COVID-19 pandemic, our sources and uses of cash were not otherwise materially impacted by the COVID-19 pandemic in the three months and year ended December 31, 2021 and, to date, we have not identified any material liquidity deficiencies as a result of the COVID-19 pandemic. Based on the information currently available to us, we do not expect the COVID-19 pandemic to have a material impact on our liquidity. We will continue to monitor and assess the impact the COVID-19 pandemic, including variants, may have on our business and financial results. In addition, while the potential impact and duration of the COVID-19 pandemic on the global economy and our business in particular may be difficult to assess or predict, the pandemic has resulted in, and may continue to result in, significant disruption of global financial markets, which could reduce our ability to access capital and could negatively affect our liquidity in the future. If the disruption persists and deepens, we could experience an inability to access additional capital, which could in the future negatively affect our operations. For additional information on the various risks posed by the COVID-19 pandemic, please read Part I, Item 1A. Risk Factors included in this Annual Report on Form 10-K.</w:t>
      </w:r>
    </w:p>
    <w:p>
      <w:pPr>
        <w:spacing w:after="0" w:line="168"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We may, in the future, enter into arrangements to acquire or invest in complementary businesses, products, and technologies. We may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176"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In June 2018, we entered into an agreement with Silicon Valley Bank to replace our then-outstanding term loan with a revolving line of credit of up to $15.0 million, which was amended in April 2019, January 2020, June 2020 and February 2021. The line of credit matured on June 8, 2021.</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6" w:name="page67"/>
    <w:bookmarkEnd w:id="6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summarizes our cash flows from continuing operations for the periods presented:</w:t>
      </w:r>
    </w:p>
    <w:p>
      <w:pPr>
        <w:spacing w:after="0" w:line="230" w:lineRule="exact"/>
        <w:rPr>
          <w:sz w:val="20"/>
          <w:szCs w:val="20"/>
          <w:color w:val="auto"/>
        </w:rPr>
      </w:pPr>
    </w:p>
    <w:p>
      <w:pPr>
        <w:ind w:left="7420"/>
        <w:spacing w:after="0"/>
        <w:rPr>
          <w:sz w:val="20"/>
          <w:szCs w:val="20"/>
          <w:color w:val="auto"/>
        </w:rPr>
      </w:pPr>
      <w:r>
        <w:rPr>
          <w:rFonts w:ascii="Arial" w:cs="Arial" w:eastAsia="Arial" w:hAnsi="Arial"/>
          <w:sz w:val="14"/>
          <w:szCs w:val="14"/>
          <w:b w:val="1"/>
          <w:bCs w:val="1"/>
          <w:color w:val="auto"/>
        </w:rPr>
        <w:t>Year Ended</w:t>
      </w:r>
    </w:p>
    <w:p>
      <w:pPr>
        <w:ind w:left="73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5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w w:val="89"/>
              </w:rPr>
              <w:t>2020</w:t>
            </w:r>
          </w:p>
        </w:tc>
      </w:tr>
      <w:tr>
        <w:trPr>
          <w:trHeight w:val="128"/>
        </w:trPr>
        <w:tc>
          <w:tcPr>
            <w:tcW w:w="52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gridSpan w:val="4"/>
          </w:tcPr>
          <w:p>
            <w:pPr>
              <w:jc w:val="right"/>
              <w:spacing w:after="0" w:line="129" w:lineRule="exact"/>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1"/>
                <w:szCs w:val="11"/>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operating activities</w:t>
            </w:r>
          </w:p>
        </w:tc>
        <w:tc>
          <w:tcPr>
            <w:tcW w:w="158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26,037</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36,203</w:t>
            </w: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Cash provided by (used in) investing activities</w:t>
            </w:r>
          </w:p>
        </w:tc>
        <w:tc>
          <w:tcPr>
            <w:tcW w:w="1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8,766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(40,031)</w:t>
            </w: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Cash used in financing activities</w:t>
            </w:r>
          </w:p>
        </w:tc>
        <w:tc>
          <w:tcPr>
            <w:tcW w:w="1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(6,249)</w:t>
            </w:r>
          </w:p>
        </w:tc>
      </w:tr>
      <w:tr>
        <w:trPr>
          <w:trHeight w:val="209"/>
        </w:trPr>
        <w:tc>
          <w:tcPr>
            <w:tcW w:w="5220" w:type="dxa"/>
            <w:vAlign w:val="bottom"/>
          </w:tcPr>
          <w:p>
            <w:pPr>
              <w:ind w:left="100"/>
              <w:spacing w:after="0"/>
              <w:rPr>
                <w:sz w:val="20"/>
                <w:szCs w:val="20"/>
                <w:color w:val="auto"/>
              </w:rPr>
            </w:pPr>
            <w:r>
              <w:rPr>
                <w:rFonts w:ascii="Arial" w:cs="Arial" w:eastAsia="Arial" w:hAnsi="Arial"/>
                <w:sz w:val="18"/>
                <w:szCs w:val="18"/>
                <w:color w:val="auto"/>
              </w:rPr>
              <w:t>Net increase (decrease) in cash and cash equivalents</w:t>
            </w:r>
          </w:p>
        </w:tc>
        <w:tc>
          <w:tcPr>
            <w:tcW w:w="1360" w:type="dxa"/>
            <w:vAlign w:val="bottom"/>
          </w:tcPr>
          <w:p>
            <w:pPr>
              <w:spacing w:after="0"/>
              <w:rPr>
                <w:sz w:val="18"/>
                <w:szCs w:val="18"/>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21,108</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(10,077)</w:t>
            </w:r>
          </w:p>
        </w:tc>
      </w:tr>
      <w:tr>
        <w:trPr>
          <w:trHeight w:val="20"/>
        </w:trPr>
        <w:tc>
          <w:tcPr>
            <w:tcW w:w="52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60" w:right="179" w:firstLine="648"/>
        <w:spacing w:after="0" w:line="270" w:lineRule="auto"/>
        <w:rPr>
          <w:sz w:val="20"/>
          <w:szCs w:val="20"/>
          <w:color w:val="auto"/>
        </w:rPr>
      </w:pPr>
      <w:r>
        <w:rPr>
          <w:rFonts w:ascii="Arial" w:cs="Arial" w:eastAsia="Arial" w:hAnsi="Arial"/>
          <w:sz w:val="17"/>
          <w:szCs w:val="17"/>
          <w:color w:val="auto"/>
        </w:rPr>
        <w:t>Net cash provided by operating activities was $26.0 million for the year ended December 31, 2021, primarily consisting of net income of $65.8 million adjusted for certain non-cash items, which include $33.7 million of stock-based compensation expense, $33.3 million of deferred tax assets, $9.8 million of bad debt expense, and $1.3 million of depreciation and amortization. Changes in operating assets and liabilities resulted in cash used in operating activities from an increase in accounts receivable of $68.7 million and other noncurrent assets and liabilities of $3.3 million, partially offset by cash provided by operating activities from increases in accounts payable of $17.8 million, accrued expenses and other current liabilities of $2.2 million, and prepaid expenses and other current assets of $0.7 million. These changes are a result of the impact of revenue growth and our operating results as well as the timing of payments to third party providers and collections from customers.</w:t>
      </w:r>
    </w:p>
    <w:p>
      <w:pPr>
        <w:spacing w:after="0" w:line="181"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Net cash provided by operating activities was $36.2 million for the year ended December 31, 2020, primarily consisting of net income of $46.5 million adjusted for certain non-cash items, which include $38.0 million of deferred tax assets, $12.8 million of stock-based compensation expense, $5.6 million of bad debt expense, and $1.9 million of depreciation and amortization. Changes in operating assets and liabilities resulted in cash used in operating activities from an increase in accounts receivable of $35.3 million and prepaid expenses and other current assets of $0.3 million, more than offset by cash provided by operating activities from increases in accounts payable of $25.0 million, accrued expenses and other current liabilities of $17.4 million, and other noncurrent assets and liabilities of $0.6 million. These changes are a result of the impact of revenue growth and our operating results as well as the timing of payments to third party providers and collections from customers. Net cash provided by operating activities for the year ended December 31, 2020 included the impact of the settlement cost and legal fees associated with a vendor arbitration of $8.9 million.</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Net cash provided by investing activities was $8.8 million for the year ended December 31, 2021, which primarily consisted of net proceeds of $10.9 million from marketable securities. For the year ended December 31, 2020, net cash used in investing activities was $40.0 million, primarily consisting of net investments of $39.0 million in marketable securities. The remainder of the activity for the years ended December 31, 2021 and 2020 consisted of purchases of computers, software, including capitalized software development costs, and leasehold improvements, including leasehold improvements associated with the buildout of our new corporate office which was occupied in February 2020.</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ind w:left="60" w:right="339" w:firstLine="648"/>
        <w:spacing w:after="0" w:line="311" w:lineRule="auto"/>
        <w:rPr>
          <w:sz w:val="20"/>
          <w:szCs w:val="20"/>
          <w:color w:val="auto"/>
        </w:rPr>
      </w:pPr>
      <w:r>
        <w:rPr>
          <w:rFonts w:ascii="Arial" w:cs="Arial" w:eastAsia="Arial" w:hAnsi="Arial"/>
          <w:sz w:val="16"/>
          <w:szCs w:val="16"/>
          <w:color w:val="auto"/>
        </w:rPr>
        <w:t>Net cash used in financing activities was $13.7 million for the year ended December 31, 2021, consisting of payments of $18.0 million for employee taxes related to equity awards, partially offset by $2.9 million in proceeds from stock option exercises and $1.3 million in proceeds from contributions to our employee stock purchase plan.</w:t>
      </w:r>
    </w:p>
    <w:p>
      <w:pPr>
        <w:spacing w:after="0" w:line="14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Net cash used in financing activities was $6.2 million for the year ended December 31, 2020, consisting of</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7"/>
          <w:szCs w:val="17"/>
          <w:color w:val="auto"/>
        </w:rPr>
        <w:t>payments of $8.9 million for employee taxes related to equity awards and $0.9 million for IPO costs, partially offset by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$2.3 million in proceeds from stock option exercises and $1.2 million in proceeds from contributions to our employee stock</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purchase plan.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7" w:name="page68"/>
    <w:bookmarkEnd w:id="6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225"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87"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In February 2022, we entered into a lease agreement for additional space in our corporate offices in New York, New York, consisting of a 24,099 square foot office and a 21,262 square foot office, and also for continued occupancy of the 25,212 square foot office after the expiration of the current sublease. For the 24,099 square foot office, we will pay the base rent of approximately $1.4 million per year starting in the fourth quarter of 2023 for five years and approximately $1.5 million per year thereafter through the first quarter of 2035, the expiration date. For the 21,262 square foot office, we will pay the base rent of approximately $1.3 million starting in the first quarter of 2025 for five years and approximately $1.4 million per year thereafter through the first quarter of 2035, the expiration date. For our current 25,212 square foot office, we will pay the base rent of approximately $1.6 million per year beginning in June 2029 through the first quarter of 2035, the expiration date.</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left="60" w:right="499" w:firstLine="648"/>
        <w:spacing w:after="0" w:line="272" w:lineRule="auto"/>
        <w:rPr>
          <w:sz w:val="20"/>
          <w:szCs w:val="20"/>
          <w:color w:val="auto"/>
        </w:rPr>
      </w:pPr>
      <w:r>
        <w:rPr>
          <w:rFonts w:ascii="Arial" w:cs="Arial" w:eastAsia="Arial" w:hAnsi="Arial"/>
          <w:sz w:val="17"/>
          <w:szCs w:val="17"/>
          <w:color w:val="auto"/>
        </w:rPr>
        <w:t>Our consolidated financial statements and accompanying notes have been prepared in accordance with U.S. GAAP. The preparation of these consolidated financial statements requires us to make estimates and assumptions that affect the amounts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77" w:lineRule="exact"/>
        <w:rPr>
          <w:sz w:val="20"/>
          <w:szCs w:val="20"/>
          <w:color w:val="auto"/>
        </w:rPr>
      </w:pPr>
    </w:p>
    <w:p>
      <w:pPr>
        <w:jc w:val="both"/>
        <w:ind w:left="60" w:right="719" w:firstLine="648"/>
        <w:spacing w:after="0" w:line="311" w:lineRule="auto"/>
        <w:rPr>
          <w:sz w:val="20"/>
          <w:szCs w:val="20"/>
          <w:color w:val="auto"/>
        </w:rPr>
      </w:pPr>
      <w:r>
        <w:rPr>
          <w:rFonts w:ascii="Arial" w:cs="Arial" w:eastAsia="Arial" w:hAnsi="Arial"/>
          <w:sz w:val="16"/>
          <w:szCs w:val="16"/>
          <w:color w:val="auto"/>
        </w:rPr>
        <w:t>We believe that the assumptions and estimates associated with our accrued receivables related to revenue recognition, accrued claims payable, stock-based compensation, and accounting for income taxes have the greatest potential impact on our financial statements. Therefore, we consider these to be our critical accounting estimates.</w:t>
      </w:r>
    </w:p>
    <w:p>
      <w:pPr>
        <w:spacing w:after="0" w:line="149" w:lineRule="exact"/>
        <w:rPr>
          <w:sz w:val="20"/>
          <w:szCs w:val="20"/>
          <w:color w:val="auto"/>
        </w:rPr>
      </w:pPr>
    </w:p>
    <w:p>
      <w:pPr>
        <w:ind w:left="60" w:right="279" w:firstLine="648"/>
        <w:spacing w:after="0" w:line="263" w:lineRule="auto"/>
        <w:rPr>
          <w:sz w:val="20"/>
          <w:szCs w:val="20"/>
          <w:color w:val="auto"/>
        </w:rPr>
      </w:pPr>
      <w:r>
        <w:rPr>
          <w:rFonts w:ascii="Arial" w:cs="Arial" w:eastAsia="Arial" w:hAnsi="Arial"/>
          <w:sz w:val="18"/>
          <w:szCs w:val="18"/>
          <w:color w:val="auto"/>
        </w:rPr>
        <w:t>For additional information about our significant accounting policies and estimates, see Note 1 – Business and Basis of Presentation and Note 2 - Summary of Significant Accounting Policies in the notes to the consolidated financial statements included in Part II, Item 8 of this Annual Report on Form 10-K.</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Accrued Receivable and Accrued Claims Payable</w:t>
      </w:r>
    </w:p>
    <w:p>
      <w:pPr>
        <w:spacing w:after="0" w:line="225" w:lineRule="exact"/>
        <w:rPr>
          <w:sz w:val="20"/>
          <w:szCs w:val="20"/>
          <w:color w:val="auto"/>
        </w:rPr>
      </w:pPr>
    </w:p>
    <w:p>
      <w:pPr>
        <w:ind w:left="60" w:right="159" w:firstLine="648"/>
        <w:spacing w:after="0" w:line="301" w:lineRule="auto"/>
        <w:rPr>
          <w:sz w:val="20"/>
          <w:szCs w:val="20"/>
          <w:color w:val="auto"/>
        </w:rPr>
      </w:pPr>
      <w:r>
        <w:rPr>
          <w:rFonts w:ascii="Arial" w:cs="Arial" w:eastAsia="Arial" w:hAnsi="Arial"/>
          <w:sz w:val="16"/>
          <w:szCs w:val="16"/>
          <w:color w:val="auto"/>
        </w:rPr>
        <w:t>Fertility benefits solution revenue is recognized based on the negotiated price with our clients and includes the portion to be paid directly by the member. Revenue is recognized when Smart Cycle services are completed for a member. Revenue is also accrued, which we refer to as accrued receivables, for authorized Smart Cycle services rendered based on member appointments scheduled with a fertility specialist in our network but for which no claim has yet been reported.</w:t>
      </w:r>
    </w:p>
    <w:p>
      <w:pPr>
        <w:spacing w:after="0" w:line="157" w:lineRule="exact"/>
        <w:rPr>
          <w:sz w:val="20"/>
          <w:szCs w:val="20"/>
          <w:color w:val="auto"/>
        </w:rPr>
      </w:pPr>
    </w:p>
    <w:p>
      <w:pPr>
        <w:ind w:left="60" w:right="119" w:firstLine="648"/>
        <w:spacing w:after="0" w:line="275" w:lineRule="auto"/>
        <w:rPr>
          <w:sz w:val="20"/>
          <w:szCs w:val="20"/>
          <w:color w:val="auto"/>
        </w:rPr>
      </w:pPr>
      <w:r>
        <w:rPr>
          <w:rFonts w:ascii="Arial" w:cs="Arial" w:eastAsia="Arial" w:hAnsi="Arial"/>
          <w:sz w:val="17"/>
          <w:szCs w:val="17"/>
          <w:color w:val="auto"/>
        </w:rPr>
        <w:t>We estimate accrued receivables based on historical experience for those fertility benefit services provided but for which a claim has not been received from the provider clinic, which includes assumptions regarding the lag between the authorization date and service date as well as estimates for changes and cancellations of services. We include accrued receivables within accounts receivable on our consolidated balance sheet. As of December 31, 2021 and 2020, accrued receivables were $30.2 million and $28.2 million, respectively.</w:t>
      </w:r>
    </w:p>
    <w:p>
      <w:pPr>
        <w:spacing w:after="0" w:line="176"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At the same time, we estimate cost of services and accrued claims payables based on the amount to be paid to the provider clinic and expected gross margin on fertility benefit services. Accrued claims payable of $20.0 million and $22.8 million as of December 31, 2021 and 2020, respectively, are included within accrued expenses and other current liabilities in the consolidated balance sheet.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Our estimates are adjusted to actual at the time of billing and these adjustments have historically not been</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material.</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We recognize stock-based compensation expense based on the fair value of stock-based awards granted to employees and directors on the date of grant. We estimate the fair value of each stock-based award on the measurement date using either the Black-Scholes option-pricing model for stock options and stock purchased under the employee stock purchase plan or the closing market price of our common stock for restricted stock units.</w:t>
      </w:r>
    </w:p>
    <w:p>
      <w:pPr>
        <w:spacing w:after="0" w:line="171"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The Black-Scholes option-pricing model requires the input of subjective assumptions, including (1) the expected stock price volatility, (2) the expected term of the award, (3) the risk-free interest rate and (4) expected dividends. Due to the lack of historical and implied volatility data of our common stock, the expected stock price volatility is estimated based on the historical volatilities of the daily closing prices of a specified group of companies in our industry for a period equal to the expected term of the option. We selected companies with comparable characteristics to our Company, including enterprise value, risk profiles and position within the industry, that have historical share price information sufficient to meet the expected term of the stock option. The expected term of the award represents the period of time that options granted are expected to be outstanding and is calculated utilizing the simplified method, which is the mid-point between the vesting date and end of the contractual term for each option. The risk-free interest rate is based on the yield of zero-coupon U.S. Treasury securities for the period that is consistent with the expected term of the stock option. The dividend yield is assumed to be none as we have not paid dividends, nor do we anticipate paying dividends. The weighted-average estimated fair value of stock option awards granted in the year ended December 31, 2021 was $30.60. Changes in these inputs could result in a significant change in the fair value of stock options.</w:t>
      </w:r>
    </w:p>
    <w:p>
      <w:pPr>
        <w:spacing w:after="0" w:line="1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assumptions were used to calculate the fair value of stock options granted to employees:</w:t>
      </w:r>
    </w:p>
    <w:p>
      <w:pPr>
        <w:spacing w:after="0" w:line="230" w:lineRule="exact"/>
        <w:rPr>
          <w:sz w:val="20"/>
          <w:szCs w:val="20"/>
          <w:color w:val="auto"/>
        </w:rPr>
      </w:pPr>
    </w:p>
    <w:p>
      <w:pPr>
        <w:ind w:left="7360"/>
        <w:spacing w:after="0"/>
        <w:rPr>
          <w:sz w:val="20"/>
          <w:szCs w:val="20"/>
          <w:color w:val="auto"/>
        </w:rPr>
      </w:pPr>
      <w:r>
        <w:rPr>
          <w:rFonts w:ascii="Arial" w:cs="Arial" w:eastAsia="Arial" w:hAnsi="Arial"/>
          <w:sz w:val="14"/>
          <w:szCs w:val="14"/>
          <w:b w:val="1"/>
          <w:bCs w:val="1"/>
          <w:color w:val="auto"/>
        </w:rPr>
        <w:t>Year Ended</w:t>
      </w:r>
    </w:p>
    <w:p>
      <w:pPr>
        <w:ind w:left="72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6440" w:type="dxa"/>
            <w:vAlign w:val="bottom"/>
            <w:tcBorders>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334"/>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6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52.4% - 59.5%</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49.2% - 54.7%</w:t>
            </w:r>
          </w:p>
        </w:tc>
      </w:tr>
      <w:tr>
        <w:trPr>
          <w:trHeight w:val="216"/>
        </w:trPr>
        <w:tc>
          <w:tcPr>
            <w:tcW w:w="6440" w:type="dxa"/>
            <w:vAlign w:val="bottom"/>
          </w:tcPr>
          <w:p>
            <w:pPr>
              <w:ind w:left="20"/>
              <w:spacing w:after="0"/>
              <w:rPr>
                <w:sz w:val="20"/>
                <w:szCs w:val="20"/>
                <w:color w:val="auto"/>
              </w:rPr>
            </w:pPr>
            <w:r>
              <w:rPr>
                <w:rFonts w:ascii="Arial" w:cs="Arial" w:eastAsia="Arial" w:hAnsi="Arial"/>
                <w:sz w:val="18"/>
                <w:szCs w:val="18"/>
                <w:color w:val="auto"/>
              </w:rPr>
              <w:t>Expected term (years)</w:t>
            </w:r>
          </w:p>
        </w:tc>
        <w:tc>
          <w:tcPr>
            <w:tcW w:w="1160" w:type="dxa"/>
            <w:vAlign w:val="bottom"/>
          </w:tcPr>
          <w:p>
            <w:pPr>
              <w:jc w:val="right"/>
              <w:spacing w:after="0"/>
              <w:rPr>
                <w:sz w:val="20"/>
                <w:szCs w:val="20"/>
                <w:color w:val="auto"/>
              </w:rPr>
            </w:pPr>
            <w:r>
              <w:rPr>
                <w:rFonts w:ascii="Arial" w:cs="Arial" w:eastAsia="Arial" w:hAnsi="Arial"/>
                <w:sz w:val="18"/>
                <w:szCs w:val="18"/>
                <w:color w:val="auto"/>
              </w:rPr>
              <w:t>3.00 - 6.11</w:t>
            </w: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5.50 - 6.11</w:t>
            </w:r>
          </w:p>
        </w:tc>
      </w:tr>
      <w:tr>
        <w:trPr>
          <w:trHeight w:val="216"/>
        </w:trPr>
        <w:tc>
          <w:tcPr>
            <w:tcW w:w="6440" w:type="dxa"/>
            <w:vAlign w:val="bottom"/>
            <w:shd w:val="clear" w:color="auto" w:fill="CCEEFF"/>
          </w:tcPr>
          <w:p>
            <w:pPr>
              <w:ind w:left="20"/>
              <w:spacing w:after="0" w:line="207" w:lineRule="exact"/>
              <w:rPr>
                <w:sz w:val="20"/>
                <w:szCs w:val="20"/>
                <w:color w:val="auto"/>
              </w:rPr>
            </w:pPr>
            <w:r>
              <w:rPr>
                <w:rFonts w:ascii="Arial" w:cs="Arial" w:eastAsia="Arial" w:hAnsi="Arial"/>
                <w:sz w:val="18"/>
                <w:szCs w:val="18"/>
                <w:color w:val="auto"/>
              </w:rPr>
              <w:t>Risk</w:t>
            </w:r>
            <w:r>
              <w:rPr>
                <w:rFonts w:ascii="MS PGothic" w:cs="MS PGothic" w:eastAsia="MS PGothic" w:hAnsi="MS PGothic"/>
                <w:sz w:val="18"/>
                <w:szCs w:val="18"/>
                <w:color w:val="auto"/>
              </w:rPr>
              <w:t>‑</w:t>
            </w:r>
            <w:r>
              <w:rPr>
                <w:rFonts w:ascii="Arial" w:cs="Arial" w:eastAsia="Arial" w:hAnsi="Arial"/>
                <w:sz w:val="18"/>
                <w:szCs w:val="18"/>
                <w:color w:val="auto"/>
              </w:rPr>
              <w:t>free interest rate</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 - 1.4%</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- 1.7%</w:t>
            </w:r>
          </w:p>
        </w:tc>
      </w:tr>
      <w:tr>
        <w:trPr>
          <w:trHeight w:val="230"/>
        </w:trPr>
        <w:tc>
          <w:tcPr>
            <w:tcW w:w="6440" w:type="dxa"/>
            <w:vAlign w:val="bottom"/>
          </w:tcPr>
          <w:p>
            <w:pPr>
              <w:ind w:left="20"/>
              <w:spacing w:after="0"/>
              <w:rPr>
                <w:sz w:val="20"/>
                <w:szCs w:val="20"/>
                <w:color w:val="auto"/>
              </w:rPr>
            </w:pPr>
            <w:r>
              <w:rPr>
                <w:rFonts w:ascii="Arial" w:cs="Arial" w:eastAsia="Arial" w:hAnsi="Arial"/>
                <w:sz w:val="18"/>
                <w:szCs w:val="18"/>
                <w:color w:val="auto"/>
              </w:rPr>
              <w:t>Expected dividend yield</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ind w:left="60" w:right="119" w:firstLine="648"/>
        <w:spacing w:after="0" w:line="293" w:lineRule="auto"/>
        <w:rPr>
          <w:sz w:val="20"/>
          <w:szCs w:val="20"/>
          <w:color w:val="auto"/>
        </w:rPr>
      </w:pPr>
      <w:r>
        <w:rPr>
          <w:rFonts w:ascii="Arial" w:cs="Arial" w:eastAsia="Arial" w:hAnsi="Arial"/>
          <w:sz w:val="16"/>
          <w:szCs w:val="16"/>
          <w:color w:val="auto"/>
        </w:rPr>
        <w:t>Our outstanding stock-based awards as of December 31, 2021 are subject to service-based vesting and we recognize compensation expense over the vesting period of the award on a straight-line basis. Forfeitures and cancellations of awards are recognized as they occur. For the years ended December 31, 2021 and 2020, stock-based compensation expense was $33.7 million and $12.8 million, respectively. As of December 31, 2021, we had $164.2 million and $86.5 million of unrecognized compensation costs related to unvested options and restricted stock units, respectively. Both are expected to be expensed and vest over a weighted-average remaining period of approximately 3.6 years.</w:t>
      </w:r>
    </w:p>
    <w:p>
      <w:pPr>
        <w:spacing w:after="0" w:line="16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left="60" w:right="219" w:firstLine="648"/>
        <w:spacing w:after="0" w:line="254" w:lineRule="auto"/>
        <w:rPr>
          <w:sz w:val="20"/>
          <w:szCs w:val="20"/>
          <w:color w:val="auto"/>
        </w:rPr>
      </w:pPr>
      <w:r>
        <w:rPr>
          <w:rFonts w:ascii="Arial" w:cs="Arial" w:eastAsia="Arial" w:hAnsi="Arial"/>
          <w:sz w:val="18"/>
          <w:szCs w:val="18"/>
          <w:color w:val="auto"/>
        </w:rPr>
        <w:t>We account for income taxes in accordance with FASB ASC Topic 740, Income Taxes (“ASC 740”). Deferred income taxes are recorded for the expected tax consequences of temporary differences between the tax basis of assets and liabilities for financial reporting purposes and amounts recognized for income tax purposes. We periodically review the recoverability of deferred tax assets recorded on the consolidated balance sheet and provide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95"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for each jurisdiction including past operating results, estimates of future taxable income and the feasibility of ongoing tax planning strategies. In the event we change our determination as to the amount of deferred tax assets that can be realized, we will adjust our valuation allowance with a corresponding impact to income tax expense in the period in which such determination is made. As of December 31, 2020, the Company achieved three years of cumulative income, along with projections of profitability, for which management determined that there was sufficient positive evidence to conclude that it is more likely than not that</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308" w:lineRule="auto"/>
        <w:rPr>
          <w:sz w:val="20"/>
          <w:szCs w:val="20"/>
          <w:color w:val="auto"/>
        </w:rPr>
      </w:pPr>
      <w:r>
        <w:rPr>
          <w:rFonts w:ascii="Arial" w:cs="Arial" w:eastAsia="Arial" w:hAnsi="Arial"/>
          <w:sz w:val="17"/>
          <w:szCs w:val="17"/>
          <w:color w:val="auto"/>
        </w:rPr>
        <w:t>substantially all of the deferred tax assets will be realized. As such, we released almost all of the valuation allowance on our realizable deferred tax assets. Management maintains this position as of December 31, 2021.</w:t>
      </w:r>
    </w:p>
    <w:p>
      <w:pPr>
        <w:spacing w:after="0" w:line="14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amount of deferred tax provided is calculated using tax rates enacted at the balance sheet date. The impact of tax law changes is recognized in periods when the change is enacted.</w:t>
      </w:r>
    </w:p>
    <w:p>
      <w:pPr>
        <w:spacing w:after="0" w:line="170" w:lineRule="exact"/>
        <w:rPr>
          <w:sz w:val="20"/>
          <w:szCs w:val="20"/>
          <w:color w:val="auto"/>
        </w:rPr>
      </w:pPr>
    </w:p>
    <w:p>
      <w:pPr>
        <w:ind w:left="60" w:right="939" w:firstLine="648"/>
        <w:spacing w:after="0" w:line="308" w:lineRule="auto"/>
        <w:rPr>
          <w:sz w:val="20"/>
          <w:szCs w:val="20"/>
          <w:color w:val="auto"/>
        </w:rPr>
      </w:pPr>
      <w:r>
        <w:rPr>
          <w:rFonts w:ascii="Arial" w:cs="Arial" w:eastAsia="Arial" w:hAnsi="Arial"/>
          <w:sz w:val="17"/>
          <w:szCs w:val="17"/>
          <w:color w:val="auto"/>
        </w:rPr>
        <w:t>As of December 31, 2021 and 2020, we had $71.3 million and $38.0 million of net deferred tax assets, respectively. There was a valuation allowance of $0.2 million as of December 31, 2021 and 2020.</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For a full discussion of recently adopted accounting pronouncements, see Note 2 – Summary of Significant Accounting Policies, in the consolidated financial statements included in Part II, Item 8 of this Annual Report on Form 10-K.</w:t>
      </w:r>
    </w:p>
    <w:p>
      <w:pPr>
        <w:spacing w:after="0" w:line="180"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jc w:val="both"/>
        <w:ind w:left="60" w:right="179" w:firstLine="648"/>
        <w:spacing w:after="0" w:line="263" w:lineRule="auto"/>
        <w:rPr>
          <w:sz w:val="20"/>
          <w:szCs w:val="20"/>
          <w:color w:val="auto"/>
        </w:rPr>
      </w:pPr>
      <w:r>
        <w:rPr>
          <w:rFonts w:ascii="Arial" w:cs="Arial" w:eastAsia="Arial" w:hAnsi="Arial"/>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60" w:right="159" w:firstLine="648"/>
        <w:spacing w:after="0" w:line="273" w:lineRule="auto"/>
        <w:rPr>
          <w:sz w:val="20"/>
          <w:szCs w:val="20"/>
          <w:color w:val="auto"/>
        </w:rPr>
      </w:pPr>
      <w:r>
        <w:rPr>
          <w:rFonts w:ascii="Arial" w:cs="Arial" w:eastAsia="Arial" w:hAnsi="Arial"/>
          <w:sz w:val="17"/>
          <w:szCs w:val="17"/>
          <w:color w:val="auto"/>
        </w:rPr>
        <w:t>At December 31, 2021, we had cash and cash equivalents of $91.4 million and marketable securities of $28.0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10% change in interest rates would not result in a material impact on our consolidated financial statements.</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Inflation Rate Risk</w:t>
      </w:r>
    </w:p>
    <w:p>
      <w:pPr>
        <w:spacing w:after="0" w:line="225"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39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7380" w:type="dxa"/>
            <w:vAlign w:val="bottom"/>
            <w:gridSpan w:val="7"/>
          </w:tcPr>
          <w:p>
            <w:pPr>
              <w:ind w:left="320"/>
              <w:spacing w:after="0"/>
              <w:rPr>
                <w:sz w:val="20"/>
                <w:szCs w:val="20"/>
                <w:color w:val="auto"/>
              </w:rPr>
            </w:pPr>
            <w:r>
              <w:rPr>
                <w:rFonts w:ascii="Arial" w:cs="Arial" w:eastAsia="Arial" w:hAnsi="Arial"/>
                <w:sz w:val="18"/>
                <w:szCs w:val="18"/>
                <w:b w:val="1"/>
                <w:bCs w:val="1"/>
                <w:color w:val="auto"/>
              </w:rPr>
              <w:t>FINANCIAL STATEMENTS AND SUPPLEMENTARY DATA</w:t>
            </w:r>
          </w:p>
        </w:tc>
        <w:tc>
          <w:tcPr>
            <w:tcW w:w="560" w:type="dxa"/>
            <w:vAlign w:val="bottom"/>
          </w:tcPr>
          <w:p>
            <w:pPr>
              <w:spacing w:after="0"/>
              <w:rPr>
                <w:sz w:val="20"/>
                <w:szCs w:val="20"/>
                <w:color w:val="auto"/>
              </w:rPr>
            </w:pPr>
          </w:p>
        </w:tc>
      </w:tr>
      <w:tr>
        <w:trPr>
          <w:trHeight w:val="432"/>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080" w:type="dxa"/>
            <w:vAlign w:val="bottom"/>
            <w:gridSpan w:val="6"/>
          </w:tcPr>
          <w:p>
            <w:pPr>
              <w:ind w:left="500"/>
              <w:spacing w:after="0"/>
              <w:rPr>
                <w:sz w:val="20"/>
                <w:szCs w:val="20"/>
                <w:color w:val="auto"/>
              </w:rPr>
            </w:pPr>
            <w:r>
              <w:rPr>
                <w:rFonts w:ascii="Arial" w:cs="Arial" w:eastAsia="Arial" w:hAnsi="Arial"/>
                <w:sz w:val="18"/>
                <w:szCs w:val="18"/>
                <w:b w:val="1"/>
                <w:bCs w:val="1"/>
                <w:color w:val="auto"/>
              </w:rPr>
              <w:t>Index to Consolidated Financial Statements</w:t>
            </w:r>
          </w:p>
        </w:tc>
        <w:tc>
          <w:tcPr>
            <w:tcW w:w="560" w:type="dxa"/>
            <w:vAlign w:val="bottom"/>
          </w:tcPr>
          <w:p>
            <w:pPr>
              <w:spacing w:after="0"/>
              <w:rPr>
                <w:sz w:val="24"/>
                <w:szCs w:val="24"/>
                <w:color w:val="auto"/>
              </w:rPr>
            </w:pPr>
          </w:p>
        </w:tc>
      </w:tr>
      <w:tr>
        <w:trPr>
          <w:trHeight w:val="405"/>
        </w:trPr>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r>
      <w:tr>
        <w:trPr>
          <w:trHeight w:val="385"/>
        </w:trPr>
        <w:tc>
          <w:tcPr>
            <w:tcW w:w="8340" w:type="dxa"/>
            <w:vAlign w:val="bottom"/>
            <w:gridSpan w:val="9"/>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 xml:space="preserve">Report of Independent Registered Public Accounting Firm </w:t>
              </w:r>
            </w:hyperlink>
            <w:r>
              <w:rPr>
                <w:rFonts w:ascii="Arial" w:cs="Arial" w:eastAsia="Arial" w:hAnsi="Arial"/>
                <w:sz w:val="18"/>
                <w:szCs w:val="18"/>
                <w:color w:val="000000"/>
              </w:rPr>
              <w:t>(PCAOB</w:t>
            </w:r>
            <w:r>
              <w:rPr>
                <w:rFonts w:ascii="Arial" w:cs="Arial" w:eastAsia="Arial" w:hAnsi="Arial"/>
                <w:sz w:val="18"/>
                <w:szCs w:val="18"/>
                <w:color w:val="0000EE"/>
              </w:rPr>
              <w:t xml:space="preserve"> </w:t>
            </w:r>
            <w:r>
              <w:rPr>
                <w:rFonts w:ascii="Arial" w:cs="Arial" w:eastAsia="Arial" w:hAnsi="Arial"/>
                <w:sz w:val="18"/>
                <w:szCs w:val="18"/>
                <w:color w:val="000000"/>
              </w:rPr>
              <w:t>ID 42)</w:t>
            </w:r>
          </w:p>
        </w:tc>
        <w:tc>
          <w:tcPr>
            <w:tcW w:w="56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4220" w:type="dxa"/>
            <w:vAlign w:val="bottom"/>
            <w:tcBorders>
              <w:top w:val="single" w:sz="8" w:color="0000EE"/>
            </w:tcBorders>
            <w:gridSpan w:val="7"/>
          </w:tcPr>
          <w:p>
            <w:pPr>
              <w:spacing w:after="0"/>
              <w:rPr>
                <w:sz w:val="20"/>
                <w:szCs w:val="20"/>
                <w:color w:val="auto"/>
              </w:rPr>
            </w:pPr>
            <w:r>
              <w:rPr>
                <w:rFonts w:ascii="Arial" w:cs="Arial" w:eastAsia="Arial" w:hAnsi="Arial"/>
                <w:sz w:val="18"/>
                <w:szCs w:val="18"/>
                <w:color w:val="auto"/>
              </w:rPr>
              <w:t>Financial Statements:</w:t>
            </w:r>
          </w:p>
        </w:tc>
        <w:tc>
          <w:tcPr>
            <w:tcW w:w="4120" w:type="dxa"/>
            <w:vAlign w:val="bottom"/>
            <w:gridSpan w:val="2"/>
          </w:tcPr>
          <w:p>
            <w:pPr>
              <w:spacing w:after="0"/>
              <w:rPr>
                <w:sz w:val="19"/>
                <w:szCs w:val="19"/>
                <w:color w:val="auto"/>
              </w:rPr>
            </w:pPr>
          </w:p>
        </w:tc>
        <w:tc>
          <w:tcPr>
            <w:tcW w:w="560" w:type="dxa"/>
            <w:vAlign w:val="bottom"/>
          </w:tcPr>
          <w:p>
            <w:pPr>
              <w:spacing w:after="0"/>
              <w:rPr>
                <w:sz w:val="19"/>
                <w:szCs w:val="19"/>
                <w:color w:val="auto"/>
              </w:rPr>
            </w:pPr>
          </w:p>
        </w:tc>
      </w:tr>
      <w:tr>
        <w:trPr>
          <w:trHeight w:val="190"/>
        </w:trPr>
        <w:tc>
          <w:tcPr>
            <w:tcW w:w="180" w:type="dxa"/>
            <w:vAlign w:val="bottom"/>
          </w:tcPr>
          <w:p>
            <w:pPr>
              <w:spacing w:after="0"/>
              <w:rPr>
                <w:sz w:val="16"/>
                <w:szCs w:val="16"/>
                <w:color w:val="auto"/>
              </w:rPr>
            </w:pPr>
          </w:p>
        </w:tc>
        <w:tc>
          <w:tcPr>
            <w:tcW w:w="8160" w:type="dxa"/>
            <w:vAlign w:val="bottom"/>
            <w:gridSpan w:val="8"/>
          </w:tcPr>
          <w:p>
            <w:pPr>
              <w:spacing w:after="0" w:line="190"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r>
      <w:tr>
        <w:trPr>
          <w:trHeight w:val="20"/>
        </w:trPr>
        <w:tc>
          <w:tcPr>
            <w:tcW w:w="180" w:type="dxa"/>
            <w:vAlign w:val="bottom"/>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180" w:type="dxa"/>
            <w:vAlign w:val="bottom"/>
          </w:tcPr>
          <w:p>
            <w:pPr>
              <w:spacing w:after="0" w:line="20" w:lineRule="exact"/>
              <w:rPr>
                <w:sz w:val="1"/>
                <w:szCs w:val="1"/>
                <w:color w:val="auto"/>
              </w:rPr>
            </w:pPr>
          </w:p>
        </w:tc>
        <w:tc>
          <w:tcPr>
            <w:tcW w:w="28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8"/>
          </w:tcPr>
          <w:p>
            <w:pPr>
              <w:spacing w:after="0" w:line="196" w:lineRule="exact"/>
              <w:rPr>
                <w:rFonts w:ascii="Arial" w:cs="Arial" w:eastAsia="Arial" w:hAnsi="Arial"/>
                <w:sz w:val="18"/>
                <w:szCs w:val="18"/>
                <w:color w:val="0000EE"/>
              </w:rPr>
            </w:pPr>
            <w:hyperlink w:anchor="page75">
              <w:r>
                <w:rPr>
                  <w:rFonts w:ascii="Arial" w:cs="Arial" w:eastAsia="Arial" w:hAnsi="Arial"/>
                  <w:sz w:val="18"/>
                  <w:szCs w:val="18"/>
                  <w:color w:val="0000EE"/>
                </w:rPr>
                <w:t>Consolidated Statements Comprehensive Income (Loss)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r>
      <w:tr>
        <w:trPr>
          <w:trHeight w:val="20"/>
        </w:trPr>
        <w:tc>
          <w:tcPr>
            <w:tcW w:w="18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8"/>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Changes in Convertible Preferred Stock and Stockholders’ Equity (Deficit</w:t>
              </w:r>
            </w:hyperlink>
            <w:r>
              <w:rPr>
                <w:rFonts w:ascii="Arial" w:cs="Arial" w:eastAsia="Arial" w:hAnsi="Arial"/>
                <w:sz w:val="18"/>
                <w:szCs w:val="18"/>
                <w:color w:val="000000"/>
              </w:rPr>
              <w:t>)</w:t>
            </w: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r>
      <w:tr>
        <w:trPr>
          <w:trHeight w:val="196"/>
        </w:trPr>
        <w:tc>
          <w:tcPr>
            <w:tcW w:w="180" w:type="dxa"/>
            <w:vAlign w:val="bottom"/>
          </w:tcPr>
          <w:p>
            <w:pPr>
              <w:spacing w:after="0"/>
              <w:rPr>
                <w:sz w:val="17"/>
                <w:szCs w:val="17"/>
                <w:color w:val="auto"/>
              </w:rPr>
            </w:pPr>
          </w:p>
        </w:tc>
        <w:tc>
          <w:tcPr>
            <w:tcW w:w="73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w:t>
              </w:r>
            </w:hyperlink>
          </w:p>
        </w:tc>
        <w:tc>
          <w:tcPr>
            <w:tcW w:w="80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r>
      <w:tr>
        <w:trPr>
          <w:trHeight w:val="20"/>
        </w:trPr>
        <w:tc>
          <w:tcPr>
            <w:tcW w:w="180" w:type="dxa"/>
            <w:vAlign w:val="bottom"/>
          </w:tcPr>
          <w:p>
            <w:pPr>
              <w:spacing w:after="0" w:line="20" w:lineRule="exact"/>
              <w:rPr>
                <w:sz w:val="1"/>
                <w:szCs w:val="1"/>
                <w:color w:val="auto"/>
              </w:rPr>
            </w:pPr>
          </w:p>
        </w:tc>
        <w:tc>
          <w:tcPr>
            <w:tcW w:w="28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8"/>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r>
      <w:tr>
        <w:trPr>
          <w:trHeight w:val="20"/>
        </w:trPr>
        <w:tc>
          <w:tcPr>
            <w:tcW w:w="180" w:type="dxa"/>
            <w:vAlign w:val="bottom"/>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30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0" w:name="page71"/>
    <w:bookmarkEnd w:id="7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Progyny,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We have audited the accompanying consolidated balance sheets of Progyny, Inc. (the Company) as of December 31, 2021 and 2020, the related consolidated statements of operations, comprehensive income (loss), changes in convertible preferred stock and stockholders' equity (deficit), and cash flows for each of the three years in the period ended December 31, 2021, and the related notes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 in conformity with U.S. generally accepted accounting principles.</w:t>
      </w:r>
    </w:p>
    <w:p>
      <w:pPr>
        <w:spacing w:after="0" w:line="166"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December 31, 2021, based on criteria established in Internal Control-Integrated Framework issued by the Committee of Sponsoring Organizations of the Treadway Commission “(2013 framework)” and our report dated March 1, 2022 expressed an unqualified opinion thereon.</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301"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4" w:lineRule="exact"/>
        <w:rPr>
          <w:sz w:val="20"/>
          <w:szCs w:val="20"/>
          <w:color w:val="auto"/>
        </w:rPr>
      </w:pPr>
    </w:p>
    <w:p>
      <w:pPr>
        <w:jc w:val="both"/>
        <w:ind w:left="60" w:right="59" w:firstLine="648"/>
        <w:spacing w:after="0" w:line="271"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Audit Matter</w:t>
      </w:r>
    </w:p>
    <w:p>
      <w:pPr>
        <w:spacing w:after="0" w:line="229" w:lineRule="exact"/>
        <w:rPr>
          <w:sz w:val="20"/>
          <w:szCs w:val="20"/>
          <w:color w:val="auto"/>
        </w:rPr>
      </w:pPr>
    </w:p>
    <w:p>
      <w:pPr>
        <w:jc w:val="both"/>
        <w:ind w:left="60" w:right="59" w:firstLine="648"/>
        <w:spacing w:after="0" w:line="273"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b w:val="1"/>
                <w:bCs w:val="1"/>
                <w:i w:val="1"/>
                <w:iCs w:val="1"/>
                <w:color w:val="auto"/>
              </w:rPr>
              <w:t>Accrued Receivables and Accrued Claims Payable</w:t>
            </w:r>
          </w:p>
        </w:tc>
        <w:tc>
          <w:tcPr>
            <w:tcW w:w="0" w:type="dxa"/>
            <w:vAlign w:val="bottom"/>
          </w:tcPr>
          <w:p>
            <w:pPr>
              <w:spacing w:after="0"/>
              <w:rPr>
                <w:sz w:val="1"/>
                <w:szCs w:val="1"/>
                <w:color w:val="auto"/>
              </w:rPr>
            </w:pPr>
          </w:p>
        </w:tc>
      </w:tr>
      <w:tr>
        <w:trPr>
          <w:trHeight w:val="404"/>
        </w:trPr>
        <w:tc>
          <w:tcPr>
            <w:tcW w:w="1420" w:type="dxa"/>
            <w:vAlign w:val="bottom"/>
          </w:tcPr>
          <w:p>
            <w:pPr>
              <w:spacing w:after="0"/>
              <w:rPr>
                <w:sz w:val="20"/>
                <w:szCs w:val="20"/>
                <w:color w:val="auto"/>
              </w:rPr>
            </w:pPr>
            <w:r>
              <w:rPr>
                <w:rFonts w:ascii="Arial" w:cs="Arial" w:eastAsia="Arial" w:hAnsi="Arial"/>
                <w:sz w:val="18"/>
                <w:szCs w:val="18"/>
                <w:i w:val="1"/>
                <w:iCs w:val="1"/>
                <w:color w:val="auto"/>
                <w:w w:val="99"/>
              </w:rPr>
              <w:t>Description of the</w:t>
            </w:r>
          </w:p>
        </w:tc>
        <w:tc>
          <w:tcPr>
            <w:tcW w:w="7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i w:val="1"/>
                <w:iCs w:val="1"/>
                <w:color w:val="auto"/>
              </w:rPr>
              <w:t>Matter</w:t>
            </w:r>
          </w:p>
        </w:tc>
        <w:tc>
          <w:tcPr>
            <w:tcW w:w="7460" w:type="dxa"/>
            <w:vAlign w:val="bottom"/>
            <w:vMerge w:val="restart"/>
          </w:tcPr>
          <w:p>
            <w:pPr>
              <w:ind w:left="120"/>
              <w:spacing w:after="0"/>
              <w:rPr>
                <w:sz w:val="20"/>
                <w:szCs w:val="20"/>
                <w:color w:val="auto"/>
              </w:rPr>
            </w:pPr>
            <w:r>
              <w:rPr>
                <w:rFonts w:ascii="Arial" w:cs="Arial" w:eastAsia="Arial" w:hAnsi="Arial"/>
                <w:sz w:val="18"/>
                <w:szCs w:val="18"/>
                <w:color w:val="auto"/>
                <w:w w:val="92"/>
              </w:rPr>
              <w:t>As of December 31, 2021, accrued receivables and accrued claims payable were $30.2 million and</w:t>
            </w:r>
          </w:p>
        </w:tc>
        <w:tc>
          <w:tcPr>
            <w:tcW w:w="0" w:type="dxa"/>
            <w:vAlign w:val="bottom"/>
          </w:tcPr>
          <w:p>
            <w:pPr>
              <w:spacing w:after="0"/>
              <w:rPr>
                <w:sz w:val="1"/>
                <w:szCs w:val="1"/>
                <w:color w:val="auto"/>
              </w:rPr>
            </w:pPr>
          </w:p>
        </w:tc>
      </w:tr>
      <w:tr>
        <w:trPr>
          <w:trHeight w:val="202"/>
        </w:trPr>
        <w:tc>
          <w:tcPr>
            <w:tcW w:w="1420" w:type="dxa"/>
            <w:vAlign w:val="bottom"/>
          </w:tcPr>
          <w:p>
            <w:pPr>
              <w:spacing w:after="0"/>
              <w:rPr>
                <w:sz w:val="17"/>
                <w:szCs w:val="17"/>
                <w:color w:val="auto"/>
              </w:rPr>
            </w:pPr>
          </w:p>
        </w:tc>
        <w:tc>
          <w:tcPr>
            <w:tcW w:w="74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7"/>
              </w:rPr>
              <w:t>$20.0 million, respectively. As discussed in Note 2 to the consolidated financial statements,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3"/>
              </w:rPr>
              <w:t>Company estimates accrued receivables for those fertility benefit services provided but for which a</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6"/>
              </w:rPr>
              <w:t>claim has not been received from the provider clinic based on historical claims experience.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3"/>
              </w:rPr>
              <w:t>estimated cost of the related services and accrued claims payable are determined based upon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4"/>
              </w:rPr>
              <w:t>amount to be paid to the provider clinic and expected gross margin on each related fertility benefit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service estimated to have been provided.</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0"/>
              </w:rPr>
              <w:t>Auditing the Company’s estimates of accrued receivables and the related accrued claims payable was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9"/>
              </w:rPr>
              <w:t>complex and required significant judgment as the estimates were sensitive to changes in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significant assumptions, including management’s assumptions regarding the lag between</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authorization date and service date, service changes and cancellations.</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0"/>
                <w:szCs w:val="20"/>
                <w:color w:val="auto"/>
              </w:rPr>
            </w:pPr>
            <w:r>
              <w:rPr>
                <w:rFonts w:ascii="Arial" w:cs="Arial" w:eastAsia="Arial" w:hAnsi="Arial"/>
                <w:sz w:val="18"/>
                <w:szCs w:val="18"/>
                <w:i w:val="1"/>
                <w:iCs w:val="1"/>
                <w:color w:val="auto"/>
              </w:rPr>
              <w:t>How We</w:t>
            </w:r>
          </w:p>
        </w:tc>
        <w:tc>
          <w:tcPr>
            <w:tcW w:w="7460" w:type="dxa"/>
            <w:vAlign w:val="bottom"/>
          </w:tcPr>
          <w:p>
            <w:pPr>
              <w:ind w:left="120"/>
              <w:spacing w:after="0"/>
              <w:rPr>
                <w:sz w:val="20"/>
                <w:szCs w:val="20"/>
                <w:color w:val="auto"/>
              </w:rPr>
            </w:pPr>
            <w:r>
              <w:rPr>
                <w:rFonts w:ascii="Arial" w:cs="Arial" w:eastAsia="Arial" w:hAnsi="Arial"/>
                <w:sz w:val="18"/>
                <w:szCs w:val="18"/>
                <w:color w:val="auto"/>
                <w:w w:val="93"/>
              </w:rPr>
              <w:t>We obtained an understanding, evaluated the design, and tested the operating effectiveness of the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i w:val="1"/>
                <w:iCs w:val="1"/>
                <w:color w:val="auto"/>
              </w:rPr>
              <w:t>Addressed the</w:t>
            </w:r>
          </w:p>
        </w:tc>
        <w:tc>
          <w:tcPr>
            <w:tcW w:w="7460" w:type="dxa"/>
            <w:vAlign w:val="bottom"/>
          </w:tcPr>
          <w:p>
            <w:pPr>
              <w:ind w:left="120"/>
              <w:spacing w:after="0"/>
              <w:rPr>
                <w:sz w:val="20"/>
                <w:szCs w:val="20"/>
                <w:color w:val="auto"/>
              </w:rPr>
            </w:pPr>
            <w:r>
              <w:rPr>
                <w:rFonts w:ascii="Arial" w:cs="Arial" w:eastAsia="Arial" w:hAnsi="Arial"/>
                <w:sz w:val="18"/>
                <w:szCs w:val="18"/>
                <w:color w:val="auto"/>
                <w:w w:val="95"/>
              </w:rPr>
              <w:t>controls over the Company’s process to estimate accrued receivables and the associated claims</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20"/>
                <w:szCs w:val="20"/>
                <w:color w:val="auto"/>
              </w:rPr>
            </w:pPr>
            <w:r>
              <w:rPr>
                <w:rFonts w:ascii="Arial" w:cs="Arial" w:eastAsia="Arial" w:hAnsi="Arial"/>
                <w:sz w:val="18"/>
                <w:szCs w:val="18"/>
                <w:i w:val="1"/>
                <w:iCs w:val="1"/>
                <w:color w:val="auto"/>
              </w:rPr>
              <w:t>Matter in Our</w:t>
            </w:r>
          </w:p>
        </w:tc>
        <w:tc>
          <w:tcPr>
            <w:tcW w:w="7460" w:type="dxa"/>
            <w:vAlign w:val="bottom"/>
          </w:tcPr>
          <w:p>
            <w:pPr>
              <w:ind w:left="120"/>
              <w:spacing w:after="0"/>
              <w:rPr>
                <w:sz w:val="20"/>
                <w:szCs w:val="20"/>
                <w:color w:val="auto"/>
              </w:rPr>
            </w:pPr>
            <w:r>
              <w:rPr>
                <w:rFonts w:ascii="Arial" w:cs="Arial" w:eastAsia="Arial" w:hAnsi="Arial"/>
                <w:sz w:val="18"/>
                <w:szCs w:val="18"/>
                <w:color w:val="auto"/>
                <w:w w:val="91"/>
              </w:rPr>
              <w:t>payable. For example, we tested controls over management’s review of the methodology, significant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r>
              <w:rPr>
                <w:rFonts w:ascii="Arial" w:cs="Arial" w:eastAsia="Arial" w:hAnsi="Arial"/>
                <w:sz w:val="18"/>
                <w:szCs w:val="18"/>
                <w:i w:val="1"/>
                <w:iCs w:val="1"/>
                <w:color w:val="auto"/>
              </w:rPr>
              <w:t>Audit</w:t>
            </w:r>
          </w:p>
        </w:tc>
        <w:tc>
          <w:tcPr>
            <w:tcW w:w="7460" w:type="dxa"/>
            <w:vAlign w:val="bottom"/>
          </w:tcPr>
          <w:p>
            <w:pPr>
              <w:ind w:left="120"/>
              <w:spacing w:after="0"/>
              <w:rPr>
                <w:sz w:val="20"/>
                <w:szCs w:val="20"/>
                <w:color w:val="auto"/>
              </w:rPr>
            </w:pPr>
            <w:r>
              <w:rPr>
                <w:rFonts w:ascii="Arial" w:cs="Arial" w:eastAsia="Arial" w:hAnsi="Arial"/>
                <w:sz w:val="18"/>
                <w:szCs w:val="18"/>
                <w:color w:val="auto"/>
              </w:rPr>
              <w:t>assumptions and the underlying data used to determine these estimates.</w:t>
            </w:r>
          </w:p>
        </w:tc>
        <w:tc>
          <w:tcPr>
            <w:tcW w:w="0" w:type="dxa"/>
            <w:vAlign w:val="bottom"/>
          </w:tcPr>
          <w:p>
            <w:pPr>
              <w:spacing w:after="0"/>
              <w:rPr>
                <w:sz w:val="1"/>
                <w:szCs w:val="1"/>
                <w:color w:val="auto"/>
              </w:rPr>
            </w:pPr>
          </w:p>
        </w:tc>
      </w:tr>
      <w:tr>
        <w:trPr>
          <w:trHeight w:val="418"/>
        </w:trPr>
        <w:tc>
          <w:tcPr>
            <w:tcW w:w="1420" w:type="dxa"/>
            <w:vAlign w:val="bottom"/>
          </w:tcPr>
          <w:p>
            <w:pPr>
              <w:spacing w:after="0"/>
              <w:rPr>
                <w:sz w:val="24"/>
                <w:szCs w:val="24"/>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0"/>
              </w:rPr>
              <w:t>To test the accrued receivables and the related claims payable, our audit procedures included, among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89"/>
              </w:rPr>
              <w:t>others, assessing the methodology, evaluating the significant assumptions described above and testing</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0"/>
              </w:rPr>
              <w:t>the completeness and accuracy of the underlying data used in the Company’s analysis. For example,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3"/>
              </w:rPr>
              <w:t>we tested the Company’s assumptions of the lag between the authorization date and service date,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0"/>
              </w:rPr>
              <w:t>service changes and cancellations based on historical claims data, historical gross margin per service</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2"/>
              </w:rPr>
              <w:t>and tested the clerical accuracy of management’s analysis. Additionally, we evaluated the historical</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5"/>
              </w:rPr>
              <w:t>accuracy of management’s estimate by testing management’s retrospective review analysis that</w:t>
            </w:r>
          </w:p>
        </w:tc>
        <w:tc>
          <w:tcPr>
            <w:tcW w:w="0" w:type="dxa"/>
            <w:vAlign w:val="bottom"/>
          </w:tcPr>
          <w:p>
            <w:pPr>
              <w:spacing w:after="0"/>
              <w:rPr>
                <w:sz w:val="1"/>
                <w:szCs w:val="1"/>
                <w:color w:val="auto"/>
              </w:rPr>
            </w:pPr>
          </w:p>
        </w:tc>
      </w:tr>
      <w:tr>
        <w:trPr>
          <w:trHeight w:val="216"/>
        </w:trPr>
        <w:tc>
          <w:tcPr>
            <w:tcW w:w="1420" w:type="dxa"/>
            <w:vAlign w:val="bottom"/>
          </w:tcPr>
          <w:p>
            <w:pPr>
              <w:spacing w:after="0"/>
              <w:rPr>
                <w:sz w:val="18"/>
                <w:szCs w:val="18"/>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w w:val="95"/>
              </w:rPr>
              <w:t>compared the prior period’s estimated accrued receivables and accrued claims payable to actual</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460" w:type="dxa"/>
            <w:vAlign w:val="bottom"/>
          </w:tcPr>
          <w:p>
            <w:pPr>
              <w:ind w:left="120"/>
              <w:spacing w:after="0"/>
              <w:rPr>
                <w:sz w:val="20"/>
                <w:szCs w:val="20"/>
                <w:color w:val="auto"/>
              </w:rPr>
            </w:pPr>
            <w:r>
              <w:rPr>
                <w:rFonts w:ascii="Arial" w:cs="Arial" w:eastAsia="Arial" w:hAnsi="Arial"/>
                <w:sz w:val="18"/>
                <w:szCs w:val="18"/>
                <w:color w:val="auto"/>
              </w:rPr>
              <w:t>billing and claims data.</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2012.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2" w:name="page73"/>
    <w:bookmarkEnd w:id="7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71"/>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0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and cash equivalents</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91,413</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Marketable securities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28,005</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38,994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Accounts receivable, net of $17,379 and $9,502 of allowances at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2021 and 2020, respectively</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134,557</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4,564</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5,259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258,539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5,027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7,805</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Goodwill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11,880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Deferred tax assets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71,274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assets</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49"/>
        </w:trPr>
        <w:tc>
          <w:tcPr>
            <w:tcW w:w="60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358,065</w:t>
            </w:r>
          </w:p>
        </w:tc>
        <w:tc>
          <w:tcPr>
            <w:tcW w:w="200" w:type="dxa"/>
            <w:vAlign w:val="bottom"/>
          </w:tcPr>
          <w:p>
            <w:pPr>
              <w:spacing w:after="0"/>
              <w:rPr>
                <w:sz w:val="21"/>
                <w:szCs w:val="21"/>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60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 AND STOCKHOLDERS’ EQUITY</w:t>
            </w:r>
          </w:p>
        </w:tc>
        <w:tc>
          <w:tcPr>
            <w:tcW w:w="3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Accounts payable</w:t>
            </w:r>
          </w:p>
        </w:tc>
        <w:tc>
          <w:tcPr>
            <w:tcW w:w="58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61,399</w:t>
            </w:r>
          </w:p>
        </w:tc>
        <w:tc>
          <w:tcPr>
            <w:tcW w:w="560" w:type="dxa"/>
            <w:vAlign w:val="bottom"/>
            <w:gridSpan w:val="2"/>
            <w:shd w:val="clear" w:color="auto" w:fill="CCEEFF"/>
          </w:tcPr>
          <w:p>
            <w:pPr>
              <w:jc w:val="right"/>
              <w:ind w:right="207"/>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 and other current liabilities</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34,272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98,824</w:t>
            </w: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Operating lease noncurrent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7,419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Total liabilities</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106,243</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86,980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Commitments and Contingencies </w:t>
            </w:r>
            <w:r>
              <w:rPr>
                <w:rFonts w:ascii="Arial" w:cs="Arial" w:eastAsia="Arial" w:hAnsi="Arial"/>
                <w:sz w:val="18"/>
                <w:szCs w:val="18"/>
                <w:i w:val="1"/>
                <w:iCs w:val="1"/>
                <w:color w:val="auto"/>
              </w:rPr>
              <w:t>(Note 14)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Common stock, $0.0001 par value; 1,000,000,000 shares authorized at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w w:val="93"/>
              </w:rPr>
              <w:t>December 31, 2021 and 2020, respectively; 91,088,781 and 87,054,329 shares</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issued and outstanding at December 31, 2021 and 2020, respectively</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Additional paid-in capital</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255,339</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236,139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rPr>
              <w:t>Treasury stock, at cost, $0.0001 par value; 615,980 shares outstanding at</w:t>
            </w:r>
          </w:p>
        </w:tc>
        <w:tc>
          <w:tcPr>
            <w:tcW w:w="3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December 31, 2021 and 2020, respectively</w:t>
            </w:r>
          </w:p>
        </w:tc>
        <w:tc>
          <w:tcPr>
            <w:tcW w:w="3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tcPr>
          <w:p>
            <w:pPr>
              <w:ind w:left="80"/>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(2,424)</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(68,193)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stockholders’ equity</w:t>
            </w:r>
          </w:p>
        </w:tc>
        <w:tc>
          <w:tcPr>
            <w:tcW w:w="3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251,822</w:t>
            </w:r>
          </w:p>
        </w:tc>
        <w:tc>
          <w:tcPr>
            <w:tcW w:w="2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166,947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3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358,065</w:t>
            </w:r>
          </w:p>
        </w:tc>
        <w:tc>
          <w:tcPr>
            <w:tcW w:w="2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Year Ended</w:t>
      </w:r>
    </w:p>
    <w:p>
      <w:pPr>
        <w:ind w:left="67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54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344,858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229,683</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services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388,486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274,799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184,178</w:t>
            </w:r>
          </w:p>
        </w:tc>
        <w:tc>
          <w:tcPr>
            <w:tcW w:w="0" w:type="dxa"/>
            <w:vAlign w:val="bottom"/>
          </w:tcPr>
          <w:p>
            <w:pPr>
              <w:spacing w:after="0"/>
              <w:rPr>
                <w:sz w:val="1"/>
                <w:szCs w:val="1"/>
                <w:color w:val="auto"/>
              </w:rPr>
            </w:pPr>
          </w:p>
        </w:tc>
      </w:tr>
      <w:tr>
        <w:trPr>
          <w:trHeight w:val="209"/>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112,135</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70,059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45,505</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Sales and marketing</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11,901</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59,616</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46,705</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23,927</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79,795</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35,828</w:t>
            </w:r>
          </w:p>
        </w:tc>
        <w:tc>
          <w:tcPr>
            <w:tcW w:w="0" w:type="dxa"/>
            <w:vAlign w:val="bottom"/>
          </w:tcPr>
          <w:p>
            <w:pPr>
              <w:spacing w:after="0"/>
              <w:rPr>
                <w:sz w:val="1"/>
                <w:szCs w:val="1"/>
                <w:color w:val="auto"/>
              </w:rPr>
            </w:pPr>
          </w:p>
        </w:tc>
      </w:tr>
      <w:tr>
        <w:trPr>
          <w:trHeight w:val="209"/>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32,340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8,348</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9,677</w:t>
            </w:r>
          </w:p>
        </w:tc>
        <w:tc>
          <w:tcPr>
            <w:tcW w:w="0" w:type="dxa"/>
            <w:vAlign w:val="bottom"/>
          </w:tcPr>
          <w:p>
            <w:pPr>
              <w:spacing w:after="0"/>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Other income (expense), net</w:t>
            </w:r>
          </w:p>
        </w:tc>
        <w:tc>
          <w:tcPr>
            <w:tcW w:w="1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210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income (expense), net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Convertible preferred stock warrant valuation adjustment</w:t>
            </w:r>
          </w:p>
        </w:tc>
        <w:tc>
          <w:tcPr>
            <w:tcW w:w="12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(18,176)</w:t>
            </w:r>
          </w:p>
        </w:tc>
        <w:tc>
          <w:tcPr>
            <w:tcW w:w="0" w:type="dxa"/>
            <w:vAlign w:val="bottom"/>
          </w:tcPr>
          <w:p>
            <w:pPr>
              <w:spacing w:after="0"/>
              <w:rPr>
                <w:sz w:val="1"/>
                <w:szCs w:val="1"/>
                <w:color w:val="auto"/>
              </w:rPr>
            </w:pPr>
          </w:p>
        </w:tc>
      </w:tr>
      <w:tr>
        <w:trPr>
          <w:trHeight w:val="210"/>
        </w:trPr>
        <w:tc>
          <w:tcPr>
            <w:tcW w:w="5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income (expense), net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(18,234)</w:t>
            </w:r>
          </w:p>
        </w:tc>
        <w:tc>
          <w:tcPr>
            <w:tcW w:w="0" w:type="dxa"/>
            <w:vAlign w:val="bottom"/>
          </w:tcPr>
          <w:p>
            <w:pPr>
              <w:spacing w:after="0"/>
              <w:rPr>
                <w:sz w:val="1"/>
                <w:szCs w:val="1"/>
                <w:color w:val="auto"/>
              </w:rPr>
            </w:pPr>
          </w:p>
        </w:tc>
      </w:tr>
      <w:tr>
        <w:trPr>
          <w:trHeight w:val="209"/>
        </w:trPr>
        <w:tc>
          <w:tcPr>
            <w:tcW w:w="5440" w:type="dxa"/>
            <w:vAlign w:val="bottom"/>
          </w:tcPr>
          <w:p>
            <w:pPr>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32,435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8,679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(8,557)</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Benefit (provision) for income taxes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0"/>
        </w:trPr>
        <w:tc>
          <w:tcPr>
            <w:tcW w:w="54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65,769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46,459</w:t>
            </w:r>
          </w:p>
        </w:tc>
        <w:tc>
          <w:tcPr>
            <w:tcW w:w="1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196"/>
        </w:trPr>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(loss) per share:</w:t>
            </w: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0.74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0.54</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16"/>
        </w:trPr>
        <w:tc>
          <w:tcPr>
            <w:tcW w:w="54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w w:val="92"/>
              </w:rPr>
              <w:t>Weighted-average shares used in computing net income (loss) per share:</w:t>
            </w: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89,105,562</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85,722,670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20,735,202</w:t>
            </w:r>
          </w:p>
        </w:tc>
        <w:tc>
          <w:tcPr>
            <w:tcW w:w="0" w:type="dxa"/>
            <w:vAlign w:val="bottom"/>
          </w:tcPr>
          <w:p>
            <w:pPr>
              <w:spacing w:after="0"/>
              <w:rPr>
                <w:sz w:val="1"/>
                <w:szCs w:val="1"/>
                <w:color w:val="auto"/>
              </w:rPr>
            </w:pPr>
          </w:p>
        </w:tc>
      </w:tr>
      <w:tr>
        <w:trPr>
          <w:trHeight w:val="210"/>
        </w:trPr>
        <w:tc>
          <w:tcPr>
            <w:tcW w:w="5440" w:type="dxa"/>
            <w:vAlign w:val="bottom"/>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100,358,047</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99,055,526</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20,735,202</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4" w:name="page75"/>
    <w:bookmarkEnd w:id="7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194" w:lineRule="exact"/>
        <w:rPr>
          <w:sz w:val="20"/>
          <w:szCs w:val="20"/>
          <w:color w:val="auto"/>
        </w:rPr>
      </w:pPr>
    </w:p>
    <w:p>
      <w:pPr>
        <w:ind w:left="6500"/>
        <w:spacing w:after="0"/>
        <w:rPr>
          <w:sz w:val="20"/>
          <w:szCs w:val="20"/>
          <w:color w:val="auto"/>
        </w:rPr>
      </w:pPr>
      <w:r>
        <w:rPr>
          <w:rFonts w:ascii="Arial" w:cs="Arial" w:eastAsia="Arial" w:hAnsi="Arial"/>
          <w:sz w:val="14"/>
          <w:szCs w:val="14"/>
          <w:b w:val="1"/>
          <w:bCs w:val="1"/>
          <w:color w:val="auto"/>
        </w:rPr>
        <w:t>Year Ended</w:t>
      </w:r>
    </w:p>
    <w:p>
      <w:pPr>
        <w:ind w:left="64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40" w:type="dxa"/>
        <w:tblCellMar>
          <w:top w:w="0" w:type="dxa"/>
          <w:left w:w="0" w:type="dxa"/>
          <w:bottom w:w="0" w:type="dxa"/>
          <w:right w:w="0" w:type="dxa"/>
        </w:tblCellMar>
      </w:tblPr>
      <w:tr>
        <w:trPr>
          <w:trHeight w:val="142"/>
        </w:trPr>
        <w:tc>
          <w:tcPr>
            <w:tcW w:w="474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40" w:type="dxa"/>
            <w:vAlign w:val="bottom"/>
            <w:tcBorders>
              <w:top w:val="single" w:sz="8" w:color="auto"/>
              <w:bottom w:val="single" w:sz="8" w:color="auto"/>
            </w:tcBorders>
            <w:shd w:val="clear" w:color="auto" w:fill="CCEEFF"/>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ind w:right="39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shd w:val="clear" w:color="auto" w:fill="CCEEFF"/>
          </w:tcPr>
          <w:p>
            <w:pPr>
              <w:spacing w:after="0"/>
              <w:rPr>
                <w:sz w:val="12"/>
                <w:szCs w:val="12"/>
                <w:color w:val="auto"/>
              </w:rPr>
            </w:pPr>
          </w:p>
        </w:tc>
        <w:tc>
          <w:tcPr>
            <w:tcW w:w="280" w:type="dxa"/>
            <w:vAlign w:val="bottom"/>
            <w:tcBorders>
              <w:top w:val="single" w:sz="8" w:color="auto"/>
              <w:bottom w:val="single" w:sz="8" w:color="auto"/>
            </w:tcBorders>
            <w:shd w:val="clear" w:color="auto" w:fill="CCEEFF"/>
          </w:tcPr>
          <w:p>
            <w:pPr>
              <w:spacing w:after="0"/>
              <w:rPr>
                <w:sz w:val="12"/>
                <w:szCs w:val="12"/>
                <w:color w:val="auto"/>
              </w:rPr>
            </w:pPr>
          </w:p>
        </w:tc>
        <w:tc>
          <w:tcPr>
            <w:tcW w:w="960" w:type="dxa"/>
            <w:vAlign w:val="bottom"/>
            <w:tcBorders>
              <w:top w:val="single" w:sz="8" w:color="auto"/>
              <w:bottom w:val="single" w:sz="8" w:color="auto"/>
            </w:tcBorders>
            <w:shd w:val="clear" w:color="auto" w:fill="CCEEFF"/>
          </w:tcPr>
          <w:p>
            <w:pPr>
              <w:jc w:val="right"/>
              <w:ind w:right="401"/>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Net income (loss)</w:t>
            </w: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65,769</w:t>
            </w:r>
          </w:p>
        </w:tc>
        <w:tc>
          <w:tcPr>
            <w:tcW w:w="240" w:type="dxa"/>
            <w:vAlign w:val="bottom"/>
          </w:tcPr>
          <w:p>
            <w:pPr>
              <w:spacing w:after="0"/>
              <w:rPr>
                <w:sz w:val="18"/>
                <w:szCs w:val="18"/>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46,459</w:t>
            </w:r>
          </w:p>
        </w:tc>
        <w:tc>
          <w:tcPr>
            <w:tcW w:w="22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(8,569)</w:t>
            </w:r>
          </w:p>
        </w:tc>
      </w:tr>
      <w:tr>
        <w:trPr>
          <w:trHeight w:val="216"/>
        </w:trPr>
        <w:tc>
          <w:tcPr>
            <w:tcW w:w="4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r>
      <w:tr>
        <w:trPr>
          <w:trHeight w:val="216"/>
        </w:trPr>
        <w:tc>
          <w:tcPr>
            <w:tcW w:w="4740" w:type="dxa"/>
            <w:vAlign w:val="bottom"/>
          </w:tcPr>
          <w:p>
            <w:pPr>
              <w:ind w:left="120"/>
              <w:spacing w:after="0"/>
              <w:rPr>
                <w:sz w:val="20"/>
                <w:szCs w:val="20"/>
                <w:color w:val="auto"/>
              </w:rPr>
            </w:pPr>
            <w:r>
              <w:rPr>
                <w:rFonts w:ascii="Arial" w:cs="Arial" w:eastAsia="Arial" w:hAnsi="Arial"/>
                <w:sz w:val="18"/>
                <w:szCs w:val="18"/>
                <w:color w:val="auto"/>
              </w:rPr>
              <w:t>Unrealized gain (loss) on marketable securities</w:t>
            </w:r>
          </w:p>
        </w:tc>
        <w:tc>
          <w:tcPr>
            <w:tcW w:w="28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8"/>
                <w:szCs w:val="18"/>
                <w:color w:val="auto"/>
              </w:rPr>
              <w:t>(94)</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ind w:left="780"/>
              <w:spacing w:after="0"/>
              <w:rPr>
                <w:sz w:val="20"/>
                <w:szCs w:val="20"/>
                <w:color w:val="auto"/>
              </w:rPr>
            </w:pPr>
            <w:r>
              <w:rPr>
                <w:rFonts w:ascii="Arial" w:cs="Arial" w:eastAsia="Arial" w:hAnsi="Arial"/>
                <w:sz w:val="14"/>
                <w:szCs w:val="14"/>
                <w:b w:val="1"/>
                <w:bCs w:val="1"/>
                <w:color w:val="auto"/>
              </w:rPr>
              <w:t>—</w:t>
            </w:r>
          </w:p>
        </w:tc>
      </w:tr>
      <w:tr>
        <w:trPr>
          <w:trHeight w:val="209"/>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2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4"/>
                <w:szCs w:val="14"/>
                <w:b w:val="1"/>
                <w:bCs w:val="1"/>
                <w:color w:val="auto"/>
              </w:rPr>
              <w:t>—</w:t>
            </w:r>
          </w:p>
        </w:tc>
      </w:tr>
      <w:tr>
        <w:trPr>
          <w:trHeight w:val="210"/>
        </w:trPr>
        <w:tc>
          <w:tcPr>
            <w:tcW w:w="4740" w:type="dxa"/>
            <w:vAlign w:val="bottom"/>
          </w:tcPr>
          <w:p>
            <w:pPr>
              <w:ind w:left="20"/>
              <w:spacing w:after="0"/>
              <w:rPr>
                <w:sz w:val="20"/>
                <w:szCs w:val="20"/>
                <w:color w:val="auto"/>
              </w:rPr>
            </w:pPr>
            <w:r>
              <w:rPr>
                <w:rFonts w:ascii="Arial" w:cs="Arial" w:eastAsia="Arial" w:hAnsi="Arial"/>
                <w:sz w:val="18"/>
                <w:szCs w:val="18"/>
                <w:color w:val="auto"/>
              </w:rPr>
              <w:t>Total comprehensive income (loss)</w:t>
            </w: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65,675</w:t>
            </w:r>
          </w:p>
        </w:tc>
        <w:tc>
          <w:tcPr>
            <w:tcW w:w="240" w:type="dxa"/>
            <w:vAlign w:val="bottom"/>
          </w:tcPr>
          <w:p>
            <w:pPr>
              <w:spacing w:after="0"/>
              <w:rPr>
                <w:sz w:val="18"/>
                <w:szCs w:val="18"/>
                <w:color w:val="auto"/>
              </w:rPr>
            </w:pPr>
          </w:p>
        </w:tc>
        <w:tc>
          <w:tcPr>
            <w:tcW w:w="28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46,460</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(8,569)</w:t>
            </w:r>
          </w:p>
        </w:tc>
      </w:tr>
      <w:tr>
        <w:trPr>
          <w:trHeight w:val="20"/>
        </w:trPr>
        <w:tc>
          <w:tcPr>
            <w:tcW w:w="4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right"/>
        <w:ind w:right="103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PROGYNY, INC.</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Equity (Deficit)</w:t>
      </w:r>
    </w:p>
    <w:p>
      <w:pPr>
        <w:spacing w:after="0" w:line="117"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00" w:type="dxa"/>
            <w:vAlign w:val="bottom"/>
          </w:tcPr>
          <w:p>
            <w:pPr>
              <w:spacing w:after="0"/>
              <w:rPr>
                <w:sz w:val="14"/>
                <w:szCs w:val="14"/>
                <w:color w:val="auto"/>
              </w:rPr>
            </w:pPr>
          </w:p>
        </w:tc>
        <w:tc>
          <w:tcPr>
            <w:tcW w:w="1760" w:type="dxa"/>
            <w:vAlign w:val="bottom"/>
            <w:tcBorders>
              <w:right w:val="single" w:sz="8" w:color="auto"/>
            </w:tcBorders>
            <w:gridSpan w:val="5"/>
          </w:tcPr>
          <w:p>
            <w:pPr>
              <w:jc w:val="right"/>
              <w:ind w:right="540"/>
              <w:spacing w:after="0"/>
              <w:rPr>
                <w:sz w:val="20"/>
                <w:szCs w:val="20"/>
                <w:color w:val="auto"/>
              </w:rPr>
            </w:pPr>
            <w:r>
              <w:rPr>
                <w:rFonts w:ascii="Arial" w:cs="Arial" w:eastAsia="Arial" w:hAnsi="Arial"/>
                <w:sz w:val="15"/>
                <w:szCs w:val="15"/>
                <w:b w:val="1"/>
                <w:bCs w:val="1"/>
                <w:color w:val="auto"/>
              </w:rPr>
              <w:t>Convertible</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5"/>
              </w:rPr>
              <w:t>Additional</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5"/>
                <w:szCs w:val="15"/>
                <w:b w:val="1"/>
                <w:bCs w:val="1"/>
                <w:color w:val="auto"/>
              </w:rPr>
              <w:t>Other</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15"/>
                <w:szCs w:val="15"/>
                <w:color w:val="auto"/>
              </w:rPr>
            </w:pPr>
          </w:p>
        </w:tc>
        <w:tc>
          <w:tcPr>
            <w:tcW w:w="1760" w:type="dxa"/>
            <w:vAlign w:val="bottom"/>
            <w:tcBorders>
              <w:right w:val="single" w:sz="8" w:color="auto"/>
            </w:tcBorders>
            <w:gridSpan w:val="5"/>
          </w:tcPr>
          <w:p>
            <w:pPr>
              <w:jc w:val="right"/>
              <w:ind w:right="420"/>
              <w:spacing w:after="0"/>
              <w:rPr>
                <w:sz w:val="20"/>
                <w:szCs w:val="20"/>
                <w:color w:val="auto"/>
              </w:rPr>
            </w:pPr>
            <w:r>
              <w:rPr>
                <w:rFonts w:ascii="Arial" w:cs="Arial" w:eastAsia="Arial" w:hAnsi="Arial"/>
                <w:sz w:val="15"/>
                <w:szCs w:val="15"/>
                <w:b w:val="1"/>
                <w:bCs w:val="1"/>
                <w:color w:val="auto"/>
              </w:rPr>
              <w:t>Preferred Stock</w:t>
            </w:r>
          </w:p>
        </w:tc>
        <w:tc>
          <w:tcPr>
            <w:tcW w:w="60" w:type="dxa"/>
            <w:vAlign w:val="bottom"/>
          </w:tcPr>
          <w:p>
            <w:pPr>
              <w:spacing w:after="0"/>
              <w:rPr>
                <w:sz w:val="15"/>
                <w:szCs w:val="15"/>
                <w:color w:val="auto"/>
              </w:rPr>
            </w:pPr>
          </w:p>
        </w:tc>
        <w:tc>
          <w:tcPr>
            <w:tcW w:w="1240" w:type="dxa"/>
            <w:vAlign w:val="bottom"/>
            <w:gridSpan w:val="3"/>
          </w:tcPr>
          <w:p>
            <w:pPr>
              <w:ind w:left="220"/>
              <w:spacing w:after="0"/>
              <w:rPr>
                <w:sz w:val="20"/>
                <w:szCs w:val="20"/>
                <w:color w:val="auto"/>
              </w:rPr>
            </w:pPr>
            <w:r>
              <w:rPr>
                <w:rFonts w:ascii="Arial" w:cs="Arial" w:eastAsia="Arial" w:hAnsi="Arial"/>
                <w:sz w:val="15"/>
                <w:szCs w:val="15"/>
                <w:b w:val="1"/>
                <w:bCs w:val="1"/>
                <w:color w:val="auto"/>
                <w:w w:val="90"/>
              </w:rPr>
              <w:t>Common Stock</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3"/>
          </w:tcPr>
          <w:p>
            <w:pPr>
              <w:jc w:val="right"/>
              <w:ind w:right="200"/>
              <w:spacing w:after="0"/>
              <w:rPr>
                <w:sz w:val="20"/>
                <w:szCs w:val="20"/>
                <w:color w:val="auto"/>
              </w:rPr>
            </w:pPr>
            <w:r>
              <w:rPr>
                <w:rFonts w:ascii="Arial" w:cs="Arial" w:eastAsia="Arial" w:hAnsi="Arial"/>
                <w:sz w:val="15"/>
                <w:szCs w:val="15"/>
                <w:b w:val="1"/>
                <w:bCs w:val="1"/>
                <w:color w:val="auto"/>
                <w:w w:val="94"/>
              </w:rPr>
              <w:t>Treasury</w:t>
            </w:r>
          </w:p>
        </w:tc>
        <w:tc>
          <w:tcPr>
            <w:tcW w:w="140" w:type="dxa"/>
            <w:vAlign w:val="bottom"/>
          </w:tcPr>
          <w:p>
            <w:pPr>
              <w:spacing w:after="0"/>
              <w:rPr>
                <w:sz w:val="15"/>
                <w:szCs w:val="15"/>
                <w:color w:val="auto"/>
              </w:rPr>
            </w:pPr>
          </w:p>
        </w:tc>
        <w:tc>
          <w:tcPr>
            <w:tcW w:w="860" w:type="dxa"/>
            <w:vAlign w:val="bottom"/>
            <w:gridSpan w:val="2"/>
          </w:tcPr>
          <w:p>
            <w:pPr>
              <w:jc w:val="center"/>
              <w:ind w:right="280"/>
              <w:spacing w:after="0"/>
              <w:rPr>
                <w:sz w:val="20"/>
                <w:szCs w:val="20"/>
                <w:color w:val="auto"/>
              </w:rPr>
            </w:pPr>
            <w:r>
              <w:rPr>
                <w:rFonts w:ascii="Arial" w:cs="Arial" w:eastAsia="Arial" w:hAnsi="Arial"/>
                <w:sz w:val="15"/>
                <w:szCs w:val="15"/>
                <w:b w:val="1"/>
                <w:bCs w:val="1"/>
                <w:color w:val="auto"/>
                <w:w w:val="93"/>
              </w:rPr>
              <w:t>Paid in</w:t>
            </w:r>
          </w:p>
        </w:tc>
        <w:tc>
          <w:tcPr>
            <w:tcW w:w="1160" w:type="dxa"/>
            <w:vAlign w:val="bottom"/>
            <w:gridSpan w:val="3"/>
          </w:tcPr>
          <w:p>
            <w:pPr>
              <w:jc w:val="center"/>
              <w:ind w:right="180"/>
              <w:spacing w:after="0"/>
              <w:rPr>
                <w:sz w:val="20"/>
                <w:szCs w:val="20"/>
                <w:color w:val="auto"/>
              </w:rPr>
            </w:pPr>
            <w:r>
              <w:rPr>
                <w:rFonts w:ascii="Arial" w:cs="Arial" w:eastAsia="Arial" w:hAnsi="Arial"/>
                <w:sz w:val="15"/>
                <w:szCs w:val="15"/>
                <w:b w:val="1"/>
                <w:bCs w:val="1"/>
                <w:color w:val="auto"/>
                <w:w w:val="91"/>
              </w:rPr>
              <w:t>Accumulated</w:t>
            </w: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88"/>
              </w:rPr>
              <w:t>Comprehensive</w:t>
            </w: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400" w:type="dxa"/>
            <w:vAlign w:val="bottom"/>
          </w:tcPr>
          <w:p>
            <w:pPr>
              <w:spacing w:after="0"/>
              <w:rPr>
                <w:sz w:val="13"/>
                <w:szCs w:val="13"/>
                <w:color w:val="auto"/>
              </w:rPr>
            </w:pPr>
          </w:p>
        </w:tc>
        <w:tc>
          <w:tcPr>
            <w:tcW w:w="960" w:type="dxa"/>
            <w:vAlign w:val="bottom"/>
            <w:tcBorders>
              <w:top w:val="single" w:sz="8" w:color="auto"/>
            </w:tcBorders>
            <w:gridSpan w:val="2"/>
          </w:tcPr>
          <w:p>
            <w:pPr>
              <w:jc w:val="right"/>
              <w:ind w:right="340"/>
              <w:spacing w:after="0" w:line="156" w:lineRule="exact"/>
              <w:rPr>
                <w:sz w:val="20"/>
                <w:szCs w:val="20"/>
                <w:color w:val="auto"/>
              </w:rPr>
            </w:pPr>
            <w:r>
              <w:rPr>
                <w:rFonts w:ascii="Arial" w:cs="Arial" w:eastAsia="Arial" w:hAnsi="Arial"/>
                <w:sz w:val="15"/>
                <w:szCs w:val="15"/>
                <w:b w:val="1"/>
                <w:bCs w:val="1"/>
                <w:color w:val="auto"/>
              </w:rPr>
              <w:t>Shares</w:t>
            </w:r>
          </w:p>
        </w:tc>
        <w:tc>
          <w:tcPr>
            <w:tcW w:w="80" w:type="dxa"/>
            <w:vAlign w:val="bottom"/>
            <w:tcBorders>
              <w:top w:val="single" w:sz="8" w:color="auto"/>
            </w:tcBorders>
          </w:tcPr>
          <w:p>
            <w:pPr>
              <w:spacing w:after="0"/>
              <w:rPr>
                <w:sz w:val="13"/>
                <w:szCs w:val="13"/>
                <w:color w:val="auto"/>
              </w:rPr>
            </w:pPr>
          </w:p>
        </w:tc>
        <w:tc>
          <w:tcPr>
            <w:tcW w:w="6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b w:val="1"/>
                <w:bCs w:val="1"/>
                <w:color w:val="auto"/>
                <w:w w:val="91"/>
              </w:rPr>
              <w:t>Amount</w:t>
            </w:r>
          </w:p>
        </w:tc>
        <w:tc>
          <w:tcPr>
            <w:tcW w:w="120" w:type="dxa"/>
            <w:vAlign w:val="bottom"/>
            <w:tcBorders>
              <w:right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tcBorders>
              <w:top w:val="single" w:sz="8" w:color="auto"/>
            </w:tcBorders>
            <w:gridSpan w:val="2"/>
          </w:tcPr>
          <w:p>
            <w:pPr>
              <w:jc w:val="right"/>
              <w:ind w:right="300"/>
              <w:spacing w:after="0" w:line="156" w:lineRule="exact"/>
              <w:rPr>
                <w:sz w:val="20"/>
                <w:szCs w:val="20"/>
                <w:color w:val="auto"/>
              </w:rPr>
            </w:pPr>
            <w:r>
              <w:rPr>
                <w:rFonts w:ascii="Arial" w:cs="Arial" w:eastAsia="Arial" w:hAnsi="Arial"/>
                <w:sz w:val="15"/>
                <w:szCs w:val="15"/>
                <w:b w:val="1"/>
                <w:bCs w:val="1"/>
                <w:color w:val="auto"/>
              </w:rPr>
              <w:t>Shares</w:t>
            </w:r>
          </w:p>
        </w:tc>
        <w:tc>
          <w:tcPr>
            <w:tcW w:w="540" w:type="dxa"/>
            <w:vAlign w:val="bottom"/>
            <w:tcBorders>
              <w:top w:val="single" w:sz="8" w:color="auto"/>
            </w:tcBorders>
            <w:gridSpan w:val="2"/>
          </w:tcPr>
          <w:p>
            <w:pPr>
              <w:ind w:left="20"/>
              <w:spacing w:after="0" w:line="156" w:lineRule="exact"/>
              <w:rPr>
                <w:sz w:val="20"/>
                <w:szCs w:val="20"/>
                <w:color w:val="auto"/>
              </w:rPr>
            </w:pPr>
            <w:r>
              <w:rPr>
                <w:rFonts w:ascii="Arial" w:cs="Arial" w:eastAsia="Arial" w:hAnsi="Arial"/>
                <w:sz w:val="15"/>
                <w:szCs w:val="15"/>
                <w:b w:val="1"/>
                <w:bCs w:val="1"/>
                <w:color w:val="auto"/>
                <w:w w:val="88"/>
              </w:rPr>
              <w:t>Amount</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jc w:val="right"/>
              <w:ind w:right="300"/>
              <w:spacing w:after="0" w:line="156" w:lineRule="exact"/>
              <w:rPr>
                <w:sz w:val="20"/>
                <w:szCs w:val="20"/>
                <w:color w:val="auto"/>
              </w:rPr>
            </w:pPr>
            <w:r>
              <w:rPr>
                <w:rFonts w:ascii="Arial" w:cs="Arial" w:eastAsia="Arial" w:hAnsi="Arial"/>
                <w:sz w:val="15"/>
                <w:szCs w:val="15"/>
                <w:b w:val="1"/>
                <w:bCs w:val="1"/>
                <w:color w:val="auto"/>
                <w:w w:val="97"/>
              </w:rPr>
              <w:t>Stock</w:t>
            </w:r>
          </w:p>
        </w:tc>
        <w:tc>
          <w:tcPr>
            <w:tcW w:w="140" w:type="dxa"/>
            <w:vAlign w:val="bottom"/>
          </w:tcPr>
          <w:p>
            <w:pPr>
              <w:spacing w:after="0"/>
              <w:rPr>
                <w:sz w:val="13"/>
                <w:szCs w:val="13"/>
                <w:color w:val="auto"/>
              </w:rPr>
            </w:pPr>
          </w:p>
        </w:tc>
        <w:tc>
          <w:tcPr>
            <w:tcW w:w="860" w:type="dxa"/>
            <w:vAlign w:val="bottom"/>
            <w:gridSpan w:val="2"/>
          </w:tcPr>
          <w:p>
            <w:pPr>
              <w:jc w:val="center"/>
              <w:ind w:right="280"/>
              <w:spacing w:after="0" w:line="156" w:lineRule="exact"/>
              <w:rPr>
                <w:sz w:val="20"/>
                <w:szCs w:val="20"/>
                <w:color w:val="auto"/>
              </w:rPr>
            </w:pPr>
            <w:r>
              <w:rPr>
                <w:rFonts w:ascii="Arial" w:cs="Arial" w:eastAsia="Arial" w:hAnsi="Arial"/>
                <w:sz w:val="15"/>
                <w:szCs w:val="15"/>
                <w:b w:val="1"/>
                <w:bCs w:val="1"/>
                <w:color w:val="auto"/>
                <w:w w:val="99"/>
              </w:rPr>
              <w:t>Capital</w:t>
            </w:r>
          </w:p>
        </w:tc>
        <w:tc>
          <w:tcPr>
            <w:tcW w:w="180" w:type="dxa"/>
            <w:vAlign w:val="bottom"/>
          </w:tcPr>
          <w:p>
            <w:pPr>
              <w:spacing w:after="0"/>
              <w:rPr>
                <w:sz w:val="13"/>
                <w:szCs w:val="13"/>
                <w:color w:val="auto"/>
              </w:rPr>
            </w:pPr>
          </w:p>
        </w:tc>
        <w:tc>
          <w:tcPr>
            <w:tcW w:w="980" w:type="dxa"/>
            <w:vAlign w:val="bottom"/>
            <w:gridSpan w:val="2"/>
          </w:tcPr>
          <w:p>
            <w:pPr>
              <w:jc w:val="center"/>
              <w:ind w:right="340"/>
              <w:spacing w:after="0" w:line="156" w:lineRule="exact"/>
              <w:rPr>
                <w:sz w:val="20"/>
                <w:szCs w:val="20"/>
                <w:color w:val="auto"/>
              </w:rPr>
            </w:pPr>
            <w:r>
              <w:rPr>
                <w:rFonts w:ascii="Arial" w:cs="Arial" w:eastAsia="Arial" w:hAnsi="Arial"/>
                <w:sz w:val="15"/>
                <w:szCs w:val="15"/>
                <w:b w:val="1"/>
                <w:bCs w:val="1"/>
                <w:color w:val="auto"/>
                <w:w w:val="95"/>
              </w:rPr>
              <w:t>Deficit</w:t>
            </w:r>
          </w:p>
        </w:tc>
        <w:tc>
          <w:tcPr>
            <w:tcW w:w="80" w:type="dxa"/>
            <w:vAlign w:val="bottom"/>
          </w:tcPr>
          <w:p>
            <w:pPr>
              <w:spacing w:after="0"/>
              <w:rPr>
                <w:sz w:val="13"/>
                <w:szCs w:val="13"/>
                <w:color w:val="auto"/>
              </w:rPr>
            </w:pPr>
          </w:p>
        </w:tc>
        <w:tc>
          <w:tcPr>
            <w:tcW w:w="1180" w:type="dxa"/>
            <w:vAlign w:val="bottom"/>
            <w:gridSpan w:val="2"/>
          </w:tcPr>
          <w:p>
            <w:pPr>
              <w:jc w:val="right"/>
              <w:ind w:right="460"/>
              <w:spacing w:after="0" w:line="156" w:lineRule="exact"/>
              <w:rPr>
                <w:sz w:val="20"/>
                <w:szCs w:val="20"/>
                <w:color w:val="auto"/>
              </w:rPr>
            </w:pPr>
            <w:r>
              <w:rPr>
                <w:rFonts w:ascii="Arial" w:cs="Arial" w:eastAsia="Arial" w:hAnsi="Arial"/>
                <w:sz w:val="15"/>
                <w:szCs w:val="15"/>
                <w:b w:val="1"/>
                <w:bCs w:val="1"/>
                <w:color w:val="auto"/>
              </w:rPr>
              <w:t>Income</w:t>
            </w:r>
          </w:p>
        </w:tc>
        <w:tc>
          <w:tcPr>
            <w:tcW w:w="640" w:type="dxa"/>
            <w:vAlign w:val="bottom"/>
          </w:tcPr>
          <w:p>
            <w:pPr>
              <w:jc w:val="right"/>
              <w:ind w:right="64"/>
              <w:spacing w:after="0" w:line="156" w:lineRule="exact"/>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25"/>
        </w:trPr>
        <w:tc>
          <w:tcPr>
            <w:tcW w:w="1400" w:type="dxa"/>
            <w:vAlign w:val="bottom"/>
            <w:tcBorders>
              <w:top w:val="single" w:sz="8" w:color="CCEEFF"/>
            </w:tcBorders>
            <w:shd w:val="clear" w:color="auto" w:fill="CCEEFF"/>
          </w:tcPr>
          <w:p>
            <w:pPr>
              <w:spacing w:after="0" w:line="125" w:lineRule="exact"/>
              <w:rPr>
                <w:sz w:val="20"/>
                <w:szCs w:val="20"/>
                <w:color w:val="auto"/>
              </w:rPr>
            </w:pPr>
            <w:r>
              <w:rPr>
                <w:rFonts w:ascii="Arial" w:cs="Arial" w:eastAsia="Arial" w:hAnsi="Arial"/>
                <w:sz w:val="14"/>
                <w:szCs w:val="14"/>
                <w:b w:val="1"/>
                <w:bCs w:val="1"/>
                <w:color w:val="auto"/>
              </w:rPr>
              <w:t>Balance at</w:t>
            </w:r>
          </w:p>
        </w:tc>
        <w:tc>
          <w:tcPr>
            <w:tcW w:w="8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60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right w:val="single" w:sz="8" w:color="auto"/>
            </w:tcBorders>
            <w:shd w:val="clear" w:color="auto" w:fill="CCEEFF"/>
          </w:tcPr>
          <w:p>
            <w:pPr>
              <w:spacing w:after="0"/>
              <w:rPr>
                <w:sz w:val="10"/>
                <w:szCs w:val="10"/>
                <w:color w:val="auto"/>
              </w:rPr>
            </w:pPr>
          </w:p>
        </w:tc>
        <w:tc>
          <w:tcPr>
            <w:tcW w:w="60" w:type="dxa"/>
            <w:vAlign w:val="bottom"/>
            <w:tcBorders>
              <w:top w:val="single" w:sz="8" w:color="CCEEFF"/>
            </w:tcBorders>
            <w:shd w:val="clear" w:color="auto" w:fill="CCEEFF"/>
          </w:tcPr>
          <w:p>
            <w:pPr>
              <w:spacing w:after="0"/>
              <w:rPr>
                <w:sz w:val="10"/>
                <w:szCs w:val="10"/>
                <w:color w:val="auto"/>
              </w:rPr>
            </w:pPr>
          </w:p>
        </w:tc>
        <w:tc>
          <w:tcPr>
            <w:tcW w:w="74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shd w:val="clear" w:color="auto" w:fill="CCEEFF"/>
          </w:tcPr>
          <w:p>
            <w:pPr>
              <w:spacing w:after="0"/>
              <w:rPr>
                <w:sz w:val="10"/>
                <w:szCs w:val="10"/>
                <w:color w:val="auto"/>
              </w:rPr>
            </w:pPr>
          </w:p>
        </w:tc>
        <w:tc>
          <w:tcPr>
            <w:tcW w:w="20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auto"/>
            </w:tcBorders>
            <w:shd w:val="clear" w:color="auto" w:fill="CCEEFF"/>
          </w:tcPr>
          <w:p>
            <w:pPr>
              <w:spacing w:after="0"/>
              <w:rPr>
                <w:sz w:val="10"/>
                <w:szCs w:val="10"/>
                <w:color w:val="auto"/>
              </w:rPr>
            </w:pPr>
          </w:p>
        </w:tc>
        <w:tc>
          <w:tcPr>
            <w:tcW w:w="56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40" w:type="dxa"/>
            <w:vAlign w:val="bottom"/>
            <w:tcBorders>
              <w:top w:val="single" w:sz="8" w:color="auto"/>
            </w:tcBorders>
            <w:shd w:val="clear" w:color="auto" w:fill="CCEEFF"/>
          </w:tcPr>
          <w:p>
            <w:pPr>
              <w:spacing w:after="0"/>
              <w:rPr>
                <w:sz w:val="10"/>
                <w:szCs w:val="10"/>
                <w:color w:val="auto"/>
              </w:rPr>
            </w:pPr>
          </w:p>
        </w:tc>
        <w:tc>
          <w:tcPr>
            <w:tcW w:w="70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80" w:type="dxa"/>
            <w:vAlign w:val="bottom"/>
            <w:tcBorders>
              <w:top w:val="single" w:sz="8" w:color="auto"/>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80" w:type="dxa"/>
            <w:vAlign w:val="bottom"/>
            <w:tcBorders>
              <w:top w:val="single" w:sz="8" w:color="auto"/>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640" w:type="dxa"/>
            <w:vAlign w:val="bottom"/>
            <w:tcBorders>
              <w:top w:val="single" w:sz="8" w:color="auto"/>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December 31, 2018</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8"/>
              </w:rPr>
              <w:t>65,428,088</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9"/>
              </w:rPr>
              <w:t>106,237</w:t>
            </w:r>
          </w:p>
        </w:tc>
        <w:tc>
          <w:tcPr>
            <w:tcW w:w="120" w:type="dxa"/>
            <w:vAlign w:val="bottom"/>
            <w:tcBorders>
              <w:right w:val="single" w:sz="8" w:color="auto"/>
            </w:tcBorders>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5,155,407</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(884)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10,622</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(104,854)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5"/>
                <w:szCs w:val="15"/>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0"/>
              </w:rPr>
              <w:t>$ (95,115)</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Repurchase of</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common stock</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5"/>
                <w:szCs w:val="15"/>
                <w:color w:val="auto"/>
              </w:rPr>
              <w:t>(26,659)</w:t>
            </w: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5"/>
                <w:szCs w:val="15"/>
                <w:color w:val="auto"/>
              </w:rPr>
              <w:t>(125)</w:t>
            </w: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5"/>
                <w:szCs w:val="15"/>
                <w:color w:val="auto"/>
              </w:rPr>
              <w:t>(60)</w:t>
            </w: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(185)</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Stock option</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exercise</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6,490,059</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6,536</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6,536</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Stock-based</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compensation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5,061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5,061</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Conversion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preferred stock to</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common stock</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upon initial public</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offering</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w w:val="91"/>
              </w:rPr>
              <w:t>(65,428,088)</w:t>
            </w: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93"/>
              </w:rPr>
              <w:t>(106,237)</w:t>
            </w: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0"/>
              </w:rPr>
              <w:t>65,428,088</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106,230</w:t>
            </w: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106,237</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Conversion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convertible</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preferred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warrants to</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common stock</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warrants upon</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initial public</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offering</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22,765</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22,765</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Warrant exercise</w:t>
            </w: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441,307</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62</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common stock in</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connection with</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initial public</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offering, net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issuance costs of</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$5.9 million and</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$3.7 million in</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offering costs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6,700,000</w:t>
            </w: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77,479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77,479</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Net loss</w:t>
            </w: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(8,569)</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(8,569)</w:t>
            </w:r>
          </w:p>
        </w:tc>
        <w:tc>
          <w:tcPr>
            <w:tcW w:w="0" w:type="dxa"/>
            <w:vAlign w:val="bottom"/>
          </w:tcPr>
          <w:p>
            <w:pPr>
              <w:spacing w:after="0"/>
              <w:rPr>
                <w:sz w:val="1"/>
                <w:szCs w:val="1"/>
                <w:color w:val="auto"/>
              </w:rPr>
            </w:pPr>
          </w:p>
        </w:tc>
      </w:tr>
      <w:tr>
        <w:trPr>
          <w:trHeight w:val="125"/>
        </w:trPr>
        <w:tc>
          <w:tcPr>
            <w:tcW w:w="1400" w:type="dxa"/>
            <w:vAlign w:val="bottom"/>
          </w:tcPr>
          <w:p>
            <w:pPr>
              <w:spacing w:after="0" w:line="125" w:lineRule="exact"/>
              <w:rPr>
                <w:sz w:val="20"/>
                <w:szCs w:val="20"/>
                <w:color w:val="auto"/>
              </w:rPr>
            </w:pPr>
            <w:r>
              <w:rPr>
                <w:rFonts w:ascii="Arial" w:cs="Arial" w:eastAsia="Arial" w:hAnsi="Arial"/>
                <w:sz w:val="14"/>
                <w:szCs w:val="14"/>
                <w:b w:val="1"/>
                <w:bCs w:val="1"/>
                <w:color w:val="auto"/>
              </w:rPr>
              <w:t>Balance at</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Arial" w:cs="Arial" w:eastAsia="Arial" w:hAnsi="Arial"/>
                <w:sz w:val="15"/>
                <w:szCs w:val="15"/>
                <w:b w:val="1"/>
                <w:bCs w:val="1"/>
                <w:color w:val="auto"/>
              </w:rPr>
              <w:t>December 31, 2019</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w w:val="90"/>
              </w:rPr>
              <w:t>84,188,202</w:t>
            </w:r>
          </w:p>
        </w:tc>
        <w:tc>
          <w:tcPr>
            <w:tcW w:w="1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8</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(1,009)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228,755</w:t>
            </w:r>
          </w:p>
        </w:tc>
        <w:tc>
          <w:tcPr>
            <w:tcW w:w="16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(113,483)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w w:val="86"/>
              </w:rPr>
              <w:t>$ 114,271</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employee equity</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awards, net of</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shares withheld</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2,688,273</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(5,451)</w:t>
            </w: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(5,450)</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Stock-based</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compensation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12,821</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12,821</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Warrant exercise</w:t>
            </w: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177,854</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color w:val="auto"/>
              </w:rPr>
              <w:t>(0)</w:t>
            </w: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Reduction in</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initial public</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offering costs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14</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14</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Impact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adoption of ASU</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2016-13</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900" w:type="dxa"/>
            <w:vAlign w:val="bottom"/>
            <w:gridSpan w:val="2"/>
            <w:vMerge w:val="continue"/>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vMerge w:val="continue"/>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(1,169)</w:t>
            </w: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(1,169)</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comprehensive</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income</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Net income</w:t>
            </w: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46,459</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46,459</w:t>
            </w:r>
          </w:p>
        </w:tc>
        <w:tc>
          <w:tcPr>
            <w:tcW w:w="0" w:type="dxa"/>
            <w:vAlign w:val="bottom"/>
          </w:tcPr>
          <w:p>
            <w:pPr>
              <w:spacing w:after="0"/>
              <w:rPr>
                <w:sz w:val="1"/>
                <w:szCs w:val="1"/>
                <w:color w:val="auto"/>
              </w:rPr>
            </w:pPr>
          </w:p>
        </w:tc>
      </w:tr>
      <w:tr>
        <w:trPr>
          <w:trHeight w:val="125"/>
        </w:trPr>
        <w:tc>
          <w:tcPr>
            <w:tcW w:w="1400" w:type="dxa"/>
            <w:vAlign w:val="bottom"/>
          </w:tcPr>
          <w:p>
            <w:pPr>
              <w:spacing w:after="0" w:line="125" w:lineRule="exact"/>
              <w:rPr>
                <w:sz w:val="20"/>
                <w:szCs w:val="20"/>
                <w:color w:val="auto"/>
              </w:rPr>
            </w:pPr>
            <w:r>
              <w:rPr>
                <w:rFonts w:ascii="Arial" w:cs="Arial" w:eastAsia="Arial" w:hAnsi="Arial"/>
                <w:sz w:val="14"/>
                <w:szCs w:val="14"/>
                <w:b w:val="1"/>
                <w:bCs w:val="1"/>
                <w:color w:val="auto"/>
              </w:rPr>
              <w:t>Balance at</w:t>
            </w:r>
          </w:p>
        </w:tc>
        <w:tc>
          <w:tcPr>
            <w:tcW w:w="8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6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79"/>
        </w:trPr>
        <w:tc>
          <w:tcPr>
            <w:tcW w:w="1400" w:type="dxa"/>
            <w:vAlign w:val="bottom"/>
          </w:tcPr>
          <w:p>
            <w:pPr>
              <w:spacing w:after="0"/>
              <w:rPr>
                <w:sz w:val="20"/>
                <w:szCs w:val="20"/>
                <w:color w:val="auto"/>
              </w:rPr>
            </w:pPr>
            <w:r>
              <w:rPr>
                <w:rFonts w:ascii="Arial" w:cs="Arial" w:eastAsia="Arial" w:hAnsi="Arial"/>
                <w:sz w:val="15"/>
                <w:szCs w:val="15"/>
                <w:b w:val="1"/>
                <w:bCs w:val="1"/>
                <w:color w:val="auto"/>
              </w:rPr>
              <w:t>December 31, 2020</w:t>
            </w:r>
          </w:p>
        </w:tc>
        <w:tc>
          <w:tcPr>
            <w:tcW w:w="960" w:type="dxa"/>
            <w:vAlign w:val="bottom"/>
            <w:gridSpan w:val="2"/>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right w:val="single" w:sz="8" w:color="auto"/>
            </w:tcBorders>
            <w:gridSpan w:val="2"/>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5"/>
                <w:szCs w:val="15"/>
                <w:b w:val="1"/>
                <w:bCs w:val="1"/>
                <w:color w:val="auto"/>
                <w:w w:val="90"/>
              </w:rPr>
              <w:t>87,054,329</w:t>
            </w:r>
          </w:p>
        </w:tc>
        <w:tc>
          <w:tcPr>
            <w:tcW w:w="160" w:type="dxa"/>
            <w:vAlign w:val="bottom"/>
          </w:tcPr>
          <w:p>
            <w:pPr>
              <w:spacing w:after="0"/>
              <w:rPr>
                <w:sz w:val="15"/>
                <w:szCs w:val="15"/>
                <w:color w:val="auto"/>
              </w:rPr>
            </w:pPr>
          </w:p>
        </w:tc>
        <w:tc>
          <w:tcPr>
            <w:tcW w:w="340" w:type="dxa"/>
            <w:vAlign w:val="bottom"/>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(1,009)</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236,139</w:t>
            </w:r>
          </w:p>
        </w:tc>
        <w:tc>
          <w:tcPr>
            <w:tcW w:w="160" w:type="dxa"/>
            <w:vAlign w:val="bottom"/>
          </w:tcPr>
          <w:p>
            <w:pPr>
              <w:spacing w:after="0"/>
              <w:rPr>
                <w:sz w:val="15"/>
                <w:szCs w:val="15"/>
                <w:color w:val="auto"/>
              </w:rPr>
            </w:pP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rPr>
              <w:t>(68,193)</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20" w:type="dxa"/>
            <w:vAlign w:val="bottom"/>
          </w:tcPr>
          <w:p>
            <w:pPr>
              <w:jc w:val="right"/>
              <w:spacing w:after="0"/>
              <w:rPr>
                <w:sz w:val="20"/>
                <w:szCs w:val="20"/>
                <w:color w:val="auto"/>
              </w:rPr>
            </w:pPr>
            <w:r>
              <w:rPr>
                <w:rFonts w:ascii="Arial" w:cs="Arial" w:eastAsia="Arial" w:hAnsi="Arial"/>
                <w:sz w:val="15"/>
                <w:szCs w:val="15"/>
                <w:b w:val="1"/>
                <w:bCs w:val="1"/>
                <w:color w:val="auto"/>
              </w:rPr>
              <w:t>1</w:t>
            </w:r>
          </w:p>
        </w:tc>
        <w:tc>
          <w:tcPr>
            <w:tcW w:w="16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b w:val="1"/>
                <w:bCs w:val="1"/>
                <w:color w:val="auto"/>
                <w:w w:val="92"/>
              </w:rPr>
              <w:t>$166,947</w:t>
            </w:r>
          </w:p>
        </w:tc>
        <w:tc>
          <w:tcPr>
            <w:tcW w:w="0" w:type="dxa"/>
            <w:vAlign w:val="bottom"/>
          </w:tcPr>
          <w:p>
            <w:pPr>
              <w:spacing w:after="0"/>
              <w:rPr>
                <w:sz w:val="1"/>
                <w:szCs w:val="1"/>
                <w:color w:val="auto"/>
              </w:rPr>
            </w:pPr>
          </w:p>
        </w:tc>
      </w:tr>
      <w:tr>
        <w:trPr>
          <w:trHeight w:val="149"/>
        </w:trPr>
        <w:tc>
          <w:tcPr>
            <w:tcW w:w="1400" w:type="dxa"/>
            <w:vAlign w:val="bottom"/>
            <w:shd w:val="clear" w:color="auto" w:fill="CCEEFF"/>
          </w:tcPr>
          <w:p>
            <w:pPr>
              <w:ind w:left="100"/>
              <w:spacing w:after="0" w:line="149" w:lineRule="exact"/>
              <w:rPr>
                <w:sz w:val="20"/>
                <w:szCs w:val="20"/>
                <w:color w:val="auto"/>
              </w:rPr>
            </w:pPr>
            <w:r>
              <w:rPr>
                <w:rFonts w:ascii="Arial" w:cs="Arial" w:eastAsia="Arial" w:hAnsi="Arial"/>
                <w:sz w:val="15"/>
                <w:szCs w:val="15"/>
                <w:color w:val="auto"/>
              </w:rPr>
              <w:t>Issuance of</w:t>
            </w:r>
          </w:p>
        </w:tc>
        <w:tc>
          <w:tcPr>
            <w:tcW w:w="8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employee equity</w:t>
            </w:r>
          </w:p>
        </w:tc>
        <w:tc>
          <w:tcPr>
            <w:tcW w:w="8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awards, net of</w:t>
            </w:r>
          </w:p>
        </w:tc>
        <w:tc>
          <w:tcPr>
            <w:tcW w:w="9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vMerge w:val="restart"/>
            <w:shd w:val="clear" w:color="auto" w:fill="CCEEFF"/>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shd w:val="clear" w:color="auto" w:fill="CCEEFF"/>
          </w:tcPr>
          <w:p>
            <w:pPr>
              <w:ind w:left="100"/>
              <w:spacing w:after="0"/>
              <w:rPr>
                <w:sz w:val="20"/>
                <w:szCs w:val="20"/>
                <w:color w:val="auto"/>
              </w:rPr>
            </w:pPr>
            <w:r>
              <w:rPr>
                <w:rFonts w:ascii="Arial" w:cs="Arial" w:eastAsia="Arial" w:hAnsi="Arial"/>
                <w:sz w:val="15"/>
                <w:szCs w:val="15"/>
                <w:color w:val="auto"/>
              </w:rPr>
              <w:t>shares withheld</w:t>
            </w:r>
          </w:p>
        </w:tc>
        <w:tc>
          <w:tcPr>
            <w:tcW w:w="96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20" w:type="dxa"/>
            <w:vAlign w:val="bottom"/>
            <w:tcBorders>
              <w:right w:val="single" w:sz="8" w:color="auto"/>
            </w:tcBorders>
            <w:gridSpan w:val="2"/>
            <w:vMerge w:val="continue"/>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3,209,461</w:t>
            </w:r>
          </w:p>
        </w:tc>
        <w:tc>
          <w:tcPr>
            <w:tcW w:w="1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(14,589)</w:t>
            </w:r>
          </w:p>
        </w:tc>
        <w:tc>
          <w:tcPr>
            <w:tcW w:w="18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80" w:type="dxa"/>
            <w:vAlign w:val="bottom"/>
            <w:gridSpan w:val="2"/>
            <w:vMerge w:val="continue"/>
            <w:shd w:val="clear" w:color="auto" w:fill="CCEEFF"/>
          </w:tcPr>
          <w:p>
            <w:pPr>
              <w:spacing w:after="0"/>
              <w:rPr>
                <w:sz w:val="15"/>
                <w:szCs w:val="15"/>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(14,589)</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Stock-based</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2"/>
                <w:szCs w:val="12"/>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2"/>
                <w:szCs w:val="12"/>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2"/>
                <w:szCs w:val="12"/>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2"/>
                <w:szCs w:val="12"/>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compensation</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33,789</w:t>
            </w: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5"/>
                <w:szCs w:val="15"/>
                <w:color w:val="auto"/>
              </w:rPr>
              <w:t>33,789</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Warrant exercise</w:t>
            </w:r>
          </w:p>
        </w:tc>
        <w:tc>
          <w:tcPr>
            <w:tcW w:w="96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720" w:type="dxa"/>
            <w:vAlign w:val="bottom"/>
            <w:tcBorders>
              <w:right w:val="single" w:sz="8" w:color="auto"/>
            </w:tcBorders>
            <w:gridSpan w:val="2"/>
            <w:shd w:val="clear" w:color="auto" w:fill="CCEEFF"/>
          </w:tcPr>
          <w:p>
            <w:pPr>
              <w:jc w:val="right"/>
              <w:ind w:right="160"/>
              <w:spacing w:after="0" w:line="162" w:lineRule="exact"/>
              <w:rPr>
                <w:sz w:val="20"/>
                <w:szCs w:val="20"/>
                <w:color w:val="auto"/>
              </w:rPr>
            </w:pPr>
            <w:r>
              <w:rPr>
                <w:rFonts w:ascii="Arial" w:cs="Arial" w:eastAsia="Arial" w:hAnsi="Arial"/>
                <w:sz w:val="15"/>
                <w:szCs w:val="15"/>
                <w:b w:val="1"/>
                <w:bCs w:val="1"/>
                <w:color w:val="auto"/>
              </w:rPr>
              <w:t>—</w:t>
            </w:r>
          </w:p>
        </w:tc>
        <w:tc>
          <w:tcPr>
            <w:tcW w:w="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824,991</w:t>
            </w:r>
          </w:p>
        </w:tc>
        <w:tc>
          <w:tcPr>
            <w:tcW w:w="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w w:val="93"/>
              </w:rPr>
              <w:t>—</w:t>
            </w:r>
          </w:p>
        </w:tc>
        <w:tc>
          <w:tcPr>
            <w:tcW w:w="10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14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20"/>
              <w:spacing w:after="0" w:line="162" w:lineRule="exact"/>
              <w:rPr>
                <w:sz w:val="20"/>
                <w:szCs w:val="20"/>
                <w:color w:val="auto"/>
              </w:rPr>
            </w:pPr>
            <w:r>
              <w:rPr>
                <w:rFonts w:ascii="Arial" w:cs="Arial" w:eastAsia="Arial" w:hAnsi="Arial"/>
                <w:sz w:val="15"/>
                <w:szCs w:val="15"/>
                <w:b w:val="1"/>
                <w:bCs w:val="1"/>
                <w:color w:val="auto"/>
              </w:rPr>
              <w:t>—</w:t>
            </w:r>
          </w:p>
        </w:tc>
        <w:tc>
          <w:tcPr>
            <w:tcW w:w="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jc w:val="right"/>
              <w:ind w:right="200"/>
              <w:spacing w:after="0" w:line="162" w:lineRule="exact"/>
              <w:rPr>
                <w:sz w:val="20"/>
                <w:szCs w:val="20"/>
                <w:color w:val="auto"/>
              </w:rPr>
            </w:pPr>
            <w:r>
              <w:rPr>
                <w:rFonts w:ascii="Arial" w:cs="Arial" w:eastAsia="Arial" w:hAnsi="Arial"/>
                <w:sz w:val="15"/>
                <w:szCs w:val="15"/>
                <w:b w:val="1"/>
                <w:bCs w:val="1"/>
                <w:color w:val="auto"/>
              </w:rPr>
              <w:t>—</w:t>
            </w:r>
          </w:p>
        </w:tc>
        <w:tc>
          <w:tcPr>
            <w:tcW w:w="64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0</w:t>
            </w:r>
          </w:p>
        </w:tc>
        <w:tc>
          <w:tcPr>
            <w:tcW w:w="0" w:type="dxa"/>
            <w:vAlign w:val="bottom"/>
          </w:tcPr>
          <w:p>
            <w:pPr>
              <w:spacing w:after="0"/>
              <w:rPr>
                <w:sz w:val="1"/>
                <w:szCs w:val="1"/>
                <w:color w:val="auto"/>
              </w:rPr>
            </w:pPr>
          </w:p>
        </w:tc>
      </w:tr>
      <w:tr>
        <w:trPr>
          <w:trHeight w:val="149"/>
        </w:trPr>
        <w:tc>
          <w:tcPr>
            <w:tcW w:w="1400" w:type="dxa"/>
            <w:vAlign w:val="bottom"/>
          </w:tcPr>
          <w:p>
            <w:pPr>
              <w:ind w:left="100"/>
              <w:spacing w:after="0" w:line="149" w:lineRule="exact"/>
              <w:rPr>
                <w:sz w:val="20"/>
                <w:szCs w:val="20"/>
                <w:color w:val="auto"/>
              </w:rPr>
            </w:pPr>
            <w:r>
              <w:rPr>
                <w:rFonts w:ascii="Arial" w:cs="Arial" w:eastAsia="Arial" w:hAnsi="Arial"/>
                <w:sz w:val="15"/>
                <w:szCs w:val="15"/>
                <w:color w:val="auto"/>
              </w:rPr>
              <w:t>Other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400" w:type="dxa"/>
            <w:vAlign w:val="bottom"/>
          </w:tcPr>
          <w:p>
            <w:pPr>
              <w:ind w:left="100"/>
              <w:spacing w:after="0" w:line="162" w:lineRule="exact"/>
              <w:rPr>
                <w:sz w:val="20"/>
                <w:szCs w:val="20"/>
                <w:color w:val="auto"/>
              </w:rPr>
            </w:pPr>
            <w:r>
              <w:rPr>
                <w:rFonts w:ascii="Arial" w:cs="Arial" w:eastAsia="Arial" w:hAnsi="Arial"/>
                <w:sz w:val="15"/>
                <w:szCs w:val="15"/>
                <w:color w:val="auto"/>
              </w:rPr>
              <w:t>comprehensive</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4"/>
                <w:szCs w:val="14"/>
                <w:color w:val="auto"/>
              </w:rPr>
            </w:pPr>
          </w:p>
        </w:tc>
        <w:tc>
          <w:tcPr>
            <w:tcW w:w="90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340" w:type="dxa"/>
            <w:vAlign w:val="bottom"/>
          </w:tcPr>
          <w:p>
            <w:pPr>
              <w:spacing w:after="0"/>
              <w:rPr>
                <w:sz w:val="14"/>
                <w:szCs w:val="14"/>
                <w:color w:val="auto"/>
              </w:rPr>
            </w:pPr>
          </w:p>
        </w:tc>
        <w:tc>
          <w:tcPr>
            <w:tcW w:w="3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w w:val="93"/>
              </w:rPr>
              <w:t>—</w:t>
            </w:r>
          </w:p>
        </w:tc>
        <w:tc>
          <w:tcPr>
            <w:tcW w:w="100" w:type="dxa"/>
            <w:vAlign w:val="bottom"/>
          </w:tcPr>
          <w:p>
            <w:pPr>
              <w:spacing w:after="0"/>
              <w:rPr>
                <w:sz w:val="14"/>
                <w:szCs w:val="14"/>
                <w:color w:val="auto"/>
              </w:rPr>
            </w:pPr>
          </w:p>
        </w:tc>
        <w:tc>
          <w:tcPr>
            <w:tcW w:w="72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40" w:type="dxa"/>
            <w:vAlign w:val="bottom"/>
          </w:tcPr>
          <w:p>
            <w:pPr>
              <w:spacing w:after="0"/>
              <w:rPr>
                <w:sz w:val="14"/>
                <w:szCs w:val="14"/>
                <w:color w:val="auto"/>
              </w:rPr>
            </w:pPr>
          </w:p>
        </w:tc>
        <w:tc>
          <w:tcPr>
            <w:tcW w:w="8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4"/>
                <w:szCs w:val="14"/>
                <w:color w:val="auto"/>
              </w:rPr>
            </w:pPr>
          </w:p>
        </w:tc>
        <w:tc>
          <w:tcPr>
            <w:tcW w:w="980" w:type="dxa"/>
            <w:vAlign w:val="bottom"/>
            <w:gridSpan w:val="2"/>
            <w:vMerge w:val="restart"/>
          </w:tcPr>
          <w:p>
            <w:pPr>
              <w:jc w:val="right"/>
              <w:ind w:right="220"/>
              <w:spacing w:after="0"/>
              <w:rPr>
                <w:sz w:val="20"/>
                <w:szCs w:val="20"/>
                <w:color w:val="auto"/>
              </w:rPr>
            </w:pPr>
            <w:r>
              <w:rPr>
                <w:rFonts w:ascii="Arial" w:cs="Arial" w:eastAsia="Arial" w:hAnsi="Arial"/>
                <w:sz w:val="15"/>
                <w:szCs w:val="15"/>
                <w:b w:val="1"/>
                <w:bCs w:val="1"/>
                <w:color w:val="auto"/>
              </w:rPr>
              <w:t>—</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1400" w:type="dxa"/>
            <w:vAlign w:val="bottom"/>
          </w:tcPr>
          <w:p>
            <w:pPr>
              <w:ind w:left="100"/>
              <w:spacing w:after="0"/>
              <w:rPr>
                <w:sz w:val="20"/>
                <w:szCs w:val="20"/>
                <w:color w:val="auto"/>
              </w:rPr>
            </w:pPr>
            <w:r>
              <w:rPr>
                <w:rFonts w:ascii="Arial" w:cs="Arial" w:eastAsia="Arial" w:hAnsi="Arial"/>
                <w:sz w:val="15"/>
                <w:szCs w:val="15"/>
                <w:color w:val="auto"/>
              </w:rPr>
              <w:t>loss</w:t>
            </w:r>
          </w:p>
        </w:tc>
        <w:tc>
          <w:tcPr>
            <w:tcW w:w="9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340" w:type="dxa"/>
            <w:vAlign w:val="bottom"/>
          </w:tcPr>
          <w:p>
            <w:pPr>
              <w:spacing w:after="0"/>
              <w:rPr>
                <w:sz w:val="15"/>
                <w:szCs w:val="15"/>
                <w:color w:val="auto"/>
              </w:rPr>
            </w:pPr>
          </w:p>
        </w:tc>
        <w:tc>
          <w:tcPr>
            <w:tcW w:w="3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5"/>
                <w:szCs w:val="15"/>
                <w:color w:val="auto"/>
              </w:rPr>
              <w:t>(94)</w:t>
            </w:r>
          </w:p>
        </w:tc>
        <w:tc>
          <w:tcPr>
            <w:tcW w:w="640" w:type="dxa"/>
            <w:vAlign w:val="bottom"/>
          </w:tcPr>
          <w:p>
            <w:pPr>
              <w:jc w:val="right"/>
              <w:spacing w:after="0"/>
              <w:rPr>
                <w:sz w:val="20"/>
                <w:szCs w:val="20"/>
                <w:color w:val="auto"/>
              </w:rPr>
            </w:pPr>
            <w:r>
              <w:rPr>
                <w:rFonts w:ascii="Arial" w:cs="Arial" w:eastAsia="Arial" w:hAnsi="Arial"/>
                <w:sz w:val="15"/>
                <w:szCs w:val="15"/>
                <w:color w:val="auto"/>
              </w:rPr>
              <w:t>(94)</w:t>
            </w:r>
          </w:p>
        </w:tc>
        <w:tc>
          <w:tcPr>
            <w:tcW w:w="0" w:type="dxa"/>
            <w:vAlign w:val="bottom"/>
          </w:tcPr>
          <w:p>
            <w:pPr>
              <w:spacing w:after="0"/>
              <w:rPr>
                <w:sz w:val="1"/>
                <w:szCs w:val="1"/>
                <w:color w:val="auto"/>
              </w:rPr>
            </w:pPr>
          </w:p>
        </w:tc>
      </w:tr>
      <w:tr>
        <w:trPr>
          <w:trHeight w:val="162"/>
        </w:trPr>
        <w:tc>
          <w:tcPr>
            <w:tcW w:w="1400" w:type="dxa"/>
            <w:vAlign w:val="bottom"/>
            <w:shd w:val="clear" w:color="auto" w:fill="CCEEFF"/>
          </w:tcPr>
          <w:p>
            <w:pPr>
              <w:ind w:left="100"/>
              <w:spacing w:after="0" w:line="162" w:lineRule="exact"/>
              <w:rPr>
                <w:sz w:val="20"/>
                <w:szCs w:val="20"/>
                <w:color w:val="auto"/>
              </w:rPr>
            </w:pPr>
            <w:r>
              <w:rPr>
                <w:rFonts w:ascii="Arial" w:cs="Arial" w:eastAsia="Arial" w:hAnsi="Arial"/>
                <w:sz w:val="15"/>
                <w:szCs w:val="15"/>
                <w:color w:val="auto"/>
              </w:rPr>
              <w:t>Net income</w:t>
            </w:r>
          </w:p>
        </w:tc>
        <w:tc>
          <w:tcPr>
            <w:tcW w:w="8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20" w:type="dxa"/>
            <w:vAlign w:val="bottom"/>
            <w:tcBorders>
              <w:right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w w:val="93"/>
              </w:rPr>
              <w:t>—</w:t>
            </w:r>
          </w:p>
        </w:tc>
        <w:tc>
          <w:tcPr>
            <w:tcW w:w="18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65,769</w:t>
            </w:r>
          </w:p>
        </w:tc>
        <w:tc>
          <w:tcPr>
            <w:tcW w:w="1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4"/>
                <w:szCs w:val="14"/>
                <w:color w:val="auto"/>
              </w:rPr>
            </w:pPr>
          </w:p>
        </w:tc>
        <w:tc>
          <w:tcPr>
            <w:tcW w:w="64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65,769</w:t>
            </w:r>
          </w:p>
        </w:tc>
        <w:tc>
          <w:tcPr>
            <w:tcW w:w="0" w:type="dxa"/>
            <w:vAlign w:val="bottom"/>
          </w:tcPr>
          <w:p>
            <w:pPr>
              <w:spacing w:after="0"/>
              <w:rPr>
                <w:sz w:val="1"/>
                <w:szCs w:val="1"/>
                <w:color w:val="auto"/>
              </w:rPr>
            </w:pPr>
          </w:p>
        </w:tc>
      </w:tr>
      <w:tr>
        <w:trPr>
          <w:trHeight w:val="125"/>
        </w:trPr>
        <w:tc>
          <w:tcPr>
            <w:tcW w:w="1400" w:type="dxa"/>
            <w:vAlign w:val="bottom"/>
          </w:tcPr>
          <w:p>
            <w:pPr>
              <w:spacing w:after="0" w:line="125" w:lineRule="exact"/>
              <w:rPr>
                <w:sz w:val="20"/>
                <w:szCs w:val="20"/>
                <w:color w:val="auto"/>
              </w:rPr>
            </w:pPr>
            <w:r>
              <w:rPr>
                <w:rFonts w:ascii="Arial" w:cs="Arial" w:eastAsia="Arial" w:hAnsi="Arial"/>
                <w:sz w:val="14"/>
                <w:szCs w:val="14"/>
                <w:b w:val="1"/>
                <w:bCs w:val="1"/>
                <w:color w:val="auto"/>
              </w:rPr>
              <w:t>Balance at</w:t>
            </w:r>
          </w:p>
        </w:tc>
        <w:tc>
          <w:tcPr>
            <w:tcW w:w="960" w:type="dxa"/>
            <w:vAlign w:val="bottom"/>
            <w:gridSpan w:val="2"/>
            <w:vMerge w:val="restart"/>
          </w:tcPr>
          <w:p>
            <w:pPr>
              <w:jc w:val="right"/>
              <w:ind w:right="200"/>
              <w:spacing w:after="0"/>
              <w:rPr>
                <w:sz w:val="20"/>
                <w:szCs w:val="20"/>
                <w:color w:val="auto"/>
              </w:rPr>
            </w:pPr>
            <w:r>
              <w:rPr>
                <w:rFonts w:ascii="Arial" w:cs="Arial" w:eastAsia="Arial" w:hAnsi="Arial"/>
                <w:sz w:val="15"/>
                <w:szCs w:val="15"/>
                <w:b w:val="1"/>
                <w:bCs w:val="1"/>
                <w:color w:val="auto"/>
              </w:rPr>
              <w:t>—</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right w:val="single" w:sz="8" w:color="auto"/>
            </w:tcBorders>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w:t>
            </w:r>
          </w:p>
        </w:tc>
        <w:tc>
          <w:tcPr>
            <w:tcW w:w="6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90"/>
              </w:rPr>
              <w:t>91,088,781</w:t>
            </w:r>
          </w:p>
        </w:tc>
        <w:tc>
          <w:tcPr>
            <w:tcW w:w="160" w:type="dxa"/>
            <w:vAlign w:val="bottom"/>
          </w:tcPr>
          <w:p>
            <w:pPr>
              <w:spacing w:after="0"/>
              <w:rPr>
                <w:sz w:val="10"/>
                <w:szCs w:val="10"/>
                <w:color w:val="auto"/>
              </w:rPr>
            </w:pPr>
          </w:p>
        </w:tc>
        <w:tc>
          <w:tcPr>
            <w:tcW w:w="340" w:type="dxa"/>
            <w:vAlign w:val="bottom"/>
            <w:vMerge w:val="restart"/>
          </w:tcPr>
          <w:p>
            <w:pPr>
              <w:ind w:left="20"/>
              <w:spacing w:after="0"/>
              <w:rPr>
                <w:sz w:val="20"/>
                <w:szCs w:val="20"/>
                <w:color w:val="auto"/>
              </w:rPr>
            </w:pPr>
            <w:r>
              <w:rPr>
                <w:rFonts w:ascii="Arial" w:cs="Arial" w:eastAsia="Arial" w:hAnsi="Arial"/>
                <w:sz w:val="15"/>
                <w:szCs w:val="15"/>
                <w:b w:val="1"/>
                <w:bCs w:val="1"/>
                <w:color w:val="auto"/>
              </w:rPr>
              <w:t>$</w:t>
            </w:r>
          </w:p>
        </w:tc>
        <w:tc>
          <w:tcPr>
            <w:tcW w:w="2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spacing w:after="0"/>
              <w:rPr>
                <w:sz w:val="10"/>
                <w:szCs w:val="10"/>
                <w:color w:val="auto"/>
              </w:rPr>
            </w:pPr>
          </w:p>
        </w:tc>
        <w:tc>
          <w:tcPr>
            <w:tcW w:w="10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(1,009)</w:t>
            </w:r>
          </w:p>
        </w:tc>
        <w:tc>
          <w:tcPr>
            <w:tcW w:w="14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255,339</w:t>
            </w:r>
          </w:p>
        </w:tc>
        <w:tc>
          <w:tcPr>
            <w:tcW w:w="160" w:type="dxa"/>
            <w:vAlign w:val="bottom"/>
          </w:tcPr>
          <w:p>
            <w:pPr>
              <w:spacing w:after="0"/>
              <w:rPr>
                <w:sz w:val="10"/>
                <w:szCs w:val="10"/>
                <w:color w:val="auto"/>
              </w:rPr>
            </w:pPr>
          </w:p>
        </w:tc>
        <w:tc>
          <w:tcPr>
            <w:tcW w:w="180" w:type="dxa"/>
            <w:vAlign w:val="bottom"/>
            <w:vMerge w:val="restart"/>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8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(2,424)</w:t>
            </w:r>
          </w:p>
        </w:tc>
        <w:tc>
          <w:tcPr>
            <w:tcW w:w="80" w:type="dxa"/>
            <w:vAlign w:val="bottom"/>
            <w:vMerge w:val="restart"/>
          </w:tcPr>
          <w:p>
            <w:pPr>
              <w:jc w:val="right"/>
              <w:spacing w:after="0"/>
              <w:rPr>
                <w:sz w:val="20"/>
                <w:szCs w:val="20"/>
                <w:color w:val="auto"/>
              </w:rPr>
            </w:pPr>
            <w:r>
              <w:rPr>
                <w:rFonts w:ascii="Arial" w:cs="Arial" w:eastAsia="Arial" w:hAnsi="Arial"/>
                <w:sz w:val="15"/>
                <w:szCs w:val="15"/>
                <w:b w:val="1"/>
                <w:bCs w:val="1"/>
                <w:color w:val="auto"/>
                <w:w w:val="71"/>
              </w:rPr>
              <w:t>$</w:t>
            </w:r>
          </w:p>
        </w:tc>
        <w:tc>
          <w:tcPr>
            <w:tcW w:w="1180" w:type="dxa"/>
            <w:vAlign w:val="bottom"/>
            <w:gridSpan w:val="2"/>
            <w:vMerge w:val="restart"/>
          </w:tcPr>
          <w:p>
            <w:pPr>
              <w:jc w:val="right"/>
              <w:ind w:right="160"/>
              <w:spacing w:after="0"/>
              <w:rPr>
                <w:sz w:val="20"/>
                <w:szCs w:val="20"/>
                <w:color w:val="auto"/>
              </w:rPr>
            </w:pPr>
            <w:r>
              <w:rPr>
                <w:rFonts w:ascii="Arial" w:cs="Arial" w:eastAsia="Arial" w:hAnsi="Arial"/>
                <w:sz w:val="15"/>
                <w:szCs w:val="15"/>
                <w:b w:val="1"/>
                <w:bCs w:val="1"/>
                <w:color w:val="auto"/>
              </w:rPr>
              <w:t>(93)</w:t>
            </w:r>
          </w:p>
        </w:tc>
        <w:tc>
          <w:tcPr>
            <w:tcW w:w="640" w:type="dxa"/>
            <w:vAlign w:val="bottom"/>
            <w:vMerge w:val="restart"/>
          </w:tcPr>
          <w:p>
            <w:pPr>
              <w:jc w:val="right"/>
              <w:spacing w:after="0"/>
              <w:rPr>
                <w:sz w:val="20"/>
                <w:szCs w:val="20"/>
                <w:color w:val="auto"/>
              </w:rPr>
            </w:pPr>
            <w:r>
              <w:rPr>
                <w:rFonts w:ascii="Arial" w:cs="Arial" w:eastAsia="Arial" w:hAnsi="Arial"/>
                <w:sz w:val="15"/>
                <w:szCs w:val="15"/>
                <w:b w:val="1"/>
                <w:bCs w:val="1"/>
                <w:u w:val="single" w:color="auto"/>
                <w:color w:val="auto"/>
                <w:w w:val="92"/>
              </w:rPr>
              <w:t>$</w:t>
            </w:r>
            <w:r>
              <w:rPr>
                <w:rFonts w:ascii="Arial" w:cs="Arial" w:eastAsia="Arial" w:hAnsi="Arial"/>
                <w:sz w:val="15"/>
                <w:szCs w:val="15"/>
                <w:b w:val="1"/>
                <w:bCs w:val="1"/>
                <w:color w:val="auto"/>
                <w:w w:val="92"/>
              </w:rPr>
              <w:t>251,822</w:t>
            </w:r>
          </w:p>
        </w:tc>
        <w:tc>
          <w:tcPr>
            <w:tcW w:w="0" w:type="dxa"/>
            <w:vAlign w:val="bottom"/>
          </w:tcPr>
          <w:p>
            <w:pPr>
              <w:spacing w:after="0"/>
              <w:rPr>
                <w:sz w:val="1"/>
                <w:szCs w:val="1"/>
                <w:color w:val="auto"/>
              </w:rPr>
            </w:pPr>
          </w:p>
        </w:tc>
      </w:tr>
      <w:tr>
        <w:trPr>
          <w:trHeight w:val="166"/>
        </w:trPr>
        <w:tc>
          <w:tcPr>
            <w:tcW w:w="1400" w:type="dxa"/>
            <w:vAlign w:val="bottom"/>
          </w:tcPr>
          <w:p>
            <w:pPr>
              <w:spacing w:after="0" w:line="166" w:lineRule="exact"/>
              <w:rPr>
                <w:sz w:val="20"/>
                <w:szCs w:val="20"/>
                <w:color w:val="auto"/>
              </w:rPr>
            </w:pPr>
            <w:r>
              <w:rPr>
                <w:rFonts w:ascii="Arial" w:cs="Arial" w:eastAsia="Arial" w:hAnsi="Arial"/>
                <w:sz w:val="15"/>
                <w:szCs w:val="15"/>
                <w:b w:val="1"/>
                <w:bCs w:val="1"/>
                <w:color w:val="auto"/>
              </w:rPr>
              <w:t>December 31, 2021</w:t>
            </w:r>
          </w:p>
        </w:tc>
        <w:tc>
          <w:tcPr>
            <w:tcW w:w="96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720" w:type="dxa"/>
            <w:vAlign w:val="bottom"/>
            <w:tcBorders>
              <w:right w:val="single" w:sz="8" w:color="auto"/>
            </w:tcBorders>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340" w:type="dxa"/>
            <w:vAlign w:val="bottom"/>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vMerge w:val="continue"/>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4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700"/>
        <w:spacing w:after="0"/>
        <w:rPr>
          <w:sz w:val="20"/>
          <w:szCs w:val="20"/>
          <w:color w:val="auto"/>
        </w:rPr>
      </w:pPr>
      <w:r>
        <w:rPr>
          <w:rFonts w:ascii="Arial" w:cs="Arial" w:eastAsia="Arial" w:hAnsi="Arial"/>
          <w:sz w:val="18"/>
          <w:szCs w:val="18"/>
          <w:color w:val="auto"/>
        </w:rPr>
        <w:t>The accompany notes are an integral part of these consolidated financial statements.</w:t>
      </w:r>
    </w:p>
    <w:p>
      <w:pPr>
        <w:sectPr>
          <w:pgSz w:w="11900" w:h="16838" w:orient="portrait"/>
          <w:cols w:equalWidth="0" w:num="1">
            <w:col w:w="9720"/>
          </w:cols>
          <w:pgMar w:left="1220" w:top="517" w:right="959" w:bottom="8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60"/>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372110</wp:posOffset>
            </wp:positionV>
            <wp:extent cx="598360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5983605" cy="25400"/>
                    </a:xfrm>
                    <a:prstGeom prst="rect">
                      <a:avLst/>
                    </a:prstGeom>
                    <a:noFill/>
                  </pic:spPr>
                </pic:pic>
              </a:graphicData>
            </a:graphic>
          </wp:anchor>
        </w:drawing>
      </w:r>
    </w:p>
    <w:p>
      <w:pPr>
        <w:sectPr>
          <w:pgSz w:w="11900" w:h="16838" w:orient="portrait"/>
          <w:cols w:equalWidth="0" w:num="1">
            <w:col w:w="9720"/>
          </w:cols>
          <w:pgMar w:left="1220" w:top="517" w:right="959" w:bottom="844" w:gutter="0" w:footer="0" w:header="0"/>
          <w:type w:val="continuous"/>
        </w:sectPr>
      </w:pPr>
    </w:p>
    <w:bookmarkStart w:id="76" w:name="page77"/>
    <w:bookmarkEnd w:id="7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PROGYNY,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2" w:lineRule="exact"/>
        <w:rPr>
          <w:sz w:val="20"/>
          <w:szCs w:val="20"/>
          <w:color w:val="auto"/>
        </w:rPr>
      </w:pPr>
    </w:p>
    <w:p>
      <w:pPr>
        <w:ind w:left="7020"/>
        <w:spacing w:after="0"/>
        <w:rPr>
          <w:sz w:val="20"/>
          <w:szCs w:val="20"/>
          <w:color w:val="auto"/>
        </w:rPr>
      </w:pPr>
      <w:r>
        <w:rPr>
          <w:rFonts w:ascii="Arial" w:cs="Arial" w:eastAsia="Arial" w:hAnsi="Arial"/>
          <w:sz w:val="14"/>
          <w:szCs w:val="14"/>
          <w:b w:val="1"/>
          <w:bCs w:val="1"/>
          <w:color w:val="auto"/>
        </w:rPr>
        <w:t>Year Ended</w:t>
      </w:r>
    </w:p>
    <w:p>
      <w:pPr>
        <w:ind w:left="69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-3175</wp:posOffset>
            </wp:positionV>
            <wp:extent cx="19970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997075" cy="8890"/>
                    </a:xfrm>
                    <a:prstGeom prst="rect">
                      <a:avLst/>
                    </a:prstGeom>
                    <a:noFill/>
                  </pic:spPr>
                </pic:pic>
              </a:graphicData>
            </a:graphic>
          </wp:anchor>
        </w:drawing>
      </w:r>
    </w:p>
    <w:p>
      <w:pPr>
        <w:spacing w:after="0" w:line="1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6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income (loss)</w:t>
            </w:r>
          </w:p>
        </w:tc>
        <w:tc>
          <w:tcPr>
            <w:tcW w:w="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65,769</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46,459</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(8,569)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Adjustments to reconcile net income (loss) to net cash provided by (used in) operating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80"/>
              <w:spacing w:after="0" w:line="149" w:lineRule="exact"/>
              <w:rPr>
                <w:sz w:val="20"/>
                <w:szCs w:val="20"/>
                <w:color w:val="auto"/>
              </w:rPr>
            </w:pPr>
            <w:r>
              <w:rPr>
                <w:rFonts w:ascii="Arial" w:cs="Arial" w:eastAsia="Arial" w:hAnsi="Arial"/>
                <w:sz w:val="14"/>
                <w:szCs w:val="14"/>
                <w:color w:val="auto"/>
              </w:rPr>
              <w:t>Deferred tax (benefit) expense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(33,303)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(37,971)</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Non-cash interest expense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8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1,301</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1,906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2,133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Stock-based compensation expense</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33,706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80"/>
              <w:spacing w:after="0" w:line="149" w:lineRule="exact"/>
              <w:rPr>
                <w:sz w:val="20"/>
                <w:szCs w:val="20"/>
                <w:color w:val="auto"/>
              </w:rPr>
            </w:pPr>
            <w:r>
              <w:rPr>
                <w:rFonts w:ascii="Arial" w:cs="Arial" w:eastAsia="Arial" w:hAnsi="Arial"/>
                <w:sz w:val="14"/>
                <w:szCs w:val="14"/>
                <w:color w:val="auto"/>
              </w:rPr>
              <w:t>Bad debt expense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9,783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5,562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1,606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ind w:left="80"/>
              <w:spacing w:after="0" w:line="149" w:lineRule="exact"/>
              <w:rPr>
                <w:sz w:val="20"/>
                <w:szCs w:val="20"/>
                <w:color w:val="auto"/>
              </w:rPr>
            </w:pPr>
            <w:r>
              <w:rPr>
                <w:rFonts w:ascii="Arial" w:cs="Arial" w:eastAsia="Arial" w:hAnsi="Arial"/>
                <w:sz w:val="14"/>
                <w:szCs w:val="14"/>
                <w:color w:val="auto"/>
              </w:rPr>
              <w:t>Change in fair value of warrant liabilities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(68,676)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(35,336)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(25,342)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(4,118)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17,840</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25,008</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3,501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17,400</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Borders>
              <w:bottom w:val="single" w:sz="8" w:color="CCEEFF"/>
            </w:tcBorders>
          </w:tcPr>
          <w:p>
            <w:pPr>
              <w:ind w:left="200"/>
              <w:spacing w:after="0" w:line="149" w:lineRule="exact"/>
              <w:rPr>
                <w:sz w:val="20"/>
                <w:szCs w:val="20"/>
                <w:color w:val="auto"/>
              </w:rPr>
            </w:pPr>
            <w:r>
              <w:rPr>
                <w:rFonts w:ascii="Arial" w:cs="Arial" w:eastAsia="Arial" w:hAnsi="Arial"/>
                <w:sz w:val="14"/>
                <w:szCs w:val="14"/>
                <w:color w:val="auto"/>
              </w:rPr>
              <w:t>Other noncurrent assets and liabilities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(3,280)</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605</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(380)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operating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26,037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36,203</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(1,534)</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Purchase of property and equipment, net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(2,129)</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(1,037)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 of marketable securities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(111,477)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(103,964)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Sale of marketable securities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122,372</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64,970</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(used in) continuing operations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(40,031)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(2,956)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Net cash provided by discontinued operations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8,766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(40,031)</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(2,756)</w:t>
            </w:r>
          </w:p>
        </w:tc>
        <w:tc>
          <w:tcPr>
            <w:tcW w:w="0" w:type="dxa"/>
            <w:vAlign w:val="bottom"/>
          </w:tcPr>
          <w:p>
            <w:pPr>
              <w:spacing w:after="0"/>
              <w:rPr>
                <w:sz w:val="1"/>
                <w:szCs w:val="1"/>
                <w:color w:val="auto"/>
              </w:rPr>
            </w:pPr>
          </w:p>
        </w:tc>
      </w:tr>
      <w:tr>
        <w:trPr>
          <w:trHeight w:val="148"/>
        </w:trPr>
        <w:tc>
          <w:tcPr>
            <w:tcW w:w="20" w:type="dxa"/>
            <w:vAlign w:val="bottom"/>
            <w:vMerge w:val="restart"/>
          </w:tcPr>
          <w:p>
            <w:pPr>
              <w:spacing w:after="0"/>
              <w:rPr>
                <w:sz w:val="12"/>
                <w:szCs w:val="12"/>
                <w:color w:val="auto"/>
              </w:rPr>
            </w:pPr>
          </w:p>
        </w:tc>
        <w:tc>
          <w:tcPr>
            <w:tcW w:w="5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Proceeds from issuance of common stock upon initial public offering</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81,220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Payment of initial public offering costs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(892)</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Proceeds from revolving line of credit</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182,025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Repayments made against revolving line of credit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Repurchase of common stock</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(185)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exercise of stock options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2,924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6,536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Payment of employee taxes related to equity awards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(17,966)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(8,930)</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contributions to employee stock purchase plan</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1,347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1,244</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Proceeds from exercise of stock warrants</w:t>
            </w:r>
          </w:p>
        </w:tc>
        <w:tc>
          <w:tcPr>
            <w:tcW w:w="1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shd w:val="clear" w:color="auto" w:fill="CCEEFF"/>
          </w:tcPr>
          <w:p>
            <w:pPr>
              <w:ind w:left="400"/>
              <w:spacing w:after="0" w:line="142" w:lineRule="exact"/>
              <w:rPr>
                <w:sz w:val="20"/>
                <w:szCs w:val="20"/>
                <w:color w:val="auto"/>
              </w:rPr>
            </w:pPr>
            <w:r>
              <w:rPr>
                <w:rFonts w:ascii="Arial" w:cs="Arial" w:eastAsia="Arial" w:hAnsi="Arial"/>
                <w:sz w:val="14"/>
                <w:szCs w:val="14"/>
                <w:color w:val="auto"/>
              </w:rPr>
              <w:t>Net cash provided by (used in) financing activities</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(13,695)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(6,249)</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84,545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Net increase (decrease) in cash and cash equivalents</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21,108</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(10,077)</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80,255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1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70,305</w:t>
            </w:r>
          </w:p>
        </w:tc>
        <w:tc>
          <w:tcPr>
            <w:tcW w:w="16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80,382</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127</w:t>
            </w:r>
          </w:p>
        </w:tc>
        <w:tc>
          <w:tcPr>
            <w:tcW w:w="0" w:type="dxa"/>
            <w:vAlign w:val="bottom"/>
          </w:tcPr>
          <w:p>
            <w:pPr>
              <w:spacing w:after="0"/>
              <w:rPr>
                <w:sz w:val="1"/>
                <w:szCs w:val="1"/>
                <w:color w:val="auto"/>
              </w:rPr>
            </w:pPr>
          </w:p>
        </w:tc>
      </w:tr>
      <w:tr>
        <w:trPr>
          <w:trHeight w:val="182"/>
        </w:trPr>
        <w:tc>
          <w:tcPr>
            <w:tcW w:w="5660" w:type="dxa"/>
            <w:vAlign w:val="bottom"/>
            <w:gridSpan w:val="2"/>
          </w:tcPr>
          <w:p>
            <w:pPr>
              <w:spacing w:after="0" w:line="142" w:lineRule="exact"/>
              <w:rPr>
                <w:sz w:val="20"/>
                <w:szCs w:val="20"/>
                <w:color w:val="auto"/>
              </w:rPr>
            </w:pPr>
            <w:r>
              <w:rPr>
                <w:rFonts w:ascii="Arial" w:cs="Arial" w:eastAsia="Arial" w:hAnsi="Arial"/>
                <w:sz w:val="14"/>
                <w:szCs w:val="14"/>
                <w:color w:val="auto"/>
              </w:rPr>
              <w:t>Cash and cash equivalents, end of year</w:t>
            </w:r>
          </w:p>
        </w:tc>
        <w:tc>
          <w:tcPr>
            <w:tcW w:w="10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91,413</w:t>
            </w:r>
          </w:p>
        </w:tc>
        <w:tc>
          <w:tcPr>
            <w:tcW w:w="160" w:type="dxa"/>
            <w:vAlign w:val="bottom"/>
          </w:tcPr>
          <w:p>
            <w:pPr>
              <w:spacing w:after="0"/>
              <w:rPr>
                <w:sz w:val="15"/>
                <w:szCs w:val="15"/>
                <w:color w:val="auto"/>
              </w:rPr>
            </w:pPr>
          </w:p>
        </w:tc>
        <w:tc>
          <w:tcPr>
            <w:tcW w:w="200" w:type="dxa"/>
            <w:vAlign w:val="bottom"/>
            <w:tcBorders>
              <w:bottom w:val="single" w:sz="8" w:color="auto"/>
            </w:tcBorders>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70,305</w:t>
            </w:r>
          </w:p>
        </w:tc>
        <w:tc>
          <w:tcPr>
            <w:tcW w:w="180" w:type="dxa"/>
            <w:vAlign w:val="bottom"/>
          </w:tcPr>
          <w:p>
            <w:pPr>
              <w:spacing w:after="0"/>
              <w:rPr>
                <w:sz w:val="15"/>
                <w:szCs w:val="15"/>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80,382</w:t>
            </w: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56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b w:val="1"/>
                <w:bCs w:val="1"/>
                <w:color w:val="auto"/>
              </w:rPr>
              <w:t>SUPPLEMENTAL DISCLOSURE OF CASH FLOW INFORMATION</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for interest</w:t>
            </w:r>
          </w:p>
        </w:tc>
        <w:tc>
          <w:tcPr>
            <w:tcW w:w="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rPr>
              <w:t>Cash paid for income taxes, net of refunds received</w:t>
            </w:r>
          </w:p>
        </w:tc>
        <w:tc>
          <w:tcPr>
            <w:tcW w:w="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5640" w:type="dxa"/>
            <w:vAlign w:val="bottom"/>
            <w:shd w:val="clear" w:color="auto" w:fill="CCEEFF"/>
          </w:tcPr>
          <w:p>
            <w:pPr>
              <w:spacing w:after="0" w:line="126" w:lineRule="exact"/>
              <w:rPr>
                <w:sz w:val="20"/>
                <w:szCs w:val="20"/>
                <w:color w:val="auto"/>
              </w:rPr>
            </w:pPr>
            <w:r>
              <w:rPr>
                <w:rFonts w:ascii="Arial" w:cs="Arial" w:eastAsia="Arial" w:hAnsi="Arial"/>
                <w:sz w:val="14"/>
                <w:szCs w:val="14"/>
                <w:b w:val="1"/>
                <w:bCs w:val="1"/>
                <w:color w:val="auto"/>
              </w:rPr>
              <w:t>SUPPLEMENTAL DISCLOSURE OF NON-CASH INVESTING AND FINANCING</w:t>
            </w:r>
          </w:p>
        </w:tc>
        <w:tc>
          <w:tcPr>
            <w:tcW w:w="1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ACTIVITIES</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tcPr>
          <w:p>
            <w:pPr>
              <w:spacing w:after="0" w:line="149" w:lineRule="exact"/>
              <w:rPr>
                <w:sz w:val="20"/>
                <w:szCs w:val="20"/>
                <w:color w:val="auto"/>
              </w:rPr>
            </w:pPr>
            <w:r>
              <w:rPr>
                <w:rFonts w:ascii="Arial" w:cs="Arial" w:eastAsia="Arial" w:hAnsi="Arial"/>
                <w:sz w:val="14"/>
                <w:szCs w:val="14"/>
                <w:color w:val="auto"/>
                <w:w w:val="96"/>
              </w:rPr>
              <w:t>Additions of property and equipment, net included in accounts payable and accrued expenses</w:t>
            </w:r>
          </w:p>
        </w:tc>
        <w:tc>
          <w:tcPr>
            <w:tcW w:w="28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204</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24</w:t>
            </w:r>
          </w:p>
        </w:tc>
        <w:tc>
          <w:tcPr>
            <w:tcW w:w="360" w:type="dxa"/>
            <w:vAlign w:val="bottom"/>
            <w:gridSpan w:val="2"/>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6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Deferred initial public offering costs in accounts payable and accrued expenses</w:t>
            </w:r>
          </w:p>
        </w:tc>
        <w:tc>
          <w:tcPr>
            <w:tcW w:w="28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gridSpan w:val="2"/>
            <w:shd w:val="clear" w:color="auto" w:fill="CCEEFF"/>
          </w:tcPr>
          <w:p>
            <w:pPr>
              <w:jc w:val="right"/>
              <w:ind w:right="69"/>
              <w:spacing w:after="0" w:line="149" w:lineRule="exact"/>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tcPr>
          <w:p>
            <w:pPr>
              <w:spacing w:after="0"/>
              <w:rPr>
                <w:sz w:val="20"/>
                <w:szCs w:val="20"/>
                <w:color w:val="auto"/>
              </w:rPr>
            </w:pPr>
            <w:r>
              <w:rPr>
                <w:rFonts w:ascii="Arial" w:cs="Arial" w:eastAsia="Arial" w:hAnsi="Arial"/>
                <w:sz w:val="14"/>
                <w:szCs w:val="14"/>
                <w:color w:val="auto"/>
              </w:rPr>
              <w:t>Non-cash preferred stock warrant conversion to common stock warrant upon IPO</w:t>
            </w:r>
          </w:p>
        </w:tc>
        <w:tc>
          <w:tcPr>
            <w:tcW w:w="28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360" w:type="dxa"/>
            <w:vAlign w:val="bottom"/>
            <w:gridSpan w:val="2"/>
          </w:tcPr>
          <w:p>
            <w:pPr>
              <w:jc w:val="right"/>
              <w:ind w:right="69"/>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(22,765)</w:t>
            </w:r>
          </w:p>
        </w:tc>
        <w:tc>
          <w:tcPr>
            <w:tcW w:w="0" w:type="dxa"/>
            <w:vAlign w:val="bottom"/>
          </w:tcPr>
          <w:p>
            <w:pPr>
              <w:spacing w:after="0"/>
              <w:rPr>
                <w:sz w:val="1"/>
                <w:szCs w:val="1"/>
                <w:color w:val="auto"/>
              </w:rPr>
            </w:pPr>
          </w:p>
        </w:tc>
      </w:tr>
    </w:tbl>
    <w:p>
      <w:pPr>
        <w:spacing w:after="0" w:line="168" w:lineRule="exact"/>
        <w:rPr>
          <w:sz w:val="20"/>
          <w:szCs w:val="20"/>
          <w:color w:val="auto"/>
        </w:rPr>
      </w:pPr>
    </w:p>
    <w:p>
      <w:pPr>
        <w:ind w:left="16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7" w:name="page78"/>
    <w:bookmarkEnd w:id="7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41" w:lineRule="exact"/>
        <w:rPr>
          <w:sz w:val="20"/>
          <w:szCs w:val="20"/>
          <w:color w:val="auto"/>
        </w:rPr>
      </w:pPr>
    </w:p>
    <w:p>
      <w:pPr>
        <w:ind w:left="60" w:right="5999" w:hanging="10"/>
        <w:spacing w:after="0" w:line="566" w:lineRule="auto"/>
        <w:tabs>
          <w:tab w:leader="none" w:pos="375" w:val="left"/>
        </w:tabs>
        <w:numPr>
          <w:ilvl w:val="0"/>
          <w:numId w:val="38"/>
        </w:numPr>
        <w:rPr>
          <w:rFonts w:ascii="Arial" w:cs="Arial" w:eastAsia="Arial" w:hAnsi="Arial"/>
          <w:sz w:val="16"/>
          <w:szCs w:val="16"/>
          <w:b w:val="1"/>
          <w:bCs w:val="1"/>
          <w:color w:val="auto"/>
        </w:rPr>
      </w:pPr>
      <w:r>
        <w:rPr>
          <w:rFonts w:ascii="Arial" w:cs="Arial" w:eastAsia="Arial" w:hAnsi="Arial"/>
          <w:sz w:val="16"/>
          <w:szCs w:val="16"/>
          <w:b w:val="1"/>
          <w:bCs w:val="1"/>
          <w:color w:val="auto"/>
        </w:rPr>
        <w:t>Business and Basis of Presentation Description of Business</w:t>
      </w:r>
    </w:p>
    <w:p>
      <w:pPr>
        <w:ind w:left="60" w:right="219" w:firstLine="648"/>
        <w:spacing w:after="0" w:line="308" w:lineRule="auto"/>
        <w:rPr>
          <w:sz w:val="20"/>
          <w:szCs w:val="20"/>
          <w:color w:val="auto"/>
        </w:rPr>
      </w:pPr>
      <w:r>
        <w:rPr>
          <w:rFonts w:ascii="Arial" w:cs="Arial" w:eastAsia="Arial" w:hAnsi="Arial"/>
          <w:sz w:val="17"/>
          <w:szCs w:val="17"/>
          <w:color w:val="auto"/>
        </w:rPr>
        <w:t>Progyny, Inc. (together with its subsidiaries referred to as “Progyny” or the “Company”) was incorporated in the state of Delaware on April 3, 2008, and maintains its corporate headquarters in New York, NY.</w:t>
      </w:r>
    </w:p>
    <w:p>
      <w:pPr>
        <w:spacing w:after="0" w:line="146" w:lineRule="exact"/>
        <w:rPr>
          <w:sz w:val="20"/>
          <w:szCs w:val="20"/>
          <w:color w:val="auto"/>
        </w:rPr>
      </w:pPr>
    </w:p>
    <w:p>
      <w:pPr>
        <w:ind w:left="60" w:right="219" w:firstLine="648"/>
        <w:spacing w:after="0" w:line="271" w:lineRule="auto"/>
        <w:rPr>
          <w:sz w:val="20"/>
          <w:szCs w:val="20"/>
          <w:color w:val="auto"/>
        </w:rPr>
      </w:pPr>
      <w:r>
        <w:rPr>
          <w:rFonts w:ascii="Arial" w:cs="Arial" w:eastAsia="Arial" w:hAnsi="Arial"/>
          <w:sz w:val="17"/>
          <w:szCs w:val="17"/>
          <w:color w:val="auto"/>
        </w:rPr>
        <w:t>Progyny is a provider of a fertility benefits solution and pharmacy benefits solution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 (3) active management of the selective network of high-quality provider clinics, real-time member eligibility and treatment authorization, member-facing digital tools and detailed quarterly reporting supported by the Company’s dedicated account management teams, and end to end comprehensive concierge member support provided by Progyny’s in-house staff of Patient Care Advocates (“PCAs”) (collectively, the “care management services”).</w:t>
      </w:r>
    </w:p>
    <w:p>
      <w:pPr>
        <w:spacing w:after="0" w:line="17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The Company enhanced its fertility benefits solution with the launch of Progyny Rx, its pharmacy benefits solution, effective January 1, 2018. As part of this solution, the Company provides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 The pharmacy benefits solution is only available as an add-on service to its fertility benefits solution.</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Reverse Stock Split</w:t>
      </w:r>
    </w:p>
    <w:p>
      <w:pPr>
        <w:spacing w:after="0" w:line="229" w:lineRule="exact"/>
        <w:rPr>
          <w:sz w:val="20"/>
          <w:szCs w:val="20"/>
          <w:color w:val="auto"/>
        </w:rPr>
      </w:pPr>
    </w:p>
    <w:p>
      <w:pPr>
        <w:ind w:left="60" w:right="239" w:firstLine="648"/>
        <w:spacing w:after="0" w:line="279" w:lineRule="auto"/>
        <w:rPr>
          <w:sz w:val="20"/>
          <w:szCs w:val="20"/>
          <w:color w:val="auto"/>
        </w:rPr>
      </w:pPr>
      <w:r>
        <w:rPr>
          <w:rFonts w:ascii="Arial" w:cs="Arial" w:eastAsia="Arial" w:hAnsi="Arial"/>
          <w:sz w:val="17"/>
          <w:szCs w:val="17"/>
          <w:color w:val="auto"/>
        </w:rPr>
        <w:t>On October 14, 2019, the shareholders of Progyny approved a one-for-4.5454 reverse stock split of its common and convertible preferred stock. The par value of the common stock and convertible preferred stock was not adjusted as a result of the reverse stock split. Accordingly, the consolidated financial statements and notes retroactively reflect Progyny’s capital structure after giving effect to the reverse stock split.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Initial Public Offering</w:t>
      </w:r>
    </w:p>
    <w:p>
      <w:pPr>
        <w:spacing w:after="0" w:line="229" w:lineRule="exact"/>
        <w:rPr>
          <w:sz w:val="20"/>
          <w:szCs w:val="20"/>
          <w:color w:val="auto"/>
        </w:rPr>
      </w:pPr>
    </w:p>
    <w:p>
      <w:pPr>
        <w:ind w:left="60" w:right="119" w:firstLine="648"/>
        <w:spacing w:after="0" w:line="287" w:lineRule="auto"/>
        <w:rPr>
          <w:sz w:val="20"/>
          <w:szCs w:val="20"/>
          <w:color w:val="auto"/>
        </w:rPr>
      </w:pPr>
      <w:r>
        <w:rPr>
          <w:rFonts w:ascii="Arial" w:cs="Arial" w:eastAsia="Arial" w:hAnsi="Arial"/>
          <w:sz w:val="16"/>
          <w:szCs w:val="16"/>
          <w:color w:val="auto"/>
        </w:rPr>
        <w:t>On October 29, 2019, the Company completed its initial public offering (“IPO”) in which it issued and sold 6,700,000 shares of its common stock at a public offering price of $13.00 per share. As part of the IPO, certain selling stockholders offered and sold an additional 4,800,000 shares (including 1,500,000 shares sold pursuant to the exercise of the underwriters’ over-allotment option), at an equivalent public offering price of $13.00 per share. The Company received net proceeds of $77.6 million from the IPO, after deducting underwriters’ discounts and commissions of $5.9 million and offering costs of $3.6 million. Offering costs were initially capitalized and consisted of fees and expenses incurred in connection with the sale of common stock in the IPO, including legal, accounting, printing and other IPO-related costs. Upon completion of the IPO, these offering costs were reclassified to stockholders’ equity and offset against the proceeds from the offering on the balance sheet. Immediately prior to the completion of the IPO, all shares of convertible preferred stock then outstanding were converted into 65,428,088 shares of common stock on a one-to-one basis, $106.2 million of convertible preferred stock was reclassified to additional paid-in-capital and $7,000 of convertible preferred stock was reclassified to common stock on the Company’s balance sheet.</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accompanying consolidated financial statements include those of the Company and its wholly owned subsidiaries. All intercompany balances and transactions have been eliminated in consolidation. The consolidated financial statements and accompanying notes were prepared in accordance with accounting principles generally accepted in United Sates (“U.S. GAAP”).</w:t>
      </w:r>
    </w:p>
    <w:p>
      <w:pPr>
        <w:spacing w:after="0" w:line="187"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Additionally, there are many uncertainties regarding the ongoing coronavirus (“COVID-19”) pandemic, including variants, and the Company is closely monitoring the impact of the pandemic on all aspects of its business, including how it has impacted and may continue to impact its customers and members, its provider network, specialty pharmacy partners, employees, suppliers, vendors, and other business partners. The full extent to which the COVID-19 pandemic will directly or indirectly impact the Company’s business, future results of operations and financial condition will depend on future developments that are highly uncertain and cannot be accurately predicted, including new information that may emerge concerning COVID-19 and variants, the actions taken to contain it or treat its impact, vaccine roll-out efforts and impact, including vaccine hesitancy, break-through cases and the economic impact on local, regional and national markets. The overall disruption of the healthcare and fertility markets and the other risks and uncertainties associated with the pandemic could have a material adverse effect on the Company’s business, financial condition, results of operations and growth prospects. The Company will continue to assess the evolving impact of the COVID-19 pandemic and will make adjustments to its operations as necessary.</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Information</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Operating segments are identified as components of an enterprise about which separate discrete financial information is available for evaluation by the chief operating decision maker (“CODM”), or decision-making group, in making decisions on how to allocate resources and assess performance. The Company operates and manages in one operating segment, providing fertility and pharmacy benefits solutions. The Company defines its CODM as its Chief Executive Officer and its President. All long-lived assets are located in the United States and all revenue is attributed to the United States. Since the Company operates in one operating segment, all required financial segment information can be found in the consolidated financial statements.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60" w:right="219" w:firstLine="648"/>
        <w:spacing w:after="0" w:line="270" w:lineRule="auto"/>
        <w:rPr>
          <w:sz w:val="20"/>
          <w:szCs w:val="20"/>
          <w:color w:val="auto"/>
        </w:rPr>
      </w:pPr>
      <w:r>
        <w:rPr>
          <w:rFonts w:ascii="Arial" w:cs="Arial" w:eastAsia="Arial" w:hAnsi="Arial"/>
          <w:sz w:val="17"/>
          <w:szCs w:val="17"/>
          <w:color w:val="auto"/>
        </w:rPr>
        <w:t>The preparation of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convertible preferred stock warrant liabilities,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 and Marketable Securities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Cash and cash equivalents are stated at fair value. The Company considers all highly liquid investments purchased with original maturities of three months or less at the time of purchase to be cash equivalents. Marketable securities, primarily consisting of U.S. Government and agency securities with original maturities greater than three months but less than one year when purchased, are classified as available-for-sale, and are stated at fair value. Unrealized gains and losses on marketable securities are excluded from earnings and reported as a component of other comprehensive income (loss).</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applies the following five-step model to recognize revenue from contracts with clients:</w:t>
      </w:r>
    </w:p>
    <w:p>
      <w:pPr>
        <w:spacing w:after="0" w:line="225" w:lineRule="exact"/>
        <w:rPr>
          <w:sz w:val="20"/>
          <w:szCs w:val="20"/>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client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117" w:lineRule="exact"/>
        <w:rPr>
          <w:rFonts w:ascii="Arial" w:cs="Arial" w:eastAsia="Arial" w:hAnsi="Arial"/>
          <w:sz w:val="18"/>
          <w:szCs w:val="18"/>
          <w:color w:val="auto"/>
        </w:rPr>
      </w:pPr>
    </w:p>
    <w:p>
      <w:pPr>
        <w:ind w:left="1040" w:hanging="315"/>
        <w:spacing w:after="0"/>
        <w:tabs>
          <w:tab w:leader="none" w:pos="10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Recognition of revenue when, or as, a performance obligation is satisfied</w:t>
      </w:r>
    </w:p>
    <w:p>
      <w:pPr>
        <w:spacing w:after="0" w:line="225"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Fertility Benefits Solution Revenue</w:t>
      </w:r>
    </w:p>
    <w:p>
      <w:pPr>
        <w:spacing w:after="0" w:line="225"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68"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188" w:lineRule="exact"/>
        <w:rPr>
          <w:sz w:val="20"/>
          <w:szCs w:val="20"/>
          <w:color w:val="auto"/>
        </w:rPr>
      </w:pPr>
    </w:p>
    <w:p>
      <w:pPr>
        <w:ind w:left="60" w:right="79" w:firstLine="648"/>
        <w:spacing w:after="0" w:line="253" w:lineRule="auto"/>
        <w:rPr>
          <w:sz w:val="20"/>
          <w:szCs w:val="20"/>
          <w:color w:val="auto"/>
        </w:rPr>
      </w:pPr>
      <w:r>
        <w:rPr>
          <w:rFonts w:ascii="Arial" w:cs="Arial" w:eastAsia="Arial" w:hAnsi="Arial"/>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allocated between the fertility benefits solution and the pharmacy benefits solution based on standalone selling price, estimated using an expected cost-plus margin method. The Company allocates the variable consideration related to the fixed rate per Smart Cycle to the distinct period during which the related services were performed as those fees relate specifically to the Company’s efforts to provide its fertility benefits solution to its clients in the period and represents the consideration the Company is entitled to for the fertility benefit services provided. As a result, the fixed rate per Smart Cycle is included in the transaction price and recognized in the period in which the Smart Cycle is provided to the member.</w:t>
      </w:r>
    </w:p>
    <w:p>
      <w:pPr>
        <w:spacing w:after="0" w:line="196"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The Company estimates the variable consideration related to the total PEPM administration fee, less estimated refunds related to service level agreements, and recognizes the amounts allocated to</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277" w:lineRule="auto"/>
        <w:rPr>
          <w:sz w:val="20"/>
          <w:szCs w:val="20"/>
          <w:color w:val="auto"/>
        </w:rPr>
      </w:pPr>
      <w:r>
        <w:rPr>
          <w:rFonts w:ascii="Arial" w:cs="Arial" w:eastAsia="Arial" w:hAnsi="Arial"/>
          <w:sz w:val="18"/>
          <w:szCs w:val="18"/>
          <w:color w:val="auto"/>
        </w:rPr>
        <w:t>the fertility benefits solution ratably over the contract term. Progyny’s estimate of service level agreement refunds, have not historically resulted in significant adjustments to the transaction price.</w:t>
      </w:r>
    </w:p>
    <w:p>
      <w:pPr>
        <w:spacing w:after="0" w:line="170"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8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Pharmacy Benefits Solution Revenue</w:t>
      </w:r>
    </w:p>
    <w:p>
      <w:pPr>
        <w:spacing w:after="0" w:line="225" w:lineRule="exact"/>
        <w:rPr>
          <w:sz w:val="20"/>
          <w:szCs w:val="20"/>
          <w:color w:val="auto"/>
        </w:rPr>
      </w:pPr>
    </w:p>
    <w:p>
      <w:pPr>
        <w:ind w:left="60" w:right="299" w:firstLine="648"/>
        <w:spacing w:after="0" w:line="273" w:lineRule="auto"/>
        <w:rPr>
          <w:sz w:val="20"/>
          <w:szCs w:val="20"/>
          <w:color w:val="auto"/>
        </w:rPr>
      </w:pPr>
      <w:r>
        <w:rPr>
          <w:rFonts w:ascii="Arial" w:cs="Arial" w:eastAsia="Arial" w:hAnsi="Arial"/>
          <w:sz w:val="17"/>
          <w:szCs w:val="17"/>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78"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187"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Progyny’s contracts include the following sources of consideration, all of which are variable: a PEPM administration fee (in most, but not all contracts) and a fixed fee per fertility drug. As described above, the PEPM administration fee, less estimated refunds related to service level agreements, is allocated to the pharmacy benefits solution and recognized ratably over the contract term. The Company allocates the variable consideration related to the fixed fee per fertility drug to the distinct period during which the related services were performed, as those fees relate specifically to the Company’s efforts to provide its pharmacy benefits solution to clients in the period and represents the consideration the Company is entitled to for the pharmacy benefit services provided. As a result, the fixed fee per fertility drug is included in the transaction price and recognized in the period in which the Company is entitled to consideration from a client, which is when a prescription is filled and delivered to the members.</w:t>
      </w:r>
    </w:p>
    <w:p>
      <w:pPr>
        <w:spacing w:after="0" w:line="181" w:lineRule="exact"/>
        <w:rPr>
          <w:sz w:val="20"/>
          <w:szCs w:val="20"/>
          <w:color w:val="auto"/>
        </w:rPr>
      </w:pPr>
    </w:p>
    <w:p>
      <w:pPr>
        <w:ind w:left="60" w:right="299" w:firstLine="648"/>
        <w:spacing w:after="0" w:line="311" w:lineRule="auto"/>
        <w:rPr>
          <w:sz w:val="20"/>
          <w:szCs w:val="20"/>
          <w:color w:val="auto"/>
        </w:rPr>
      </w:pPr>
      <w:r>
        <w:rPr>
          <w:rFonts w:ascii="Arial" w:cs="Arial" w:eastAsia="Arial" w:hAnsi="Arial"/>
          <w:sz w:val="16"/>
          <w:szCs w:val="16"/>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49" w:lineRule="exact"/>
        <w:rPr>
          <w:sz w:val="20"/>
          <w:szCs w:val="20"/>
          <w:color w:val="auto"/>
        </w:rPr>
      </w:pPr>
    </w:p>
    <w:p>
      <w:pPr>
        <w:jc w:val="both"/>
        <w:ind w:left="60" w:right="239" w:firstLine="648"/>
        <w:spacing w:after="0" w:line="287" w:lineRule="auto"/>
        <w:rPr>
          <w:sz w:val="20"/>
          <w:szCs w:val="20"/>
          <w:color w:val="auto"/>
        </w:rPr>
      </w:pPr>
      <w:r>
        <w:rPr>
          <w:rFonts w:ascii="Arial" w:cs="Arial" w:eastAsia="Arial" w:hAnsi="Arial"/>
          <w:sz w:val="16"/>
          <w:szCs w:val="16"/>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w:t>
      </w:r>
    </w:p>
    <w:p>
      <w:pPr>
        <w:spacing w:after="0" w:line="2"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1" w:name="page82"/>
    <w:bookmarkEnd w:id="8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63" w:lineRule="auto"/>
        <w:rPr>
          <w:sz w:val="20"/>
          <w:szCs w:val="20"/>
          <w:color w:val="auto"/>
        </w:rPr>
      </w:pPr>
      <w:r>
        <w:rPr>
          <w:rFonts w:ascii="Arial" w:cs="Arial" w:eastAsia="Arial" w:hAnsi="Arial"/>
          <w:sz w:val="18"/>
          <w:szCs w:val="18"/>
          <w:color w:val="auto"/>
        </w:rPr>
        <w:t>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84" w:lineRule="exact"/>
        <w:rPr>
          <w:sz w:val="20"/>
          <w:szCs w:val="20"/>
          <w:color w:val="auto"/>
        </w:rPr>
      </w:pPr>
    </w:p>
    <w:p>
      <w:pPr>
        <w:jc w:val="both"/>
        <w:ind w:left="60" w:right="219" w:firstLine="648"/>
        <w:spacing w:after="0" w:line="311" w:lineRule="auto"/>
        <w:rPr>
          <w:sz w:val="20"/>
          <w:szCs w:val="20"/>
          <w:color w:val="auto"/>
        </w:rPr>
      </w:pPr>
      <w:r>
        <w:rPr>
          <w:rFonts w:ascii="Arial" w:cs="Arial" w:eastAsia="Arial" w:hAnsi="Arial"/>
          <w:sz w:val="16"/>
          <w:szCs w:val="16"/>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Accrued Receivable and Accrued Claims Payable</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Accrued receivables are estimated based on historical experience for those fertility benefit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 services. Estimates are adjusted to actual at the time of billing. Adjustments to original estimates have not been material.</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As of December 31, 2021 and 2020, accrued receivables were $30.2 million and $28.2 million, respectively.</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Accrued receivables are included within accounts receivable in the consolidated balance sheet.</w:t>
      </w:r>
    </w:p>
    <w:p>
      <w:pPr>
        <w:spacing w:after="0" w:line="211"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Accrued claims payable of $20.0 million and $22.8 million as of December 31, 2021 and 2020, respectively, are included within accrued expenses and other current liabilities in the consolidated balance sheet. Claims payable are generally paid within 30 days based on contractual terms.</w:t>
      </w:r>
    </w:p>
    <w:p>
      <w:pPr>
        <w:spacing w:after="0" w:line="184" w:lineRule="exact"/>
        <w:rPr>
          <w:sz w:val="20"/>
          <w:szCs w:val="20"/>
          <w:color w:val="auto"/>
        </w:rPr>
      </w:pPr>
    </w:p>
    <w:p>
      <w:pPr>
        <w:ind w:left="60" w:right="359" w:firstLine="648"/>
        <w:spacing w:after="0" w:line="301" w:lineRule="auto"/>
        <w:rPr>
          <w:sz w:val="20"/>
          <w:szCs w:val="20"/>
          <w:color w:val="auto"/>
        </w:rPr>
      </w:pPr>
      <w:r>
        <w:rPr>
          <w:rFonts w:ascii="Arial" w:cs="Arial" w:eastAsia="Arial" w:hAnsi="Arial"/>
          <w:sz w:val="16"/>
          <w:szCs w:val="16"/>
          <w:color w:val="auto"/>
        </w:rPr>
        <w:t>As of December 31, 2021 and December 31, 2020, unbilled receivables, which represent claims received and approved but unbilled at the end of the reporting period, were $23.7 million and $16.4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The accounts receivable balance primarily includes amounts due from clients and members. As a result of the adoption of ASU 2016-13 – </w:t>
      </w:r>
      <w:r>
        <w:rPr>
          <w:rFonts w:ascii="Arial" w:cs="Arial" w:eastAsia="Arial" w:hAnsi="Arial"/>
          <w:sz w:val="16"/>
          <w:szCs w:val="16"/>
          <w:i w:val="1"/>
          <w:iCs w:val="1"/>
          <w:color w:val="auto"/>
        </w:rPr>
        <w:t>Financial Instruments – Credit Losses (Topic 326)</w:t>
      </w:r>
      <w:r>
        <w:rPr>
          <w:rFonts w:ascii="Arial" w:cs="Arial" w:eastAsia="Arial" w:hAnsi="Arial"/>
          <w:sz w:val="16"/>
          <w:szCs w:val="16"/>
          <w:color w:val="auto"/>
        </w:rPr>
        <w:t>, beginning January 1, 2020,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current economic conditions, and reasonable and supportable forecasts of future economic conditions. The new standard required a change in timing of loss recognition where an allowance for credit losses is now applied at the time the asset is recognized. Prior to the adoption of ASU 2016-13, credit losses were determined based upon historical bad debts, current receivables balances, and the age of the receivables balances. Expected credit losses are recorded as general and administrative expenses on the statements of operations. The Company adopted ASU 2016-13 as of January 1, 2020, using the modified retrospective transition method, which resulted in a cumulative-effect adjustment to accumulated deficit of $1.2 million. As a result, periods prior to the adoption date continue to be reported under the historical accounting guidance. The following table provides a summary of the activity in this allowance (in thousands):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2" w:name="page83"/>
    <w:bookmarkEnd w:id="8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3320" w:type="dxa"/>
            <w:vAlign w:val="bottom"/>
            <w:tcBorders>
              <w:bottom w:val="single" w:sz="8" w:color="auto"/>
            </w:tcBorders>
            <w:gridSpan w:val="7"/>
          </w:tcPr>
          <w:p>
            <w:pPr>
              <w:jc w:val="right"/>
              <w:ind w:right="175"/>
              <w:spacing w:after="0"/>
              <w:rPr>
                <w:sz w:val="20"/>
                <w:szCs w:val="20"/>
                <w:color w:val="auto"/>
              </w:rPr>
            </w:pPr>
            <w:r>
              <w:rPr>
                <w:rFonts w:ascii="Arial" w:cs="Arial" w:eastAsia="Arial" w:hAnsi="Arial"/>
                <w:sz w:val="14"/>
                <w:szCs w:val="14"/>
                <w:b w:val="1"/>
                <w:bCs w:val="1"/>
                <w:color w:val="auto"/>
                <w:w w:val="95"/>
              </w:rPr>
              <w:t>Years Ended December 31, 2021, 2020 and 2019</w:t>
            </w: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8"/>
        </w:trPr>
        <w:tc>
          <w:tcPr>
            <w:tcW w:w="2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00" w:type="dxa"/>
            <w:vAlign w:val="bottom"/>
          </w:tcPr>
          <w:p>
            <w:pPr>
              <w:jc w:val="center"/>
              <w:ind w:right="59"/>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4"/>
              </w:rPr>
              <w:t>ASU 2016-13</w:t>
            </w:r>
          </w:p>
        </w:tc>
        <w:tc>
          <w:tcPr>
            <w:tcW w:w="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840" w:type="dxa"/>
            <w:vAlign w:val="bottom"/>
          </w:tcPr>
          <w:p>
            <w:pPr>
              <w:jc w:val="center"/>
              <w:ind w:right="97"/>
              <w:spacing w:after="0"/>
              <w:rPr>
                <w:sz w:val="20"/>
                <w:szCs w:val="20"/>
                <w:color w:val="auto"/>
              </w:rPr>
            </w:pPr>
            <w:r>
              <w:rPr>
                <w:rFonts w:ascii="Arial" w:cs="Arial" w:eastAsia="Arial" w:hAnsi="Arial"/>
                <w:sz w:val="14"/>
                <w:szCs w:val="14"/>
                <w:b w:val="1"/>
                <w:bCs w:val="1"/>
                <w:color w:val="auto"/>
                <w:w w:val="95"/>
              </w:rPr>
              <w:t>Charged</w:t>
            </w: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8"/>
        </w:trPr>
        <w:tc>
          <w:tcPr>
            <w:tcW w:w="2880" w:type="dxa"/>
            <w:vAlign w:val="bottom"/>
            <w:vMerge w:val="restart"/>
          </w:tcPr>
          <w:p>
            <w:pPr>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Adoption</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jc w:val="center"/>
              <w:ind w:right="77"/>
              <w:spacing w:after="0" w:line="149" w:lineRule="exact"/>
              <w:rPr>
                <w:sz w:val="20"/>
                <w:szCs w:val="20"/>
                <w:color w:val="auto"/>
              </w:rPr>
            </w:pPr>
            <w:r>
              <w:rPr>
                <w:rFonts w:ascii="Arial" w:cs="Arial" w:eastAsia="Arial" w:hAnsi="Arial"/>
                <w:sz w:val="14"/>
                <w:szCs w:val="14"/>
                <w:b w:val="1"/>
                <w:bCs w:val="1"/>
                <w:color w:val="auto"/>
                <w:w w:val="85"/>
              </w:rPr>
              <w:t>to Costs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vMerge w:val="restart"/>
          </w:tcPr>
          <w:p>
            <w:pPr>
              <w:jc w:val="right"/>
              <w:ind w:right="95"/>
              <w:spacing w:after="0"/>
              <w:rPr>
                <w:sz w:val="20"/>
                <w:szCs w:val="20"/>
                <w:color w:val="auto"/>
              </w:rPr>
            </w:pPr>
            <w:r>
              <w:rPr>
                <w:rFonts w:ascii="Arial" w:cs="Arial" w:eastAsia="Arial" w:hAnsi="Arial"/>
                <w:sz w:val="14"/>
                <w:szCs w:val="14"/>
                <w:b w:val="1"/>
                <w:bCs w:val="1"/>
                <w:color w:val="auto"/>
              </w:rPr>
              <w:t>Write-offs</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center"/>
              <w:ind w:right="59"/>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1"/>
        </w:trPr>
        <w:tc>
          <w:tcPr>
            <w:tcW w:w="2880" w:type="dxa"/>
            <w:vAlign w:val="bottom"/>
            <w:tcBorders>
              <w:bottom w:val="single" w:sz="8" w:color="auto"/>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2"/>
              </w:rPr>
              <w:t>of Period</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Adjustment</w:t>
            </w:r>
          </w:p>
        </w:tc>
        <w:tc>
          <w:tcPr>
            <w:tcW w:w="200" w:type="dxa"/>
            <w:vAlign w:val="bottom"/>
            <w:tcBorders>
              <w:bottom w:val="single" w:sz="8" w:color="CCEEFF"/>
            </w:tcBorders>
          </w:tcPr>
          <w:p>
            <w:pPr>
              <w:spacing w:after="0"/>
              <w:rPr>
                <w:sz w:val="14"/>
                <w:szCs w:val="14"/>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9"/>
              </w:rPr>
              <w:t>and Expenses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9,502</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17,379</w:t>
            </w:r>
          </w:p>
        </w:tc>
        <w:tc>
          <w:tcPr>
            <w:tcW w:w="0" w:type="dxa"/>
            <w:vAlign w:val="bottom"/>
          </w:tcPr>
          <w:p>
            <w:pPr>
              <w:spacing w:after="0"/>
              <w:rPr>
                <w:sz w:val="1"/>
                <w:szCs w:val="1"/>
                <w:color w:val="auto"/>
              </w:rPr>
            </w:pPr>
          </w:p>
        </w:tc>
      </w:tr>
      <w:tr>
        <w:trPr>
          <w:trHeight w:val="216"/>
        </w:trPr>
        <w:tc>
          <w:tcPr>
            <w:tcW w:w="2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December 31, 2020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1,169</w:t>
            </w:r>
          </w:p>
        </w:tc>
        <w:tc>
          <w:tcPr>
            <w:tcW w:w="3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5,562</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9,502</w:t>
            </w:r>
          </w:p>
        </w:tc>
        <w:tc>
          <w:tcPr>
            <w:tcW w:w="0" w:type="dxa"/>
            <w:vAlign w:val="bottom"/>
          </w:tcPr>
          <w:p>
            <w:pPr>
              <w:spacing w:after="0"/>
              <w:rPr>
                <w:sz w:val="1"/>
                <w:szCs w:val="1"/>
                <w:color w:val="auto"/>
              </w:rPr>
            </w:pPr>
          </w:p>
        </w:tc>
      </w:tr>
      <w:tr>
        <w:trPr>
          <w:trHeight w:val="216"/>
        </w:trPr>
        <w:tc>
          <w:tcPr>
            <w:tcW w:w="2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December 31, 2019</w:t>
            </w:r>
          </w:p>
        </w:tc>
        <w:tc>
          <w:tcPr>
            <w:tcW w:w="22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9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Services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Fertility Benefit Services</w:t>
      </w:r>
    </w:p>
    <w:p>
      <w:pPr>
        <w:spacing w:after="0" w:line="225"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Fertility benefit services costs include: (1) fees paid to provider clinics within the Company’s network, labs and anesthesiologists; (2) costs incurred (including salaries, bonuses, benefits, stock-based compensation, other related costs, and an allocation of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Pharmacy Benefit Services</w:t>
      </w:r>
    </w:p>
    <w:p>
      <w:pPr>
        <w:spacing w:after="0" w:line="225"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Pharmacy benefit services costs include: (1) the fees for prescription drugs dispensed and clinical services provided during the reporting period by specialty pharmacy partners; (2) costs incurred (including salaries, bonuses, benefits, stock-based compensation, other related costs, and an allocation of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92"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Vendor rebates</w:t>
      </w:r>
    </w:p>
    <w:p>
      <w:pPr>
        <w:spacing w:after="0" w:line="22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partners (such as through a specialty pharmacy). These rebates are recognized as a reduction of cost of services when prescriptions are dispensed and are generally estimated and billed to manufacturers within 20 days after the end of each month. The effect of adjustments resulting from the reconciliation of rebates recognized to the amounts billed and collected has not been material to the Company’s results of operations.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 and Off-Balance-Sheet Risk</w:t>
      </w:r>
    </w:p>
    <w:p>
      <w:pPr>
        <w:spacing w:after="0" w:line="229"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consists primarily of cash and cash equivalents, marketable securities, and accounts receivable.</w:t>
      </w:r>
    </w:p>
    <w:p>
      <w:pPr>
        <w:spacing w:after="0" w:line="170" w:lineRule="exact"/>
        <w:rPr>
          <w:sz w:val="20"/>
          <w:szCs w:val="20"/>
          <w:color w:val="auto"/>
        </w:rPr>
      </w:pPr>
    </w:p>
    <w:p>
      <w:pPr>
        <w:ind w:left="60" w:right="819" w:firstLine="648"/>
        <w:spacing w:after="0" w:line="342" w:lineRule="auto"/>
        <w:rPr>
          <w:sz w:val="20"/>
          <w:szCs w:val="20"/>
          <w:color w:val="auto"/>
        </w:rPr>
      </w:pPr>
      <w:r>
        <w:rPr>
          <w:rFonts w:ascii="Arial" w:cs="Arial" w:eastAsia="Arial" w:hAnsi="Arial"/>
          <w:sz w:val="16"/>
          <w:szCs w:val="16"/>
          <w:color w:val="auto"/>
        </w:rPr>
        <w:t>The Company invests its cash and cash equivalents and marketable securities with highly rated financial institutions and management believes that the financial risks associated with its cash equivalents are minimal.</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3" w:name="page84"/>
    <w:bookmarkEnd w:id="8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7" w:lineRule="auto"/>
        <w:rPr>
          <w:sz w:val="20"/>
          <w:szCs w:val="20"/>
          <w:color w:val="auto"/>
        </w:rPr>
      </w:pPr>
      <w:r>
        <w:rPr>
          <w:rFonts w:ascii="Arial" w:cs="Arial" w:eastAsia="Arial" w:hAnsi="Arial"/>
          <w:sz w:val="18"/>
          <w:szCs w:val="18"/>
          <w:color w:val="auto"/>
        </w:rPr>
        <w:t>Substantially all of the Company’s cash is maintained with one financial institution with a high credit standing. From time to time, such deposits may exceed federally insured limits.</w:t>
      </w:r>
    </w:p>
    <w:p>
      <w:pPr>
        <w:spacing w:after="0" w:line="170" w:lineRule="exact"/>
        <w:rPr>
          <w:sz w:val="20"/>
          <w:szCs w:val="20"/>
          <w:color w:val="auto"/>
        </w:rPr>
      </w:pPr>
    </w:p>
    <w:p>
      <w:pPr>
        <w:ind w:left="60" w:right="199" w:firstLine="648"/>
        <w:spacing w:after="0" w:line="293" w:lineRule="auto"/>
        <w:rPr>
          <w:sz w:val="20"/>
          <w:szCs w:val="20"/>
          <w:color w:val="auto"/>
        </w:rPr>
      </w:pPr>
      <w:r>
        <w:rPr>
          <w:rFonts w:ascii="Arial" w:cs="Arial" w:eastAsia="Arial" w:hAnsi="Arial"/>
          <w:sz w:val="16"/>
          <w:szCs w:val="16"/>
          <w:color w:val="auto"/>
        </w:rPr>
        <w:t>The Company regularly reviews the outstanding account receivable balances and makes estimates of the lifetime expected credit losses based upon consideration of factors such as the age of the receivable balance, historical experience, current economic conditions, and reasonable and supportable forecasts of future economic conditions. In addition, the Company periodically evaluates the financial condition of its clients to manage credit risk related to accounts receivable. As of December 31, 2021, two entities accounted for 24% and 11% each, or a combined 35% of total receivables. Two entities accounted for 14% each, or a combined 28% total receivables as of December 31, 2020.</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60" w:right="339" w:firstLine="648"/>
        <w:spacing w:after="0" w:line="301" w:lineRule="auto"/>
        <w:rPr>
          <w:sz w:val="20"/>
          <w:szCs w:val="20"/>
          <w:color w:val="auto"/>
        </w:rPr>
      </w:pPr>
      <w:r>
        <w:rPr>
          <w:rFonts w:ascii="Arial" w:cs="Arial" w:eastAsia="Arial" w:hAnsi="Arial"/>
          <w:sz w:val="16"/>
          <w:szCs w:val="16"/>
          <w:color w:val="auto"/>
        </w:rPr>
        <w:t>Property and equipment consist of computer equipment, machinery and equipment, furniture and fixtures, leasehold improvements, and capitalized software development costs. The assets are stated at cost less accumulated depreciation. Depreciation is calculated using the straight-line method based on estimated useful lives and in the case of leasehold improvements, the shorter of the useful life or the remaining term of the lease (see Note 5).</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left="60" w:right="239" w:firstLine="648"/>
        <w:spacing w:after="0" w:line="255" w:lineRule="auto"/>
        <w:rPr>
          <w:sz w:val="20"/>
          <w:szCs w:val="20"/>
          <w:color w:val="auto"/>
        </w:rPr>
      </w:pPr>
      <w:r>
        <w:rPr>
          <w:rFonts w:ascii="Arial" w:cs="Arial" w:eastAsia="Arial" w:hAnsi="Arial"/>
          <w:sz w:val="18"/>
          <w:szCs w:val="18"/>
          <w:color w:val="auto"/>
        </w:rPr>
        <w:t>Goodwill represents the excess of the consideration transferred over the fair value of the assets acquired and liabilities assumed in a business combination. Other intangible assets consist of trademarks, physician network, and the websites acquired in the Fertility Authority acquisition. Goodwill, including other definite-lived intangible assets, are carried at their initial acquisition date fair value less any impairment. Other intangible assets are recorded at fair value at the date of acquisition, less accumulated amortization. Amortization is calculated using the straight-line method based on estimated useful lives.</w:t>
      </w:r>
    </w:p>
    <w:p>
      <w:pPr>
        <w:spacing w:after="0" w:line="192" w:lineRule="exact"/>
        <w:rPr>
          <w:sz w:val="20"/>
          <w:szCs w:val="20"/>
          <w:color w:val="auto"/>
        </w:rPr>
      </w:pPr>
    </w:p>
    <w:p>
      <w:pPr>
        <w:ind w:left="60" w:right="159" w:firstLine="648"/>
        <w:spacing w:after="0" w:line="287" w:lineRule="auto"/>
        <w:rPr>
          <w:sz w:val="20"/>
          <w:szCs w:val="20"/>
          <w:color w:val="auto"/>
        </w:rPr>
      </w:pPr>
      <w:r>
        <w:rPr>
          <w:rFonts w:ascii="Arial" w:cs="Arial" w:eastAsia="Arial" w:hAnsi="Arial"/>
          <w:sz w:val="16"/>
          <w:szCs w:val="16"/>
          <w:color w:val="auto"/>
        </w:rPr>
        <w:t>Goodwill is reviewed for impairment annually as of October 1st of each year or when an interim triggering event has occurred indicating potential impairment. Events or changes in circumstances which could trigger an impairment review, which are assessed at the reporting unit level, include significant changes in the manner of the Company’s use of the acquired assets or the strategy for the Company’s overall business, significant negative industry or economic trends, significant underperformance relative to historical or projected future results of operations, a significant adverse change in the business climate, an adverse action or assessment by a regulator, unanticipated competition or a loss of key personnel. The Company has the option to first assess qualitative factors to determine whether the existence of events or circumstances leads to a determination that it is more likely than not that the fair value of the reporting unit is less than its carrying amount. If, after assessing the totality of events or circumstances, an entity determines it is not more likely than not that the fair value of the reporting unit is less than its carrying amount, then additional impairment testing is not required. However, if an entity concludes otherwise, then it is required to perform the first of a two-step impairment test.</w:t>
      </w:r>
    </w:p>
    <w:p>
      <w:pPr>
        <w:spacing w:after="0" w:line="172" w:lineRule="exact"/>
        <w:rPr>
          <w:sz w:val="20"/>
          <w:szCs w:val="20"/>
          <w:color w:val="auto"/>
        </w:rPr>
      </w:pPr>
    </w:p>
    <w:p>
      <w:pPr>
        <w:ind w:left="60" w:right="439" w:firstLine="648"/>
        <w:spacing w:after="0" w:line="259" w:lineRule="auto"/>
        <w:rPr>
          <w:sz w:val="20"/>
          <w:szCs w:val="20"/>
          <w:color w:val="auto"/>
        </w:rPr>
      </w:pPr>
      <w:r>
        <w:rPr>
          <w:rFonts w:ascii="Arial" w:cs="Arial" w:eastAsia="Arial" w:hAnsi="Arial"/>
          <w:sz w:val="18"/>
          <w:szCs w:val="18"/>
          <w:color w:val="auto"/>
        </w:rPr>
        <w:t>The first step involves comparing the estimated fair value of the reporting unit with its respective book value, including goodwill. If the estimated fair value exceeds book value, goodwill is considered not to be impaired and no additional steps are necessary. If the carrying amount of goodwill exceeds the implied fair value of the goodwill, an impairment loss is recognized in an amount equal to the excess.</w:t>
      </w:r>
    </w:p>
    <w:p>
      <w:pPr>
        <w:spacing w:after="0" w:line="187"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 Company tests for goodwill impairment for each reporting unit, which is at the operating segment or one level below the operating segment. This analysis requires us to make a series of assumptions to (1) evaluate whether any impairment exists and (2) measure the amount of impairment. There was no impairment of goodwill or intangible assets for the years ended December 31, 2021, 2020, and 2019.</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left="60" w:right="159" w:firstLine="648"/>
        <w:spacing w:after="0" w:line="311" w:lineRule="auto"/>
        <w:rPr>
          <w:sz w:val="20"/>
          <w:szCs w:val="20"/>
          <w:color w:val="auto"/>
        </w:rPr>
      </w:pPr>
      <w:r>
        <w:rPr>
          <w:rFonts w:ascii="Arial" w:cs="Arial" w:eastAsia="Arial" w:hAnsi="Arial"/>
          <w:sz w:val="16"/>
          <w:szCs w:val="16"/>
          <w:color w:val="auto"/>
        </w:rPr>
        <w:t>Long-lived assets are reviewed for impairment whenever events or changes in circumstances indicate that the carrying amount of such assets or asset groups may not be recoverable. In such instances, the recoverability of assets to be held and used is measured first by a comparison of the carrying amount of an asset group to future undiscounted net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301" w:lineRule="auto"/>
        <w:rPr>
          <w:sz w:val="20"/>
          <w:szCs w:val="20"/>
          <w:color w:val="auto"/>
        </w:rPr>
      </w:pPr>
      <w:r>
        <w:rPr>
          <w:rFonts w:ascii="Arial" w:cs="Arial" w:eastAsia="Arial" w:hAnsi="Arial"/>
          <w:sz w:val="16"/>
          <w:szCs w:val="16"/>
          <w:color w:val="auto"/>
        </w:rPr>
        <w:t>cash flows expected to be generated by the assets. If such assets are considered to be impaired, an impairment loss would be recognized if the carrying amount of the asset exceeds the fair value of the asset or asset group. The fair value is determined based on valuation techniques such as a comparison to fair values of similar assets or using a discounted cash flow analysis. There were no impairments recorded for the years ended December 31, 2021, 2020 and 2019.</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Leases</w:t>
      </w:r>
    </w:p>
    <w:p>
      <w:pPr>
        <w:spacing w:after="0" w:line="229"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 xml:space="preserve">On January 1, 2020, the Company adopted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using the modified retrospective transition method, which applies the provisions of the standard at the effective date without adjusting comparative periods presented. As a result, periods prior to the adoption date continue to be reported under the historical lease accounting guidance. In addition, the Company elected the package of practical expedients permitted under the transition guidance within the new standard, which allowed the Company not to reassess (i) whether any expired or existing contracts contained leases, (ii) the lease classification for any expired or existing leases, and (iii) initial direct costs for existing leases. The Company also elected not to reassess lease terms for existing leases using hindsight and to account for each separate lease and non-lease component as a single lease component. As a result of the adoption of the new leasing guidance, the Company recorded right-of-use assets and lease liabilities of $9.5 million and $9.9 million, respectively. The adoption of the standard did not materially impact the Company’s statement of operations or statement of cash flows for the year ended December 31, 2020.</w:t>
      </w:r>
    </w:p>
    <w:p>
      <w:pPr>
        <w:spacing w:after="0" w:line="182" w:lineRule="exact"/>
        <w:rPr>
          <w:sz w:val="20"/>
          <w:szCs w:val="20"/>
          <w:color w:val="auto"/>
        </w:rPr>
      </w:pPr>
    </w:p>
    <w:p>
      <w:pPr>
        <w:ind w:left="60" w:right="279" w:firstLine="405"/>
        <w:spacing w:after="0" w:line="311" w:lineRule="auto"/>
        <w:rPr>
          <w:sz w:val="20"/>
          <w:szCs w:val="20"/>
          <w:color w:val="auto"/>
        </w:rPr>
      </w:pPr>
      <w:r>
        <w:rPr>
          <w:rFonts w:ascii="Arial" w:cs="Arial" w:eastAsia="Arial" w:hAnsi="Arial"/>
          <w:sz w:val="16"/>
          <w:szCs w:val="16"/>
          <w:color w:val="auto"/>
        </w:rPr>
        <w:t>The Company determines if an arrangement is a lease at inception. Operating leases are included in operating lease right-of-use assets, accrued expenses and other current liabilities, and operating lease noncurrent liabilities on the consolidated balance sheets. As of December 31, 2021 and 2020, the Company has no financing lease arrangements.</w:t>
      </w:r>
    </w:p>
    <w:p>
      <w:pPr>
        <w:spacing w:after="0" w:line="149" w:lineRule="exact"/>
        <w:rPr>
          <w:sz w:val="20"/>
          <w:szCs w:val="20"/>
          <w:color w:val="auto"/>
        </w:rPr>
      </w:pPr>
    </w:p>
    <w:p>
      <w:pPr>
        <w:ind w:left="60" w:right="99" w:firstLine="405"/>
        <w:spacing w:after="0" w:line="269" w:lineRule="auto"/>
        <w:rPr>
          <w:sz w:val="20"/>
          <w:szCs w:val="20"/>
          <w:color w:val="auto"/>
        </w:rPr>
      </w:pPr>
      <w:r>
        <w:rPr>
          <w:rFonts w:ascii="Arial" w:cs="Arial" w:eastAsia="Arial" w:hAnsi="Arial"/>
          <w:sz w:val="17"/>
          <w:szCs w:val="17"/>
          <w:color w:val="auto"/>
        </w:rPr>
        <w:t>In accordance with ASC 842, the Company records a right-of-use asset (“ROU”) and lease liability in connection with its operating leases. Operating lease ROU assets and operating lease liabilities are recognized based on the present value of the future minimum lease payments over the lease term at commencement date. To determine the present value of lease payments, the Company utilizes the rate implicit in the lease, if available. If the rate implicit in the lease is not readily determinable, the Company uses its secured incremental borrowing rate to determine the present value of the lease payments. The determination of the Company’s incremental borrowing rate requires judgment and is primarily based on publicly available information for companies within the same industry and with similar credit profiles. The rate is then adjusted for the lease term and other specific terms included in the Company’s lease arrangements. The incremental borrowing rate is subsequently reassessed upon a modification to the lease arrangement. The operating lease ROU asset also includes any lease payments made prior to commencement date and excludes lease incentives and initial direct costs incurred. ROU assets are subsequently assessed for impairment in accordance with the Company’s accounting policy for long-lived assets.</w:t>
      </w:r>
    </w:p>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60" w:right="299" w:firstLine="648"/>
        <w:spacing w:after="0" w:line="293" w:lineRule="auto"/>
        <w:rPr>
          <w:sz w:val="20"/>
          <w:szCs w:val="20"/>
          <w:color w:val="auto"/>
        </w:rPr>
      </w:pPr>
      <w:r>
        <w:rPr>
          <w:rFonts w:ascii="Arial" w:cs="Arial" w:eastAsia="Arial" w:hAnsi="Arial"/>
          <w:sz w:val="16"/>
          <w:szCs w:val="16"/>
          <w:color w:val="auto"/>
        </w:rPr>
        <w:t xml:space="preserve">The Company accounts for stock-based compensation awards in accordance with FASB ASC Topic 718, </w:t>
      </w:r>
      <w:r>
        <w:rPr>
          <w:rFonts w:ascii="Arial" w:cs="Arial" w:eastAsia="Arial" w:hAnsi="Arial"/>
          <w:sz w:val="16"/>
          <w:szCs w:val="16"/>
          <w:i w:val="1"/>
          <w:iCs w:val="1"/>
          <w:color w:val="auto"/>
        </w:rPr>
        <w:t xml:space="preserve">Compensation—Stock Compensation </w:t>
      </w:r>
      <w:r>
        <w:rPr>
          <w:rFonts w:ascii="Arial" w:cs="Arial" w:eastAsia="Arial" w:hAnsi="Arial"/>
          <w:sz w:val="16"/>
          <w:szCs w:val="16"/>
          <w:color w:val="auto"/>
        </w:rPr>
        <w:t>(ASC 718). ASC 718 requires all stock-based payments, including restricted stock</w:t>
      </w:r>
      <w:r>
        <w:rPr>
          <w:rFonts w:ascii="Arial" w:cs="Arial" w:eastAsia="Arial" w:hAnsi="Arial"/>
          <w:sz w:val="16"/>
          <w:szCs w:val="16"/>
          <w:i w:val="1"/>
          <w:iCs w:val="1"/>
          <w:color w:val="auto"/>
        </w:rPr>
        <w:t xml:space="preserve"> </w:t>
      </w:r>
      <w:r>
        <w:rPr>
          <w:rFonts w:ascii="Arial" w:cs="Arial" w:eastAsia="Arial" w:hAnsi="Arial"/>
          <w:sz w:val="16"/>
          <w:szCs w:val="16"/>
          <w:color w:val="auto"/>
        </w:rPr>
        <w:t>units and grants of stock options, to be recognized in the consolidated statements of operations based on their respective fair values. For non-employee awards, a measurement date is normally reached when performance is completed, and the fair value is remeasured as the awards vest. The fair value of the Company’s restricted stock units has been determined utilizing the closing market price of the Company’s common stock on the date of the grant.</w:t>
      </w:r>
    </w:p>
    <w:p>
      <w:pPr>
        <w:spacing w:after="0" w:line="164"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The fair value of the Company’s stock options and stock purchased under the employee stock purchase plan has been determined using the Black-Scholes option-pricing model, which requires the input of subjective assumptions, including (i) the expected stock price volatility, (ii) the expected term of the award, (iii) the risk-free interest rate and (iv) expected dividends. Due to the lack of historical and implied volatility data of the Company’s common stock, the expected stock price volatility has been estimated based on the historical volatilities of the daily closing prices of a specified group of companies in Progyny’s industry for a period equal to the expected term of the option. Progyny selected companies with comparable characteristics to the Company, including enterprise value, risk profiles and position within the industry, that have historical share price information sufficient to meet the expected term of the stock</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5" w:name="page86"/>
    <w:bookmarkEnd w:id="8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72" w:lineRule="auto"/>
        <w:rPr>
          <w:sz w:val="20"/>
          <w:szCs w:val="20"/>
          <w:color w:val="auto"/>
        </w:rPr>
      </w:pPr>
      <w:r>
        <w:rPr>
          <w:rFonts w:ascii="Arial" w:cs="Arial" w:eastAsia="Arial" w:hAnsi="Arial"/>
          <w:sz w:val="17"/>
          <w:szCs w:val="17"/>
          <w:color w:val="auto"/>
        </w:rPr>
        <w:t>options. The expected term of the options granted represents the period of time that options granted are expected to be outstanding and is calculated using the simplified method, which is the mid-point between the vesting date and the end of the contractual term for each option. For non-employee service-based and performance-based awards, the expected term is estimated based on the remaining contractual term of such awards. The risk-free interest rate is based on the yield of zero-coupon, U.S. Treasury securities for the period that is consistent with the expected term of the stock option. The Company has not paid, and does not anticipate paying, cash dividends on its shares of common stock; therefore, the expected dividend yield is zero.</w:t>
      </w:r>
    </w:p>
    <w:p>
      <w:pPr>
        <w:spacing w:after="0" w:line="177"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Company’s stock-based awards are subject to either service-based or performance-based vesting conditions. The Company recognizes compensation expense for service-based awards over the vesting period of the award on a straight-line basis. Compensation expense related to awards with performance-based vesting conditions is recognized when achievement of the performance condition is considered probable over the requisite service period.</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Common Stock Valuation</w:t>
      </w:r>
    </w:p>
    <w:p>
      <w:pPr>
        <w:spacing w:after="0" w:line="225" w:lineRule="exact"/>
        <w:rPr>
          <w:sz w:val="20"/>
          <w:szCs w:val="20"/>
          <w:color w:val="auto"/>
        </w:rPr>
      </w:pPr>
    </w:p>
    <w:p>
      <w:pPr>
        <w:ind w:left="60" w:right="179" w:firstLine="648"/>
        <w:spacing w:after="0" w:line="257" w:lineRule="auto"/>
        <w:rPr>
          <w:sz w:val="20"/>
          <w:szCs w:val="20"/>
          <w:color w:val="auto"/>
        </w:rPr>
      </w:pPr>
      <w:r>
        <w:rPr>
          <w:rFonts w:ascii="Arial" w:cs="Arial" w:eastAsia="Arial" w:hAnsi="Arial"/>
          <w:sz w:val="18"/>
          <w:szCs w:val="18"/>
          <w:color w:val="auto"/>
        </w:rPr>
        <w:t>Prior to the Company’s IPO on October 29, 2019, the Company had historically granted stock options at exercise prices equal to the fair value as determined by the Board of Directors on the date of grant. Prior to the IPO and in the absence of a public trading market, the Board of Directors, with input from management, exercised significant judgement and considered numerous objective and subjective factors to determine the fair value of the Company’s common stock as of the date of each stock option grant, including:</w:t>
      </w:r>
    </w:p>
    <w:p>
      <w:pPr>
        <w:spacing w:after="0" w:line="188" w:lineRule="exact"/>
        <w:rPr>
          <w:sz w:val="20"/>
          <w:szCs w:val="20"/>
          <w:color w:val="auto"/>
        </w:rPr>
      </w:pPr>
    </w:p>
    <w:p>
      <w:pPr>
        <w:ind w:left="1040" w:hanging="315"/>
        <w:spacing w:after="0"/>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financial performance</w:t>
      </w:r>
    </w:p>
    <w:p>
      <w:pPr>
        <w:spacing w:after="0" w:line="117" w:lineRule="exact"/>
        <w:rPr>
          <w:rFonts w:ascii="Arial" w:cs="Arial" w:eastAsia="Arial" w:hAnsi="Arial"/>
          <w:sz w:val="18"/>
          <w:szCs w:val="18"/>
          <w:color w:val="auto"/>
        </w:rPr>
      </w:pPr>
    </w:p>
    <w:p>
      <w:pPr>
        <w:ind w:left="1040" w:right="53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rights, preferences and privileges of the convertible preferred stock relative to those of the common stock; and</w:t>
      </w:r>
    </w:p>
    <w:p>
      <w:pPr>
        <w:spacing w:after="0" w:line="62" w:lineRule="exact"/>
        <w:rPr>
          <w:rFonts w:ascii="Arial" w:cs="Arial" w:eastAsia="Arial" w:hAnsi="Arial"/>
          <w:sz w:val="18"/>
          <w:szCs w:val="18"/>
          <w:color w:val="auto"/>
        </w:rPr>
      </w:pPr>
    </w:p>
    <w:p>
      <w:pPr>
        <w:ind w:left="1040" w:right="479" w:hanging="315"/>
        <w:spacing w:after="0" w:line="277" w:lineRule="auto"/>
        <w:tabs>
          <w:tab w:leader="none" w:pos="10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general economic and financial conditions, and the trends specific to the markets in which the Company operates</w:t>
      </w:r>
    </w:p>
    <w:p>
      <w:pPr>
        <w:spacing w:after="0" w:line="62"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 xml:space="preserve">In addition, the Board of Directors considered the independent valuations completed by a third-party valuation consultant. The valuations of the Company’s common stock were determined in accordance with the guidelines outlined in the </w:t>
      </w:r>
      <w:r>
        <w:rPr>
          <w:rFonts w:ascii="Arial" w:cs="Arial" w:eastAsia="Arial" w:hAnsi="Arial"/>
          <w:sz w:val="18"/>
          <w:szCs w:val="18"/>
          <w:i w:val="1"/>
          <w:iCs w:val="1"/>
          <w:color w:val="auto"/>
        </w:rPr>
        <w:t>American Institute of Certified Public Accountants Practice Aid, Valuation of Privately-Held-Company Equity</w:t>
      </w:r>
      <w:r>
        <w:rPr>
          <w:rFonts w:ascii="Arial" w:cs="Arial" w:eastAsia="Arial" w:hAnsi="Arial"/>
          <w:sz w:val="18"/>
          <w:szCs w:val="18"/>
          <w:color w:val="auto"/>
        </w:rPr>
        <w:t xml:space="preserve"> </w:t>
      </w:r>
      <w:r>
        <w:rPr>
          <w:rFonts w:ascii="Arial" w:cs="Arial" w:eastAsia="Arial" w:hAnsi="Arial"/>
          <w:sz w:val="18"/>
          <w:szCs w:val="18"/>
          <w:i w:val="1"/>
          <w:iCs w:val="1"/>
          <w:color w:val="auto"/>
        </w:rPr>
        <w:t>Securities Issued as Compensation</w:t>
      </w:r>
      <w:r>
        <w:rPr>
          <w:rFonts w:ascii="Arial" w:cs="Arial" w:eastAsia="Arial" w:hAnsi="Arial"/>
          <w:sz w:val="18"/>
          <w:szCs w:val="18"/>
          <w:color w:val="auto"/>
        </w:rPr>
        <w:t>. In performing these valuations, the Board of Directors considered a variety of relevant</w:t>
      </w:r>
      <w:r>
        <w:rPr>
          <w:rFonts w:ascii="Arial" w:cs="Arial" w:eastAsia="Arial" w:hAnsi="Arial"/>
          <w:sz w:val="18"/>
          <w:szCs w:val="18"/>
          <w:i w:val="1"/>
          <w:iCs w:val="1"/>
          <w:color w:val="auto"/>
        </w:rPr>
        <w:t xml:space="preserve"> </w:t>
      </w:r>
      <w:r>
        <w:rPr>
          <w:rFonts w:ascii="Arial" w:cs="Arial" w:eastAsia="Arial" w:hAnsi="Arial"/>
          <w:sz w:val="18"/>
          <w:szCs w:val="18"/>
          <w:color w:val="auto"/>
        </w:rPr>
        <w:t>factors and valuation methodologies in accordance with the guidelines. Following the IPO, the Board of Directors determines the fair market value for all common stock grants based on the closing market price of the common stock, on the date of grant, as reported by Nasdaq.</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 xml:space="preserve">The Company accounts for income taxes in accordance with FASB ASC Topic 740, Income Taxes (“ASC 740”), including updates in ASU 2019-12, </w:t>
      </w:r>
      <w:r>
        <w:rPr>
          <w:rFonts w:ascii="Arial" w:cs="Arial" w:eastAsia="Arial" w:hAnsi="Arial"/>
          <w:sz w:val="16"/>
          <w:szCs w:val="16"/>
          <w:i w:val="1"/>
          <w:iCs w:val="1"/>
          <w:color w:val="auto"/>
        </w:rPr>
        <w:t>Income Taxes (Topic 740): Simplifying the Accounting for Income Taxes</w:t>
      </w:r>
      <w:r>
        <w:rPr>
          <w:rFonts w:ascii="Arial" w:cs="Arial" w:eastAsia="Arial" w:hAnsi="Arial"/>
          <w:sz w:val="16"/>
          <w:szCs w:val="16"/>
          <w:color w:val="auto"/>
        </w:rPr>
        <w:t>, which the Company adopted as of January 1, 2021. Deferred income taxes are recorded for the expected tax consequences of temporary differences between the tax basis of assets and liabilities for financial reporting purposes and amounts recognized for income tax purposes. The Company periodically reviews the recoverability of deferred tax assets recorded on the consolidated balance sheet and provides valuation allowances as deemed necessary to reduce such deferred tax assets to the amount that will, more likely than not, be realized. Income tax expense consists of taxes currently payable and changes in deferred tax assets and liabilities calculated according to local tax rules.</w:t>
      </w:r>
    </w:p>
    <w:p>
      <w:pPr>
        <w:spacing w:after="0" w:line="16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Significant judgment is required in determining any valuation allowance recorded against deferred tax assets. In assessing the need for a valuation allowance, the Company considers all available evidence for each jurisdiction including past operating results, estimates of future taxable income and the feasibility of ongoing tax planning strategies. In the event the Company changes its determination as to the amount of deferred tax assets that can be realized, the Company will adjust its valuation allowance with a corresponding impact to income tax expense in the period in which such determination is made.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6" w:name="page87"/>
    <w:bookmarkEnd w:id="8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The amount of deferred tax provided is calculated using tax rates enacted at the balance sheet date. The impact of tax law changes is recognized in periods when the change is enacted.</w:t>
      </w:r>
    </w:p>
    <w:p>
      <w:pPr>
        <w:spacing w:after="0" w:line="170"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A two-step approach is applied pursuant to ASC 740 in the recognition and measurement of uncertain tax positions taken or expected to be taken in a tax return. The first step is to determine if the weight of available evidence indicates that it is more likely than not that the tax position will be sustained in an audit, including resolution of any related appeals or litigation processes. The second step is to measure the tax benefit as the largest amount that is more than 50% likely to be realized upon ultimate settlement.</w:t>
      </w:r>
    </w:p>
    <w:p>
      <w:pPr>
        <w:spacing w:after="0" w:line="188" w:lineRule="exact"/>
        <w:rPr>
          <w:sz w:val="20"/>
          <w:szCs w:val="20"/>
          <w:color w:val="auto"/>
        </w:rPr>
      </w:pPr>
    </w:p>
    <w:p>
      <w:pPr>
        <w:ind w:left="60" w:right="259" w:firstLine="648"/>
        <w:spacing w:after="0" w:line="301" w:lineRule="auto"/>
        <w:rPr>
          <w:sz w:val="20"/>
          <w:szCs w:val="20"/>
          <w:color w:val="auto"/>
        </w:rPr>
      </w:pPr>
      <w:r>
        <w:rPr>
          <w:rFonts w:ascii="Arial" w:cs="Arial" w:eastAsia="Arial" w:hAnsi="Arial"/>
          <w:sz w:val="16"/>
          <w:szCs w:val="16"/>
          <w:color w:val="auto"/>
        </w:rPr>
        <w:t>The Company’s policy is to recognize interest and penalty expenses associated with uncertain tax positions as a component of income tax expense in the consolidated statements of operations and comprehensive (loss) income. As of December 31, 2021, 2020 and 2019, the Company had no significant accrued interest or penalties related to uncertain tax positions and no amounts have been recognized in the Company’s consolidated statements of operations.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 and Fair Value Measurements</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The Company determines the fair value of financial assets and liabilities using the fair value hierarchy established in the accounting standards. The hierarchy describes three levels of inputs that may be used to measure fair value, as follows: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Level 1—Quoted prices in active markets for identical assets and liabilities.</w:t>
      </w:r>
    </w:p>
    <w:p>
      <w:pPr>
        <w:spacing w:after="0" w:line="225" w:lineRule="exact"/>
        <w:rPr>
          <w:sz w:val="20"/>
          <w:szCs w:val="20"/>
          <w:color w:val="auto"/>
        </w:rPr>
      </w:pPr>
    </w:p>
    <w:p>
      <w:pPr>
        <w:ind w:left="1440" w:right="119" w:hanging="750"/>
        <w:spacing w:after="0" w:line="259" w:lineRule="auto"/>
        <w:rPr>
          <w:sz w:val="20"/>
          <w:szCs w:val="20"/>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87" w:lineRule="exact"/>
        <w:rPr>
          <w:sz w:val="20"/>
          <w:szCs w:val="20"/>
          <w:color w:val="auto"/>
        </w:rPr>
      </w:pPr>
    </w:p>
    <w:p>
      <w:pPr>
        <w:ind w:left="1440" w:right="199" w:hanging="750"/>
        <w:spacing w:after="0" w:line="277" w:lineRule="auto"/>
        <w:rPr>
          <w:sz w:val="20"/>
          <w:szCs w:val="20"/>
          <w:color w:val="auto"/>
        </w:rPr>
      </w:pPr>
      <w:r>
        <w:rPr>
          <w:rFonts w:ascii="Arial" w:cs="Arial" w:eastAsia="Arial" w:hAnsi="Arial"/>
          <w:sz w:val="18"/>
          <w:szCs w:val="18"/>
          <w:color w:val="auto"/>
        </w:rPr>
        <w:t>Level 3—Unobservable inputs that are supported by little or no market activity and that are significant to the fair value of the assets or liabilities.</w:t>
      </w:r>
    </w:p>
    <w:p>
      <w:pPr>
        <w:spacing w:after="0" w:line="170"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measurements. The Company’s assessment of the significance of a particular input to the fair value measurement in its entirety requires management to make judgments and consider factors specific to the asset or liability.</w:t>
      </w:r>
    </w:p>
    <w:p>
      <w:pPr>
        <w:spacing w:after="0" w:line="187" w:lineRule="exact"/>
        <w:rPr>
          <w:sz w:val="20"/>
          <w:szCs w:val="20"/>
          <w:color w:val="auto"/>
        </w:rPr>
      </w:pPr>
    </w:p>
    <w:p>
      <w:pPr>
        <w:ind w:left="60" w:right="239" w:firstLine="648"/>
        <w:spacing w:after="0" w:line="342" w:lineRule="auto"/>
        <w:rPr>
          <w:sz w:val="20"/>
          <w:szCs w:val="20"/>
          <w:color w:val="auto"/>
        </w:rPr>
      </w:pPr>
      <w:r>
        <w:rPr>
          <w:rFonts w:ascii="Arial" w:cs="Arial" w:eastAsia="Arial" w:hAnsi="Arial"/>
          <w:sz w:val="16"/>
          <w:szCs w:val="16"/>
          <w:color w:val="auto"/>
        </w:rPr>
        <w:t>The carrying amounts of certain of the Company’s financial instruments, including cash equivalents, marketable securities, accounts receivable and accounts payable approximate fair value due to their short maturities.</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Income (Loss) per Share</w:t>
      </w:r>
    </w:p>
    <w:p>
      <w:pPr>
        <w:spacing w:after="0" w:line="229" w:lineRule="exact"/>
        <w:rPr>
          <w:sz w:val="20"/>
          <w:szCs w:val="20"/>
          <w:color w:val="auto"/>
        </w:rPr>
      </w:pPr>
    </w:p>
    <w:p>
      <w:pPr>
        <w:ind w:left="60" w:right="179" w:firstLine="648"/>
        <w:spacing w:after="0" w:line="277" w:lineRule="auto"/>
        <w:rPr>
          <w:sz w:val="20"/>
          <w:szCs w:val="20"/>
          <w:color w:val="auto"/>
        </w:rPr>
      </w:pPr>
      <w:r>
        <w:rPr>
          <w:rFonts w:ascii="Arial" w:cs="Arial" w:eastAsia="Arial" w:hAnsi="Arial"/>
          <w:sz w:val="18"/>
          <w:szCs w:val="18"/>
          <w:color w:val="auto"/>
        </w:rPr>
        <w:t>Basic net income (loss) per share is calculated by dividing the net income (loss) by the weighted-average number of shares of common stock outstanding for the period.</w:t>
      </w:r>
    </w:p>
    <w:p>
      <w:pPr>
        <w:spacing w:after="0" w:line="170"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For the year ended December 31, 2019, the Company’s convertible preferred stock was entitled to receive noncumulative dividends, prior and in preference to any declaration or payment of any dividend on common stock and thereafter participate pro rata on an as-converted basis with the common stockholders in any distributions to common stockholders and were therefore considered to be participating securities. As a result, the Company calculated the net loss per share using the two-class method. Accordingly, the net loss attributable to common stockholders is derived from the net loss for the period.</w:t>
      </w:r>
    </w:p>
    <w:p>
      <w:pPr>
        <w:spacing w:after="0" w:line="192"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Diluted net income (loss) per share is computed by dividing the diluted net income (loss) by the weighted average number of common shares outstanding for the period, including potential dilutive common shares assuming dilutive effect of outstanding common stock options, restricted stock units, shares issuable under the employee stock purchase program and common stock warrants. In periods when the Company has incurred a net loss, diluted net loss per</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7" w:name="page88"/>
    <w:bookmarkEnd w:id="8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77" w:lineRule="auto"/>
        <w:rPr>
          <w:sz w:val="20"/>
          <w:szCs w:val="20"/>
          <w:color w:val="auto"/>
        </w:rPr>
      </w:pPr>
      <w:r>
        <w:rPr>
          <w:rFonts w:ascii="Arial" w:cs="Arial" w:eastAsia="Arial" w:hAnsi="Arial"/>
          <w:sz w:val="18"/>
          <w:szCs w:val="18"/>
          <w:color w:val="auto"/>
        </w:rPr>
        <w:t>share is the same as basic net loss per share because dilutive common shares are not assumed to have been issued if their effect is anti-dilutive.</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 xml:space="preserve">In December 2019, the FASB issued ASU 2019-12, </w:t>
      </w:r>
      <w:r>
        <w:rPr>
          <w:rFonts w:ascii="Arial" w:cs="Arial" w:eastAsia="Arial" w:hAnsi="Arial"/>
          <w:sz w:val="16"/>
          <w:szCs w:val="16"/>
          <w:i w:val="1"/>
          <w:iCs w:val="1"/>
          <w:color w:val="auto"/>
        </w:rPr>
        <w:t>Income Taxes (Topic 740): Simplifying the 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Income Taxes</w:t>
      </w:r>
      <w:r>
        <w:rPr>
          <w:rFonts w:ascii="Arial" w:cs="Arial" w:eastAsia="Arial" w:hAnsi="Arial"/>
          <w:sz w:val="16"/>
          <w:szCs w:val="16"/>
          <w:color w:val="auto"/>
        </w:rPr>
        <w:t>. The standard is intended to simplify the accounting for income taxes by removing certain exceptions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general principles in Topic 740, as well as improve consistent application of and simplify GAAP for other areas of Topic 740 by clarifying and amending existing guidance. The Company adopted this standard as of January 1, 2021. The adoption of this standard did not have a material impact on the Company’s consolidated financial statements.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Accounting Pronouncements Issued but Not Yet Adopted</w:t>
      </w:r>
    </w:p>
    <w:p>
      <w:pPr>
        <w:spacing w:after="0" w:line="229" w:lineRule="exact"/>
        <w:rPr>
          <w:sz w:val="20"/>
          <w:szCs w:val="20"/>
          <w:color w:val="auto"/>
        </w:rPr>
      </w:pPr>
    </w:p>
    <w:p>
      <w:pPr>
        <w:ind w:left="60" w:right="59" w:firstLine="648"/>
        <w:spacing w:after="0" w:line="290" w:lineRule="auto"/>
        <w:rPr>
          <w:sz w:val="20"/>
          <w:szCs w:val="20"/>
          <w:color w:val="auto"/>
        </w:rPr>
      </w:pPr>
      <w:r>
        <w:rPr>
          <w:rFonts w:ascii="Arial" w:cs="Arial" w:eastAsia="Arial" w:hAnsi="Arial"/>
          <w:sz w:val="16"/>
          <w:szCs w:val="16"/>
          <w:color w:val="auto"/>
        </w:rPr>
        <w:t>In May 2021, the FASB issued ASU No. 2021-04 (“ASU 2021-04”) “</w:t>
      </w:r>
      <w:r>
        <w:rPr>
          <w:rFonts w:ascii="Arial" w:cs="Arial" w:eastAsia="Arial" w:hAnsi="Arial"/>
          <w:sz w:val="16"/>
          <w:szCs w:val="16"/>
          <w:i w:val="1"/>
          <w:iCs w:val="1"/>
          <w:color w:val="auto"/>
        </w:rPr>
        <w:t>Earnings Per Share (Topic 260), Debt-Modifications and Extinguishments (Subtopic 470-50), Compensation- Stock Compensation (Topic 718), and Derivatives and Hedging-Contracts in Entity’s Own Equity (Subtopic 815- 40)</w:t>
      </w:r>
      <w:r>
        <w:rPr>
          <w:rFonts w:ascii="Arial" w:cs="Arial" w:eastAsia="Arial" w:hAnsi="Arial"/>
          <w:sz w:val="16"/>
          <w:szCs w:val="16"/>
          <w:color w:val="auto"/>
        </w:rPr>
        <w:t>” which provides guidance on modifications or</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exchanges of a freestanding equity-classified written call options that are not within the scope of another Topic, such as warrants. The new standard will be effective for the Company for the fiscal year beginning January 1, 2022 and should be applied prospectively to modifications or exchanges occurring on or after this date. The Company currently does not expect the adoption of the new standard to have a material effect on its consolidated financial statements, however, this impact will depend on the terms of written call options, such as warrants, or financings issued or modified in the future.</w:t>
      </w:r>
    </w:p>
    <w:p>
      <w:pPr>
        <w:spacing w:after="0" w:line="200" w:lineRule="exact"/>
        <w:rPr>
          <w:sz w:val="20"/>
          <w:szCs w:val="20"/>
          <w:color w:val="auto"/>
        </w:rPr>
      </w:pP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Revenue</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Disaggregated revenue</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disaggregates revenue by service (in thousands):</w:t>
      </w:r>
    </w:p>
    <w:p>
      <w:pPr>
        <w:spacing w:after="0" w:line="230" w:lineRule="exact"/>
        <w:rPr>
          <w:sz w:val="20"/>
          <w:szCs w:val="20"/>
          <w:color w:val="auto"/>
        </w:rPr>
      </w:pPr>
    </w:p>
    <w:p>
      <w:pPr>
        <w:ind w:left="6280"/>
        <w:spacing w:after="0"/>
        <w:rPr>
          <w:sz w:val="20"/>
          <w:szCs w:val="20"/>
          <w:color w:val="auto"/>
        </w:rPr>
      </w:pPr>
      <w:r>
        <w:rPr>
          <w:rFonts w:ascii="Arial" w:cs="Arial" w:eastAsia="Arial" w:hAnsi="Arial"/>
          <w:sz w:val="14"/>
          <w:szCs w:val="14"/>
          <w:b w:val="1"/>
          <w:bCs w:val="1"/>
          <w:color w:val="auto"/>
        </w:rPr>
        <w:t>Year Ended</w:t>
      </w:r>
    </w:p>
    <w:p>
      <w:pPr>
        <w:ind w:left="622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3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199"/>
              <w:spacing w:after="0" w:line="142" w:lineRule="exact"/>
              <w:rPr>
                <w:sz w:val="20"/>
                <w:szCs w:val="20"/>
                <w:color w:val="auto"/>
              </w:rPr>
            </w:pPr>
            <w:r>
              <w:rPr>
                <w:rFonts w:ascii="Arial" w:cs="Arial" w:eastAsia="Arial" w:hAnsi="Arial"/>
                <w:sz w:val="14"/>
                <w:szCs w:val="14"/>
                <w:b w:val="1"/>
                <w:bCs w:val="1"/>
                <w:color w:val="auto"/>
              </w:rPr>
              <w:t>2021</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80" w:type="dxa"/>
            <w:vAlign w:val="bottom"/>
          </w:tcPr>
          <w:p>
            <w:pPr>
              <w:spacing w:after="0"/>
              <w:rPr>
                <w:sz w:val="20"/>
                <w:szCs w:val="20"/>
                <w:color w:val="auto"/>
              </w:rPr>
            </w:pPr>
            <w:r>
              <w:rPr>
                <w:rFonts w:ascii="Arial" w:cs="Arial" w:eastAsia="Arial" w:hAnsi="Arial"/>
                <w:sz w:val="18"/>
                <w:szCs w:val="18"/>
                <w:color w:val="auto"/>
              </w:rPr>
              <w:t>Fertility benefit services revenue</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$ 355,616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2"/>
              </w:rPr>
              <w:t>253,556</w:t>
            </w:r>
          </w:p>
        </w:tc>
        <w:tc>
          <w:tcPr>
            <w:tcW w:w="1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w w:val="95"/>
              </w:rPr>
              <w:t>189,618</w:t>
            </w:r>
          </w:p>
        </w:tc>
      </w:tr>
      <w:tr>
        <w:trPr>
          <w:trHeight w:val="216"/>
        </w:trPr>
        <w:tc>
          <w:tcPr>
            <w:tcW w:w="20" w:type="dxa"/>
            <w:vAlign w:val="bottom"/>
          </w:tcPr>
          <w:p>
            <w:pPr>
              <w:spacing w:after="0"/>
              <w:rPr>
                <w:sz w:val="18"/>
                <w:szCs w:val="18"/>
                <w:color w:val="auto"/>
              </w:rPr>
            </w:pPr>
          </w:p>
        </w:tc>
        <w:tc>
          <w:tcPr>
            <w:tcW w:w="3380" w:type="dxa"/>
            <w:vAlign w:val="bottom"/>
            <w:shd w:val="clear" w:color="auto" w:fill="CCEEFF"/>
          </w:tcPr>
          <w:p>
            <w:pPr>
              <w:spacing w:after="0"/>
              <w:rPr>
                <w:sz w:val="20"/>
                <w:szCs w:val="20"/>
                <w:color w:val="auto"/>
              </w:rPr>
            </w:pPr>
            <w:r>
              <w:rPr>
                <w:rFonts w:ascii="Arial" w:cs="Arial" w:eastAsia="Arial" w:hAnsi="Arial"/>
                <w:sz w:val="18"/>
                <w:szCs w:val="18"/>
                <w:color w:val="auto"/>
              </w:rPr>
              <w:t>Pharmacy benefit services revenue</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145,005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91,302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40,065</w:t>
            </w:r>
          </w:p>
        </w:tc>
      </w:tr>
      <w:tr>
        <w:trPr>
          <w:trHeight w:val="210"/>
        </w:trPr>
        <w:tc>
          <w:tcPr>
            <w:tcW w:w="20" w:type="dxa"/>
            <w:vAlign w:val="bottom"/>
          </w:tcPr>
          <w:p>
            <w:pPr>
              <w:spacing w:after="0"/>
              <w:rPr>
                <w:sz w:val="18"/>
                <w:szCs w:val="18"/>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Total revenue</w:t>
            </w:r>
          </w:p>
        </w:tc>
        <w:tc>
          <w:tcPr>
            <w:tcW w:w="9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$ 500,621</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344,858</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229,683</w:t>
            </w: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Concentration of Major Clients</w:t>
      </w:r>
    </w:p>
    <w:p>
      <w:pPr>
        <w:spacing w:after="0" w:line="225" w:lineRule="exact"/>
        <w:rPr>
          <w:sz w:val="20"/>
          <w:szCs w:val="20"/>
          <w:color w:val="auto"/>
        </w:rPr>
      </w:pPr>
    </w:p>
    <w:p>
      <w:pPr>
        <w:jc w:val="both"/>
        <w:ind w:left="60" w:right="399" w:firstLine="648"/>
        <w:spacing w:after="0" w:line="301" w:lineRule="auto"/>
        <w:rPr>
          <w:sz w:val="20"/>
          <w:szCs w:val="20"/>
          <w:color w:val="auto"/>
        </w:rPr>
      </w:pPr>
      <w:r>
        <w:rPr>
          <w:rFonts w:ascii="Arial" w:cs="Arial" w:eastAsia="Arial" w:hAnsi="Arial"/>
          <w:sz w:val="16"/>
          <w:szCs w:val="16"/>
          <w:color w:val="auto"/>
        </w:rPr>
        <w:t>For the year ended December 31, 2021, two clients accounted for 19% and 15%, or a combined 34%, of total revenue. For the year ended December 31, 2020, two clients accounted for 18% and 17%, or a combined 35%, of total revenue. No other clients accounted for more than 10% for the years ended December 31, 2021 and 2020. For the year ended December 31, 2019, three clients accounted for 16%, 15%, and 10%, or a combined 41%, of total revenue.</w:t>
      </w:r>
    </w:p>
    <w:p>
      <w:pPr>
        <w:spacing w:after="0" w:line="3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Fair Value of Financial Instruments</w:t>
      </w:r>
    </w:p>
    <w:p>
      <w:pPr>
        <w:spacing w:after="0" w:line="229" w:lineRule="exact"/>
        <w:rPr>
          <w:sz w:val="20"/>
          <w:szCs w:val="20"/>
          <w:color w:val="auto"/>
        </w:rPr>
      </w:pPr>
    </w:p>
    <w:p>
      <w:pPr>
        <w:jc w:val="both"/>
        <w:ind w:left="60" w:right="59" w:firstLine="648"/>
        <w:spacing w:after="0" w:line="257" w:lineRule="auto"/>
        <w:rPr>
          <w:sz w:val="20"/>
          <w:szCs w:val="20"/>
          <w:color w:val="auto"/>
        </w:rPr>
      </w:pPr>
      <w:r>
        <w:rPr>
          <w:rFonts w:ascii="Arial" w:cs="Arial" w:eastAsia="Arial" w:hAnsi="Arial"/>
          <w:sz w:val="18"/>
          <w:szCs w:val="18"/>
          <w:color w:val="auto"/>
        </w:rPr>
        <w:t>As of December 31, 2021 and 2020, the Company had $93.7 million and $66.3 million, respectively, in financial assets held in money market accounts and $28.0 million and $39.0 million, respectively held in marketable securities, including U.S. treasury bills. All were classified as Level 1 in the fair value hierarchy. The Company measured these assets at fair value. The Company classified these assets as Level 1 because the values of these assets are determined using unadjusted quoted prices in active markets for identical assets.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8" w:name="page89"/>
    <w:bookmarkEnd w:id="8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72" w:lineRule="auto"/>
        <w:rPr>
          <w:sz w:val="20"/>
          <w:szCs w:val="20"/>
          <w:color w:val="auto"/>
        </w:rPr>
      </w:pPr>
      <w:r>
        <w:rPr>
          <w:rFonts w:ascii="Arial" w:cs="Arial" w:eastAsia="Arial" w:hAnsi="Arial"/>
          <w:sz w:val="17"/>
          <w:szCs w:val="17"/>
          <w:color w:val="auto"/>
        </w:rPr>
        <w:t>During the year ended December 31, 2021, the Company had gross realized losses related to marketable securities and money market accounts of $0.4 million included within earnings. The gross realized gains for the period as well as the gross realized gains and losses for the year ended December 31, 2020 were not significant. During the year ended December 31, 2021, the Company reclassified $0.4 million of net unrealized holding losses out of other comprehensive loss and into earnings. The amount reclassified out of other comprehensive income for the year ended December 31, 2020 was not significant. The total gains and losses for marketable securities and money market accounts in other comprehensive income (loss) as of December 31, 2021 and 2020 were not significant.</w:t>
      </w:r>
    </w:p>
    <w:p>
      <w:pPr>
        <w:spacing w:after="0" w:line="177"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During the years ended December 31, 2021 and December 31, 2020, the Company did not maintain any assets or liabilities classified as Level 2 or Level 3 in the fair value hierarchy.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Property and Equipment,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and equipment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vMerge w:val="restart"/>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4"/>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Computers and hardware</w:t>
            </w:r>
          </w:p>
        </w:tc>
        <w:tc>
          <w:tcPr>
            <w:tcW w:w="100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lease term</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Capitalized software</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2,909</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tcPr>
          <w:p>
            <w:pPr>
              <w:spacing w:after="0"/>
              <w:rPr>
                <w:sz w:val="20"/>
                <w:szCs w:val="20"/>
                <w:color w:val="auto"/>
              </w:rPr>
            </w:pPr>
            <w:r>
              <w:rPr>
                <w:rFonts w:ascii="Arial" w:cs="Arial" w:eastAsia="Arial" w:hAnsi="Arial"/>
                <w:sz w:val="18"/>
                <w:szCs w:val="18"/>
                <w:color w:val="auto"/>
              </w:rPr>
              <w:t>Property and equipment, gross</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7,590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5,276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(2,563)</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10"/>
        </w:trPr>
        <w:tc>
          <w:tcPr>
            <w:tcW w:w="3300" w:type="dxa"/>
            <w:vAlign w:val="bottom"/>
            <w:gridSpan w:val="2"/>
          </w:tcPr>
          <w:p>
            <w:pPr>
              <w:spacing w:after="0"/>
              <w:rPr>
                <w:sz w:val="20"/>
                <w:szCs w:val="20"/>
                <w:color w:val="auto"/>
              </w:rPr>
            </w:pPr>
            <w:r>
              <w:rPr>
                <w:rFonts w:ascii="Arial" w:cs="Arial" w:eastAsia="Arial" w:hAnsi="Arial"/>
                <w:sz w:val="18"/>
                <w:szCs w:val="18"/>
                <w:color w:val="auto"/>
              </w:rPr>
              <w:t>Total property and equipment, net</w:t>
            </w: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5,027</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Depreciation expense was approximately $0.7 million for the years ended December 31, 2021, 2020 and 2019.</w:t>
      </w:r>
    </w:p>
    <w:p>
      <w:pPr>
        <w:spacing w:after="0" w:line="248" w:lineRule="exact"/>
        <w:rPr>
          <w:sz w:val="20"/>
          <w:szCs w:val="20"/>
          <w:color w:val="auto"/>
        </w:rPr>
      </w:pPr>
    </w:p>
    <w:p>
      <w:pPr>
        <w:ind w:left="60" w:right="339" w:firstLine="648"/>
        <w:spacing w:after="0" w:line="277" w:lineRule="auto"/>
        <w:rPr>
          <w:sz w:val="20"/>
          <w:szCs w:val="20"/>
          <w:color w:val="auto"/>
        </w:rPr>
      </w:pPr>
      <w:r>
        <w:rPr>
          <w:rFonts w:ascii="Arial" w:cs="Arial" w:eastAsia="Arial" w:hAnsi="Arial"/>
          <w:sz w:val="18"/>
          <w:szCs w:val="18"/>
          <w:color w:val="auto"/>
        </w:rPr>
        <w:t>During the year ended December 31, 2021, the Company capitalized $0.1 million in stock-based compensation expense related to the development of internal-use software.</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Intangible Assets, Net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Intangible assets consist of the following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jc w:val="center"/>
              <w:ind w:left="68"/>
              <w:spacing w:after="0"/>
              <w:rPr>
                <w:sz w:val="20"/>
                <w:szCs w:val="20"/>
                <w:color w:val="auto"/>
              </w:rPr>
            </w:pPr>
            <w:r>
              <w:rPr>
                <w:rFonts w:ascii="Arial" w:cs="Arial" w:eastAsia="Arial" w:hAnsi="Arial"/>
                <w:sz w:val="14"/>
                <w:szCs w:val="14"/>
                <w:b w:val="1"/>
                <w:bCs w:val="1"/>
                <w:color w:val="auto"/>
                <w:w w:val="92"/>
              </w:rPr>
              <w:t>Estimated</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20" w:type="dxa"/>
            <w:vAlign w:val="bottom"/>
            <w:gridSpan w:val="4"/>
            <w:vMerge w:val="restart"/>
          </w:tcPr>
          <w:p>
            <w:pPr>
              <w:jc w:val="right"/>
              <w:ind w:right="7"/>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840" w:type="dxa"/>
            <w:vAlign w:val="bottom"/>
          </w:tcPr>
          <w:p>
            <w:pPr>
              <w:jc w:val="center"/>
              <w:ind w:left="88"/>
              <w:spacing w:after="0"/>
              <w:rPr>
                <w:sz w:val="20"/>
                <w:szCs w:val="20"/>
                <w:color w:val="auto"/>
              </w:rPr>
            </w:pPr>
            <w:r>
              <w:rPr>
                <w:rFonts w:ascii="Arial" w:cs="Arial" w:eastAsia="Arial" w:hAnsi="Arial"/>
                <w:sz w:val="14"/>
                <w:szCs w:val="14"/>
                <w:b w:val="1"/>
                <w:bCs w:val="1"/>
                <w:color w:val="auto"/>
                <w:w w:val="94"/>
              </w:rPr>
              <w:t>Useful Life</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vMerge w:val="continue"/>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center"/>
              <w:ind w:left="68"/>
              <w:spacing w:after="0" w:line="142" w:lineRule="exact"/>
              <w:rPr>
                <w:sz w:val="20"/>
                <w:szCs w:val="20"/>
                <w:color w:val="auto"/>
              </w:rPr>
            </w:pPr>
            <w:r>
              <w:rPr>
                <w:rFonts w:ascii="Arial" w:cs="Arial" w:eastAsia="Arial" w:hAnsi="Arial"/>
                <w:sz w:val="14"/>
                <w:szCs w:val="14"/>
                <w:b w:val="1"/>
                <w:bCs w:val="1"/>
                <w:color w:val="auto"/>
                <w:w w:val="93"/>
              </w:rPr>
              <w:t>(in years)</w:t>
            </w:r>
          </w:p>
        </w:tc>
        <w:tc>
          <w:tcPr>
            <w:tcW w:w="160" w:type="dxa"/>
            <w:vAlign w:val="bottom"/>
            <w:tcBorders>
              <w:bottom w:val="single" w:sz="8" w:color="auto"/>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375"/>
              <w:spacing w:after="0" w:line="142" w:lineRule="exact"/>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353"/>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Trademarks</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8</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Physician Network</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6</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Website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w:t>
            </w: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Intangible assets, gross</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9,500</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(8,287)</w:t>
            </w:r>
          </w:p>
        </w:tc>
        <w:tc>
          <w:tcPr>
            <w:tcW w:w="0" w:type="dxa"/>
            <w:vAlign w:val="bottom"/>
          </w:tcPr>
          <w:p>
            <w:pPr>
              <w:spacing w:after="0"/>
              <w:rPr>
                <w:sz w:val="1"/>
                <w:szCs w:val="1"/>
                <w:color w:val="auto"/>
              </w:rPr>
            </w:pPr>
          </w:p>
        </w:tc>
      </w:tr>
      <w:tr>
        <w:trPr>
          <w:trHeight w:val="210"/>
        </w:trPr>
        <w:tc>
          <w:tcPr>
            <w:tcW w:w="4140" w:type="dxa"/>
            <w:vAlign w:val="bottom"/>
            <w:gridSpan w:val="3"/>
          </w:tcPr>
          <w:p>
            <w:pPr>
              <w:spacing w:after="0"/>
              <w:rPr>
                <w:sz w:val="20"/>
                <w:szCs w:val="20"/>
                <w:color w:val="auto"/>
              </w:rPr>
            </w:pPr>
            <w:r>
              <w:rPr>
                <w:rFonts w:ascii="Arial" w:cs="Arial" w:eastAsia="Arial" w:hAnsi="Arial"/>
                <w:sz w:val="18"/>
                <w:szCs w:val="18"/>
                <w:color w:val="auto"/>
              </w:rPr>
              <w:t>Total intangible assets, net</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599</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Amortization expense was $0.6 million, $1.2 million, and $1.5 million for the years ended December 31, 2021, 2020 and 2019,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9" w:name="page90"/>
    <w:bookmarkEnd w:id="8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2021, the future amortization expense of other intangible assets is as follows (in thousands):</w:t>
      </w:r>
    </w:p>
    <w:p>
      <w:pPr>
        <w:spacing w:after="0" w:line="276"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Year ending December 31:</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2022</w:t>
            </w:r>
          </w:p>
        </w:tc>
        <w:tc>
          <w:tcPr>
            <w:tcW w:w="24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18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186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599</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7. Leases</w:t>
      </w:r>
    </w:p>
    <w:p>
      <w:pPr>
        <w:spacing w:after="0" w:line="229" w:lineRule="exact"/>
        <w:rPr>
          <w:sz w:val="20"/>
          <w:szCs w:val="20"/>
          <w:color w:val="auto"/>
        </w:rPr>
      </w:pPr>
    </w:p>
    <w:p>
      <w:pPr>
        <w:ind w:left="60" w:right="179" w:firstLine="405"/>
        <w:spacing w:after="0" w:line="259" w:lineRule="auto"/>
        <w:rPr>
          <w:sz w:val="20"/>
          <w:szCs w:val="20"/>
          <w:color w:val="auto"/>
        </w:rPr>
      </w:pPr>
      <w:r>
        <w:rPr>
          <w:rFonts w:ascii="Arial" w:cs="Arial" w:eastAsia="Arial" w:hAnsi="Arial"/>
          <w:sz w:val="18"/>
          <w:szCs w:val="18"/>
          <w:color w:val="auto"/>
        </w:rPr>
        <w:t>In September 2019, the Company’s sublease agreement for its corporate headquarters in New York, NY commenced and will expire in May 2029. Pursuant to the sublease, the Company will pay the base rent of approximately $1.3 million per annum through the end of the fifth lease year and approximately $1.4 million per annum thereafter through the expiration date.</w:t>
      </w:r>
    </w:p>
    <w:p>
      <w:pPr>
        <w:spacing w:after="0" w:line="187" w:lineRule="exact"/>
        <w:rPr>
          <w:sz w:val="20"/>
          <w:szCs w:val="20"/>
          <w:color w:val="auto"/>
        </w:rPr>
      </w:pPr>
    </w:p>
    <w:p>
      <w:pPr>
        <w:ind w:left="60" w:right="99" w:firstLine="405"/>
        <w:spacing w:after="0" w:line="277" w:lineRule="auto"/>
        <w:rPr>
          <w:sz w:val="20"/>
          <w:szCs w:val="20"/>
          <w:color w:val="auto"/>
        </w:rPr>
      </w:pPr>
      <w:r>
        <w:rPr>
          <w:rFonts w:ascii="Arial" w:cs="Arial" w:eastAsia="Arial" w:hAnsi="Arial"/>
          <w:sz w:val="18"/>
          <w:szCs w:val="18"/>
          <w:color w:val="auto"/>
        </w:rPr>
        <w:t>The Company recognizes lease expense on a straight-line basis over the lease term. Lease expense for the Company’s operating leases was $1.3 million for the years ended December 31, 2021 and 2020.</w:t>
      </w:r>
    </w:p>
    <w:p>
      <w:pPr>
        <w:spacing w:after="0" w:line="170" w:lineRule="exact"/>
        <w:rPr>
          <w:sz w:val="20"/>
          <w:szCs w:val="20"/>
          <w:color w:val="auto"/>
        </w:rPr>
      </w:pPr>
    </w:p>
    <w:p>
      <w:pPr>
        <w:ind w:left="60" w:right="319" w:firstLine="405"/>
        <w:spacing w:after="0" w:line="277" w:lineRule="auto"/>
        <w:rPr>
          <w:sz w:val="20"/>
          <w:szCs w:val="20"/>
          <w:color w:val="auto"/>
        </w:rPr>
      </w:pPr>
      <w:r>
        <w:rPr>
          <w:rFonts w:ascii="Arial" w:cs="Arial" w:eastAsia="Arial" w:hAnsi="Arial"/>
          <w:sz w:val="18"/>
          <w:szCs w:val="18"/>
          <w:color w:val="auto"/>
        </w:rPr>
        <w:t>Cash outflows from operating activities attributable to the operating leases for the years ended December 31, 2021 and 2020 was $1.3 million and $0.8 million, respectively.</w:t>
      </w:r>
    </w:p>
    <w:p>
      <w:pPr>
        <w:spacing w:after="0" w:line="17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Information related to the Company’s leases is as follows (in thousands):</w:t>
      </w:r>
    </w:p>
    <w:p>
      <w:pPr>
        <w:spacing w:after="0" w:line="257"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3360" w:type="dxa"/>
            <w:vAlign w:val="bottom"/>
            <w:gridSpan w:val="3"/>
          </w:tcPr>
          <w:p>
            <w:pPr>
              <w:jc w:val="right"/>
              <w:ind w:right="507"/>
              <w:spacing w:after="0"/>
              <w:rPr>
                <w:sz w:val="20"/>
                <w:szCs w:val="20"/>
                <w:color w:val="auto"/>
              </w:rPr>
            </w:pPr>
            <w:r>
              <w:rPr>
                <w:rFonts w:ascii="Arial" w:cs="Arial" w:eastAsia="Arial" w:hAnsi="Arial"/>
                <w:sz w:val="14"/>
                <w:szCs w:val="14"/>
                <w:b w:val="1"/>
                <w:bCs w:val="1"/>
                <w:color w:val="auto"/>
              </w:rPr>
              <w:t>Balance Sheet Location</w:t>
            </w:r>
          </w:p>
        </w:tc>
        <w:tc>
          <w:tcPr>
            <w:tcW w:w="7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December 31,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Operating Leases</w:t>
            </w:r>
          </w:p>
        </w:tc>
        <w:tc>
          <w:tcPr>
            <w:tcW w:w="232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Right-of-use asset</w:t>
            </w:r>
          </w:p>
        </w:tc>
        <w:tc>
          <w:tcPr>
            <w:tcW w:w="3360" w:type="dxa"/>
            <w:vAlign w:val="bottom"/>
            <w:gridSpan w:val="3"/>
          </w:tcPr>
          <w:p>
            <w:pPr>
              <w:spacing w:after="0"/>
              <w:rPr>
                <w:sz w:val="20"/>
                <w:szCs w:val="20"/>
                <w:color w:val="auto"/>
              </w:rPr>
            </w:pPr>
            <w:r>
              <w:rPr>
                <w:rFonts w:ascii="Arial" w:cs="Arial" w:eastAsia="Arial" w:hAnsi="Arial"/>
                <w:sz w:val="18"/>
                <w:szCs w:val="18"/>
                <w:color w:val="auto"/>
              </w:rPr>
              <w:t>Operating lease right-of-use assets</w:t>
            </w:r>
          </w:p>
        </w:tc>
        <w:tc>
          <w:tcPr>
            <w:tcW w:w="194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7,805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Short-term lease liabilities</w:t>
            </w:r>
          </w:p>
        </w:tc>
        <w:tc>
          <w:tcPr>
            <w:tcW w:w="336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1"/>
              </w:rPr>
              <w:t>Accrued expenses and other current liabilities</w:t>
            </w:r>
          </w:p>
        </w:tc>
        <w:tc>
          <w:tcPr>
            <w:tcW w:w="1940" w:type="dxa"/>
            <w:vAlign w:val="bottom"/>
            <w:gridSpan w:val="3"/>
            <w:shd w:val="clear" w:color="auto" w:fill="CCEEFF"/>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40" w:type="dxa"/>
            <w:vAlign w:val="bottom"/>
            <w:gridSpan w:val="2"/>
          </w:tcPr>
          <w:p>
            <w:pPr>
              <w:ind w:left="20"/>
              <w:spacing w:after="0"/>
              <w:rPr>
                <w:sz w:val="20"/>
                <w:szCs w:val="20"/>
                <w:color w:val="auto"/>
              </w:rPr>
            </w:pPr>
            <w:r>
              <w:rPr>
                <w:rFonts w:ascii="Arial" w:cs="Arial" w:eastAsia="Arial" w:hAnsi="Arial"/>
                <w:sz w:val="18"/>
                <w:szCs w:val="18"/>
                <w:color w:val="auto"/>
              </w:rPr>
              <w:t>Long-term lease liabilities</w:t>
            </w:r>
          </w:p>
        </w:tc>
        <w:tc>
          <w:tcPr>
            <w:tcW w:w="3360" w:type="dxa"/>
            <w:vAlign w:val="bottom"/>
            <w:gridSpan w:val="3"/>
          </w:tcPr>
          <w:p>
            <w:pPr>
              <w:spacing w:after="0"/>
              <w:rPr>
                <w:sz w:val="20"/>
                <w:szCs w:val="20"/>
                <w:color w:val="auto"/>
              </w:rPr>
            </w:pPr>
            <w:r>
              <w:rPr>
                <w:rFonts w:ascii="Arial" w:cs="Arial" w:eastAsia="Arial" w:hAnsi="Arial"/>
                <w:sz w:val="18"/>
                <w:szCs w:val="18"/>
                <w:color w:val="auto"/>
              </w:rPr>
              <w:t>Operating lease noncurrent liabilities</w:t>
            </w:r>
          </w:p>
        </w:tc>
        <w:tc>
          <w:tcPr>
            <w:tcW w:w="1940" w:type="dxa"/>
            <w:vAlign w:val="bottom"/>
            <w:gridSpan w:val="3"/>
          </w:tcPr>
          <w:p>
            <w:pPr>
              <w:jc w:val="right"/>
              <w:ind w:right="708"/>
              <w:spacing w:after="0"/>
              <w:rPr>
                <w:sz w:val="20"/>
                <w:szCs w:val="20"/>
                <w:color w:val="auto"/>
              </w:rPr>
            </w:pPr>
            <w:r>
              <w:rPr>
                <w:rFonts w:ascii="Arial" w:cs="Arial" w:eastAsia="Arial" w:hAnsi="Arial"/>
                <w:sz w:val="18"/>
                <w:szCs w:val="18"/>
                <w:color w:val="auto"/>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2820" w:type="dxa"/>
            <w:vAlign w:val="bottom"/>
            <w:shd w:val="clear" w:color="auto" w:fill="CCEEFF"/>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2840" w:type="dxa"/>
            <w:vAlign w:val="bottom"/>
            <w:gridSpan w:val="2"/>
          </w:tcPr>
          <w:p>
            <w:pPr>
              <w:ind w:left="20"/>
              <w:spacing w:after="0"/>
              <w:rPr>
                <w:sz w:val="20"/>
                <w:szCs w:val="20"/>
                <w:color w:val="auto"/>
              </w:rPr>
            </w:pPr>
            <w:r>
              <w:rPr>
                <w:rFonts w:ascii="Arial" w:cs="Arial" w:eastAsia="Arial" w:hAnsi="Arial"/>
                <w:sz w:val="14"/>
                <w:szCs w:val="14"/>
                <w:b w:val="1"/>
                <w:bCs w:val="1"/>
                <w:color w:val="auto"/>
              </w:rPr>
              <w:t>Other information</w:t>
            </w:r>
          </w:p>
        </w:tc>
        <w:tc>
          <w:tcPr>
            <w:tcW w:w="2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514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760" w:type="dxa"/>
            <w:vAlign w:val="bottom"/>
          </w:tcPr>
          <w:p>
            <w:pPr>
              <w:spacing w:after="0"/>
              <w:rPr>
                <w:sz w:val="2"/>
                <w:szCs w:val="2"/>
                <w:color w:val="auto"/>
              </w:rPr>
            </w:pPr>
          </w:p>
        </w:tc>
        <w:tc>
          <w:tcPr>
            <w:tcW w:w="7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20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rPr>
              <w:t>Weighted average remaining lease term, operating lease</w:t>
            </w:r>
          </w:p>
        </w:tc>
        <w:tc>
          <w:tcPr>
            <w:tcW w:w="7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7.4 years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200" w:type="dxa"/>
            <w:vAlign w:val="bottom"/>
            <w:gridSpan w:val="5"/>
          </w:tcPr>
          <w:p>
            <w:pPr>
              <w:ind w:left="20"/>
              <w:spacing w:after="0"/>
              <w:rPr>
                <w:sz w:val="20"/>
                <w:szCs w:val="20"/>
                <w:color w:val="auto"/>
              </w:rPr>
            </w:pPr>
            <w:r>
              <w:rPr>
                <w:rFonts w:ascii="Arial" w:cs="Arial" w:eastAsia="Arial" w:hAnsi="Arial"/>
                <w:sz w:val="18"/>
                <w:szCs w:val="18"/>
                <w:color w:val="auto"/>
              </w:rPr>
              <w:t>Weighted average discount rate, operating lease</w:t>
            </w: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8120" w:type="dxa"/>
            <w:vAlign w:val="bottom"/>
            <w:gridSpan w:val="7"/>
          </w:tcPr>
          <w:p>
            <w:pPr>
              <w:ind w:left="640"/>
              <w:spacing w:after="0"/>
              <w:rPr>
                <w:sz w:val="20"/>
                <w:szCs w:val="20"/>
                <w:color w:val="auto"/>
              </w:rPr>
            </w:pPr>
            <w:r>
              <w:rPr>
                <w:rFonts w:ascii="Arial" w:cs="Arial" w:eastAsia="Arial" w:hAnsi="Arial"/>
                <w:sz w:val="18"/>
                <w:szCs w:val="18"/>
                <w:color w:val="auto"/>
                <w:w w:val="97"/>
              </w:rPr>
              <w:t>Future minimum facility lease payments as of December 31, 2021, are as follows (in thousands):</w:t>
            </w: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Ending December 31:</w:t>
            </w:r>
          </w:p>
        </w:tc>
        <w:tc>
          <w:tcPr>
            <w:tcW w:w="2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Balance at December 31, 2021</w:t>
            </w: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840" w:type="dxa"/>
            <w:vAlign w:val="bottom"/>
            <w:gridSpan w:val="2"/>
            <w:vMerge w:val="continue"/>
          </w:tcPr>
          <w:p>
            <w:pPr>
              <w:spacing w:after="0"/>
              <w:rPr>
                <w:sz w:val="12"/>
                <w:szCs w:val="12"/>
                <w:color w:val="auto"/>
              </w:rPr>
            </w:pPr>
          </w:p>
        </w:tc>
        <w:tc>
          <w:tcPr>
            <w:tcW w:w="2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2022</w:t>
            </w:r>
          </w:p>
        </w:tc>
        <w:tc>
          <w:tcPr>
            <w:tcW w:w="2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CCEEFF"/>
            </w:tcBorders>
            <w:gridSpan w:val="2"/>
            <w:shd w:val="clear" w:color="auto" w:fill="CCEEFF"/>
          </w:tcPr>
          <w:p>
            <w:pPr>
              <w:jc w:val="right"/>
              <w:ind w:right="607"/>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2023</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1,326</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Pr>
          <w:p>
            <w:pPr>
              <w:spacing w:after="0"/>
              <w:rPr>
                <w:sz w:val="20"/>
                <w:szCs w:val="20"/>
                <w:color w:val="auto"/>
              </w:rPr>
            </w:pPr>
            <w:r>
              <w:rPr>
                <w:rFonts w:ascii="Arial" w:cs="Arial" w:eastAsia="Arial" w:hAnsi="Arial"/>
                <w:sz w:val="18"/>
                <w:szCs w:val="18"/>
                <w:color w:val="auto"/>
              </w:rPr>
              <w:t>2025</w:t>
            </w:r>
          </w:p>
        </w:tc>
        <w:tc>
          <w:tcPr>
            <w:tcW w:w="2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32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w w:val="98"/>
              </w:rPr>
              <w:t>Total undiscounted lease payments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8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232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20" w:type="dxa"/>
            <w:vAlign w:val="bottom"/>
            <w:shd w:val="clear" w:color="auto" w:fill="CCEEFF"/>
          </w:tcPr>
          <w:p>
            <w:pPr>
              <w:spacing w:after="0"/>
              <w:rPr>
                <w:sz w:val="20"/>
                <w:szCs w:val="20"/>
                <w:color w:val="auto"/>
              </w:rPr>
            </w:pPr>
            <w:r>
              <w:rPr>
                <w:rFonts w:ascii="Arial" w:cs="Arial" w:eastAsia="Arial" w:hAnsi="Arial"/>
                <w:sz w:val="18"/>
                <w:szCs w:val="18"/>
                <w:color w:val="auto"/>
              </w:rPr>
              <w:t>Present value of lease liabilities</w:t>
            </w:r>
          </w:p>
        </w:tc>
        <w:tc>
          <w:tcPr>
            <w:tcW w:w="23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180" w:type="dxa"/>
            <w:vAlign w:val="bottom"/>
            <w:gridSpan w:val="4"/>
          </w:tcPr>
          <w:p>
            <w:pPr>
              <w:spacing w:after="0"/>
              <w:rPr>
                <w:sz w:val="20"/>
                <w:szCs w:val="20"/>
                <w:color w:val="auto"/>
              </w:rPr>
            </w:pPr>
            <w:r>
              <w:rPr>
                <w:rFonts w:ascii="Arial" w:cs="Arial" w:eastAsia="Arial" w:hAnsi="Arial"/>
                <w:sz w:val="18"/>
                <w:szCs w:val="18"/>
                <w:color w:val="auto"/>
              </w:rPr>
              <w:t>Less: current portion of operating lease liabilities</w:t>
            </w: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Operating lease noncurrent liabilities</w:t>
            </w:r>
          </w:p>
        </w:tc>
        <w:tc>
          <w:tcPr>
            <w:tcW w:w="23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ind w:right="60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6"/>
          <w:szCs w:val="16"/>
          <w:color w:val="auto"/>
        </w:rPr>
        <w:t>Rent expense under the operating leases was approximately $1.2 million for the year ended December 31, 2019.</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terms of the facility lease provide for rental payments on a monthly basis and on a graduated scale.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0" w:name="page91"/>
    <w:bookmarkEnd w:id="9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February 2022 Lease Agreement</w:t>
      </w:r>
    </w:p>
    <w:p>
      <w:pPr>
        <w:spacing w:after="0" w:line="225"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In February 2022, the Company entered into a lease agreement for additional space in its corporate offices in New York, New York, consisting of a 24,099 square foot office and a 21,262 square foot office, and also for continued occupancy of the 25,212 square foot office after the expiration of the current sublease. For the 24,099 square foot office, the Company will pay the base rent of approximately $1.4 million per year starting in the fourth quarter of 2023 for five years and approximately $1.5 million per year thereafter through the first quarter of 2035, the expiration date. For the 21,262 square foot office, the Company will pay the base rent of approximately $1.3 million starting in the first quarter of 2025 for five years and approximately $1.4 million per year thereafter through the first quarter of 2035, the expiration date. For the current 25,212 square foot office, the Company will pay the base rent of approximately $1.6 million per year beginning in June 2029 through the first quarter of 2035, the expiration date.</w:t>
      </w: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8. Accrued Expenses and Other Current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expenses and other current liabilities consist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5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2020</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claims payable</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19,998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22,799</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Accrued compensation</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10,089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5,087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Accrued commission</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Operating lease current liabilities</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1,231</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w:t>
            </w:r>
          </w:p>
        </w:tc>
      </w:tr>
      <w:tr>
        <w:trPr>
          <w:trHeight w:val="216"/>
        </w:trPr>
        <w:tc>
          <w:tcPr>
            <w:tcW w:w="20" w:type="dxa"/>
            <w:vAlign w:val="bottom"/>
          </w:tcPr>
          <w:p>
            <w:pPr>
              <w:spacing w:after="0"/>
              <w:rPr>
                <w:sz w:val="18"/>
                <w:szCs w:val="18"/>
                <w:color w:val="auto"/>
              </w:rPr>
            </w:pPr>
          </w:p>
        </w:tc>
        <w:tc>
          <w:tcPr>
            <w:tcW w:w="5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2,172</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2,605</w:t>
            </w:r>
          </w:p>
        </w:tc>
      </w:tr>
      <w:tr>
        <w:trPr>
          <w:trHeight w:val="210"/>
        </w:trPr>
        <w:tc>
          <w:tcPr>
            <w:tcW w:w="20" w:type="dxa"/>
            <w:vAlign w:val="bottom"/>
          </w:tcPr>
          <w:p>
            <w:pPr>
              <w:spacing w:after="0"/>
              <w:rPr>
                <w:sz w:val="18"/>
                <w:szCs w:val="18"/>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accrued expenses and other current liabilities</w:t>
            </w: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37,425</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34,272</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Debt</w:t>
      </w:r>
    </w:p>
    <w:p>
      <w:pPr>
        <w:spacing w:after="0" w:line="22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In June 2018, the Company entered into a loan agreement with Silicon Valley Bank for a revolving line of credit up to $15.0 million based upon an advance rate of 80% on “eligible” accounts receivable to fund its working capital and other general corporate needs, which was amended in April 2019, January 2020, June 2020, and February 2021 (“SVB Line of Credit”). Eligible accounts receivable was defined in the loan agreement as accounts billed with aging 90 days or less and excluded accounts receivable due for member copayments, coinsurance, and deductibles. The SVB Line of Credit matured in June 2021.</w:t>
      </w:r>
    </w:p>
    <w:p>
      <w:pPr>
        <w:spacing w:after="0" w:line="192"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Company was required to pay a revolving line commitment fee of $225,000 in three equal annual installments of $75,000 starting on the one-year anniversary of the revolving line. The Company made the first installment payment of $75,000 in June 2019 and accrued this cost monthly. When the Company held unrestricted cash balances greater than $5.0 million, interest accrued at a floating rate per annum equal to the greater of prime rate or 4.75%. If the unrestricted cash balance was less than $5.0 million, interest accrued at a floating rate per annum equal to the greater of prime rate plus 0.5% or 4.75%, with interest payable monthly. Interest was paid based upon the borrowed funds.</w:t>
      </w:r>
    </w:p>
    <w:p>
      <w:pPr>
        <w:spacing w:after="0" w:line="164" w:lineRule="exact"/>
        <w:rPr>
          <w:sz w:val="20"/>
          <w:szCs w:val="20"/>
          <w:color w:val="auto"/>
        </w:rPr>
      </w:pPr>
    </w:p>
    <w:p>
      <w:pPr>
        <w:ind w:left="60" w:right="119" w:firstLine="648"/>
        <w:spacing w:after="0" w:line="253" w:lineRule="auto"/>
        <w:rPr>
          <w:sz w:val="20"/>
          <w:szCs w:val="20"/>
          <w:color w:val="auto"/>
        </w:rPr>
      </w:pPr>
      <w:r>
        <w:rPr>
          <w:rFonts w:ascii="Arial" w:cs="Arial" w:eastAsia="Arial" w:hAnsi="Arial"/>
          <w:sz w:val="18"/>
          <w:szCs w:val="18"/>
          <w:color w:val="auto"/>
        </w:rPr>
        <w:t>The SVB Line of Credit contained customary affirmative covenants, financial covenants, as well as negative covenants that, among other things, restricted the Company’s ability to incur additional indebtedness (including guarantees of certain obligations); create liens; engage in mergers, consolidations, liquidations and dissolutions; sell assets; maintain collateral; pay dividends or make other payments in respect of capital stock; make acquisitions; make investments, loans and advances; enter into transactions with affiliates; make payments with respect to or modify subordinated debt instruments; and enter into agreements with negative pledge clauses or clauses restricting subsidiary distributions. The financial covenant requires the Company to achieve a specified minimum quarterly revenue as defined by the SVB Line of Credit. The Company was in compliance with all requirements and its covenant of the revolving credit facility as of December 31,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1" w:name="page92"/>
    <w:bookmarkEnd w:id="9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 had $0 drawn on the SVB Line of Credit as of December 31, 2020 and 2019. The Company recorded interest expense on the SVB Line of Credit of $38,000, $75,000 and $213,000 during the years ended December 31, 2021, 2020 and 2019, respectively.</w:t>
      </w:r>
    </w:p>
    <w:p>
      <w:pPr>
        <w:spacing w:after="0" w:line="207" w:lineRule="exact"/>
        <w:rPr>
          <w:sz w:val="20"/>
          <w:szCs w:val="20"/>
          <w:color w:val="auto"/>
        </w:rPr>
      </w:pPr>
    </w:p>
    <w:p>
      <w:pPr>
        <w:ind w:left="60" w:right="7079" w:hanging="10"/>
        <w:spacing w:after="0" w:line="532" w:lineRule="auto"/>
        <w:tabs>
          <w:tab w:leader="none" w:pos="330" w:val="left"/>
        </w:tabs>
        <w:numPr>
          <w:ilvl w:val="0"/>
          <w:numId w:val="41"/>
        </w:numPr>
        <w:rPr>
          <w:rFonts w:ascii="Arial" w:cs="Arial" w:eastAsia="Arial" w:hAnsi="Arial"/>
          <w:sz w:val="17"/>
          <w:szCs w:val="17"/>
          <w:b w:val="1"/>
          <w:bCs w:val="1"/>
          <w:color w:val="auto"/>
        </w:rPr>
      </w:pPr>
      <w:r>
        <w:rPr>
          <w:rFonts w:ascii="Arial" w:cs="Arial" w:eastAsia="Arial" w:hAnsi="Arial"/>
          <w:sz w:val="17"/>
          <w:szCs w:val="17"/>
          <w:b w:val="1"/>
          <w:bCs w:val="1"/>
          <w:color w:val="auto"/>
        </w:rPr>
        <w:t>Stockholders’ Equity Common Stock</w:t>
      </w:r>
    </w:p>
    <w:p>
      <w:pPr>
        <w:spacing w:after="0" w:line="1"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The holders of common stock are entitled to one vote for each share held of record on all matters submitted to a vote of the stockholders. The common stock confers upon its holders the right to receive dividends out of any assets legally available, when and as declared by the Board of Directors.</w:t>
      </w:r>
    </w:p>
    <w:p>
      <w:pPr>
        <w:spacing w:after="0" w:line="184" w:lineRule="exact"/>
        <w:rPr>
          <w:sz w:val="20"/>
          <w:szCs w:val="20"/>
          <w:color w:val="auto"/>
        </w:rPr>
      </w:pPr>
    </w:p>
    <w:p>
      <w:pPr>
        <w:jc w:val="both"/>
        <w:ind w:left="60" w:right="159" w:firstLine="648"/>
        <w:spacing w:after="0" w:line="263" w:lineRule="auto"/>
        <w:rPr>
          <w:sz w:val="20"/>
          <w:szCs w:val="20"/>
          <w:color w:val="auto"/>
        </w:rPr>
      </w:pPr>
      <w:r>
        <w:rPr>
          <w:rFonts w:ascii="Arial" w:cs="Arial" w:eastAsia="Arial" w:hAnsi="Arial"/>
          <w:sz w:val="18"/>
          <w:szCs w:val="18"/>
          <w:color w:val="auto"/>
        </w:rPr>
        <w:t>In August 2019, the Company repurchased 26,659 shares of common stock at an average price per share of $6.91 pursuant to its contractual right of first refusal for offers made by third parties to acquire outstanding shares from existing stockholders. The repurchased shares were recorded as treasury shares.</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Company had 615,980 shares of treasury stock as of December 31, 2021, 2020 and 2019.</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 Warrants</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In connection with the IPO on October 25, 2019, all outstanding convertible preferred warrants were converted to common stock warrants. As of December 31, 2021 and 2020, the Company had 565,351 and 1,419,415 common stock warrants outstanding, respectively.</w:t>
      </w:r>
    </w:p>
    <w:p>
      <w:pPr>
        <w:spacing w:after="0" w:line="184"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For the year ended December 31, 2021, 854,065 common stock warrants were exercised for 824,991 shares at a weighted average exercise price of $1.73. For the year ended December 31, 2020, 188,449 common stock warrants were exercised for 177,854 shares of common stock at a weighted average exercise price of $1.73. The Company did not recognize compensation expense relating to the common stock warrants for the years ended December 31, 2021, 2020 and 2019 as they were all fully vested.</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 Incentive Plan</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In October 2019, the Company’s Board of Directors and stockholders adopted and approved the 2019 Equity Incentive Plan, as amended (the “2019 Plan”), as the successor to continuation of the Company’s 2017 Equity Incentive Plan, as amended (the “2017 Plan”). No further grants were made under the 2017 Plan from the date that the 2019 Plan became effective. Initially, the maximum number of shares issuable under the 2019 Plan will not exceed 19,198,875 shares of common stock, which is the sum of 1) 2,640,031 new shares and 2) an additional number of shares not to exceed 16,558,844 consisting of (a) shares that remained available for the issuance of awards under the 2017 Plan immediately prior to the effective date of the 2019 Plan and (b) shares of common stock subject to outstanding stock options or other stock awards granted under the 2017 Plan that, on or after the date the 2019 Plan became effective, terminate, expire or are cancelled prior to exercise or settlement; are forfeited or repurchased because of the failure to vest; or are reacquired or withheld (or not issued) to satisfy a tax withholding obligation or the purchase or exercise price, if any, as such shares become available from time to time.</w:t>
      </w:r>
    </w:p>
    <w:p>
      <w:pPr>
        <w:spacing w:after="0" w:line="182" w:lineRule="exact"/>
        <w:rPr>
          <w:sz w:val="20"/>
          <w:szCs w:val="20"/>
          <w:color w:val="auto"/>
        </w:rPr>
      </w:pPr>
    </w:p>
    <w:p>
      <w:pPr>
        <w:ind w:left="60" w:right="79" w:firstLine="648"/>
        <w:spacing w:after="0" w:line="269" w:lineRule="auto"/>
        <w:rPr>
          <w:sz w:val="20"/>
          <w:szCs w:val="20"/>
          <w:color w:val="auto"/>
        </w:rPr>
      </w:pPr>
      <w:r>
        <w:rPr>
          <w:rFonts w:ascii="Arial" w:cs="Arial" w:eastAsia="Arial" w:hAnsi="Arial"/>
          <w:sz w:val="17"/>
          <w:szCs w:val="17"/>
          <w:color w:val="auto"/>
        </w:rPr>
        <w:t>Under the Company’s 2017 Plan and consistent with the Company’s prior 2008 Equity Incentive Plan, options and other stock awards to purchase shares of common stock may be granted to employees, directors, and consultants. Incentive stock options are granted to employees and non-statutory stock options are granted to consultants and directors at an exercise price not less than 100% of the fair value (as determined by the Board of Directors) of the Company’s common stock on the date of grant. The exercise price of options granted to stockholders who hold 10% or more of the Company’s common stock on the option grant date shall not be less than 110% of the fair value of the Company’s common stock on the date of grant for both incentive and non-qualified stock option grants. These options generally vest over four years and expire ten years from the date of grant. Stock option grants may be exercisable upon grant, and any unvested shares purchased are subject to repurchase. There were no unvested shares subject to repurchase as of December 31, 2021 and 2020.</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2" w:name="page93"/>
    <w:bookmarkEnd w:id="9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As of December 31, 2021 and 2020, 4,160,618 and 5,287,341 shares of common stock, respectively, remained available for future grants under the 2019 Plan. Under the 2019 Plan, subject to any adjustments necessary to implement any capitalization adjustments, an annual increase to the number of shares issuable is automatically added on January 1 of each year for a period of ten years commencing on January 1, 2020 and ending on (and including) January 1, 2029, in an amount equal to 4% of the total number of shares of common stock outstanding on December 31 of the preceding year.</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ind w:left="60" w:right="79" w:firstLine="648"/>
        <w:spacing w:after="0" w:line="263" w:lineRule="auto"/>
        <w:rPr>
          <w:sz w:val="20"/>
          <w:szCs w:val="20"/>
          <w:color w:val="auto"/>
        </w:rPr>
      </w:pPr>
      <w:r>
        <w:rPr>
          <w:rFonts w:ascii="Arial" w:cs="Arial" w:eastAsia="Arial" w:hAnsi="Arial"/>
          <w:sz w:val="18"/>
          <w:szCs w:val="18"/>
          <w:color w:val="auto"/>
        </w:rPr>
        <w:t>Stock options are exercisable based on the terms and conditions outlined in the applicable award agreement. Stock options generally vest over four years and typically expire ten years from the date of grant. A summary of the Company’s stock option activity for the year ended December 31, 2021 is as follows:</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vMerge w:val="restart"/>
          </w:tcPr>
          <w:p>
            <w:pPr>
              <w:jc w:val="right"/>
              <w:ind w:right="74"/>
              <w:spacing w:after="0"/>
              <w:rPr>
                <w:sz w:val="20"/>
                <w:szCs w:val="20"/>
                <w:color w:val="auto"/>
              </w:rPr>
            </w:pPr>
            <w:r>
              <w:rPr>
                <w:rFonts w:ascii="Arial" w:cs="Arial" w:eastAsia="Arial" w:hAnsi="Arial"/>
                <w:sz w:val="14"/>
                <w:szCs w:val="14"/>
                <w:b w:val="1"/>
                <w:bCs w:val="1"/>
                <w:color w:val="auto"/>
              </w:rPr>
              <w:t>Number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jc w:val="center"/>
              <w:ind w:right="32"/>
              <w:spacing w:after="0" w:line="149"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Remaining</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7"/>
              </w:rPr>
              <w:t>Grant Date</w:t>
            </w:r>
          </w:p>
        </w:tc>
        <w:tc>
          <w:tcPr>
            <w:tcW w:w="920" w:type="dxa"/>
            <w:vAlign w:val="bottom"/>
            <w:gridSpan w:val="2"/>
          </w:tcPr>
          <w:p>
            <w:pPr>
              <w:jc w:val="center"/>
              <w:ind w:left="14"/>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Intrinsic</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94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4"/>
                <w:szCs w:val="14"/>
                <w:color w:val="auto"/>
              </w:rPr>
            </w:pPr>
          </w:p>
        </w:tc>
        <w:tc>
          <w:tcPr>
            <w:tcW w:w="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Life (Years)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2020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13,384,301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2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8"/>
              </w:rPr>
              <w:t>500,053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color w:val="auto"/>
              </w:rPr>
              <w:t>5,290,216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30.60</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Exercised</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(3,440,937)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80"/>
              <w:spacing w:after="0"/>
              <w:rPr>
                <w:sz w:val="20"/>
                <w:szCs w:val="20"/>
                <w:color w:val="auto"/>
              </w:rPr>
            </w:pPr>
            <w:r>
              <w:rPr>
                <w:rFonts w:ascii="Arial" w:cs="Arial" w:eastAsia="Arial" w:hAnsi="Arial"/>
                <w:sz w:val="18"/>
                <w:szCs w:val="18"/>
                <w:color w:val="auto"/>
              </w:rPr>
              <w:t>Forfeited</w:t>
            </w:r>
          </w:p>
        </w:tc>
        <w:tc>
          <w:tcPr>
            <w:tcW w:w="940" w:type="dxa"/>
            <w:vAlign w:val="bottom"/>
          </w:tcPr>
          <w:p>
            <w:pPr>
              <w:jc w:val="right"/>
              <w:spacing w:after="0"/>
              <w:rPr>
                <w:sz w:val="20"/>
                <w:szCs w:val="20"/>
                <w:color w:val="auto"/>
              </w:rPr>
            </w:pPr>
            <w:r>
              <w:rPr>
                <w:rFonts w:ascii="Arial" w:cs="Arial" w:eastAsia="Arial" w:hAnsi="Arial"/>
                <w:sz w:val="18"/>
                <w:szCs w:val="18"/>
                <w:color w:val="auto"/>
              </w:rPr>
              <w:t>(303,639)</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13.56</w:t>
            </w: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Cancelled</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20" w:type="dxa"/>
            <w:vAlign w:val="bottom"/>
            <w:gridSpan w:val="2"/>
          </w:tcPr>
          <w:p>
            <w:pPr>
              <w:spacing w:after="0"/>
              <w:rPr>
                <w:sz w:val="20"/>
                <w:szCs w:val="20"/>
                <w:color w:val="auto"/>
              </w:rPr>
            </w:pPr>
            <w:r>
              <w:rPr>
                <w:rFonts w:ascii="Arial" w:cs="Arial" w:eastAsia="Arial" w:hAnsi="Arial"/>
                <w:sz w:val="18"/>
                <w:szCs w:val="18"/>
                <w:color w:val="auto"/>
              </w:rPr>
              <w:t>Outstanding at December 31,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14,924,013</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25.11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7.9</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439,557</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5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Exercisable at December 31, 2020</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7,343,948</w:t>
            </w:r>
          </w:p>
        </w:tc>
        <w:tc>
          <w:tcPr>
            <w:tcW w:w="2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2.02</w:t>
            </w:r>
          </w:p>
        </w:tc>
        <w:tc>
          <w:tcPr>
            <w:tcW w:w="9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7.1</w:t>
            </w:r>
          </w:p>
        </w:tc>
        <w:tc>
          <w:tcPr>
            <w:tcW w:w="26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w w:val="98"/>
              </w:rPr>
              <w:t>396,496</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Exercisable at December 31, 2021</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6,694,592</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4.21</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260" w:type="dxa"/>
            <w:vAlign w:val="bottom"/>
            <w:gridSpan w:val="2"/>
          </w:tcPr>
          <w:p>
            <w:pPr>
              <w:ind w:left="140"/>
              <w:spacing w:after="0"/>
              <w:rPr>
                <w:sz w:val="20"/>
                <w:szCs w:val="20"/>
                <w:color w:val="auto"/>
              </w:rPr>
            </w:pPr>
            <w:r>
              <w:rPr>
                <w:rFonts w:ascii="Arial" w:cs="Arial" w:eastAsia="Arial" w:hAnsi="Arial"/>
                <w:sz w:val="18"/>
                <w:szCs w:val="18"/>
                <w:color w:val="auto"/>
                <w:w w:val="99"/>
              </w:rPr>
              <w:t>$</w:t>
            </w:r>
          </w:p>
        </w:tc>
        <w:tc>
          <w:tcPr>
            <w:tcW w:w="800" w:type="dxa"/>
            <w:vAlign w:val="bottom"/>
          </w:tcPr>
          <w:p>
            <w:pPr>
              <w:ind w:left="140"/>
              <w:spacing w:after="0"/>
              <w:rPr>
                <w:sz w:val="20"/>
                <w:szCs w:val="20"/>
                <w:color w:val="auto"/>
              </w:rPr>
            </w:pPr>
            <w:r>
              <w:rPr>
                <w:rFonts w:ascii="Arial" w:cs="Arial" w:eastAsia="Arial" w:hAnsi="Arial"/>
                <w:sz w:val="18"/>
                <w:szCs w:val="18"/>
                <w:color w:val="auto"/>
                <w:w w:val="98"/>
              </w:rPr>
              <w:t>308,893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total intrinsic value of options exercised was $175.0 million, $79.6 million, and $50.8 million for the years ended December 31, 2021, 2020, and 2019, respectively.</w:t>
      </w:r>
    </w:p>
    <w:p>
      <w:pPr>
        <w:spacing w:after="0" w:line="170"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The weighted average grant date fair value of options granted was $30.60, $26.56, and $2.68 in the years ended December 31, 2021, 2020, and 2019, respectively.</w:t>
      </w:r>
    </w:p>
    <w:p>
      <w:pPr>
        <w:spacing w:after="0" w:line="170" w:lineRule="exact"/>
        <w:rPr>
          <w:sz w:val="20"/>
          <w:szCs w:val="20"/>
          <w:color w:val="auto"/>
        </w:rPr>
      </w:pPr>
    </w:p>
    <w:p>
      <w:pPr>
        <w:ind w:left="60" w:right="459" w:firstLine="648"/>
        <w:spacing w:after="0" w:line="277" w:lineRule="auto"/>
        <w:rPr>
          <w:sz w:val="20"/>
          <w:szCs w:val="20"/>
          <w:color w:val="auto"/>
        </w:rPr>
      </w:pPr>
      <w:r>
        <w:rPr>
          <w:rFonts w:ascii="Arial" w:cs="Arial" w:eastAsia="Arial" w:hAnsi="Arial"/>
          <w:sz w:val="18"/>
          <w:szCs w:val="18"/>
          <w:color w:val="auto"/>
        </w:rPr>
        <w:t>The total grant date fair value of options vested was $16.0 million, $9.3 million, and $2.8 million in the years ended December 31, 2021, 2020, and 2019, respectively.</w:t>
      </w:r>
    </w:p>
    <w:p>
      <w:pPr>
        <w:spacing w:after="0" w:line="170" w:lineRule="exact"/>
        <w:rPr>
          <w:sz w:val="20"/>
          <w:szCs w:val="20"/>
          <w:color w:val="auto"/>
        </w:rPr>
      </w:pPr>
    </w:p>
    <w:p>
      <w:pPr>
        <w:ind w:left="60" w:right="619" w:firstLine="648"/>
        <w:spacing w:after="0" w:line="308" w:lineRule="auto"/>
        <w:rPr>
          <w:sz w:val="20"/>
          <w:szCs w:val="20"/>
          <w:color w:val="auto"/>
        </w:rPr>
      </w:pPr>
      <w:r>
        <w:rPr>
          <w:rFonts w:ascii="Arial" w:cs="Arial" w:eastAsia="Arial" w:hAnsi="Arial"/>
          <w:sz w:val="17"/>
          <w:szCs w:val="17"/>
          <w:color w:val="auto"/>
        </w:rPr>
        <w:t>The total unrecognized compensation cost related to unvested options was approximately $164.2 million at December 31, 2021. The weighted-average remaining recognition period is approximately 3.6 years.</w:t>
      </w:r>
    </w:p>
    <w:p>
      <w:pPr>
        <w:spacing w:after="0" w:line="146" w:lineRule="exact"/>
        <w:rPr>
          <w:sz w:val="20"/>
          <w:szCs w:val="20"/>
          <w:color w:val="auto"/>
        </w:rPr>
      </w:pPr>
    </w:p>
    <w:p>
      <w:pPr>
        <w:ind w:left="60" w:right="599" w:firstLine="648"/>
        <w:spacing w:after="0" w:line="277" w:lineRule="auto"/>
        <w:rPr>
          <w:sz w:val="20"/>
          <w:szCs w:val="20"/>
          <w:color w:val="auto"/>
        </w:rPr>
      </w:pPr>
      <w:r>
        <w:rPr>
          <w:rFonts w:ascii="Arial" w:cs="Arial" w:eastAsia="Arial" w:hAnsi="Arial"/>
          <w:sz w:val="18"/>
          <w:szCs w:val="18"/>
          <w:color w:val="auto"/>
        </w:rPr>
        <w:t>Certain assumptions used in the option-pricing model for options granted to employees, directors, and non-employees are as follows: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0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100" w:type="dxa"/>
            <w:vAlign w:val="bottom"/>
            <w:gridSpan w:val="2"/>
          </w:tcPr>
          <w:p>
            <w:pPr>
              <w:jc w:val="right"/>
              <w:ind w:right="310"/>
              <w:spacing w:after="0" w:line="142" w:lineRule="exact"/>
              <w:rPr>
                <w:sz w:val="20"/>
                <w:szCs w:val="20"/>
                <w:color w:val="auto"/>
              </w:rPr>
            </w:pPr>
            <w:r>
              <w:rPr>
                <w:rFonts w:ascii="Arial" w:cs="Arial" w:eastAsia="Arial" w:hAnsi="Arial"/>
                <w:sz w:val="14"/>
                <w:szCs w:val="14"/>
                <w:b w:val="1"/>
                <w:bCs w:val="1"/>
                <w:color w:val="auto"/>
              </w:rPr>
              <w:t>2021</w:t>
            </w:r>
          </w:p>
        </w:tc>
        <w:tc>
          <w:tcPr>
            <w:tcW w:w="1320" w:type="dxa"/>
            <w:vAlign w:val="bottom"/>
            <w:gridSpan w:val="4"/>
          </w:tcPr>
          <w:p>
            <w:pPr>
              <w:jc w:val="right"/>
              <w:ind w:right="330"/>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2"/>
          </w:tcPr>
          <w:p>
            <w:pPr>
              <w:jc w:val="right"/>
              <w:ind w:right="35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Expected term (in years)</w:t>
            </w:r>
          </w:p>
        </w:tc>
        <w:tc>
          <w:tcPr>
            <w:tcW w:w="208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6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- 6.11</w:t>
            </w: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86"/>
              </w:rPr>
              <w:t>- 6.11</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5.63</w:t>
            </w:r>
          </w:p>
        </w:tc>
        <w:tc>
          <w:tcPr>
            <w:tcW w:w="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- 6.28</w:t>
            </w:r>
          </w:p>
        </w:tc>
      </w:tr>
      <w:tr>
        <w:trPr>
          <w:trHeight w:val="216"/>
        </w:trPr>
        <w:tc>
          <w:tcPr>
            <w:tcW w:w="2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Risk-free interest rate</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0.6%</w:t>
            </w:r>
          </w:p>
        </w:tc>
        <w:tc>
          <w:tcPr>
            <w:tcW w:w="600" w:type="dxa"/>
            <w:vAlign w:val="bottom"/>
          </w:tcPr>
          <w:p>
            <w:pPr>
              <w:ind w:left="20"/>
              <w:spacing w:after="0"/>
              <w:rPr>
                <w:sz w:val="20"/>
                <w:szCs w:val="20"/>
                <w:color w:val="auto"/>
              </w:rPr>
            </w:pPr>
            <w:r>
              <w:rPr>
                <w:rFonts w:ascii="Arial" w:cs="Arial" w:eastAsia="Arial" w:hAnsi="Arial"/>
                <w:sz w:val="18"/>
                <w:szCs w:val="18"/>
                <w:color w:val="auto"/>
              </w:rPr>
              <w:t>- 1.4%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jc w:val="right"/>
              <w:ind w:right="10"/>
              <w:spacing w:after="0"/>
              <w:rPr>
                <w:sz w:val="20"/>
                <w:szCs w:val="20"/>
                <w:color w:val="auto"/>
              </w:rPr>
            </w:pPr>
            <w:r>
              <w:rPr>
                <w:rFonts w:ascii="Arial" w:cs="Arial" w:eastAsia="Arial" w:hAnsi="Arial"/>
                <w:sz w:val="18"/>
                <w:szCs w:val="18"/>
                <w:color w:val="auto"/>
                <w:w w:val="92"/>
              </w:rPr>
              <w:t>- 1.7%</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7"/>
              </w:rPr>
              <w:t>1.5%</w:t>
            </w:r>
          </w:p>
        </w:tc>
        <w:tc>
          <w:tcPr>
            <w:tcW w:w="620" w:type="dxa"/>
            <w:vAlign w:val="bottom"/>
          </w:tcPr>
          <w:p>
            <w:pPr>
              <w:ind w:left="20"/>
              <w:spacing w:after="0"/>
              <w:rPr>
                <w:sz w:val="20"/>
                <w:szCs w:val="20"/>
                <w:color w:val="auto"/>
              </w:rPr>
            </w:pPr>
            <w:r>
              <w:rPr>
                <w:rFonts w:ascii="Arial" w:cs="Arial" w:eastAsia="Arial" w:hAnsi="Arial"/>
                <w:sz w:val="18"/>
                <w:szCs w:val="18"/>
                <w:color w:val="auto"/>
              </w:rPr>
              <w:t>- 2.5%</w:t>
            </w:r>
          </w:p>
        </w:tc>
      </w:tr>
      <w:tr>
        <w:trPr>
          <w:trHeight w:val="216"/>
        </w:trPr>
        <w:tc>
          <w:tcPr>
            <w:tcW w:w="20" w:type="dxa"/>
            <w:vAlign w:val="bottom"/>
          </w:tcPr>
          <w:p>
            <w:pPr>
              <w:spacing w:after="0"/>
              <w:rPr>
                <w:sz w:val="18"/>
                <w:szCs w:val="18"/>
                <w:color w:val="auto"/>
              </w:rPr>
            </w:pPr>
          </w:p>
        </w:tc>
        <w:tc>
          <w:tcPr>
            <w:tcW w:w="30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- 59.5%</w:t>
            </w:r>
          </w:p>
        </w:tc>
        <w:tc>
          <w:tcPr>
            <w:tcW w:w="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132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9"/>
              </w:rPr>
              <w:t>- 54.7%   48.6%</w:t>
            </w:r>
          </w:p>
        </w:tc>
        <w:tc>
          <w:tcPr>
            <w:tcW w:w="6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- 49.0%</w:t>
            </w:r>
          </w:p>
        </w:tc>
      </w:tr>
      <w:tr>
        <w:trPr>
          <w:trHeight w:val="230"/>
        </w:trPr>
        <w:tc>
          <w:tcPr>
            <w:tcW w:w="20" w:type="dxa"/>
            <w:vAlign w:val="bottom"/>
          </w:tcPr>
          <w:p>
            <w:pPr>
              <w:spacing w:after="0"/>
              <w:rPr>
                <w:sz w:val="20"/>
                <w:szCs w:val="20"/>
                <w:color w:val="auto"/>
              </w:rPr>
            </w:pPr>
          </w:p>
        </w:tc>
        <w:tc>
          <w:tcPr>
            <w:tcW w:w="3060" w:type="dxa"/>
            <w:vAlign w:val="bottom"/>
          </w:tcPr>
          <w:p>
            <w:pPr>
              <w:spacing w:after="0"/>
              <w:rPr>
                <w:sz w:val="20"/>
                <w:szCs w:val="20"/>
                <w:color w:val="auto"/>
              </w:rPr>
            </w:pPr>
            <w:r>
              <w:rPr>
                <w:rFonts w:ascii="Arial" w:cs="Arial" w:eastAsia="Arial" w:hAnsi="Arial"/>
                <w:sz w:val="18"/>
                <w:szCs w:val="18"/>
                <w:color w:val="auto"/>
              </w:rPr>
              <w:t>Expected dividend rate</w:t>
            </w:r>
          </w:p>
        </w:tc>
        <w:tc>
          <w:tcPr>
            <w:tcW w:w="2080" w:type="dxa"/>
            <w:vAlign w:val="bottom"/>
          </w:tcPr>
          <w:p>
            <w:pPr>
              <w:spacing w:after="0"/>
              <w:rPr>
                <w:sz w:val="20"/>
                <w:szCs w:val="20"/>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gridSpan w:val="4"/>
          </w:tcPr>
          <w:p>
            <w:pPr>
              <w:jc w:val="center"/>
              <w:ind w:right="280"/>
              <w:spacing w:after="0"/>
              <w:rPr>
                <w:sz w:val="20"/>
                <w:szCs w:val="20"/>
                <w:color w:val="auto"/>
              </w:rPr>
            </w:pPr>
            <w:r>
              <w:rPr>
                <w:rFonts w:ascii="Arial" w:cs="Arial" w:eastAsia="Arial" w:hAnsi="Arial"/>
                <w:sz w:val="18"/>
                <w:szCs w:val="18"/>
                <w:color w:val="auto"/>
                <w:w w:val="99"/>
              </w:rPr>
              <w:t>—</w:t>
            </w:r>
          </w:p>
        </w:tc>
        <w:tc>
          <w:tcPr>
            <w:tcW w:w="106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r>
      <w:tr>
        <w:trPr>
          <w:trHeight w:val="634"/>
        </w:trPr>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80" w:type="dxa"/>
            <w:vAlign w:val="bottom"/>
          </w:tcPr>
          <w:p>
            <w:pPr>
              <w:jc w:val="right"/>
              <w:ind w:right="510"/>
              <w:spacing w:after="0"/>
              <w:rPr>
                <w:sz w:val="20"/>
                <w:szCs w:val="20"/>
                <w:color w:val="auto"/>
              </w:rPr>
            </w:pPr>
            <w:r>
              <w:rPr>
                <w:rFonts w:ascii="Arial" w:cs="Arial" w:eastAsia="Arial" w:hAnsi="Arial"/>
                <w:sz w:val="18"/>
                <w:szCs w:val="18"/>
                <w:color w:val="auto"/>
              </w:rPr>
              <w:t>93</w:t>
            </w: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561"/>
        </w:trPr>
        <w:tc>
          <w:tcPr>
            <w:tcW w:w="2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93" w:name="page94"/>
    <w:bookmarkEnd w:id="9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During the year ended December 31, 2020, the Company began granting restricted stock units under the 2019 Equity Incentive Plan. Restricted stock units vest based on the terms outlined in the applicable award agreement, which is generally over a period of 4 years. A summary of the Company’s restricted stock unit activity is as follows:</w:t>
      </w:r>
    </w:p>
    <w:p>
      <w:pPr>
        <w:spacing w:after="0" w:line="14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8"/>
              </w:rPr>
              <w:t>Number</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652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Grant Date</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at December 31, 2020</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489,067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Granted</w:t>
            </w:r>
          </w:p>
        </w:tc>
        <w:tc>
          <w:tcPr>
            <w:tcW w:w="1020" w:type="dxa"/>
            <w:vAlign w:val="bottom"/>
          </w:tcPr>
          <w:p>
            <w:pPr>
              <w:jc w:val="right"/>
              <w:spacing w:after="0"/>
              <w:rPr>
                <w:sz w:val="20"/>
                <w:szCs w:val="20"/>
                <w:color w:val="auto"/>
              </w:rPr>
            </w:pPr>
            <w:r>
              <w:rPr>
                <w:rFonts w:ascii="Arial" w:cs="Arial" w:eastAsia="Arial" w:hAnsi="Arial"/>
                <w:sz w:val="18"/>
                <w:szCs w:val="18"/>
                <w:color w:val="auto"/>
              </w:rPr>
              <w:t>1,517,075</w:t>
            </w:r>
          </w:p>
        </w:tc>
        <w:tc>
          <w:tcPr>
            <w:tcW w:w="12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58.13</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(201,916)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w:t>
            </w:r>
          </w:p>
        </w:tc>
        <w:tc>
          <w:tcPr>
            <w:tcW w:w="0" w:type="dxa"/>
            <w:vAlign w:val="bottom"/>
          </w:tcPr>
          <w:p>
            <w:pPr>
              <w:spacing w:after="0"/>
              <w:rPr>
                <w:sz w:val="1"/>
                <w:szCs w:val="1"/>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Forfeited</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(38,708)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32.75</w:t>
            </w:r>
          </w:p>
        </w:tc>
        <w:tc>
          <w:tcPr>
            <w:tcW w:w="0" w:type="dxa"/>
            <w:vAlign w:val="bottom"/>
          </w:tcPr>
          <w:p>
            <w:pPr>
              <w:spacing w:after="0"/>
              <w:rPr>
                <w:sz w:val="1"/>
                <w:szCs w:val="1"/>
                <w:color w:val="auto"/>
              </w:rPr>
            </w:pPr>
          </w:p>
        </w:tc>
      </w:tr>
      <w:tr>
        <w:trPr>
          <w:trHeight w:val="209"/>
        </w:trPr>
        <w:tc>
          <w:tcPr>
            <w:tcW w:w="6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2021</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1,765,518</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total intrinsic value of restricted stock units vested was $11.1 million and $1.4 million for the years ended December 31, 2021 and 2020, respectively.</w:t>
      </w:r>
    </w:p>
    <w:p>
      <w:pPr>
        <w:spacing w:after="0" w:line="170"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weighted-average grant date fair value of restricted stock units granted was $58.13 and $25.46 for the years ended December 31, 2021 and 2020, respectively.</w:t>
      </w:r>
    </w:p>
    <w:p>
      <w:pPr>
        <w:spacing w:after="0" w:line="170" w:lineRule="exact"/>
        <w:rPr>
          <w:sz w:val="20"/>
          <w:szCs w:val="20"/>
          <w:color w:val="auto"/>
        </w:rPr>
      </w:pPr>
    </w:p>
    <w:p>
      <w:pPr>
        <w:ind w:left="60" w:right="319" w:firstLine="648"/>
        <w:spacing w:after="0" w:line="342" w:lineRule="auto"/>
        <w:rPr>
          <w:sz w:val="20"/>
          <w:szCs w:val="20"/>
          <w:color w:val="auto"/>
        </w:rPr>
      </w:pPr>
      <w:r>
        <w:rPr>
          <w:rFonts w:ascii="Arial" w:cs="Arial" w:eastAsia="Arial" w:hAnsi="Arial"/>
          <w:sz w:val="16"/>
          <w:szCs w:val="16"/>
          <w:color w:val="auto"/>
        </w:rPr>
        <w:t>The total fair value of restricted stock units vested was $0.2 million for the year ended December 31, 2021. For the year ended December 31, 2020, the total fair value of restricted stock units vested was not significant.</w:t>
      </w:r>
    </w:p>
    <w:p>
      <w:pPr>
        <w:spacing w:after="0" w:line="124" w:lineRule="exact"/>
        <w:rPr>
          <w:sz w:val="20"/>
          <w:szCs w:val="20"/>
          <w:color w:val="auto"/>
        </w:rPr>
      </w:pPr>
    </w:p>
    <w:p>
      <w:pPr>
        <w:ind w:left="60" w:right="479" w:firstLine="648"/>
        <w:spacing w:after="0" w:line="342" w:lineRule="auto"/>
        <w:rPr>
          <w:sz w:val="20"/>
          <w:szCs w:val="20"/>
          <w:color w:val="auto"/>
        </w:rPr>
      </w:pPr>
      <w:r>
        <w:rPr>
          <w:rFonts w:ascii="Arial" w:cs="Arial" w:eastAsia="Arial" w:hAnsi="Arial"/>
          <w:sz w:val="16"/>
          <w:szCs w:val="16"/>
          <w:color w:val="auto"/>
        </w:rPr>
        <w:t>The total unrecognized compensation cost related to unvested restricted stock units was approximately $86.5 million at December 31, 2021. The weighted-average remaining recognition period is approximately 3.6 years.</w:t>
      </w:r>
    </w:p>
    <w:p>
      <w:pPr>
        <w:spacing w:after="0" w:line="12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January 2022 Executive Equity Grants</w:t>
      </w:r>
    </w:p>
    <w:p>
      <w:pPr>
        <w:spacing w:after="0" w:line="225" w:lineRule="exact"/>
        <w:rPr>
          <w:sz w:val="20"/>
          <w:szCs w:val="20"/>
          <w:color w:val="auto"/>
        </w:rPr>
      </w:pPr>
    </w:p>
    <w:p>
      <w:pPr>
        <w:ind w:left="60" w:right="199" w:firstLine="648"/>
        <w:spacing w:after="0" w:line="290" w:lineRule="auto"/>
        <w:rPr>
          <w:sz w:val="20"/>
          <w:szCs w:val="20"/>
          <w:color w:val="auto"/>
        </w:rPr>
      </w:pPr>
      <w:r>
        <w:rPr>
          <w:rFonts w:ascii="Arial" w:cs="Arial" w:eastAsia="Arial" w:hAnsi="Arial"/>
          <w:sz w:val="16"/>
          <w:szCs w:val="16"/>
          <w:color w:val="auto"/>
        </w:rPr>
        <w:t>On November 4, 2021, the Company announced that David Schlanger will transition to the role of Executive Chairman, effective as of January 1, 2022, and will continue to serve as a director. In connection with this transition, the Company entered into an amended and restated employment agreement with Mr. Schlanger, effective as of January 1, 2022. Pursuant to this agreement, Mr. Schlanger received an equity award for fiscal year 2022 comprised of 333,000 non-qualified stock options and 84,000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83,000 shares that are eligible to be earned based on the achievement of specified revenue targets.</w:t>
      </w:r>
    </w:p>
    <w:p>
      <w:pPr>
        <w:spacing w:after="0" w:line="165" w:lineRule="exact"/>
        <w:rPr>
          <w:sz w:val="20"/>
          <w:szCs w:val="20"/>
          <w:color w:val="auto"/>
        </w:rPr>
      </w:pPr>
    </w:p>
    <w:p>
      <w:pPr>
        <w:ind w:left="60" w:right="79" w:firstLine="648"/>
        <w:spacing w:after="0" w:line="271" w:lineRule="auto"/>
        <w:rPr>
          <w:sz w:val="20"/>
          <w:szCs w:val="20"/>
          <w:color w:val="auto"/>
        </w:rPr>
      </w:pPr>
      <w:r>
        <w:rPr>
          <w:rFonts w:ascii="Arial" w:cs="Arial" w:eastAsia="Arial" w:hAnsi="Arial"/>
          <w:sz w:val="17"/>
          <w:szCs w:val="17"/>
          <w:color w:val="auto"/>
        </w:rPr>
        <w:t>Peter Anevski, who served as President and Chief Operating Officer, succeeded Mr. Schlanger as Chief Executive Officer, effective as of January 1, 2022. In connection with this transition, the Company entered into an amended and restated employment agreement with Mr. Anevski, effective as of January 1, 2022. Pursuant to this agreement, Mr. Anevski received an equity award for fiscal year 2022 comprised of 1,000,000 non-qualified stock options and 250,000 restricted stock units, in each case vesting as to 25% on the first anniversary of the vesting commencement date with the remaining 75% of such award vesting in equal quarterly installments thereafter over the next three years, as well as a performance stock unit award with respect to a maximum number of 250,000 shares that are eligible to be earned based on the achievement of specified revenue targets.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 Stock Purchase Plan</w:t>
      </w:r>
    </w:p>
    <w:p>
      <w:pPr>
        <w:spacing w:after="0" w:line="229" w:lineRule="exact"/>
        <w:rPr>
          <w:sz w:val="20"/>
          <w:szCs w:val="20"/>
          <w:color w:val="auto"/>
        </w:rPr>
      </w:pPr>
    </w:p>
    <w:p>
      <w:pPr>
        <w:jc w:val="both"/>
        <w:ind w:left="60" w:right="239" w:firstLine="648"/>
        <w:spacing w:after="0" w:line="311" w:lineRule="auto"/>
        <w:rPr>
          <w:sz w:val="20"/>
          <w:szCs w:val="20"/>
          <w:color w:val="auto"/>
        </w:rPr>
      </w:pPr>
      <w:r>
        <w:rPr>
          <w:rFonts w:ascii="Arial" w:cs="Arial" w:eastAsia="Arial" w:hAnsi="Arial"/>
          <w:sz w:val="16"/>
          <w:szCs w:val="16"/>
          <w:color w:val="auto"/>
        </w:rPr>
        <w:t>In October 2019, the Board of Directors and stockholders also adopted and approved the 2019 Employee Stock Purchase Plan (the “ESPP”). Following the IPO, the ESPP authorized the issuance of 1,700,000 shares of common stock to purchase rights granted to the Company’s employees or to employees of the Company’s designated affiliates. As of</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4" w:name="page95"/>
    <w:bookmarkEnd w:id="9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79"/>
        <w:spacing w:after="0" w:line="263" w:lineRule="auto"/>
        <w:rPr>
          <w:sz w:val="20"/>
          <w:szCs w:val="20"/>
          <w:color w:val="auto"/>
        </w:rPr>
      </w:pPr>
      <w:r>
        <w:rPr>
          <w:rFonts w:ascii="Arial" w:cs="Arial" w:eastAsia="Arial" w:hAnsi="Arial"/>
          <w:sz w:val="18"/>
          <w:szCs w:val="18"/>
          <w:color w:val="auto"/>
        </w:rPr>
        <w:t>December 31, 2021, 1,560,693 shares of common stock remained available to be issued under the ESPP. The following table summarizes the purchases that were made for each purchase period of the ESPP through December 31, 2021 (in thousands, except for share amounts):</w:t>
      </w:r>
    </w:p>
    <w:p>
      <w:pPr>
        <w:spacing w:after="0" w:line="25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020" w:type="dxa"/>
            <w:vAlign w:val="bottom"/>
            <w:gridSpan w:val="2"/>
          </w:tcPr>
          <w:p>
            <w:pPr>
              <w:ind w:left="1860"/>
              <w:spacing w:after="0"/>
              <w:rPr>
                <w:sz w:val="20"/>
                <w:szCs w:val="20"/>
                <w:color w:val="auto"/>
              </w:rPr>
            </w:pPr>
            <w:r>
              <w:rPr>
                <w:rFonts w:ascii="Arial" w:cs="Arial" w:eastAsia="Arial" w:hAnsi="Arial"/>
                <w:sz w:val="14"/>
                <w:szCs w:val="14"/>
                <w:b w:val="1"/>
                <w:bCs w:val="1"/>
                <w:color w:val="auto"/>
              </w:rPr>
              <w:t>Purchase Period</w:t>
            </w:r>
          </w:p>
        </w:tc>
        <w:tc>
          <w:tcPr>
            <w:tcW w:w="180" w:type="dxa"/>
            <w:vAlign w:val="bottom"/>
          </w:tcPr>
          <w:p>
            <w:pPr>
              <w:spacing w:after="0"/>
              <w:rPr>
                <w:sz w:val="14"/>
                <w:szCs w:val="14"/>
                <w:color w:val="auto"/>
              </w:rPr>
            </w:pPr>
          </w:p>
        </w:tc>
        <w:tc>
          <w:tcPr>
            <w:tcW w:w="2200" w:type="dxa"/>
            <w:vAlign w:val="bottom"/>
            <w:gridSpan w:val="2"/>
          </w:tcPr>
          <w:p>
            <w:pPr>
              <w:ind w:left="100"/>
              <w:spacing w:after="0"/>
              <w:rPr>
                <w:sz w:val="20"/>
                <w:szCs w:val="20"/>
                <w:color w:val="auto"/>
              </w:rPr>
            </w:pPr>
            <w:r>
              <w:rPr>
                <w:rFonts w:ascii="Arial" w:cs="Arial" w:eastAsia="Arial" w:hAnsi="Arial"/>
                <w:sz w:val="14"/>
                <w:szCs w:val="14"/>
                <w:b w:val="1"/>
                <w:bCs w:val="1"/>
                <w:color w:val="auto"/>
              </w:rPr>
              <w:t>Proceeds used for purchase</w:t>
            </w:r>
          </w:p>
        </w:tc>
        <w:tc>
          <w:tcPr>
            <w:tcW w:w="1500" w:type="dxa"/>
            <w:vAlign w:val="bottom"/>
          </w:tcPr>
          <w:p>
            <w:pPr>
              <w:jc w:val="right"/>
              <w:ind w:right="115"/>
              <w:spacing w:after="0"/>
              <w:rPr>
                <w:sz w:val="20"/>
                <w:szCs w:val="20"/>
                <w:color w:val="auto"/>
              </w:rPr>
            </w:pPr>
            <w:r>
              <w:rPr>
                <w:rFonts w:ascii="Arial" w:cs="Arial" w:eastAsia="Arial" w:hAnsi="Arial"/>
                <w:sz w:val="14"/>
                <w:szCs w:val="14"/>
                <w:b w:val="1"/>
                <w:bCs w:val="1"/>
                <w:color w:val="auto"/>
              </w:rPr>
              <w:t>Shares purchased</w:t>
            </w:r>
          </w:p>
        </w:tc>
      </w:tr>
      <w:tr>
        <w:trPr>
          <w:trHeight w:val="209"/>
        </w:trPr>
        <w:tc>
          <w:tcPr>
            <w:tcW w:w="4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October 25, 2019 to July 31, 2020</w:t>
            </w:r>
          </w:p>
        </w:tc>
        <w:tc>
          <w:tcPr>
            <w:tcW w:w="3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2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103,677</w:t>
            </w:r>
          </w:p>
        </w:tc>
      </w:tr>
      <w:tr>
        <w:trPr>
          <w:trHeight w:val="216"/>
        </w:trPr>
        <w:tc>
          <w:tcPr>
            <w:tcW w:w="5020" w:type="dxa"/>
            <w:vAlign w:val="bottom"/>
            <w:gridSpan w:val="2"/>
          </w:tcPr>
          <w:p>
            <w:pPr>
              <w:ind w:left="20"/>
              <w:spacing w:after="0"/>
              <w:rPr>
                <w:sz w:val="20"/>
                <w:szCs w:val="20"/>
                <w:color w:val="auto"/>
              </w:rPr>
            </w:pPr>
            <w:r>
              <w:rPr>
                <w:rFonts w:ascii="Arial" w:cs="Arial" w:eastAsia="Arial" w:hAnsi="Arial"/>
                <w:sz w:val="18"/>
                <w:szCs w:val="18"/>
                <w:color w:val="auto"/>
              </w:rPr>
              <w:t>August 1, 2020 to January 31, 2021</w:t>
            </w:r>
          </w:p>
        </w:tc>
        <w:tc>
          <w:tcPr>
            <w:tcW w:w="18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Arial" w:cs="Arial" w:eastAsia="Arial" w:hAnsi="Arial"/>
                <w:sz w:val="18"/>
                <w:szCs w:val="18"/>
                <w:color w:val="auto"/>
              </w:rPr>
              <w:t>481</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21,125</w:t>
            </w:r>
          </w:p>
        </w:tc>
      </w:tr>
      <w:tr>
        <w:trPr>
          <w:trHeight w:val="216"/>
        </w:trPr>
        <w:tc>
          <w:tcPr>
            <w:tcW w:w="5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February 1, 2021 to July 31, 2021</w:t>
            </w:r>
          </w:p>
        </w:tc>
        <w:tc>
          <w:tcPr>
            <w:tcW w:w="180" w:type="dxa"/>
            <w:vAlign w:val="bottom"/>
            <w:shd w:val="clear" w:color="auto" w:fill="CCEEFF"/>
          </w:tcPr>
          <w:p>
            <w:pPr>
              <w:spacing w:after="0"/>
              <w:rPr>
                <w:sz w:val="18"/>
                <w:szCs w:val="18"/>
                <w:color w:val="auto"/>
              </w:rPr>
            </w:pP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14,505</w:t>
            </w: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next purchase period commenced on August 1, 2021 and ended on January 31, 2022.</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Stock-Based Compensation Expense</w:t>
      </w:r>
    </w:p>
    <w:p>
      <w:pPr>
        <w:spacing w:after="0" w:line="229"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The following table summarizes stock-based compensation expense for employees, which was included in the statements of operations and comprehensive loss as follows (in thousands):</w:t>
      </w:r>
    </w:p>
    <w:p>
      <w:pPr>
        <w:spacing w:after="0" w:line="175" w:lineRule="exact"/>
        <w:rPr>
          <w:sz w:val="20"/>
          <w:szCs w:val="20"/>
          <w:color w:val="auto"/>
        </w:rPr>
      </w:pPr>
    </w:p>
    <w:p>
      <w:pPr>
        <w:ind w:left="6120"/>
        <w:spacing w:after="0"/>
        <w:rPr>
          <w:sz w:val="20"/>
          <w:szCs w:val="20"/>
          <w:color w:val="auto"/>
        </w:rPr>
      </w:pPr>
      <w:r>
        <w:rPr>
          <w:rFonts w:ascii="Arial" w:cs="Arial" w:eastAsia="Arial" w:hAnsi="Arial"/>
          <w:sz w:val="14"/>
          <w:szCs w:val="14"/>
          <w:b w:val="1"/>
          <w:bCs w:val="1"/>
          <w:color w:val="auto"/>
        </w:rPr>
        <w:t>Year Ended</w:t>
      </w:r>
    </w:p>
    <w:p>
      <w:pPr>
        <w:ind w:left="608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4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34"/>
              <w:spacing w:after="0" w:line="142"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4"/>
              <w:spacing w:after="0" w:line="142" w:lineRule="exact"/>
              <w:rPr>
                <w:sz w:val="20"/>
                <w:szCs w:val="20"/>
                <w:color w:val="auto"/>
              </w:rPr>
            </w:pPr>
            <w:r>
              <w:rPr>
                <w:rFonts w:ascii="Arial" w:cs="Arial" w:eastAsia="Arial" w:hAnsi="Arial"/>
                <w:sz w:val="14"/>
                <w:szCs w:val="14"/>
                <w:b w:val="1"/>
                <w:bCs w:val="1"/>
                <w:color w:val="auto"/>
              </w:rPr>
              <w:t>2019</w:t>
            </w:r>
          </w:p>
        </w:tc>
      </w:tr>
      <w:tr>
        <w:trPr>
          <w:trHeight w:val="209"/>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Cost of services</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3,056</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w:t>
            </w: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5,462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2,066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900</w:t>
            </w: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19,275</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7,699</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3,624</w:t>
            </w:r>
          </w:p>
        </w:tc>
      </w:tr>
      <w:tr>
        <w:trPr>
          <w:trHeight w:val="209"/>
        </w:trPr>
        <w:tc>
          <w:tcPr>
            <w:tcW w:w="20" w:type="dxa"/>
            <w:vAlign w:val="bottom"/>
          </w:tcPr>
          <w:p>
            <w:pPr>
              <w:spacing w:after="0"/>
              <w:rPr>
                <w:sz w:val="18"/>
                <w:szCs w:val="18"/>
                <w:color w:val="auto"/>
              </w:rPr>
            </w:pPr>
          </w:p>
        </w:tc>
        <w:tc>
          <w:tcPr>
            <w:tcW w:w="3940" w:type="dxa"/>
            <w:vAlign w:val="bottom"/>
          </w:tcPr>
          <w:p>
            <w:pPr>
              <w:ind w:left="100"/>
              <w:spacing w:after="0"/>
              <w:rPr>
                <w:sz w:val="20"/>
                <w:szCs w:val="20"/>
                <w:color w:val="auto"/>
              </w:rPr>
            </w:pPr>
            <w:r>
              <w:rPr>
                <w:rFonts w:ascii="Arial" w:cs="Arial" w:eastAsia="Arial" w:hAnsi="Arial"/>
                <w:sz w:val="18"/>
                <w:szCs w:val="18"/>
                <w:color w:val="auto"/>
              </w:rPr>
              <w:t>Total stock-based compensation expense</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33,706</w:t>
            </w:r>
          </w:p>
        </w:tc>
        <w:tc>
          <w:tcPr>
            <w:tcW w:w="16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12,821</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5,061</w:t>
            </w: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Net Income (Loss) Per Share</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A reconciliation of net income (loss) and the number of shares in the calculation of basic and diluted net income (loss) per share is as follows (in thousands, except share and per share amounts):</w:t>
      </w:r>
    </w:p>
    <w:p>
      <w:pPr>
        <w:spacing w:after="0" w:line="175" w:lineRule="exact"/>
        <w:rPr>
          <w:sz w:val="20"/>
          <w:szCs w:val="20"/>
          <w:color w:val="auto"/>
        </w:rPr>
      </w:pPr>
    </w:p>
    <w:p>
      <w:pPr>
        <w:jc w:val="center"/>
        <w:ind w:left="5560"/>
        <w:spacing w:after="0"/>
        <w:rPr>
          <w:sz w:val="20"/>
          <w:szCs w:val="20"/>
          <w:color w:val="auto"/>
        </w:rPr>
      </w:pPr>
      <w:r>
        <w:rPr>
          <w:rFonts w:ascii="Arial" w:cs="Arial" w:eastAsia="Arial" w:hAnsi="Arial"/>
          <w:sz w:val="14"/>
          <w:szCs w:val="14"/>
          <w:b w:val="1"/>
          <w:bCs w:val="1"/>
          <w:color w:val="auto"/>
        </w:rPr>
        <w:t>Year Ended</w:t>
      </w:r>
    </w:p>
    <w:p>
      <w:pPr>
        <w:jc w:val="center"/>
        <w:ind w:left="5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4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2021</w:t>
            </w:r>
          </w:p>
        </w:tc>
        <w:tc>
          <w:tcPr>
            <w:tcW w:w="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Basic net income (loss) per common share:</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80"/>
              <w:spacing w:after="0" w:line="201" w:lineRule="exact"/>
              <w:rPr>
                <w:sz w:val="20"/>
                <w:szCs w:val="20"/>
                <w:color w:val="auto"/>
              </w:rPr>
            </w:pPr>
            <w:r>
              <w:rPr>
                <w:rFonts w:ascii="Arial" w:cs="Arial" w:eastAsia="Arial" w:hAnsi="Arial"/>
                <w:sz w:val="18"/>
                <w:szCs w:val="18"/>
                <w:color w:val="auto"/>
                <w:w w:val="92"/>
              </w:rPr>
              <w:t>Weighted-average shares used in computing basic net income (loss)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89,105,562</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85,722,670</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20,735,202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Basic net income (loss)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0.54</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net income (loss) per common share:</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Numerator: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Net income (loss)</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65,769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46,459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460" w:type="dxa"/>
            <w:vAlign w:val="bottom"/>
          </w:tcPr>
          <w:p>
            <w:pPr>
              <w:ind w:left="80"/>
              <w:spacing w:after="0" w:line="201" w:lineRule="exact"/>
              <w:rPr>
                <w:sz w:val="20"/>
                <w:szCs w:val="20"/>
                <w:color w:val="auto"/>
              </w:rPr>
            </w:pPr>
            <w:r>
              <w:rPr>
                <w:rFonts w:ascii="Arial" w:cs="Arial" w:eastAsia="Arial" w:hAnsi="Arial"/>
                <w:sz w:val="18"/>
                <w:szCs w:val="18"/>
                <w:color w:val="auto"/>
                <w:w w:val="92"/>
              </w:rPr>
              <w:t>Weighted-average shares used in computing basic net income (loss) per</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Pr>
          <w:p>
            <w:pPr>
              <w:ind w:left="80"/>
              <w:spacing w:after="0"/>
              <w:rPr>
                <w:sz w:val="20"/>
                <w:szCs w:val="20"/>
                <w:color w:val="auto"/>
              </w:rPr>
            </w:pPr>
            <w:r>
              <w:rPr>
                <w:rFonts w:ascii="Arial" w:cs="Arial" w:eastAsia="Arial" w:hAnsi="Arial"/>
                <w:sz w:val="18"/>
                <w:szCs w:val="18"/>
                <w:color w:val="auto"/>
              </w:rPr>
              <w:t>share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89,105,562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85,722,670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20,735,202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80"/>
              <w:spacing w:after="0"/>
              <w:rPr>
                <w:sz w:val="20"/>
                <w:szCs w:val="20"/>
                <w:color w:val="auto"/>
              </w:rPr>
            </w:pPr>
            <w:r>
              <w:rPr>
                <w:rFonts w:ascii="Arial" w:cs="Arial" w:eastAsia="Arial" w:hAnsi="Arial"/>
                <w:sz w:val="18"/>
                <w:szCs w:val="18"/>
                <w:color w:val="auto"/>
              </w:rPr>
              <w:t>Effect of dilutive securities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11,252,485</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13,332,856</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460" w:type="dxa"/>
            <w:vAlign w:val="bottom"/>
          </w:tcPr>
          <w:p>
            <w:pPr>
              <w:ind w:left="80"/>
              <w:spacing w:after="0" w:line="182" w:lineRule="exact"/>
              <w:rPr>
                <w:sz w:val="20"/>
                <w:szCs w:val="20"/>
                <w:color w:val="auto"/>
              </w:rPr>
            </w:pPr>
            <w:r>
              <w:rPr>
                <w:rFonts w:ascii="Arial" w:cs="Arial" w:eastAsia="Arial" w:hAnsi="Arial"/>
                <w:sz w:val="18"/>
                <w:szCs w:val="18"/>
                <w:color w:val="auto"/>
                <w:w w:val="91"/>
              </w:rPr>
              <w:t>Weighted-average shares used in computing diluted net income (loss) per</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6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share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100,358,047</w:t>
            </w: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99,055,526</w:t>
            </w:r>
          </w:p>
        </w:tc>
        <w:tc>
          <w:tcPr>
            <w:tcW w:w="8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20,735,202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Diluted net income (loss) per share</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0.66</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0.47</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5" w:name="page96"/>
    <w:bookmarkEnd w:id="9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19" w:firstLine="648"/>
        <w:spacing w:after="0" w:line="263" w:lineRule="auto"/>
        <w:rPr>
          <w:sz w:val="20"/>
          <w:szCs w:val="20"/>
          <w:color w:val="auto"/>
        </w:rPr>
      </w:pPr>
      <w:r>
        <w:rPr>
          <w:rFonts w:ascii="Arial" w:cs="Arial" w:eastAsia="Arial" w:hAnsi="Arial"/>
          <w:sz w:val="18"/>
          <w:szCs w:val="18"/>
          <w:color w:val="auto"/>
        </w:rPr>
        <w:t>The following weighted-average outstanding shares of potentially dilutive securities were excluded from the computation of diluted net income (loss) per share for the periods presented because including them would have been antidilutive:</w:t>
      </w:r>
    </w:p>
    <w:p>
      <w:pPr>
        <w:spacing w:after="0" w:line="17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Year Ended</w:t>
            </w:r>
          </w:p>
        </w:tc>
        <w:tc>
          <w:tcPr>
            <w:tcW w:w="940" w:type="dxa"/>
            <w:vAlign w:val="bottom"/>
          </w:tcPr>
          <w:p>
            <w:pPr>
              <w:spacing w:after="0"/>
              <w:rPr>
                <w:sz w:val="14"/>
                <w:szCs w:val="14"/>
                <w:color w:val="auto"/>
              </w:rPr>
            </w:pPr>
          </w:p>
        </w:tc>
      </w:tr>
      <w:tr>
        <w:trPr>
          <w:trHeight w:val="171"/>
        </w:trPr>
        <w:tc>
          <w:tcPr>
            <w:tcW w:w="60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2"/>
              </w:rPr>
              <w:t>December 31,</w:t>
            </w:r>
          </w:p>
        </w:tc>
        <w:tc>
          <w:tcPr>
            <w:tcW w:w="940" w:type="dxa"/>
            <w:vAlign w:val="bottom"/>
            <w:tcBorders>
              <w:bottom w:val="single" w:sz="8" w:color="auto"/>
            </w:tcBorders>
          </w:tcPr>
          <w:p>
            <w:pPr>
              <w:spacing w:after="0"/>
              <w:rPr>
                <w:sz w:val="14"/>
                <w:szCs w:val="14"/>
                <w:color w:val="auto"/>
              </w:rPr>
            </w:pPr>
          </w:p>
        </w:tc>
      </w:tr>
      <w:tr>
        <w:trPr>
          <w:trHeight w:val="142"/>
        </w:trPr>
        <w:tc>
          <w:tcPr>
            <w:tcW w:w="6060" w:type="dxa"/>
            <w:vAlign w:val="bottom"/>
          </w:tcPr>
          <w:p>
            <w:pPr>
              <w:spacing w:after="0"/>
              <w:rPr>
                <w:sz w:val="12"/>
                <w:szCs w:val="12"/>
                <w:color w:val="auto"/>
              </w:rPr>
            </w:pPr>
          </w:p>
        </w:tc>
        <w:tc>
          <w:tcPr>
            <w:tcW w:w="840" w:type="dxa"/>
            <w:vAlign w:val="bottom"/>
          </w:tcPr>
          <w:p>
            <w:pPr>
              <w:jc w:val="right"/>
              <w:ind w:right="193"/>
              <w:spacing w:after="0" w:line="142" w:lineRule="exact"/>
              <w:rPr>
                <w:sz w:val="20"/>
                <w:szCs w:val="20"/>
                <w:color w:val="auto"/>
              </w:rPr>
            </w:pPr>
            <w:r>
              <w:rPr>
                <w:rFonts w:ascii="Arial" w:cs="Arial" w:eastAsia="Arial" w:hAnsi="Arial"/>
                <w:sz w:val="14"/>
                <w:szCs w:val="14"/>
                <w:b w:val="1"/>
                <w:bCs w:val="1"/>
                <w:color w:val="auto"/>
              </w:rPr>
              <w:t>2021</w:t>
            </w:r>
          </w:p>
        </w:tc>
        <w:tc>
          <w:tcPr>
            <w:tcW w:w="960" w:type="dxa"/>
            <w:vAlign w:val="bottom"/>
            <w:gridSpan w:val="2"/>
          </w:tcPr>
          <w:p>
            <w:pPr>
              <w:jc w:val="center"/>
              <w:ind w:left="62"/>
              <w:spacing w:after="0" w:line="142" w:lineRule="exact"/>
              <w:rPr>
                <w:sz w:val="20"/>
                <w:szCs w:val="20"/>
                <w:color w:val="auto"/>
              </w:rPr>
            </w:pPr>
            <w:r>
              <w:rPr>
                <w:rFonts w:ascii="Arial" w:cs="Arial" w:eastAsia="Arial" w:hAnsi="Arial"/>
                <w:sz w:val="14"/>
                <w:szCs w:val="14"/>
                <w:b w:val="1"/>
                <w:bCs w:val="1"/>
                <w:color w:val="auto"/>
                <w:w w:val="96"/>
              </w:rPr>
              <w:t>2020</w:t>
            </w:r>
          </w:p>
        </w:tc>
        <w:tc>
          <w:tcPr>
            <w:tcW w:w="100" w:type="dxa"/>
            <w:vAlign w:val="bottom"/>
          </w:tcPr>
          <w:p>
            <w:pPr>
              <w:spacing w:after="0"/>
              <w:rPr>
                <w:sz w:val="12"/>
                <w:szCs w:val="12"/>
                <w:color w:val="auto"/>
              </w:rPr>
            </w:pPr>
          </w:p>
        </w:tc>
        <w:tc>
          <w:tcPr>
            <w:tcW w:w="940" w:type="dxa"/>
            <w:vAlign w:val="bottom"/>
          </w:tcPr>
          <w:p>
            <w:pPr>
              <w:jc w:val="right"/>
              <w:ind w:right="253"/>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6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1,562,029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699,233</w:t>
            </w:r>
          </w:p>
        </w:tc>
        <w:tc>
          <w:tcPr>
            <w:tcW w:w="1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13,610,441</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Shares issuable under ESPP</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70,184</w:t>
            </w: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Warrants to purchase common stock</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122,882</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Restricted stock units</w:t>
            </w:r>
          </w:p>
        </w:tc>
        <w:tc>
          <w:tcPr>
            <w:tcW w:w="840" w:type="dxa"/>
            <w:vAlign w:val="bottom"/>
          </w:tcPr>
          <w:p>
            <w:pPr>
              <w:jc w:val="right"/>
              <w:spacing w:after="0"/>
              <w:rPr>
                <w:sz w:val="20"/>
                <w:szCs w:val="20"/>
                <w:color w:val="auto"/>
              </w:rPr>
            </w:pPr>
            <w:r>
              <w:rPr>
                <w:rFonts w:ascii="Arial" w:cs="Arial" w:eastAsia="Arial" w:hAnsi="Arial"/>
                <w:sz w:val="18"/>
                <w:szCs w:val="18"/>
                <w:color w:val="auto"/>
              </w:rPr>
              <w:t>186,547</w:t>
            </w:r>
          </w:p>
        </w:tc>
        <w:tc>
          <w:tcPr>
            <w:tcW w:w="14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0"/>
        </w:trPr>
        <w:tc>
          <w:tcPr>
            <w:tcW w:w="606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potential dilutive shares</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1,748,576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769,417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13,733,323</w:t>
            </w:r>
          </w:p>
        </w:tc>
      </w:tr>
      <w:tr>
        <w:trPr>
          <w:trHeight w:val="20"/>
        </w:trPr>
        <w:tc>
          <w:tcPr>
            <w:tcW w:w="6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12. 401(k) Plan</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 sponsors a 401(k) defined contribution plan covering all employees and began employer contributions in 2018. The Company incurred expenses of $0.9 million, $0.5 million, and $0.4 million for the years ended December 31, 2021, 2020, and 2019 respectively.</w:t>
      </w: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 tax benefit of $33.3 million and $37.8 million was recorded for the years ended December 31, 2021 and 2020.</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 tax provision of $12,000 was recorded for the year ended December 31, 2019.</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provision/(benefit) from income taxes is composed of the following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0"/>
              </w:rPr>
              <w:t>December 31,</w:t>
            </w:r>
          </w:p>
        </w:tc>
        <w:tc>
          <w:tcPr>
            <w:tcW w:w="2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ind w:left="160"/>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Federal</w:t>
            </w:r>
          </w:p>
        </w:tc>
        <w:tc>
          <w:tcPr>
            <w:tcW w:w="4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12</w:t>
            </w:r>
          </w:p>
        </w:tc>
      </w:tr>
      <w:tr>
        <w:trPr>
          <w:trHeight w:val="209"/>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Total Current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191</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100"/>
              <w:spacing w:after="0"/>
              <w:rPr>
                <w:sz w:val="20"/>
                <w:szCs w:val="20"/>
                <w:color w:val="auto"/>
              </w:rPr>
            </w:pPr>
            <w:r>
              <w:rPr>
                <w:rFonts w:ascii="Arial" w:cs="Arial" w:eastAsia="Arial" w:hAnsi="Arial"/>
                <w:sz w:val="18"/>
                <w:szCs w:val="18"/>
                <w:color w:val="auto"/>
              </w:rPr>
              <w:t>Federal</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(25,154)</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(28,852)</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ind w:left="58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State</w:t>
            </w: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(8,149)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(9,119)</w:t>
            </w:r>
          </w:p>
        </w:tc>
        <w:tc>
          <w:tcPr>
            <w:tcW w:w="2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r>
      <w:tr>
        <w:trPr>
          <w:trHeight w:val="209"/>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Total Deferred</w:t>
            </w:r>
          </w:p>
        </w:tc>
        <w:tc>
          <w:tcPr>
            <w:tcW w:w="2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(33,303)</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(37,971)</w:t>
            </w:r>
          </w:p>
        </w:tc>
        <w:tc>
          <w:tcPr>
            <w:tcW w:w="2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w:t>
            </w: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7"/>
              </w:rPr>
              <w:t>Total provision/(benefit) from income taxes</w:t>
            </w:r>
          </w:p>
        </w:tc>
        <w:tc>
          <w:tcPr>
            <w:tcW w:w="2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(33,334)</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(37,780)</w:t>
            </w:r>
          </w:p>
        </w:tc>
        <w:tc>
          <w:tcPr>
            <w:tcW w:w="2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12</w:t>
            </w: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U.S. federal statutory income tax rate to the Company’s effective tax rate is as follows: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4"/>
                <w:szCs w:val="14"/>
                <w:b w:val="1"/>
                <w:bCs w:val="1"/>
                <w:color w:val="auto"/>
                <w:w w:val="98"/>
              </w:rPr>
              <w:t>December 31,</w:t>
            </w:r>
          </w:p>
        </w:tc>
        <w:tc>
          <w:tcPr>
            <w:tcW w:w="8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40" w:type="dxa"/>
            <w:vAlign w:val="bottom"/>
            <w:tcBorders>
              <w:bottom w:val="single" w:sz="8" w:color="CCEEFF"/>
            </w:tcBorders>
          </w:tcPr>
          <w:p>
            <w:pPr>
              <w:spacing w:after="0"/>
              <w:rPr>
                <w:sz w:val="12"/>
                <w:szCs w:val="12"/>
                <w:color w:val="auto"/>
              </w:rPr>
            </w:pPr>
          </w:p>
        </w:tc>
        <w:tc>
          <w:tcPr>
            <w:tcW w:w="84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2020</w:t>
            </w:r>
          </w:p>
        </w:tc>
        <w:tc>
          <w:tcPr>
            <w:tcW w:w="320" w:type="dxa"/>
            <w:vAlign w:val="bottom"/>
            <w:tcBorders>
              <w:bottom w:val="single" w:sz="8" w:color="CCEEFF"/>
            </w:tcBorders>
          </w:tcPr>
          <w:p>
            <w:pPr>
              <w:spacing w:after="0"/>
              <w:rPr>
                <w:sz w:val="12"/>
                <w:szCs w:val="12"/>
                <w:color w:val="auto"/>
              </w:rPr>
            </w:pPr>
          </w:p>
        </w:tc>
        <w:tc>
          <w:tcPr>
            <w:tcW w:w="860" w:type="dxa"/>
            <w:vAlign w:val="bottom"/>
            <w:tcBorders>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Income tax provision at statutory rate</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State income taxes, net of federal benefit</w:t>
            </w:r>
          </w:p>
        </w:tc>
        <w:tc>
          <w:tcPr>
            <w:tcW w:w="840" w:type="dxa"/>
            <w:vAlign w:val="bottom"/>
          </w:tcPr>
          <w:p>
            <w:pPr>
              <w:jc w:val="right"/>
              <w:spacing w:after="0"/>
              <w:rPr>
                <w:sz w:val="20"/>
                <w:szCs w:val="20"/>
                <w:color w:val="auto"/>
              </w:rPr>
            </w:pPr>
            <w:r>
              <w:rPr>
                <w:rFonts w:ascii="Arial" w:cs="Arial" w:eastAsia="Arial" w:hAnsi="Arial"/>
                <w:sz w:val="18"/>
                <w:szCs w:val="18"/>
                <w:color w:val="auto"/>
              </w:rPr>
              <w:t>(25)</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(38)</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Warrant valuation</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1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w:t>
            </w: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1160" w:type="dxa"/>
            <w:vAlign w:val="bottom"/>
            <w:gridSpan w:val="2"/>
          </w:tcPr>
          <w:p>
            <w:pPr>
              <w:jc w:val="right"/>
              <w:ind w:right="29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w:t>
            </w:r>
          </w:p>
        </w:tc>
        <w:tc>
          <w:tcPr>
            <w:tcW w:w="160" w:type="dxa"/>
            <w:vAlign w:val="bottom"/>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w:t>
            </w:r>
          </w:p>
        </w:tc>
        <w:tc>
          <w:tcPr>
            <w:tcW w:w="320" w:type="dxa"/>
            <w:vAlign w:val="bottom"/>
            <w:tcBorders>
              <w:top w:val="single" w:sz="8" w:color="CCEEFF"/>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The Company’s effective tax rate for the years ended December 31, 2021, 2020, and 2019 was (103%), (436%), and 0%, respectively. For the year ended December 31, 2021, the effective tax rate differs from the U.S. federal statutory</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6" w:name="page97"/>
    <w:bookmarkEnd w:id="9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275" w:lineRule="auto"/>
        <w:rPr>
          <w:sz w:val="20"/>
          <w:szCs w:val="20"/>
          <w:color w:val="auto"/>
        </w:rPr>
      </w:pPr>
      <w:r>
        <w:rPr>
          <w:rFonts w:ascii="Arial" w:cs="Arial" w:eastAsia="Arial" w:hAnsi="Arial"/>
          <w:sz w:val="17"/>
          <w:szCs w:val="17"/>
          <w:color w:val="auto"/>
        </w:rPr>
        <w:t>rate primarily due to permanent tax adjustments, including windfalls upon the exercise of stock options and vesting of RSUs. For the year ended December 31, 2020, the effective tax rate differs from the U.S. federal statutory rate primarily due to the release of the valuation allowance in this period, in addition to permanent tax adjustments, including windfalls upon the exercise of options and vesting of RSUs. For the year ended December 31, 2019, the effective tax rate differs from the U.S. federal statutory rate due to the increase in valuation allowance.</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Deferred Tax Balances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components of the Company’s net deferred tax assets and liabilities are as follows (in thousands):</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3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56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3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700" w:type="dxa"/>
            <w:vAlign w:val="bottom"/>
          </w:tcPr>
          <w:p>
            <w:pPr>
              <w:jc w:val="right"/>
              <w:ind w:right="115"/>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700" w:type="dxa"/>
            <w:vAlign w:val="bottom"/>
            <w:gridSpan w:val="2"/>
          </w:tcPr>
          <w:p>
            <w:pPr>
              <w:jc w:val="right"/>
              <w:ind w:right="110"/>
              <w:spacing w:after="0" w:line="142"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Net operating loss carryforwards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$ 55,180</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w w:val="88"/>
              </w:rPr>
              <w:t>$ 29,291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line="207" w:lineRule="exact"/>
              <w:rPr>
                <w:sz w:val="20"/>
                <w:szCs w:val="20"/>
                <w:color w:val="auto"/>
              </w:rPr>
            </w:pPr>
            <w:r>
              <w:rPr>
                <w:rFonts w:ascii="Arial" w:cs="Arial" w:eastAsia="Arial" w:hAnsi="Arial"/>
                <w:sz w:val="18"/>
                <w:szCs w:val="18"/>
                <w:color w:val="auto"/>
              </w:rPr>
              <w:t>Capitalized start</w:t>
            </w:r>
            <w:r>
              <w:rPr>
                <w:rFonts w:ascii="MS PGothic" w:cs="MS PGothic" w:eastAsia="MS PGothic" w:hAnsi="MS PGothic"/>
                <w:sz w:val="18"/>
                <w:szCs w:val="18"/>
                <w:color w:val="auto"/>
              </w:rPr>
              <w:t>‑</w:t>
            </w:r>
            <w:r>
              <w:rPr>
                <w:rFonts w:ascii="Arial" w:cs="Arial" w:eastAsia="Arial" w:hAnsi="Arial"/>
                <w:sz w:val="18"/>
                <w:szCs w:val="18"/>
                <w:color w:val="auto"/>
              </w:rPr>
              <w:t>up costs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Research and development credits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Stock-based compensation</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9,133</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Accruals and reserves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5,916</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Operating lease liabilities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2,297</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Property and equipment</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164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Intangibles</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Indirect tax</w:t>
            </w:r>
          </w:p>
        </w:tc>
        <w:tc>
          <w:tcPr>
            <w:tcW w:w="1160" w:type="dxa"/>
            <w:vAlign w:val="bottom"/>
          </w:tcPr>
          <w:p>
            <w:pPr>
              <w:spacing w:after="0"/>
              <w:rPr>
                <w:sz w:val="18"/>
                <w:szCs w:val="18"/>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assets</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74,151</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Valuation allowance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(224)</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 after valuation allowance</w:t>
            </w:r>
          </w:p>
        </w:tc>
        <w:tc>
          <w:tcPr>
            <w:tcW w:w="116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$ 73,927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$ 40,610</w:t>
            </w:r>
          </w:p>
        </w:tc>
        <w:tc>
          <w:tcPr>
            <w:tcW w:w="0" w:type="dxa"/>
            <w:vAlign w:val="bottom"/>
          </w:tcPr>
          <w:p>
            <w:pPr>
              <w:spacing w:after="0"/>
              <w:rPr>
                <w:sz w:val="1"/>
                <w:szCs w:val="1"/>
                <w:color w:val="auto"/>
              </w:rPr>
            </w:pPr>
          </w:p>
        </w:tc>
      </w:tr>
      <w:tr>
        <w:trPr>
          <w:trHeight w:val="20"/>
        </w:trPr>
        <w:tc>
          <w:tcPr>
            <w:tcW w:w="4400" w:type="dxa"/>
            <w:vAlign w:val="bottom"/>
            <w:gridSpan w:val="2"/>
            <w:vMerge w:val="restart"/>
          </w:tcPr>
          <w:p>
            <w:pPr>
              <w:spacing w:after="0"/>
              <w:rPr>
                <w:sz w:val="20"/>
                <w:szCs w:val="20"/>
                <w:color w:val="auto"/>
              </w:rPr>
            </w:pPr>
            <w:r>
              <w:rPr>
                <w:rFonts w:ascii="Arial" w:cs="Arial" w:eastAsia="Arial" w:hAnsi="Arial"/>
                <w:sz w:val="18"/>
                <w:szCs w:val="18"/>
                <w:color w:val="auto"/>
              </w:rPr>
              <w:t>Deferred tax liabilities:</w:t>
            </w:r>
          </w:p>
        </w:tc>
        <w:tc>
          <w:tcPr>
            <w:tcW w:w="1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Goodwill</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00"/>
              <w:spacing w:after="0"/>
              <w:rPr>
                <w:sz w:val="20"/>
                <w:szCs w:val="20"/>
                <w:color w:val="auto"/>
              </w:rPr>
            </w:pPr>
            <w:r>
              <w:rPr>
                <w:rFonts w:ascii="Arial" w:cs="Arial" w:eastAsia="Arial" w:hAnsi="Arial"/>
                <w:sz w:val="18"/>
                <w:szCs w:val="18"/>
                <w:color w:val="auto"/>
              </w:rPr>
              <w:t>Operating lease right-of-use assets</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(2,072)</w:t>
            </w:r>
          </w:p>
        </w:tc>
        <w:tc>
          <w:tcPr>
            <w:tcW w:w="16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(2,247)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deferred tax liabilities</w:t>
            </w:r>
          </w:p>
        </w:tc>
        <w:tc>
          <w:tcPr>
            <w:tcW w:w="1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(2,653)</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09"/>
        </w:trPr>
        <w:tc>
          <w:tcPr>
            <w:tcW w:w="4400" w:type="dxa"/>
            <w:vAlign w:val="bottom"/>
            <w:gridSpan w:val="2"/>
          </w:tcPr>
          <w:p>
            <w:pPr>
              <w:spacing w:after="0"/>
              <w:rPr>
                <w:sz w:val="20"/>
                <w:szCs w:val="20"/>
                <w:color w:val="auto"/>
              </w:rPr>
            </w:pPr>
            <w:r>
              <w:rPr>
                <w:rFonts w:ascii="Arial" w:cs="Arial" w:eastAsia="Arial" w:hAnsi="Arial"/>
                <w:sz w:val="18"/>
                <w:szCs w:val="18"/>
                <w:color w:val="auto"/>
              </w:rPr>
              <w:t>Net deferred tax assets</w:t>
            </w:r>
          </w:p>
        </w:tc>
        <w:tc>
          <w:tcPr>
            <w:tcW w:w="1160" w:type="dxa"/>
            <w:vAlign w:val="bottom"/>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$ 71,274</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$ 37,971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119" w:firstLine="648"/>
        <w:spacing w:after="0" w:line="288" w:lineRule="auto"/>
        <w:rPr>
          <w:sz w:val="20"/>
          <w:szCs w:val="20"/>
          <w:color w:val="auto"/>
        </w:rPr>
      </w:pPr>
      <w:r>
        <w:rPr>
          <w:rFonts w:ascii="Arial" w:cs="Arial" w:eastAsia="Arial" w:hAnsi="Arial"/>
          <w:sz w:val="16"/>
          <w:szCs w:val="16"/>
          <w:color w:val="auto"/>
        </w:rPr>
        <w:t>Assessing the realizability of deferred tax assets requires the determination of whether it is more-likely-than-not that some portion or all the deferred tax assets will not be realized. In assessing the need for a valuation allowance, the Company considers all available positive and negative evidence, including future reversals of existing taxable temporary differences, projected future taxable income, loss carryback and tax-planning strategies. Generally, more weight is given to objectively verifiable evidence, such as the cumulative loss in recent years, as a significant piece of negative evidence to overcome. As of December 31, 2020, the Company achieved three years of cumulative income, along with projections of profitability, for which management determined that there is sufficient positive evidence to conclude that it is more likely than not that substantially all of the deferred tax assets will be realized. As such, $28.5 million of the valuation allowance had been released. Management continues to maintain this position as of December 31, 2021. During the year ended December 31, 2021, the net change in the valuation allowance was not significant.</w:t>
      </w:r>
    </w:p>
    <w:p>
      <w:pPr>
        <w:spacing w:after="0" w:line="16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color w:val="auto"/>
        </w:rPr>
        <w:t>As of December 31, 2021, the Company has net operating loss carryforwards for federal and state income tax purposes of approximately $86.2 million and $167.8 million, respectively, which expire beginning in the year 2027. In addition to the above federal net operating losses, the Company has net operating losses of $112.7 million with an indefinite carryforward period. There are certain state net operating losses that follow the federal carryforward period and are indefinite in nature. The federal and California research and development tax credits are approximately $0.7 million and $0.8 million, respectively. The federal research credits will begin to expire in 2030 and the California research and development credits have no expiration date. Utilization of the net operating loss carryforwards and credits may be subject to a substantial annual limitation due to ownership changes that may occur, as provided by Section 382 of the Internal Revenue Code of 1986, as well as similar state provisions. Such annual limitation could result in the expiration of net operating losses and credits before their utilization.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7" w:name="page98"/>
    <w:bookmarkEnd w:id="9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Unrecognized Tax Benefits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beginning and ending amount of unrecognized tax benefits is as follows (in thousands):</w:t>
      </w:r>
    </w:p>
    <w:p>
      <w:pPr>
        <w:spacing w:after="0" w:line="242"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4"/>
              </w:rPr>
              <w:t>December 31,</w:t>
            </w: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98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6"/>
              </w:rPr>
              <w:t>2021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rPr>
              <w:t>2019</w:t>
            </w:r>
          </w:p>
        </w:tc>
      </w:tr>
      <w:tr>
        <w:trPr>
          <w:trHeight w:val="210"/>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Balance at the beginning of the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w w:val="98"/>
              </w:rPr>
              <w:t>Reductions based upon tax positions related to the current year</w:t>
            </w: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9"/>
        </w:trPr>
        <w:tc>
          <w:tcPr>
            <w:tcW w:w="20" w:type="dxa"/>
            <w:vAlign w:val="bottom"/>
          </w:tcPr>
          <w:p>
            <w:pPr>
              <w:spacing w:after="0"/>
              <w:rPr>
                <w:sz w:val="18"/>
                <w:szCs w:val="18"/>
                <w:color w:val="auto"/>
              </w:rPr>
            </w:pPr>
          </w:p>
        </w:tc>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the end of the year</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w:t>
            </w: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0" w:right="259" w:firstLine="648"/>
        <w:spacing w:after="0" w:line="342" w:lineRule="auto"/>
        <w:rPr>
          <w:sz w:val="20"/>
          <w:szCs w:val="20"/>
          <w:color w:val="auto"/>
        </w:rPr>
      </w:pPr>
      <w:r>
        <w:rPr>
          <w:rFonts w:ascii="Arial" w:cs="Arial" w:eastAsia="Arial" w:hAnsi="Arial"/>
          <w:sz w:val="16"/>
          <w:szCs w:val="16"/>
          <w:color w:val="auto"/>
        </w:rPr>
        <w:t>In order for these unrecognized tax benefits to be realized, the net operating loss carryforwards must be utilized first. The Company does not anticipate any material change in its unrecognized tax benefits over the next twelve months.</w:t>
      </w:r>
    </w:p>
    <w:p>
      <w:pPr>
        <w:spacing w:after="0" w:line="124" w:lineRule="exact"/>
        <w:rPr>
          <w:sz w:val="20"/>
          <w:szCs w:val="20"/>
          <w:color w:val="auto"/>
        </w:rPr>
      </w:pPr>
    </w:p>
    <w:p>
      <w:pPr>
        <w:ind w:left="60" w:right="399" w:firstLine="648"/>
        <w:spacing w:after="0" w:line="342" w:lineRule="auto"/>
        <w:rPr>
          <w:sz w:val="20"/>
          <w:szCs w:val="20"/>
          <w:color w:val="auto"/>
        </w:rPr>
      </w:pPr>
      <w:r>
        <w:rPr>
          <w:rFonts w:ascii="Arial" w:cs="Arial" w:eastAsia="Arial" w:hAnsi="Arial"/>
          <w:sz w:val="16"/>
          <w:szCs w:val="16"/>
          <w:color w:val="auto"/>
        </w:rPr>
        <w:t>The Company files U.S. federal and state income tax returns with varying statutes of limitations. All tax years since inception remain open to examination due to the carryover of unused net operating losses and tax credits.</w:t>
      </w:r>
    </w:p>
    <w:p>
      <w:pPr>
        <w:spacing w:after="0" w:line="147" w:lineRule="exact"/>
        <w:rPr>
          <w:sz w:val="20"/>
          <w:szCs w:val="20"/>
          <w:color w:val="auto"/>
        </w:rPr>
      </w:pPr>
    </w:p>
    <w:p>
      <w:pPr>
        <w:ind w:left="60" w:right="6159" w:hanging="10"/>
        <w:spacing w:after="0" w:line="566" w:lineRule="auto"/>
        <w:tabs>
          <w:tab w:leader="none" w:pos="330" w:val="left"/>
        </w:tabs>
        <w:numPr>
          <w:ilvl w:val="0"/>
          <w:numId w:val="42"/>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Arbitration/Litigation</w:t>
      </w:r>
    </w:p>
    <w:p>
      <w:pPr>
        <w:ind w:left="60" w:right="139" w:firstLine="648"/>
        <w:spacing w:after="0" w:line="287" w:lineRule="auto"/>
        <w:rPr>
          <w:sz w:val="20"/>
          <w:szCs w:val="20"/>
          <w:color w:val="auto"/>
        </w:rPr>
      </w:pPr>
      <w:r>
        <w:rPr>
          <w:rFonts w:ascii="Arial" w:cs="Arial" w:eastAsia="Arial" w:hAnsi="Arial"/>
          <w:sz w:val="16"/>
          <w:szCs w:val="16"/>
          <w:color w:val="auto"/>
        </w:rPr>
        <w:t>On January 14, 2019, a vendor filed a Demand for Arbitration and Statement of Claim against the Company (“Demand”) for alleged breach of the November 10, 2017 Preferred Specialty Pharmacy Agreement (“Agreement”) between the Company and the vendor. On March 13, 2019, the Company terminated the Agreement for material breach with the vendor. On April 3, 2019, the vendor filed a Second Amended Demand for Arbitration (“SAD”) for breach of the Agreement. The vendor was seeking $25.0 million in damages, fees, interest and cost. Pursuant to a schedule set forth by the Arbitration Panel, on May 3, 2019, the Company filed a Motion to Dismiss the SAD. That Motion was fully briefed on June 14, 2019 and was decided on July 31, 2019. The Arbitration Panel dismissed two of the vendor’s four claims. The Arbitration Panel held additional hearings for the two remaining claims between August 17, 2020 and August 26, 2020. Final arguments were held on October 20, 2020. Based on a willingness to expeditiously resolve the matter, the parties proposed settlement to the panel on November 16, 2020. In December 2020, the Company finalized and settled the arbitration for $5.75 million without admission of liability to avoid further legal costs.</w:t>
      </w:r>
    </w:p>
    <w:p>
      <w:pPr>
        <w:spacing w:after="0" w:line="172" w:lineRule="exact"/>
        <w:rPr>
          <w:sz w:val="20"/>
          <w:szCs w:val="20"/>
          <w:color w:val="auto"/>
        </w:rPr>
      </w:pPr>
    </w:p>
    <w:p>
      <w:pPr>
        <w:ind w:left="60" w:right="479" w:firstLine="648"/>
        <w:spacing w:after="0" w:line="308" w:lineRule="auto"/>
        <w:rPr>
          <w:sz w:val="20"/>
          <w:szCs w:val="20"/>
          <w:color w:val="auto"/>
        </w:rPr>
      </w:pPr>
      <w:r>
        <w:rPr>
          <w:rFonts w:ascii="Arial" w:cs="Arial" w:eastAsia="Arial" w:hAnsi="Arial"/>
          <w:sz w:val="17"/>
          <w:szCs w:val="17"/>
          <w:color w:val="auto"/>
        </w:rPr>
        <w:t>The Company believes there is no other litigation pending that could have, individually or in the aggregate, a material adverse effect on the Company’s financial position, results of operations, or cash flows.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Indemnifications</w:t>
      </w:r>
    </w:p>
    <w:p>
      <w:pPr>
        <w:spacing w:after="0" w:line="229" w:lineRule="exact"/>
        <w:rPr>
          <w:sz w:val="20"/>
          <w:szCs w:val="20"/>
          <w:color w:val="auto"/>
        </w:rPr>
      </w:pPr>
    </w:p>
    <w:p>
      <w:pPr>
        <w:ind w:left="60" w:right="79" w:firstLine="648"/>
        <w:spacing w:after="0" w:line="270" w:lineRule="auto"/>
        <w:rPr>
          <w:sz w:val="20"/>
          <w:szCs w:val="20"/>
          <w:color w:val="auto"/>
        </w:rPr>
      </w:pPr>
      <w:r>
        <w:rPr>
          <w:rFonts w:ascii="Arial" w:cs="Arial" w:eastAsia="Arial" w:hAnsi="Arial"/>
          <w:sz w:val="17"/>
          <w:szCs w:val="17"/>
          <w:color w:val="auto"/>
        </w:rPr>
        <w:t>The Company indemnifies each of its officers and directors for certain events or occurrences, subject to certain limits, while the officer or director is or was serving at the Company’s request in such capacity, as permitted under Delaware law and in accordance with its certificate of incorporation and bylaws. The term of the indemnification period lasts as long as an officer or a director may be subject to any proceeding arising out of acts or omissions of such officer or director in such capacity. The maximum amount of potential future indemnification is unlimited; however, the Company currently holds director and officer liability insurance. This insurance allows the transfer of risk associated with the Company’s exposure and may enable it to recover a portion of any future amounts paid. The Company believes that the fair value of these indemnification obligations is minimal. Accordingly, it has not recognized any liabilities relating to these obligations for any period presented.</w:t>
      </w:r>
    </w:p>
    <w:p>
      <w:pPr>
        <w:spacing w:after="0" w:line="20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Unaudited Quarterly Results of Operations Data</w:t>
      </w:r>
    </w:p>
    <w:p>
      <w:pPr>
        <w:spacing w:after="0" w:line="229" w:lineRule="exact"/>
        <w:rPr>
          <w:sz w:val="20"/>
          <w:szCs w:val="20"/>
          <w:color w:val="auto"/>
        </w:rPr>
      </w:pPr>
    </w:p>
    <w:p>
      <w:pPr>
        <w:ind w:left="60" w:right="519" w:firstLine="648"/>
        <w:spacing w:after="0" w:line="301" w:lineRule="auto"/>
        <w:rPr>
          <w:sz w:val="20"/>
          <w:szCs w:val="20"/>
          <w:color w:val="auto"/>
        </w:rPr>
      </w:pPr>
      <w:r>
        <w:rPr>
          <w:rFonts w:ascii="Arial" w:cs="Arial" w:eastAsia="Arial" w:hAnsi="Arial"/>
          <w:sz w:val="16"/>
          <w:szCs w:val="16"/>
          <w:color w:val="auto"/>
        </w:rPr>
        <w:t>The following table sets forth the unaudited quarterly consolidated results of operations for each of the eight quarterly periods in the period ended December 31, 2021. The unaudited quarterly results of operations have been prepared on the same basis as the audited consolidated financial statements, and we believe they reflect all normal recurring adjustments necessary for the fair statement of the Company’s results of operations for these periods. This</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8" w:name="page99"/>
    <w:bookmarkEnd w:id="9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99"/>
        <w:spacing w:after="0" w:line="263" w:lineRule="auto"/>
        <w:rPr>
          <w:sz w:val="20"/>
          <w:szCs w:val="20"/>
          <w:color w:val="auto"/>
        </w:rPr>
      </w:pPr>
      <w:r>
        <w:rPr>
          <w:rFonts w:ascii="Arial" w:cs="Arial" w:eastAsia="Arial" w:hAnsi="Arial"/>
          <w:sz w:val="18"/>
          <w:szCs w:val="18"/>
          <w:color w:val="auto"/>
        </w:rPr>
        <w:t>information should be read in conjunction with the consolidated financial statements and related notes included elsewhere in this Annual Report. The Company’s historical operating data may not be indicative of the Company’s future performance.</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16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760" w:type="dxa"/>
            <w:vAlign w:val="bottom"/>
            <w:tcBorders>
              <w:bottom w:val="single" w:sz="8" w:color="auto"/>
            </w:tcBorders>
            <w:gridSpan w:val="5"/>
          </w:tcPr>
          <w:p>
            <w:pPr>
              <w:ind w:left="300"/>
              <w:spacing w:after="0"/>
              <w:rPr>
                <w:sz w:val="20"/>
                <w:szCs w:val="20"/>
                <w:color w:val="auto"/>
              </w:rPr>
            </w:pPr>
            <w:r>
              <w:rPr>
                <w:rFonts w:ascii="Arial" w:cs="Arial" w:eastAsia="Arial" w:hAnsi="Arial"/>
                <w:sz w:val="13"/>
                <w:szCs w:val="13"/>
                <w:b w:val="1"/>
                <w:bCs w:val="1"/>
                <w:color w:val="auto"/>
              </w:rPr>
              <w:t>Three Months Ended</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16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gridSpan w:val="2"/>
          </w:tcPr>
          <w:p>
            <w:pPr>
              <w:jc w:val="right"/>
              <w:ind w:right="260"/>
              <w:spacing w:after="0" w:line="102" w:lineRule="exact"/>
              <w:rPr>
                <w:sz w:val="20"/>
                <w:szCs w:val="20"/>
                <w:color w:val="auto"/>
              </w:rPr>
            </w:pPr>
            <w:r>
              <w:rPr>
                <w:rFonts w:ascii="Arial" w:cs="Arial" w:eastAsia="Arial" w:hAnsi="Arial"/>
                <w:sz w:val="10"/>
                <w:szCs w:val="10"/>
                <w:b w:val="1"/>
                <w:bCs w:val="1"/>
                <w:color w:val="auto"/>
              </w:rPr>
              <w:t>Mar. 31,</w:t>
            </w:r>
          </w:p>
        </w:tc>
        <w:tc>
          <w:tcPr>
            <w:tcW w:w="100" w:type="dxa"/>
            <w:vAlign w:val="bottom"/>
          </w:tcPr>
          <w:p>
            <w:pPr>
              <w:spacing w:after="0"/>
              <w:rPr>
                <w:sz w:val="8"/>
                <w:szCs w:val="8"/>
                <w:color w:val="auto"/>
              </w:rPr>
            </w:pPr>
          </w:p>
        </w:tc>
        <w:tc>
          <w:tcPr>
            <w:tcW w:w="780" w:type="dxa"/>
            <w:vAlign w:val="bottom"/>
            <w:gridSpan w:val="2"/>
          </w:tcPr>
          <w:p>
            <w:pPr>
              <w:ind w:left="100"/>
              <w:spacing w:after="0" w:line="102" w:lineRule="exact"/>
              <w:rPr>
                <w:sz w:val="20"/>
                <w:szCs w:val="20"/>
                <w:color w:val="auto"/>
              </w:rPr>
            </w:pPr>
            <w:r>
              <w:rPr>
                <w:rFonts w:ascii="Arial" w:cs="Arial" w:eastAsia="Arial" w:hAnsi="Arial"/>
                <w:sz w:val="10"/>
                <w:szCs w:val="10"/>
                <w:b w:val="1"/>
                <w:bCs w:val="1"/>
                <w:color w:val="auto"/>
              </w:rPr>
              <w:t>Jun. 30,</w:t>
            </w:r>
          </w:p>
        </w:tc>
        <w:tc>
          <w:tcPr>
            <w:tcW w:w="100" w:type="dxa"/>
            <w:vAlign w:val="bottom"/>
          </w:tcPr>
          <w:p>
            <w:pPr>
              <w:spacing w:after="0"/>
              <w:rPr>
                <w:sz w:val="8"/>
                <w:szCs w:val="8"/>
                <w:color w:val="auto"/>
              </w:rPr>
            </w:pPr>
          </w:p>
        </w:tc>
        <w:tc>
          <w:tcPr>
            <w:tcW w:w="800" w:type="dxa"/>
            <w:vAlign w:val="bottom"/>
            <w:gridSpan w:val="2"/>
          </w:tcPr>
          <w:p>
            <w:pPr>
              <w:jc w:val="right"/>
              <w:ind w:right="280"/>
              <w:spacing w:after="0" w:line="102" w:lineRule="exact"/>
              <w:rPr>
                <w:sz w:val="20"/>
                <w:szCs w:val="20"/>
                <w:color w:val="auto"/>
              </w:rPr>
            </w:pPr>
            <w:r>
              <w:rPr>
                <w:rFonts w:ascii="Arial" w:cs="Arial" w:eastAsia="Arial" w:hAnsi="Arial"/>
                <w:sz w:val="10"/>
                <w:szCs w:val="10"/>
                <w:b w:val="1"/>
                <w:bCs w:val="1"/>
                <w:color w:val="auto"/>
              </w:rPr>
              <w:t>Sep. 30,</w:t>
            </w:r>
          </w:p>
        </w:tc>
        <w:tc>
          <w:tcPr>
            <w:tcW w:w="100" w:type="dxa"/>
            <w:vAlign w:val="bottom"/>
          </w:tcPr>
          <w:p>
            <w:pPr>
              <w:spacing w:after="0"/>
              <w:rPr>
                <w:sz w:val="8"/>
                <w:szCs w:val="8"/>
                <w:color w:val="auto"/>
              </w:rPr>
            </w:pPr>
          </w:p>
        </w:tc>
        <w:tc>
          <w:tcPr>
            <w:tcW w:w="780" w:type="dxa"/>
            <w:vAlign w:val="bottom"/>
            <w:gridSpan w:val="2"/>
          </w:tcPr>
          <w:p>
            <w:pPr>
              <w:jc w:val="right"/>
              <w:ind w:right="260"/>
              <w:spacing w:after="0" w:line="102" w:lineRule="exact"/>
              <w:rPr>
                <w:sz w:val="20"/>
                <w:szCs w:val="20"/>
                <w:color w:val="auto"/>
              </w:rPr>
            </w:pPr>
            <w:r>
              <w:rPr>
                <w:rFonts w:ascii="Arial" w:cs="Arial" w:eastAsia="Arial" w:hAnsi="Arial"/>
                <w:sz w:val="10"/>
                <w:szCs w:val="10"/>
                <w:b w:val="1"/>
                <w:bCs w:val="1"/>
                <w:color w:val="auto"/>
              </w:rPr>
              <w:t>Dec. 31,</w:t>
            </w:r>
          </w:p>
        </w:tc>
        <w:tc>
          <w:tcPr>
            <w:tcW w:w="100" w:type="dxa"/>
            <w:vAlign w:val="bottom"/>
          </w:tcPr>
          <w:p>
            <w:pPr>
              <w:spacing w:after="0"/>
              <w:rPr>
                <w:sz w:val="8"/>
                <w:szCs w:val="8"/>
                <w:color w:val="auto"/>
              </w:rPr>
            </w:pPr>
          </w:p>
        </w:tc>
        <w:tc>
          <w:tcPr>
            <w:tcW w:w="880" w:type="dxa"/>
            <w:vAlign w:val="bottom"/>
            <w:gridSpan w:val="2"/>
          </w:tcPr>
          <w:p>
            <w:pPr>
              <w:ind w:left="140"/>
              <w:spacing w:after="0" w:line="102" w:lineRule="exact"/>
              <w:rPr>
                <w:sz w:val="20"/>
                <w:szCs w:val="20"/>
                <w:color w:val="auto"/>
              </w:rPr>
            </w:pPr>
            <w:r>
              <w:rPr>
                <w:rFonts w:ascii="Arial" w:cs="Arial" w:eastAsia="Arial" w:hAnsi="Arial"/>
                <w:sz w:val="10"/>
                <w:szCs w:val="10"/>
                <w:b w:val="1"/>
                <w:bCs w:val="1"/>
                <w:color w:val="auto"/>
              </w:rPr>
              <w:t>Mar. 31,</w:t>
            </w:r>
          </w:p>
        </w:tc>
        <w:tc>
          <w:tcPr>
            <w:tcW w:w="100" w:type="dxa"/>
            <w:vAlign w:val="bottom"/>
          </w:tcPr>
          <w:p>
            <w:pPr>
              <w:spacing w:after="0"/>
              <w:rPr>
                <w:sz w:val="8"/>
                <w:szCs w:val="8"/>
                <w:color w:val="auto"/>
              </w:rPr>
            </w:pPr>
          </w:p>
        </w:tc>
        <w:tc>
          <w:tcPr>
            <w:tcW w:w="780" w:type="dxa"/>
            <w:vAlign w:val="bottom"/>
            <w:gridSpan w:val="2"/>
          </w:tcPr>
          <w:p>
            <w:pPr>
              <w:ind w:left="100"/>
              <w:spacing w:after="0" w:line="102" w:lineRule="exact"/>
              <w:rPr>
                <w:sz w:val="20"/>
                <w:szCs w:val="20"/>
                <w:color w:val="auto"/>
              </w:rPr>
            </w:pPr>
            <w:r>
              <w:rPr>
                <w:rFonts w:ascii="Arial" w:cs="Arial" w:eastAsia="Arial" w:hAnsi="Arial"/>
                <w:sz w:val="10"/>
                <w:szCs w:val="10"/>
                <w:b w:val="1"/>
                <w:bCs w:val="1"/>
                <w:color w:val="auto"/>
              </w:rPr>
              <w:t>Jun. 30,</w:t>
            </w:r>
          </w:p>
        </w:tc>
        <w:tc>
          <w:tcPr>
            <w:tcW w:w="120" w:type="dxa"/>
            <w:vAlign w:val="bottom"/>
          </w:tcPr>
          <w:p>
            <w:pPr>
              <w:spacing w:after="0"/>
              <w:rPr>
                <w:sz w:val="8"/>
                <w:szCs w:val="8"/>
                <w:color w:val="auto"/>
              </w:rPr>
            </w:pPr>
          </w:p>
        </w:tc>
        <w:tc>
          <w:tcPr>
            <w:tcW w:w="860" w:type="dxa"/>
            <w:vAlign w:val="bottom"/>
            <w:gridSpan w:val="2"/>
          </w:tcPr>
          <w:p>
            <w:pPr>
              <w:ind w:left="140"/>
              <w:spacing w:after="0" w:line="102" w:lineRule="exact"/>
              <w:rPr>
                <w:sz w:val="20"/>
                <w:szCs w:val="20"/>
                <w:color w:val="auto"/>
              </w:rPr>
            </w:pPr>
            <w:r>
              <w:rPr>
                <w:rFonts w:ascii="Arial" w:cs="Arial" w:eastAsia="Arial" w:hAnsi="Arial"/>
                <w:sz w:val="10"/>
                <w:szCs w:val="10"/>
                <w:b w:val="1"/>
                <w:bCs w:val="1"/>
                <w:color w:val="auto"/>
              </w:rPr>
              <w:t>Sep. 30,</w:t>
            </w:r>
          </w:p>
        </w:tc>
        <w:tc>
          <w:tcPr>
            <w:tcW w:w="100" w:type="dxa"/>
            <w:vAlign w:val="bottom"/>
          </w:tcPr>
          <w:p>
            <w:pPr>
              <w:spacing w:after="0"/>
              <w:rPr>
                <w:sz w:val="8"/>
                <w:szCs w:val="8"/>
                <w:color w:val="auto"/>
              </w:rPr>
            </w:pPr>
          </w:p>
        </w:tc>
        <w:tc>
          <w:tcPr>
            <w:tcW w:w="800" w:type="dxa"/>
            <w:vAlign w:val="bottom"/>
          </w:tcPr>
          <w:p>
            <w:pPr>
              <w:jc w:val="right"/>
              <w:ind w:right="170"/>
              <w:spacing w:after="0" w:line="102" w:lineRule="exact"/>
              <w:rPr>
                <w:sz w:val="20"/>
                <w:szCs w:val="20"/>
                <w:color w:val="auto"/>
              </w:rPr>
            </w:pPr>
            <w:r>
              <w:rPr>
                <w:rFonts w:ascii="Arial" w:cs="Arial" w:eastAsia="Arial" w:hAnsi="Arial"/>
                <w:sz w:val="10"/>
                <w:szCs w:val="10"/>
                <w:b w:val="1"/>
                <w:bCs w:val="1"/>
                <w:color w:val="auto"/>
              </w:rPr>
              <w:t>Dec. 31,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1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0"/>
              <w:spacing w:after="0" w:line="162" w:lineRule="exact"/>
              <w:rPr>
                <w:sz w:val="20"/>
                <w:szCs w:val="20"/>
                <w:color w:val="auto"/>
              </w:rPr>
            </w:pPr>
            <w:r>
              <w:rPr>
                <w:rFonts w:ascii="Arial" w:cs="Arial" w:eastAsia="Arial" w:hAnsi="Arial"/>
                <w:sz w:val="13"/>
                <w:szCs w:val="13"/>
                <w:b w:val="1"/>
                <w:bCs w:val="1"/>
                <w:color w:val="auto"/>
              </w:rPr>
              <w:t xml:space="preserve">2020 </w:t>
            </w:r>
            <w:r>
              <w:rPr>
                <w:rFonts w:ascii="Arial" w:cs="Arial" w:eastAsia="Arial" w:hAnsi="Arial"/>
                <w:sz w:val="18"/>
                <w:szCs w:val="18"/>
                <w:b w:val="1"/>
                <w:bCs w:val="1"/>
                <w:color w:val="auto"/>
                <w:vertAlign w:val="superscript"/>
              </w:rPr>
              <w:t>(1)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50"/>
              <w:spacing w:after="0" w:line="162" w:lineRule="exact"/>
              <w:rPr>
                <w:sz w:val="20"/>
                <w:szCs w:val="20"/>
                <w:color w:val="auto"/>
              </w:rPr>
            </w:pPr>
            <w:r>
              <w:rPr>
                <w:rFonts w:ascii="Arial" w:cs="Arial" w:eastAsia="Arial" w:hAnsi="Arial"/>
                <w:sz w:val="13"/>
                <w:szCs w:val="13"/>
                <w:b w:val="1"/>
                <w:bCs w:val="1"/>
                <w:color w:val="auto"/>
              </w:rPr>
              <w:t xml:space="preserve">2020 </w:t>
            </w:r>
            <w:r>
              <w:rPr>
                <w:rFonts w:ascii="Arial" w:cs="Arial" w:eastAsia="Arial" w:hAnsi="Arial"/>
                <w:sz w:val="18"/>
                <w:szCs w:val="18"/>
                <w:b w:val="1"/>
                <w:bCs w:val="1"/>
                <w:color w:val="auto"/>
                <w:vertAlign w:val="superscript"/>
              </w:rPr>
              <w:t>(1)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30"/>
              <w:spacing w:after="0" w:line="162" w:lineRule="exact"/>
              <w:rPr>
                <w:sz w:val="20"/>
                <w:szCs w:val="20"/>
                <w:color w:val="auto"/>
              </w:rPr>
            </w:pPr>
            <w:r>
              <w:rPr>
                <w:rFonts w:ascii="Arial" w:cs="Arial" w:eastAsia="Arial" w:hAnsi="Arial"/>
                <w:sz w:val="13"/>
                <w:szCs w:val="13"/>
                <w:b w:val="1"/>
                <w:bCs w:val="1"/>
                <w:color w:val="auto"/>
              </w:rPr>
              <w:t xml:space="preserve">2020 </w:t>
            </w:r>
            <w:r>
              <w:rPr>
                <w:rFonts w:ascii="Arial" w:cs="Arial" w:eastAsia="Arial" w:hAnsi="Arial"/>
                <w:sz w:val="18"/>
                <w:szCs w:val="18"/>
                <w:b w:val="1"/>
                <w:bCs w:val="1"/>
                <w:color w:val="auto"/>
                <w:vertAlign w:val="superscript"/>
              </w:rPr>
              <w:t>(1)</w:t>
            </w: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2020</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70"/>
              <w:spacing w:after="0"/>
              <w:rPr>
                <w:sz w:val="20"/>
                <w:szCs w:val="20"/>
                <w:color w:val="auto"/>
              </w:rPr>
            </w:pPr>
            <w:r>
              <w:rPr>
                <w:rFonts w:ascii="Arial" w:cs="Arial" w:eastAsia="Arial" w:hAnsi="Arial"/>
                <w:sz w:val="13"/>
                <w:szCs w:val="13"/>
                <w:b w:val="1"/>
                <w:bCs w:val="1"/>
                <w:color w:val="auto"/>
              </w:rPr>
              <w:t>2021</w:t>
            </w: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50"/>
              <w:spacing w:after="0"/>
              <w:rPr>
                <w:sz w:val="20"/>
                <w:szCs w:val="20"/>
                <w:color w:val="auto"/>
              </w:rPr>
            </w:pPr>
            <w:r>
              <w:rPr>
                <w:rFonts w:ascii="Arial" w:cs="Arial" w:eastAsia="Arial" w:hAnsi="Arial"/>
                <w:sz w:val="13"/>
                <w:szCs w:val="13"/>
                <w:b w:val="1"/>
                <w:bCs w:val="1"/>
                <w:color w:val="auto"/>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1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ind w:right="10"/>
              <w:spacing w:after="0" w:line="115" w:lineRule="exact"/>
              <w:rPr>
                <w:sz w:val="20"/>
                <w:szCs w:val="20"/>
                <w:color w:val="auto"/>
              </w:rPr>
            </w:pPr>
            <w:r>
              <w:rPr>
                <w:rFonts w:ascii="Arial" w:cs="Arial" w:eastAsia="Arial" w:hAnsi="Arial"/>
                <w:sz w:val="13"/>
                <w:szCs w:val="13"/>
                <w:b w:val="1"/>
                <w:bCs w:val="1"/>
                <w:color w:val="auto"/>
              </w:rPr>
              <w:t>(in</w:t>
            </w:r>
          </w:p>
        </w:tc>
        <w:tc>
          <w:tcPr>
            <w:tcW w:w="60" w:type="dxa"/>
            <w:vAlign w:val="bottom"/>
          </w:tcPr>
          <w:p>
            <w:pPr>
              <w:spacing w:after="0"/>
              <w:rPr>
                <w:sz w:val="10"/>
                <w:szCs w:val="10"/>
                <w:color w:val="auto"/>
              </w:rPr>
            </w:pPr>
          </w:p>
        </w:tc>
        <w:tc>
          <w:tcPr>
            <w:tcW w:w="920" w:type="dxa"/>
            <w:vAlign w:val="bottom"/>
            <w:gridSpan w:val="2"/>
          </w:tcPr>
          <w:p>
            <w:pPr>
              <w:spacing w:after="0" w:line="115" w:lineRule="exact"/>
              <w:rPr>
                <w:sz w:val="20"/>
                <w:szCs w:val="20"/>
                <w:color w:val="auto"/>
              </w:rPr>
            </w:pPr>
            <w:r>
              <w:rPr>
                <w:rFonts w:ascii="Arial" w:cs="Arial" w:eastAsia="Arial" w:hAnsi="Arial"/>
                <w:sz w:val="13"/>
                <w:szCs w:val="13"/>
                <w:b w:val="1"/>
                <w:bCs w:val="1"/>
                <w:color w:val="auto"/>
              </w:rPr>
              <w:t>thousands)</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Revenue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81,024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64,605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98,928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100,301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122,133</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128,651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122,284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127,553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Borders>
              <w:bottom w:val="single" w:sz="8" w:color="CCEEFF"/>
            </w:tcBorders>
          </w:tcPr>
          <w:p>
            <w:pPr>
              <w:ind w:left="20"/>
              <w:spacing w:after="0" w:line="149" w:lineRule="exact"/>
              <w:rPr>
                <w:sz w:val="20"/>
                <w:szCs w:val="20"/>
                <w:color w:val="auto"/>
              </w:rPr>
            </w:pPr>
            <w:r>
              <w:rPr>
                <w:rFonts w:ascii="Arial" w:cs="Arial" w:eastAsia="Arial" w:hAnsi="Arial"/>
                <w:sz w:val="14"/>
                <w:szCs w:val="14"/>
                <w:color w:val="auto"/>
              </w:rPr>
              <w:t>Cost of services</w:t>
            </w: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64,422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52,650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78,092</w:t>
            </w: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79,635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93,226</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99,030</w:t>
            </w:r>
          </w:p>
        </w:tc>
        <w:tc>
          <w:tcPr>
            <w:tcW w:w="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93,792</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102,438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16,602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11,955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20,836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20,666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28,907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29,621</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28,492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25,115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Operating expenses:</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Sales and marketing</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3,608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3,355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4,776</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4,014</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4,028</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4,441</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7,696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General and</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administrative</w:t>
            </w: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9,904</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9,419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12,653</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14,729</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13,086</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13,937</w:t>
            </w:r>
          </w:p>
        </w:tc>
        <w:tc>
          <w:tcPr>
            <w:tcW w:w="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14,986</w:t>
            </w: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600" w:type="dxa"/>
            <w:vAlign w:val="bottom"/>
            <w:shd w:val="clear" w:color="auto" w:fill="CCEEFF"/>
          </w:tcPr>
          <w:p>
            <w:pPr>
              <w:ind w:left="20"/>
              <w:spacing w:after="0" w:line="142" w:lineRule="exact"/>
              <w:rPr>
                <w:sz w:val="20"/>
                <w:szCs w:val="20"/>
                <w:color w:val="auto"/>
              </w:rPr>
            </w:pPr>
            <w:r>
              <w:rPr>
                <w:rFonts w:ascii="Arial" w:cs="Arial" w:eastAsia="Arial" w:hAnsi="Arial"/>
                <w:sz w:val="14"/>
                <w:szCs w:val="14"/>
                <w:color w:val="auto"/>
                <w:w w:val="99"/>
              </w:rPr>
              <w:t>Total operating expenses</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13,171</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13,027</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16,008</w:t>
            </w: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19,505</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17,100</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17,965</w:t>
            </w:r>
          </w:p>
        </w:tc>
        <w:tc>
          <w:tcPr>
            <w:tcW w:w="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19,427</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25,303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1600" w:type="dxa"/>
            <w:vAlign w:val="bottom"/>
          </w:tcPr>
          <w:p>
            <w:pPr>
              <w:ind w:left="20"/>
              <w:spacing w:after="0" w:line="110" w:lineRule="exact"/>
              <w:rPr>
                <w:sz w:val="20"/>
                <w:szCs w:val="20"/>
                <w:color w:val="auto"/>
              </w:rPr>
            </w:pPr>
            <w:r>
              <w:rPr>
                <w:rFonts w:ascii="Arial" w:cs="Arial" w:eastAsia="Arial" w:hAnsi="Arial"/>
                <w:sz w:val="12"/>
                <w:szCs w:val="12"/>
                <w:color w:val="auto"/>
              </w:rPr>
              <w:t>Income (loss) from</w:t>
            </w: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20"/>
              <w:spacing w:after="0"/>
              <w:rPr>
                <w:sz w:val="20"/>
                <w:szCs w:val="20"/>
                <w:color w:val="auto"/>
              </w:rPr>
            </w:pPr>
            <w:r>
              <w:rPr>
                <w:rFonts w:ascii="Arial" w:cs="Arial" w:eastAsia="Arial" w:hAnsi="Arial"/>
                <w:sz w:val="14"/>
                <w:szCs w:val="14"/>
                <w:color w:val="auto"/>
              </w:rPr>
              <w:t>operations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3,431</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(1,072)</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4,828</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11,807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11,656</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9,065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(188)</w:t>
            </w:r>
          </w:p>
        </w:tc>
        <w:tc>
          <w:tcPr>
            <w:tcW w:w="0" w:type="dxa"/>
            <w:vAlign w:val="bottom"/>
          </w:tcPr>
          <w:p>
            <w:pPr>
              <w:spacing w:after="0"/>
              <w:rPr>
                <w:sz w:val="1"/>
                <w:szCs w:val="1"/>
                <w:color w:val="auto"/>
              </w:rPr>
            </w:pPr>
          </w:p>
        </w:tc>
      </w:tr>
      <w:tr>
        <w:trPr>
          <w:trHeight w:val="110"/>
        </w:trPr>
        <w:tc>
          <w:tcPr>
            <w:tcW w:w="1600" w:type="dxa"/>
            <w:vAlign w:val="bottom"/>
            <w:tcBorders>
              <w:top w:val="single" w:sz="8" w:color="CCEEFF"/>
            </w:tcBorders>
            <w:shd w:val="clear" w:color="auto" w:fill="CCEEFF"/>
          </w:tcPr>
          <w:p>
            <w:pPr>
              <w:ind w:left="120"/>
              <w:spacing w:after="0" w:line="110" w:lineRule="exact"/>
              <w:rPr>
                <w:sz w:val="20"/>
                <w:szCs w:val="20"/>
                <w:color w:val="auto"/>
              </w:rPr>
            </w:pPr>
            <w:r>
              <w:rPr>
                <w:rFonts w:ascii="Arial" w:cs="Arial" w:eastAsia="Arial" w:hAnsi="Arial"/>
                <w:sz w:val="12"/>
                <w:szCs w:val="12"/>
                <w:color w:val="auto"/>
              </w:rPr>
              <w:t>Other income</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(expense),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20"/>
              <w:spacing w:after="0" w:line="130" w:lineRule="exact"/>
              <w:rPr>
                <w:sz w:val="20"/>
                <w:szCs w:val="20"/>
                <w:color w:val="auto"/>
              </w:rPr>
            </w:pPr>
            <w:r>
              <w:rPr>
                <w:rFonts w:ascii="Arial" w:cs="Arial" w:eastAsia="Arial" w:hAnsi="Arial"/>
                <w:sz w:val="14"/>
                <w:szCs w:val="14"/>
                <w:color w:val="auto"/>
              </w:rPr>
              <w:t>Interest income</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120"/>
              <w:spacing w:after="0"/>
              <w:rPr>
                <w:sz w:val="20"/>
                <w:szCs w:val="20"/>
                <w:color w:val="auto"/>
              </w:rPr>
            </w:pPr>
            <w:r>
              <w:rPr>
                <w:rFonts w:ascii="Arial" w:cs="Arial" w:eastAsia="Arial" w:hAnsi="Arial"/>
                <w:sz w:val="14"/>
                <w:szCs w:val="14"/>
                <w:color w:val="auto"/>
              </w:rPr>
              <w:t>(expense), net</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150</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4"/>
                <w:szCs w:val="1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252</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144</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tcBorders>
              <w:top w:val="single" w:sz="8" w:color="CCEEFF"/>
            </w:tcBorders>
            <w:shd w:val="clear" w:color="auto" w:fill="CCEEFF"/>
          </w:tcPr>
          <w:p>
            <w:pPr>
              <w:ind w:left="20"/>
              <w:spacing w:after="0" w:line="110" w:lineRule="exact"/>
              <w:rPr>
                <w:sz w:val="20"/>
                <w:szCs w:val="20"/>
                <w:color w:val="auto"/>
              </w:rPr>
            </w:pPr>
            <w:r>
              <w:rPr>
                <w:rFonts w:ascii="Arial" w:cs="Arial" w:eastAsia="Arial" w:hAnsi="Arial"/>
                <w:sz w:val="12"/>
                <w:szCs w:val="12"/>
                <w:color w:val="auto"/>
              </w:rPr>
              <w:t>Total other income</w:t>
            </w: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800" w:type="dxa"/>
            <w:vAlign w:val="bottom"/>
            <w:tcBorders>
              <w:top w:val="single" w:sz="8" w:color="auto"/>
            </w:tcBorders>
            <w:shd w:val="clear" w:color="auto" w:fill="CCEEF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 net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314</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264</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600" w:type="dxa"/>
            <w:vAlign w:val="bottom"/>
          </w:tcPr>
          <w:p>
            <w:pPr>
              <w:ind w:left="20"/>
              <w:spacing w:after="0" w:line="110" w:lineRule="exact"/>
              <w:rPr>
                <w:sz w:val="20"/>
                <w:szCs w:val="20"/>
                <w:color w:val="auto"/>
              </w:rPr>
            </w:pPr>
            <w:r>
              <w:rPr>
                <w:rFonts w:ascii="Arial" w:cs="Arial" w:eastAsia="Arial" w:hAnsi="Arial"/>
                <w:sz w:val="12"/>
                <w:szCs w:val="12"/>
                <w:color w:val="auto"/>
              </w:rPr>
              <w:t>Income (loss) before</w:t>
            </w: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20"/>
              <w:spacing w:after="0"/>
              <w:rPr>
                <w:sz w:val="20"/>
                <w:szCs w:val="20"/>
                <w:color w:val="auto"/>
              </w:rPr>
            </w:pPr>
            <w:r>
              <w:rPr>
                <w:rFonts w:ascii="Arial" w:cs="Arial" w:eastAsia="Arial" w:hAnsi="Arial"/>
                <w:sz w:val="14"/>
                <w:szCs w:val="14"/>
                <w:color w:val="auto"/>
              </w:rPr>
              <w:t>income taxes</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3,745</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4"/>
                <w:szCs w:val="14"/>
                <w:color w:val="auto"/>
              </w:rPr>
              <w:t>(1,064)</w:t>
            </w: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4,822</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1,176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11,796</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11,920</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9,117</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Benefit (provision) for</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taxes</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(116)</w:t>
            </w:r>
          </w:p>
        </w:tc>
        <w:tc>
          <w:tcPr>
            <w:tcW w:w="10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37,896</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3,370</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6,807</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7,679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15,478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600" w:type="dxa"/>
            <w:vAlign w:val="bottom"/>
            <w:tcBorders>
              <w:bottom w:val="single" w:sz="8" w:color="CCEEFF"/>
            </w:tcBorders>
          </w:tcPr>
          <w:p>
            <w:pPr>
              <w:ind w:left="20"/>
              <w:spacing w:after="0" w:line="142" w:lineRule="exact"/>
              <w:rPr>
                <w:sz w:val="20"/>
                <w:szCs w:val="20"/>
                <w:color w:val="auto"/>
              </w:rPr>
            </w:pPr>
            <w:r>
              <w:rPr>
                <w:rFonts w:ascii="Arial" w:cs="Arial" w:eastAsia="Arial" w:hAnsi="Arial"/>
                <w:sz w:val="14"/>
                <w:szCs w:val="14"/>
                <w:color w:val="auto"/>
              </w:rPr>
              <w:t>Net income (loss)</w:t>
            </w: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3,629</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(1,064)</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4,822</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39,072</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15,166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18,727</w:t>
            </w:r>
          </w:p>
        </w:tc>
        <w:tc>
          <w:tcPr>
            <w:tcW w:w="6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16,796</w:t>
            </w:r>
          </w:p>
        </w:tc>
        <w:tc>
          <w:tcPr>
            <w:tcW w:w="6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15,080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
        </w:trPr>
        <w:tc>
          <w:tcPr>
            <w:tcW w:w="1600" w:type="dxa"/>
            <w:vAlign w:val="bottom"/>
            <w:shd w:val="clear" w:color="auto" w:fill="CCEEFF"/>
          </w:tcPr>
          <w:p>
            <w:pPr>
              <w:ind w:left="20"/>
              <w:spacing w:after="0" w:line="84" w:lineRule="exact"/>
              <w:rPr>
                <w:sz w:val="20"/>
                <w:szCs w:val="20"/>
                <w:color w:val="auto"/>
              </w:rPr>
            </w:pPr>
            <w:r>
              <w:rPr>
                <w:rFonts w:ascii="Arial" w:cs="Arial" w:eastAsia="Arial" w:hAnsi="Arial"/>
                <w:sz w:val="9"/>
                <w:szCs w:val="9"/>
                <w:color w:val="auto"/>
              </w:rPr>
              <w:t>Net income (loss) per</w:t>
            </w: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72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2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7"/>
        </w:trPr>
        <w:tc>
          <w:tcPr>
            <w:tcW w:w="1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w:t>
            </w: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1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0.04</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(0.01)</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0.06</w:t>
            </w:r>
          </w:p>
        </w:tc>
        <w:tc>
          <w:tcPr>
            <w:tcW w:w="80" w:type="dxa"/>
            <w:vAlign w:val="bottom"/>
          </w:tcPr>
          <w:p>
            <w:pPr>
              <w:spacing w:after="0"/>
              <w:rPr>
                <w:sz w:val="12"/>
                <w:szCs w:val="12"/>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0.45</w:t>
            </w:r>
          </w:p>
        </w:tc>
        <w:tc>
          <w:tcPr>
            <w:tcW w:w="6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0.21</w:t>
            </w:r>
          </w:p>
        </w:tc>
        <w:tc>
          <w:tcPr>
            <w:tcW w:w="6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0.19</w:t>
            </w:r>
          </w:p>
        </w:tc>
        <w:tc>
          <w:tcPr>
            <w:tcW w:w="6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0.17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0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Diluted</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(0.01)</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0.39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0.17</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0.15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bottom w:val="single" w:sz="8" w:color="CCEEFF"/>
            </w:tcBorders>
            <w:vMerge w:val="restart"/>
          </w:tcPr>
          <w:p>
            <w:pPr>
              <w:ind w:left="20"/>
              <w:spacing w:after="0" w:line="123" w:lineRule="exact"/>
              <w:rPr>
                <w:sz w:val="20"/>
                <w:szCs w:val="20"/>
                <w:color w:val="auto"/>
              </w:rPr>
            </w:pPr>
            <w:r>
              <w:rPr>
                <w:rFonts w:ascii="Arial" w:cs="Arial" w:eastAsia="Arial" w:hAnsi="Arial"/>
                <w:sz w:val="14"/>
                <w:szCs w:val="14"/>
                <w:color w:val="auto"/>
                <w:w w:val="97"/>
              </w:rPr>
              <w:t>Weighted-average shares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3"/>
        </w:trPr>
        <w:tc>
          <w:tcPr>
            <w:tcW w:w="16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8"/>
        </w:trPr>
        <w:tc>
          <w:tcPr>
            <w:tcW w:w="1600" w:type="dxa"/>
            <w:vAlign w:val="bottom"/>
          </w:tcPr>
          <w:p>
            <w:pPr>
              <w:ind w:left="20"/>
              <w:spacing w:after="0" w:line="149" w:lineRule="exact"/>
              <w:rPr>
                <w:sz w:val="20"/>
                <w:szCs w:val="20"/>
                <w:color w:val="auto"/>
              </w:rPr>
            </w:pPr>
            <w:r>
              <w:rPr>
                <w:rFonts w:ascii="Arial" w:cs="Arial" w:eastAsia="Arial" w:hAnsi="Arial"/>
                <w:sz w:val="14"/>
                <w:szCs w:val="14"/>
                <w:color w:val="auto"/>
              </w:rPr>
              <w:t>used in computing net</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1600" w:type="dxa"/>
            <w:vAlign w:val="bottom"/>
          </w:tcPr>
          <w:p>
            <w:pPr>
              <w:ind w:left="20"/>
              <w:spacing w:after="0"/>
              <w:rPr>
                <w:sz w:val="20"/>
                <w:szCs w:val="20"/>
                <w:color w:val="auto"/>
              </w:rPr>
            </w:pPr>
            <w:r>
              <w:rPr>
                <w:rFonts w:ascii="Arial" w:cs="Arial" w:eastAsia="Arial" w:hAnsi="Arial"/>
                <w:sz w:val="14"/>
                <w:szCs w:val="14"/>
                <w:color w:val="auto"/>
              </w:rPr>
              <w:t>income (loss) per share:</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60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Basic</w:t>
            </w: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84,537,538</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85,281,151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86,265,297</w:t>
            </w: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86,514,619</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87,404,287</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w w:val="91"/>
              </w:rPr>
              <w:t>88,165,158</w:t>
            </w:r>
          </w:p>
        </w:tc>
        <w:tc>
          <w:tcPr>
            <w:tcW w:w="6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89,571,226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90,537,077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600" w:type="dxa"/>
            <w:vAlign w:val="bottom"/>
            <w:vMerge w:val="restart"/>
          </w:tcPr>
          <w:p>
            <w:pPr>
              <w:ind w:left="120"/>
              <w:spacing w:after="0"/>
              <w:rPr>
                <w:sz w:val="20"/>
                <w:szCs w:val="20"/>
                <w:color w:val="auto"/>
              </w:rPr>
            </w:pPr>
            <w:r>
              <w:rPr>
                <w:rFonts w:ascii="Arial" w:cs="Arial" w:eastAsia="Arial" w:hAnsi="Arial"/>
                <w:sz w:val="14"/>
                <w:szCs w:val="14"/>
                <w:color w:val="auto"/>
              </w:rPr>
              <w:t>Diluted</w:t>
            </w: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600" w:type="dxa"/>
            <w:vAlign w:val="bottom"/>
            <w:vMerge w:val="continue"/>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99,665,158</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85,281,151</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4"/>
              </w:rPr>
              <w:t>98,969,588</w:t>
            </w: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99,021,233</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100,106,497</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1"/>
              </w:rPr>
              <w:t>99,808,085</w:t>
            </w: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2"/>
              </w:rPr>
              <w:t>100,370,331</w:t>
            </w:r>
          </w:p>
        </w:tc>
        <w:tc>
          <w:tcPr>
            <w:tcW w:w="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4"/>
                <w:szCs w:val="14"/>
                <w:color w:val="auto"/>
                <w:w w:val="95"/>
              </w:rPr>
              <w:t>100,321,297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5648960" cy="146050"/>
                    </a:xfrm>
                    <a:prstGeom prst="rect">
                      <a:avLst/>
                    </a:prstGeom>
                    <a:noFill/>
                  </pic:spPr>
                </pic:pic>
              </a:graphicData>
            </a:graphic>
          </wp:anchor>
        </w:drawing>
      </w:r>
    </w:p>
    <w:p>
      <w:pPr>
        <w:spacing w:after="0" w:line="164" w:lineRule="exact"/>
        <w:rPr>
          <w:sz w:val="20"/>
          <w:szCs w:val="20"/>
          <w:color w:val="auto"/>
        </w:rPr>
      </w:pPr>
    </w:p>
    <w:p>
      <w:pPr>
        <w:ind w:left="1040" w:right="159" w:hanging="315"/>
        <w:spacing w:after="0" w:line="184" w:lineRule="auto"/>
        <w:tabs>
          <w:tab w:leader="none" w:pos="1040" w:val="left"/>
        </w:tabs>
        <w:numPr>
          <w:ilvl w:val="0"/>
          <w:numId w:val="43"/>
        </w:numPr>
        <w:rPr>
          <w:rFonts w:ascii="Arial" w:cs="Arial" w:eastAsia="Arial" w:hAnsi="Arial"/>
          <w:sz w:val="32"/>
          <w:szCs w:val="32"/>
          <w:color w:val="auto"/>
          <w:vertAlign w:val="subscript"/>
        </w:rPr>
      </w:pPr>
      <w:r>
        <w:rPr>
          <w:rFonts w:ascii="Arial" w:cs="Arial" w:eastAsia="Arial" w:hAnsi="Arial"/>
          <w:sz w:val="13"/>
          <w:szCs w:val="13"/>
          <w:color w:val="auto"/>
        </w:rPr>
        <w:t>In the fourth quarter of 2020, the Company adopted ASU 2016-13, “Financial Instruments – Credit Losses (Topic 326)” with an adoption date of January 1, 2020. As such, quarterly financial information for the interim periods of 2020 has been recast with resulting impacts to the previously disclosed general and administrative expense of $0.4 million, $(0.7) million, and $0.5 million for the three-month periods ended March 31, 2020, June 30, 2020, and September 30, 2020, respectively.</w:t>
      </w:r>
    </w:p>
    <w:p>
      <w:pPr>
        <w:spacing w:after="0" w:line="144" w:lineRule="exact"/>
        <w:rPr>
          <w:sz w:val="20"/>
          <w:szCs w:val="20"/>
          <w:color w:val="auto"/>
        </w:rPr>
      </w:pPr>
    </w:p>
    <w:p>
      <w:pPr>
        <w:ind w:left="1340" w:right="45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7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99" w:name="page100"/>
    <w:bookmarkEnd w:id="9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Effectiveness of Controls and Procedures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The Company maintains disclosure controls and procedures (as that term is defined in Rules 13a-15(e) and 15d-15(e) under the Securities Exchange Act of 1934, as amended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219" w:firstLine="648"/>
        <w:spacing w:after="0" w:line="275" w:lineRule="auto"/>
        <w:rPr>
          <w:sz w:val="20"/>
          <w:szCs w:val="20"/>
          <w:color w:val="auto"/>
        </w:rPr>
      </w:pPr>
      <w:r>
        <w:rPr>
          <w:rFonts w:ascii="Arial" w:cs="Arial" w:eastAsia="Arial" w:hAnsi="Arial"/>
          <w:sz w:val="17"/>
          <w:szCs w:val="17"/>
          <w:color w:val="auto"/>
        </w:rPr>
        <w:t>Our management, with the participation of our principal executive officer and principal financial officer, has evaluated, as of the end of the period covered by this Annual Report on Form 10-K,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December 31, 2021.</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(as that term is defined in Rule 13a-15(f) and 15d-15(f) of the Exchange Act). Because of its inherent limitations, internal control over financial reporting may not prevent or detect material misstatements. Also, projections of any evaluation of effectiveness to future periods are subject to the risk that controls may become inadequate because of changes in conditions, or that the degree of compliance with the policies or procedures may deteriorate. Under the supervision and with the participation of the Company’s principal executive officer and principal financial officer, our management assessed the effectiveness of our internal control over financial reporting as of December 31, 2021 based on the criteria set forth in Internal Control-Integrated Framework issued by the Committee of Sponsoring Organizations of the Treadway Commission (2013 framework). Based on the assessment, our management concluded that our internal control over financial reporting was effective as of December 31, 2021.</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Attestation Report of the Independent Registered Public Accounting Firm</w:t>
      </w:r>
    </w:p>
    <w:p>
      <w:pPr>
        <w:spacing w:after="0" w:line="229" w:lineRule="exact"/>
        <w:rPr>
          <w:sz w:val="20"/>
          <w:szCs w:val="20"/>
          <w:color w:val="auto"/>
        </w:rPr>
      </w:pPr>
    </w:p>
    <w:p>
      <w:pPr>
        <w:ind w:left="60" w:right="319" w:firstLine="674"/>
        <w:spacing w:after="0" w:line="263" w:lineRule="auto"/>
        <w:rPr>
          <w:sz w:val="20"/>
          <w:szCs w:val="20"/>
          <w:color w:val="auto"/>
        </w:rPr>
      </w:pPr>
      <w:r>
        <w:rPr>
          <w:rFonts w:ascii="Arial" w:cs="Arial" w:eastAsia="Arial" w:hAnsi="Arial"/>
          <w:sz w:val="18"/>
          <w:szCs w:val="18"/>
          <w:color w:val="auto"/>
        </w:rPr>
        <w:t>Ernst &amp; Young LLP, an independent registered public accounting firm, has audited the consolidated financial statements included in the Annual Report on Form 10-K and has issued an attestation report on our internal control over financial reporting, which is included in this Item 9A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ind w:left="60" w:right="219" w:firstLine="674"/>
        <w:spacing w:after="0" w:line="286" w:lineRule="auto"/>
        <w:rPr>
          <w:sz w:val="20"/>
          <w:szCs w:val="20"/>
          <w:color w:val="auto"/>
        </w:rPr>
      </w:pPr>
      <w:r>
        <w:rPr>
          <w:rFonts w:ascii="Arial" w:cs="Arial" w:eastAsia="Arial" w:hAnsi="Arial"/>
          <w:sz w:val="17"/>
          <w:szCs w:val="17"/>
          <w:color w:val="auto"/>
        </w:rPr>
        <w:t>There were no changes in our internal control over financial reporting (as that term is defined in Rules 13a-15(f) and 15d-15(f) under the Exchange Act) that occurred during the quarter ended December 31, 2021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0" w:name="page101"/>
    <w:bookmarkEnd w:id="10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Stockholders and the Board of Directors of Progyny, Inc.</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ind w:left="60" w:right="79" w:firstLine="648"/>
        <w:spacing w:after="0" w:line="257" w:lineRule="auto"/>
        <w:rPr>
          <w:sz w:val="20"/>
          <w:szCs w:val="20"/>
          <w:color w:val="auto"/>
        </w:rPr>
      </w:pPr>
      <w:r>
        <w:rPr>
          <w:rFonts w:ascii="Arial" w:cs="Arial" w:eastAsia="Arial" w:hAnsi="Arial"/>
          <w:sz w:val="18"/>
          <w:szCs w:val="18"/>
          <w:color w:val="auto"/>
        </w:rPr>
        <w:t>We have audited Progyny, Inc.’s internal control over financial reporting as of December 31, 2021, based on criteria established in Internal Control—Integrated Framework issued by the Committee of Sponsoring Organizations of the Treadway Commission (2013 framework) (the COSO criteria). In our opinion, Progyny, Inc. (the Company) maintained, in all material respects, effective internal control over financial reporting as of December 31, 2021, based on the COSO criteria.</w:t>
      </w:r>
    </w:p>
    <w:p>
      <w:pPr>
        <w:spacing w:after="0" w:line="188" w:lineRule="exact"/>
        <w:rPr>
          <w:sz w:val="20"/>
          <w:szCs w:val="20"/>
          <w:color w:val="auto"/>
        </w:rPr>
      </w:pPr>
    </w:p>
    <w:p>
      <w:pPr>
        <w:jc w:val="both"/>
        <w:ind w:left="60" w:right="59" w:firstLine="648"/>
        <w:spacing w:after="0" w:line="275"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consolidated balance sheets of the Company as of December 31, 2021 and 2020, the related consolidated statements of operations, comprehensive income (loss), changes in convertible preferred stock and stockholders’ equity (deficit) and cash flows for each of the three years in the period ended December 31, 2021, and the related notes and our report dated March 1, 2022, expressed an unqualified opinion thereon.</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ind w:left="60" w:right="59" w:firstLine="648"/>
        <w:spacing w:after="0" w:line="293" w:lineRule="auto"/>
        <w:rPr>
          <w:sz w:val="20"/>
          <w:szCs w:val="20"/>
          <w:color w:val="auto"/>
        </w:rPr>
      </w:pPr>
      <w:r>
        <w:rPr>
          <w:rFonts w:ascii="Arial" w:cs="Arial" w:eastAsia="Arial" w:hAnsi="Arial"/>
          <w:sz w:val="16"/>
          <w:szCs w:val="16"/>
          <w:color w:val="auto"/>
        </w:rPr>
        <w:t>The Company’s management is responsible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64"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ind w:left="60" w:right="59" w:firstLine="648"/>
        <w:spacing w:after="0" w:line="269" w:lineRule="auto"/>
        <w:rPr>
          <w:sz w:val="20"/>
          <w:szCs w:val="20"/>
          <w:color w:val="auto"/>
        </w:rPr>
      </w:pPr>
      <w:r>
        <w:rPr>
          <w:rFonts w:ascii="Arial" w:cs="Arial" w:eastAsia="Arial" w:hAnsi="Arial"/>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1" w:name="page102"/>
    <w:bookmarkEnd w:id="10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 2022</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2" w:name="page103"/>
    <w:bookmarkEnd w:id="10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1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9C.</w:t>
      </w:r>
      <w:r>
        <w:rPr>
          <w:sz w:val="20"/>
          <w:szCs w:val="20"/>
          <w:color w:val="auto"/>
        </w:rPr>
        <w:tab/>
      </w:r>
      <w:r>
        <w:rPr>
          <w:rFonts w:ascii="Arial" w:cs="Arial" w:eastAsia="Arial" w:hAnsi="Arial"/>
          <w:sz w:val="18"/>
          <w:szCs w:val="18"/>
          <w:b w:val="1"/>
          <w:bCs w:val="1"/>
          <w:color w:val="auto"/>
        </w:rPr>
        <w:t>DISCLOSURE REGARDING FOREIGN JURISDICTIONS THAT PREVENT INSPECTIONS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right="1539"/>
        <w:spacing w:after="0" w:line="503" w:lineRule="auto"/>
        <w:rPr>
          <w:sz w:val="20"/>
          <w:szCs w:val="20"/>
          <w:color w:val="auto"/>
        </w:rPr>
      </w:pPr>
      <w:r>
        <w:rPr>
          <w:rFonts w:ascii="Arial" w:cs="Arial" w:eastAsia="Arial" w:hAnsi="Arial"/>
          <w:sz w:val="18"/>
          <w:szCs w:val="18"/>
          <w:b w:val="1"/>
          <w:bCs w:val="1"/>
          <w:color w:val="auto"/>
        </w:rPr>
        <w:t>ITEM 10. DIRECTORS, EXECUTIVE OFFICERS AND CORPORATE GOVERNANCE Code of Conduct</w:t>
      </w:r>
    </w:p>
    <w:p>
      <w:pPr>
        <w:ind w:left="60" w:right="59" w:firstLine="648"/>
        <w:spacing w:after="0" w:line="291" w:lineRule="auto"/>
        <w:rPr>
          <w:sz w:val="20"/>
          <w:szCs w:val="20"/>
          <w:color w:val="auto"/>
        </w:rPr>
      </w:pPr>
      <w:r>
        <w:rPr>
          <w:rFonts w:ascii="Arial" w:cs="Arial" w:eastAsia="Arial" w:hAnsi="Arial"/>
          <w:sz w:val="16"/>
          <w:szCs w:val="16"/>
          <w:color w:val="auto"/>
        </w:rPr>
        <w:t xml:space="preserve">Our Board of Directors has adopted a Code of Conduct applicable to all officers, directors and employees, including our principal executive officer, principal financial officer, principal accounting officer or controller, or persons performing similar functions. A copy of our Code of Conduct is available at the Investor Relations section of our website, located at </w:t>
      </w:r>
      <w:r>
        <w:rPr>
          <w:rFonts w:ascii="Arial" w:cs="Arial" w:eastAsia="Arial" w:hAnsi="Arial"/>
          <w:sz w:val="16"/>
          <w:szCs w:val="16"/>
          <w:i w:val="1"/>
          <w:iCs w:val="1"/>
          <w:color w:val="auto"/>
        </w:rPr>
        <w:t>investors.progyny.com</w:t>
      </w:r>
      <w:r>
        <w:rPr>
          <w:rFonts w:ascii="Arial" w:cs="Arial" w:eastAsia="Arial" w:hAnsi="Arial"/>
          <w:sz w:val="16"/>
          <w:szCs w:val="16"/>
          <w:color w:val="auto"/>
        </w:rPr>
        <w:t>, under “Governance—Documents &amp; Charters.” We intend to make all disclosures required by law or Nasdaq Stock Market rules regarding any amendments to, or waivers from, any provisions of the code at the same location of our website. Our website is not incorporated by reference into this Annual Report on Form 10-K, and you should not consider information on our website to be part of this Annual Report on Form 10-K.</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Information</w:t>
      </w:r>
    </w:p>
    <w:p>
      <w:pPr>
        <w:spacing w:after="0" w:line="229" w:lineRule="exact"/>
        <w:rPr>
          <w:sz w:val="20"/>
          <w:szCs w:val="20"/>
          <w:color w:val="auto"/>
        </w:rPr>
      </w:pPr>
    </w:p>
    <w:p>
      <w:pPr>
        <w:ind w:left="60" w:right="199" w:firstLine="648"/>
        <w:spacing w:after="0" w:line="273" w:lineRule="auto"/>
        <w:rPr>
          <w:sz w:val="20"/>
          <w:szCs w:val="20"/>
          <w:color w:val="auto"/>
        </w:rPr>
      </w:pPr>
      <w:r>
        <w:rPr>
          <w:rFonts w:ascii="Arial" w:cs="Arial" w:eastAsia="Arial" w:hAnsi="Arial"/>
          <w:sz w:val="17"/>
          <w:szCs w:val="17"/>
          <w:color w:val="auto"/>
        </w:rPr>
        <w:t>The remaining information required by this item will be included under the headings “Proposal 1—Election of Directors,” “Information Regarding Director Nominees and Current Directors,” “Information Regarding the Board of Directors and Corporate Governance,” and, if applicable, “Delinquent Section 16(a) Reports” in our definitive proxy statement relating to the 2022 Annual Meeting of Stockholders to be filed with the SEC within 120 days of the fiscal year ended December 31, 2021, which we refer to as our 2022 Proxy Statement, and such required information is incorporated herein by reference into this Annual Report on Form 10-K.</w:t>
      </w:r>
    </w:p>
    <w:p>
      <w:pPr>
        <w:spacing w:after="0" w:line="174"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information required by this item will be included under the headings “Executive Compensation,” “Director Compensation,” and “Information Regarding the Board of Directors and Corporate Governance” in our 2022 Proxy Statement and is hereby incorporated by reference into this Annual Report on Form 10-K.</w:t>
      </w:r>
    </w:p>
    <w:p>
      <w:pPr>
        <w:spacing w:after="0" w:line="288" w:lineRule="exact"/>
        <w:rPr>
          <w:sz w:val="20"/>
          <w:szCs w:val="20"/>
          <w:color w:val="auto"/>
        </w:rPr>
      </w:pPr>
    </w:p>
    <w:p>
      <w:pPr>
        <w:ind w:left="1340" w:right="1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information required by this item will be included under the heading “Equity Compensation Plan Information” and “Security Ownership of Certain Beneficial Owners and Management” in our 2022 Proxy Statement and is hereby incorporated by reference into this Annual Report on Form 10 K.</w:t>
      </w:r>
    </w:p>
    <w:p>
      <w:pPr>
        <w:spacing w:after="0" w:line="288" w:lineRule="exact"/>
        <w:rPr>
          <w:sz w:val="20"/>
          <w:szCs w:val="20"/>
          <w:color w:val="auto"/>
        </w:rPr>
      </w:pPr>
    </w:p>
    <w:p>
      <w:pPr>
        <w:ind w:left="1340" w:right="1039" w:hanging="1295"/>
        <w:spacing w:after="0" w:line="282" w:lineRule="auto"/>
        <w:tabs>
          <w:tab w:leader="none" w:pos="13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166"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information required by this item will be included under the headings “Transactions with Related Persons,” and “Information Regarding the Board of Directors and Corporate Governance” in our 2022 Proxy Statement and is hereby incorporated by reference into this Annual Report on Form 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3" w:name="page104"/>
    <w:bookmarkEnd w:id="10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The information required by this item will be included under the heading “Principal Accountant Fees and Services” in our 2022 Proxy Statement and is hereby incorporated by reference into this Annual Report on Form 10-K.</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AND FINANCIAL STATEMENT SCHEDULES.</w:t>
      </w:r>
    </w:p>
    <w:p>
      <w:pPr>
        <w:spacing w:after="0" w:line="225" w:lineRule="exact"/>
        <w:rPr>
          <w:sz w:val="20"/>
          <w:szCs w:val="20"/>
          <w:color w:val="auto"/>
        </w:rPr>
      </w:pPr>
    </w:p>
    <w:p>
      <w:pPr>
        <w:ind w:left="700" w:right="5379" w:hanging="650"/>
        <w:spacing w:after="0" w:line="566" w:lineRule="auto"/>
        <w:tabs>
          <w:tab w:leader="none" w:pos="700" w:val="left"/>
        </w:tabs>
        <w:numPr>
          <w:ilvl w:val="0"/>
          <w:numId w:val="44"/>
        </w:numPr>
        <w:rPr>
          <w:rFonts w:ascii="Arial" w:cs="Arial" w:eastAsia="Arial" w:hAnsi="Arial"/>
          <w:sz w:val="16"/>
          <w:szCs w:val="16"/>
          <w:b w:val="1"/>
          <w:bCs w:val="1"/>
          <w:color w:val="auto"/>
        </w:rPr>
      </w:pPr>
      <w:r>
        <w:rPr>
          <w:rFonts w:ascii="Arial" w:cs="Arial" w:eastAsia="Arial" w:hAnsi="Arial"/>
          <w:sz w:val="16"/>
          <w:szCs w:val="16"/>
          <w:b w:val="1"/>
          <w:bCs w:val="1"/>
          <w:color w:val="auto"/>
        </w:rPr>
        <w:t>Documents filed as part of this report: 1. List of Financial Statements</w:t>
      </w:r>
    </w:p>
    <w:p>
      <w:pPr>
        <w:ind w:left="700"/>
        <w:spacing w:after="0"/>
        <w:rPr>
          <w:sz w:val="20"/>
          <w:szCs w:val="20"/>
          <w:color w:val="auto"/>
        </w:rPr>
      </w:pPr>
      <w:r>
        <w:rPr>
          <w:rFonts w:ascii="Arial" w:cs="Arial" w:eastAsia="Arial" w:hAnsi="Arial"/>
          <w:sz w:val="16"/>
          <w:szCs w:val="16"/>
          <w:color w:val="auto"/>
        </w:rPr>
        <w:t>The following financial statements are included in Item 8 “Financial Statements and Supplementary Data” herein.</w:t>
      </w:r>
    </w:p>
    <w:p>
      <w:pPr>
        <w:spacing w:after="0" w:line="26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8340" w:type="dxa"/>
            <w:vAlign w:val="bottom"/>
            <w:gridSpan w:val="8"/>
            <w:vMerge w:val="restart"/>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5"/>
        </w:trPr>
        <w:tc>
          <w:tcPr>
            <w:tcW w:w="8340" w:type="dxa"/>
            <w:vAlign w:val="bottom"/>
            <w:gridSpan w:val="8"/>
            <w:vMerge w:val="continue"/>
          </w:tcPr>
          <w:p>
            <w:pPr>
              <w:spacing w:after="0"/>
              <w:rPr>
                <w:sz w:val="16"/>
                <w:szCs w:val="16"/>
                <w:color w:val="auto"/>
              </w:rPr>
            </w:pPr>
          </w:p>
        </w:tc>
        <w:tc>
          <w:tcPr>
            <w:tcW w:w="560" w:type="dxa"/>
            <w:vAlign w:val="bottom"/>
          </w:tcPr>
          <w:p>
            <w:pPr>
              <w:jc w:val="right"/>
              <w:spacing w:after="0" w:line="195" w:lineRule="exact"/>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8340" w:type="dxa"/>
            <w:vAlign w:val="bottom"/>
            <w:gridSpan w:val="8"/>
          </w:tcPr>
          <w:p>
            <w:pPr>
              <w:spacing w:after="0"/>
              <w:rPr>
                <w:sz w:val="20"/>
                <w:szCs w:val="20"/>
                <w:color w:val="auto"/>
              </w:rPr>
            </w:pPr>
            <w:r>
              <w:rPr>
                <w:rFonts w:ascii="Arial" w:cs="Arial" w:eastAsia="Arial" w:hAnsi="Arial"/>
                <w:sz w:val="18"/>
                <w:szCs w:val="18"/>
                <w:color w:val="auto"/>
              </w:rPr>
              <w:t>Financial Statements:</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80" w:type="dxa"/>
            <w:vAlign w:val="bottom"/>
          </w:tcPr>
          <w:p>
            <w:pPr>
              <w:spacing w:after="0"/>
              <w:rPr>
                <w:sz w:val="16"/>
                <w:szCs w:val="16"/>
                <w:color w:val="auto"/>
              </w:rPr>
            </w:pPr>
          </w:p>
        </w:tc>
        <w:tc>
          <w:tcPr>
            <w:tcW w:w="8160" w:type="dxa"/>
            <w:vAlign w:val="bottom"/>
            <w:gridSpan w:val="7"/>
          </w:tcPr>
          <w:p>
            <w:pPr>
              <w:spacing w:after="0" w:line="190" w:lineRule="exact"/>
              <w:rPr>
                <w:rFonts w:ascii="Arial" w:cs="Arial" w:eastAsia="Arial" w:hAnsi="Arial"/>
                <w:sz w:val="18"/>
                <w:szCs w:val="18"/>
                <w:color w:val="0000EE"/>
              </w:rPr>
            </w:pPr>
            <w:hyperlink w:anchor="page73">
              <w:r>
                <w:rPr>
                  <w:rFonts w:ascii="Arial" w:cs="Arial" w:eastAsia="Arial" w:hAnsi="Arial"/>
                  <w:sz w:val="18"/>
                  <w:szCs w:val="18"/>
                  <w:color w:val="0000EE"/>
                </w:rPr>
                <w:t>Consolidated Balance Sheets</w:t>
              </w:r>
            </w:hyperlink>
          </w:p>
        </w:tc>
        <w:tc>
          <w:tcPr>
            <w:tcW w:w="560" w:type="dxa"/>
            <w:vAlign w:val="bottom"/>
          </w:tcPr>
          <w:p>
            <w:pPr>
              <w:jc w:val="right"/>
              <w:spacing w:after="0" w:line="190"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7"/>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Consolidated Statements of Operations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4240" w:type="dxa"/>
            <w:vAlign w:val="bottom"/>
            <w:tcBorders>
              <w:bottom w:val="single" w:sz="8" w:color="0000EE"/>
            </w:tcBorders>
            <w:gridSpan w:val="5"/>
          </w:tcPr>
          <w:p>
            <w:pPr>
              <w:spacing w:after="0" w:line="196" w:lineRule="exact"/>
              <w:rPr>
                <w:rFonts w:ascii="Arial" w:cs="Arial" w:eastAsia="Arial" w:hAnsi="Arial"/>
                <w:sz w:val="18"/>
                <w:szCs w:val="18"/>
                <w:color w:val="0000EE"/>
                <w:w w:val="89"/>
              </w:rPr>
            </w:pPr>
            <w:hyperlink w:anchor="page75">
              <w:r>
                <w:rPr>
                  <w:rFonts w:ascii="Arial" w:cs="Arial" w:eastAsia="Arial" w:hAnsi="Arial"/>
                  <w:sz w:val="18"/>
                  <w:szCs w:val="18"/>
                  <w:color w:val="0000EE"/>
                  <w:w w:val="89"/>
                </w:rPr>
                <w:t>Consolidated Statements of Comprehensive Income (Loss)</w:t>
              </w:r>
            </w:hyperlink>
          </w:p>
        </w:tc>
        <w:tc>
          <w:tcPr>
            <w:tcW w:w="3920" w:type="dxa"/>
            <w:vAlign w:val="bottom"/>
            <w:gridSpan w:val="2"/>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7"/>
          </w:tcPr>
          <w:p>
            <w:pPr>
              <w:spacing w:after="0" w:line="196" w:lineRule="exact"/>
              <w:rPr>
                <w:rFonts w:ascii="Arial" w:cs="Arial" w:eastAsia="Arial" w:hAnsi="Arial"/>
                <w:sz w:val="18"/>
                <w:szCs w:val="18"/>
                <w:color w:val="0000EE"/>
              </w:rPr>
            </w:pPr>
            <w:hyperlink w:anchor="page76">
              <w:r>
                <w:rPr>
                  <w:rFonts w:ascii="Arial" w:cs="Arial" w:eastAsia="Arial" w:hAnsi="Arial"/>
                  <w:sz w:val="18"/>
                  <w:szCs w:val="18"/>
                  <w:color w:val="0000EE"/>
                </w:rPr>
                <w:t>Consolidated Statements of Changes in Convertible Preferred Stock and Stockholders’ Deficit</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678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Cash Flows</w:t>
              </w:r>
            </w:hyperlink>
          </w:p>
        </w:tc>
        <w:tc>
          <w:tcPr>
            <w:tcW w:w="1380" w:type="dxa"/>
            <w:vAlign w:val="bottom"/>
          </w:tcPr>
          <w:p>
            <w:pPr>
              <w:spacing w:after="0"/>
              <w:rPr>
                <w:sz w:val="17"/>
                <w:szCs w:val="17"/>
                <w:color w:val="auto"/>
              </w:rPr>
            </w:pPr>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86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2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8160" w:type="dxa"/>
            <w:vAlign w:val="bottom"/>
            <w:gridSpan w:val="7"/>
          </w:tcPr>
          <w:p>
            <w:pPr>
              <w:spacing w:after="0" w:line="196" w:lineRule="exact"/>
              <w:rPr>
                <w:rFonts w:ascii="Arial" w:cs="Arial" w:eastAsia="Arial" w:hAnsi="Arial"/>
                <w:sz w:val="18"/>
                <w:szCs w:val="18"/>
                <w:color w:val="0000EE"/>
              </w:rPr>
            </w:pPr>
            <w:hyperlink w:anchor="page78">
              <w:r>
                <w:rPr>
                  <w:rFonts w:ascii="Arial" w:cs="Arial" w:eastAsia="Arial" w:hAnsi="Arial"/>
                  <w:sz w:val="18"/>
                  <w:szCs w:val="18"/>
                  <w:color w:val="0000EE"/>
                </w:rPr>
                <w:t>Notes to Consolidated Financial Statements</w:t>
              </w:r>
            </w:hyperlink>
          </w:p>
        </w:tc>
        <w:tc>
          <w:tcPr>
            <w:tcW w:w="56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2. List of Financial Statement Schedules</w:t>
      </w:r>
    </w:p>
    <w:p>
      <w:pPr>
        <w:spacing w:after="0" w:line="229" w:lineRule="exact"/>
        <w:rPr>
          <w:sz w:val="20"/>
          <w:szCs w:val="20"/>
          <w:color w:val="auto"/>
        </w:rPr>
      </w:pPr>
    </w:p>
    <w:p>
      <w:pPr>
        <w:ind w:left="60" w:right="99" w:firstLine="648"/>
        <w:spacing w:after="0" w:line="277" w:lineRule="auto"/>
        <w:rPr>
          <w:sz w:val="20"/>
          <w:szCs w:val="20"/>
          <w:color w:val="auto"/>
        </w:rPr>
      </w:pPr>
      <w:r>
        <w:rPr>
          <w:rFonts w:ascii="Arial" w:cs="Arial" w:eastAsia="Arial" w:hAnsi="Arial"/>
          <w:sz w:val="18"/>
          <w:szCs w:val="18"/>
          <w:color w:val="auto"/>
        </w:rPr>
        <w:t>All schedules are omitted because they are not applicable, not required or the required information is shown in the consolidated financial statements or notes thereto.</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3. List of Exhibits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exhibits to this report are listed below.</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4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Exhibit</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20" w:type="dxa"/>
            <w:vAlign w:val="bottom"/>
            <w:gridSpan w:val="6"/>
          </w:tcPr>
          <w:p>
            <w:pPr>
              <w:ind w:left="500"/>
              <w:spacing w:after="0"/>
              <w:rPr>
                <w:sz w:val="20"/>
                <w:szCs w:val="20"/>
                <w:color w:val="auto"/>
              </w:rPr>
            </w:pPr>
            <w:r>
              <w:rPr>
                <w:rFonts w:ascii="Arial" w:cs="Arial" w:eastAsia="Arial" w:hAnsi="Arial"/>
                <w:sz w:val="14"/>
                <w:szCs w:val="14"/>
                <w:b w:val="1"/>
                <w:bCs w:val="1"/>
                <w:color w:val="auto"/>
              </w:rPr>
              <w:t>Incorporated by Reference</w:t>
            </w: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Filed/Furnished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740" w:type="dxa"/>
            <w:vAlign w:val="bottom"/>
            <w:gridSpan w:val="12"/>
            <w:vMerge w:val="restart"/>
          </w:tcPr>
          <w:p>
            <w:pPr>
              <w:ind w:left="160"/>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0"/>
                <w:szCs w:val="10"/>
                <w:color w:val="auto"/>
              </w:rPr>
            </w:pPr>
          </w:p>
        </w:tc>
        <w:tc>
          <w:tcPr>
            <w:tcW w:w="660" w:type="dxa"/>
            <w:vAlign w:val="bottom"/>
            <w:tcBorders>
              <w:top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Form</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ind w:left="220"/>
              <w:spacing w:after="0"/>
              <w:rPr>
                <w:sz w:val="20"/>
                <w:szCs w:val="20"/>
                <w:color w:val="auto"/>
              </w:rPr>
            </w:pPr>
            <w:r>
              <w:rPr>
                <w:rFonts w:ascii="Arial" w:cs="Arial" w:eastAsia="Arial" w:hAnsi="Arial"/>
                <w:sz w:val="14"/>
                <w:szCs w:val="14"/>
                <w:b w:val="1"/>
                <w:bCs w:val="1"/>
                <w:color w:val="auto"/>
              </w:rPr>
              <w:t>File No.</w:t>
            </w:r>
          </w:p>
        </w:tc>
        <w:tc>
          <w:tcPr>
            <w:tcW w:w="16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4"/>
                <w:szCs w:val="14"/>
                <w:b w:val="1"/>
                <w:bCs w:val="1"/>
                <w:color w:val="auto"/>
              </w:rPr>
              <w:t>Exhibit</w:t>
            </w: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Filing</w:t>
            </w:r>
          </w:p>
        </w:tc>
        <w:tc>
          <w:tcPr>
            <w:tcW w:w="1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jc w:val="right"/>
              <w:ind w:right="42"/>
              <w:spacing w:after="0"/>
              <w:rPr>
                <w:sz w:val="20"/>
                <w:szCs w:val="20"/>
                <w:color w:val="auto"/>
              </w:rPr>
            </w:pPr>
            <w:r>
              <w:rPr>
                <w:rFonts w:ascii="Arial" w:cs="Arial" w:eastAsia="Arial" w:hAnsi="Arial"/>
                <w:sz w:val="14"/>
                <w:szCs w:val="14"/>
                <w:b w:val="1"/>
                <w:bCs w:val="1"/>
                <w:color w:val="auto"/>
              </w:rPr>
              <w:t>Number</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12"/>
            <w:vMerge w:val="continue"/>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Date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w w:val="94"/>
              </w:rPr>
              <w:t>Herewith</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40" w:type="dxa"/>
            <w:vAlign w:val="bottom"/>
            <w:tcBorders>
              <w:top w:val="single" w:sz="8" w:color="auto"/>
            </w:tcBorders>
          </w:tcPr>
          <w:p>
            <w:pPr>
              <w:jc w:val="right"/>
              <w:ind w:right="442"/>
              <w:spacing w:after="0" w:line="169" w:lineRule="exact"/>
              <w:rPr>
                <w:sz w:val="20"/>
                <w:szCs w:val="20"/>
                <w:color w:val="auto"/>
              </w:rPr>
            </w:pPr>
            <w:r>
              <w:rPr>
                <w:rFonts w:ascii="Arial" w:cs="Arial" w:eastAsia="Arial" w:hAnsi="Arial"/>
                <w:sz w:val="18"/>
                <w:szCs w:val="18"/>
                <w:color w:val="auto"/>
                <w:w w:val="79"/>
              </w:rPr>
              <w:t>3.1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40" w:type="dxa"/>
            <w:vAlign w:val="bottom"/>
            <w:tcBorders>
              <w:top w:val="single" w:sz="8" w:color="auto"/>
            </w:tcBorders>
            <w:gridSpan w:val="14"/>
          </w:tcPr>
          <w:p>
            <w:pPr>
              <w:spacing w:after="0" w:line="169" w:lineRule="exact"/>
              <w:rPr>
                <w:rFonts w:ascii="Arial" w:cs="Arial" w:eastAsia="Arial" w:hAnsi="Arial"/>
                <w:sz w:val="18"/>
                <w:szCs w:val="18"/>
                <w:color w:val="0000EE"/>
              </w:rPr>
            </w:pPr>
            <w:hyperlink r:id="rId124">
              <w:r>
                <w:rPr>
                  <w:rFonts w:ascii="Arial" w:cs="Arial" w:eastAsia="Arial" w:hAnsi="Arial"/>
                  <w:sz w:val="18"/>
                  <w:szCs w:val="18"/>
                  <w:color w:val="0000EE"/>
                </w:rPr>
                <w:t>Amended and Restated</w:t>
              </w:r>
            </w:hyperlink>
          </w:p>
        </w:tc>
        <w:tc>
          <w:tcPr>
            <w:tcW w:w="160" w:type="dxa"/>
            <w:vAlign w:val="bottom"/>
          </w:tcPr>
          <w:p>
            <w:pPr>
              <w:spacing w:after="0"/>
              <w:rPr>
                <w:sz w:val="14"/>
                <w:szCs w:val="14"/>
                <w:color w:val="auto"/>
              </w:rPr>
            </w:pPr>
          </w:p>
        </w:tc>
        <w:tc>
          <w:tcPr>
            <w:tcW w:w="66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8-K</w:t>
            </w:r>
          </w:p>
        </w:tc>
        <w:tc>
          <w:tcPr>
            <w:tcW w:w="160" w:type="dxa"/>
            <w:vAlign w:val="bottom"/>
          </w:tcPr>
          <w:p>
            <w:pPr>
              <w:spacing w:after="0"/>
              <w:rPr>
                <w:sz w:val="14"/>
                <w:szCs w:val="14"/>
                <w:color w:val="auto"/>
              </w:rPr>
            </w:pPr>
          </w:p>
        </w:tc>
        <w:tc>
          <w:tcPr>
            <w:tcW w:w="90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001-39100</w:t>
            </w:r>
          </w:p>
        </w:tc>
        <w:tc>
          <w:tcPr>
            <w:tcW w:w="160" w:type="dxa"/>
            <w:vAlign w:val="bottom"/>
          </w:tcPr>
          <w:p>
            <w:pPr>
              <w:spacing w:after="0"/>
              <w:rPr>
                <w:sz w:val="14"/>
                <w:szCs w:val="14"/>
                <w:color w:val="auto"/>
              </w:rPr>
            </w:pPr>
          </w:p>
        </w:tc>
        <w:tc>
          <w:tcPr>
            <w:tcW w:w="900" w:type="dxa"/>
            <w:vAlign w:val="bottom"/>
            <w:tcBorders>
              <w:top w:val="single" w:sz="8" w:color="auto"/>
            </w:tcBorders>
          </w:tcPr>
          <w:p>
            <w:pPr>
              <w:jc w:val="right"/>
              <w:ind w:right="599"/>
              <w:spacing w:after="0" w:line="169" w:lineRule="exact"/>
              <w:rPr>
                <w:sz w:val="20"/>
                <w:szCs w:val="20"/>
                <w:color w:val="auto"/>
              </w:rPr>
            </w:pPr>
            <w:r>
              <w:rPr>
                <w:rFonts w:ascii="Arial" w:cs="Arial" w:eastAsia="Arial" w:hAnsi="Arial"/>
                <w:sz w:val="18"/>
                <w:szCs w:val="18"/>
                <w:color w:val="auto"/>
                <w:w w:val="79"/>
              </w:rPr>
              <w:t>3.2</w:t>
            </w:r>
          </w:p>
        </w:tc>
        <w:tc>
          <w:tcPr>
            <w:tcW w:w="160" w:type="dxa"/>
            <w:vAlign w:val="bottom"/>
          </w:tcPr>
          <w:p>
            <w:pPr>
              <w:spacing w:after="0"/>
              <w:rPr>
                <w:sz w:val="14"/>
                <w:szCs w:val="14"/>
                <w:color w:val="auto"/>
              </w:rPr>
            </w:pPr>
          </w:p>
        </w:tc>
        <w:tc>
          <w:tcPr>
            <w:tcW w:w="11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auto"/>
              </w:rPr>
              <w:t>10/31/2019</w:t>
            </w:r>
          </w:p>
        </w:tc>
        <w:tc>
          <w:tcPr>
            <w:tcW w:w="180" w:type="dxa"/>
            <w:vAlign w:val="bottom"/>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24">
              <w:r>
                <w:rPr>
                  <w:rFonts w:ascii="Arial" w:cs="Arial" w:eastAsia="Arial" w:hAnsi="Arial"/>
                  <w:sz w:val="18"/>
                  <w:szCs w:val="18"/>
                  <w:color w:val="0000EE"/>
                  <w:w w:val="93"/>
                </w:rPr>
                <w:t>Certificate of Incorporation of</w:t>
              </w:r>
            </w:hyperlink>
          </w:p>
        </w:tc>
        <w:tc>
          <w:tcPr>
            <w:tcW w:w="28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24">
              <w:r>
                <w:rPr>
                  <w:rFonts w:ascii="Arial" w:cs="Arial" w:eastAsia="Arial" w:hAnsi="Arial"/>
                  <w:sz w:val="18"/>
                  <w:szCs w:val="18"/>
                  <w:color w:val="0000EE"/>
                  <w:w w:val="89"/>
                </w:rPr>
                <w:t>Progyny, Inc.</w:t>
              </w:r>
            </w:hyperlink>
          </w:p>
        </w:tc>
        <w:tc>
          <w:tcPr>
            <w:tcW w:w="1500" w:type="dxa"/>
            <w:vAlign w:val="bottom"/>
            <w:gridSpan w:val="11"/>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3.2</w:t>
            </w:r>
          </w:p>
        </w:tc>
        <w:tc>
          <w:tcPr>
            <w:tcW w:w="200" w:type="dxa"/>
            <w:vAlign w:val="bottom"/>
          </w:tcPr>
          <w:p>
            <w:pPr>
              <w:spacing w:after="0"/>
              <w:rPr>
                <w:sz w:val="17"/>
                <w:szCs w:val="17"/>
                <w:color w:val="auto"/>
              </w:rPr>
            </w:pPr>
          </w:p>
        </w:tc>
        <w:tc>
          <w:tcPr>
            <w:tcW w:w="2460" w:type="dxa"/>
            <w:vAlign w:val="bottom"/>
            <w:gridSpan w:val="15"/>
          </w:tcPr>
          <w:p>
            <w:pPr>
              <w:spacing w:after="0" w:line="196" w:lineRule="exact"/>
              <w:rPr>
                <w:rFonts w:ascii="Arial" w:cs="Arial" w:eastAsia="Arial" w:hAnsi="Arial"/>
                <w:sz w:val="18"/>
                <w:szCs w:val="18"/>
                <w:color w:val="0000EE"/>
                <w:w w:val="94"/>
              </w:rPr>
            </w:pPr>
            <w:hyperlink r:id="rId125">
              <w:r>
                <w:rPr>
                  <w:rFonts w:ascii="Arial" w:cs="Arial" w:eastAsia="Arial" w:hAnsi="Arial"/>
                  <w:sz w:val="18"/>
                  <w:szCs w:val="18"/>
                  <w:color w:val="0000EE"/>
                  <w:w w:val="94"/>
                </w:rPr>
                <w:t>Amended and Restated By-laws</w:t>
              </w:r>
            </w:hyperlink>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3.4</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9/27/2019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0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r:id="rId125">
              <w:r>
                <w:rPr>
                  <w:rFonts w:ascii="Arial" w:cs="Arial" w:eastAsia="Arial" w:hAnsi="Arial"/>
                  <w:sz w:val="18"/>
                  <w:szCs w:val="18"/>
                  <w:color w:val="0000EE"/>
                </w:rPr>
                <w:t>of Progyny, Inc</w:t>
              </w:r>
              <w:r>
                <w:rPr>
                  <w:rFonts w:ascii="Arial" w:cs="Arial" w:eastAsia="Arial" w:hAnsi="Arial"/>
                  <w:sz w:val="18"/>
                  <w:szCs w:val="18"/>
                  <w:color w:val="000000"/>
                </w:rPr>
                <w:t>.</w:t>
              </w:r>
            </w:hyperlink>
          </w:p>
        </w:tc>
        <w:tc>
          <w:tcPr>
            <w:tcW w:w="16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4.1</w:t>
            </w:r>
          </w:p>
        </w:tc>
        <w:tc>
          <w:tcPr>
            <w:tcW w:w="200" w:type="dxa"/>
            <w:vAlign w:val="bottom"/>
          </w:tcPr>
          <w:p>
            <w:pPr>
              <w:spacing w:after="0"/>
              <w:rPr>
                <w:sz w:val="17"/>
                <w:szCs w:val="17"/>
                <w:color w:val="auto"/>
              </w:rPr>
            </w:pPr>
          </w:p>
        </w:tc>
        <w:tc>
          <w:tcPr>
            <w:tcW w:w="1680" w:type="dxa"/>
            <w:vAlign w:val="bottom"/>
            <w:tcBorders>
              <w:bottom w:val="single" w:sz="8" w:color="0000EE"/>
            </w:tcBorders>
            <w:gridSpan w:val="8"/>
          </w:tcPr>
          <w:p>
            <w:pPr>
              <w:spacing w:after="0" w:line="196" w:lineRule="exact"/>
              <w:rPr>
                <w:rFonts w:ascii="Arial" w:cs="Arial" w:eastAsia="Arial" w:hAnsi="Arial"/>
                <w:sz w:val="18"/>
                <w:szCs w:val="18"/>
                <w:color w:val="0000EE"/>
                <w:w w:val="90"/>
              </w:rPr>
            </w:pPr>
            <w:hyperlink r:id="rId126">
              <w:r>
                <w:rPr>
                  <w:rFonts w:ascii="Arial" w:cs="Arial" w:eastAsia="Arial" w:hAnsi="Arial"/>
                  <w:sz w:val="18"/>
                  <w:szCs w:val="18"/>
                  <w:color w:val="0000EE"/>
                  <w:w w:val="90"/>
                </w:rPr>
                <w:t>Form of common stock</w:t>
              </w:r>
            </w:hyperlink>
          </w:p>
        </w:tc>
        <w:tc>
          <w:tcPr>
            <w:tcW w:w="780" w:type="dxa"/>
            <w:vAlign w:val="bottom"/>
            <w:gridSpan w:val="7"/>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4.1</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10/15/2019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15"/>
          </w:tcPr>
          <w:p>
            <w:pPr>
              <w:spacing w:after="0" w:line="196" w:lineRule="exact"/>
              <w:rPr>
                <w:rFonts w:ascii="Arial" w:cs="Arial" w:eastAsia="Arial" w:hAnsi="Arial"/>
                <w:sz w:val="18"/>
                <w:szCs w:val="18"/>
                <w:color w:val="0000EE"/>
              </w:rPr>
            </w:pPr>
            <w:hyperlink r:id="rId126">
              <w:r>
                <w:rPr>
                  <w:rFonts w:ascii="Arial" w:cs="Arial" w:eastAsia="Arial" w:hAnsi="Arial"/>
                  <w:sz w:val="18"/>
                  <w:szCs w:val="18"/>
                  <w:color w:val="0000EE"/>
                </w:rPr>
                <w:t>certificate</w:t>
              </w:r>
              <w:r>
                <w:rPr>
                  <w:rFonts w:ascii="Arial" w:cs="Arial" w:eastAsia="Arial" w:hAnsi="Arial"/>
                  <w:sz w:val="18"/>
                  <w:szCs w:val="18"/>
                  <w:color w:val="000000"/>
                </w:rPr>
                <w:t>.</w:t>
              </w:r>
            </w:hyperlink>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4.2</w:t>
            </w:r>
          </w:p>
        </w:tc>
        <w:tc>
          <w:tcPr>
            <w:tcW w:w="20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7">
              <w:r>
                <w:rPr>
                  <w:rFonts w:ascii="Arial" w:cs="Arial" w:eastAsia="Arial" w:hAnsi="Arial"/>
                  <w:sz w:val="18"/>
                  <w:szCs w:val="18"/>
                  <w:color w:val="0000EE"/>
                  <w:w w:val="90"/>
                </w:rPr>
                <w:t>Form of 2013 Preferred Stock</w:t>
              </w:r>
            </w:hyperlink>
          </w:p>
        </w:tc>
        <w:tc>
          <w:tcPr>
            <w:tcW w:w="300" w:type="dxa"/>
            <w:vAlign w:val="bottom"/>
            <w:gridSpan w:val="4"/>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4.2</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10/15/2019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27">
              <w:r>
                <w:rPr>
                  <w:rFonts w:ascii="Arial" w:cs="Arial" w:eastAsia="Arial" w:hAnsi="Arial"/>
                  <w:sz w:val="18"/>
                  <w:szCs w:val="18"/>
                  <w:color w:val="0000EE"/>
                  <w:w w:val="86"/>
                </w:rPr>
                <w:t>Warrant.</w:t>
              </w:r>
            </w:hyperlink>
          </w:p>
        </w:tc>
        <w:tc>
          <w:tcPr>
            <w:tcW w:w="184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4.3</w:t>
            </w:r>
          </w:p>
        </w:tc>
        <w:tc>
          <w:tcPr>
            <w:tcW w:w="20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8">
              <w:r>
                <w:rPr>
                  <w:rFonts w:ascii="Arial" w:cs="Arial" w:eastAsia="Arial" w:hAnsi="Arial"/>
                  <w:sz w:val="18"/>
                  <w:szCs w:val="18"/>
                  <w:color w:val="0000EE"/>
                  <w:w w:val="90"/>
                </w:rPr>
                <w:t>Form of 2014 Preferred Stock</w:t>
              </w:r>
            </w:hyperlink>
          </w:p>
        </w:tc>
        <w:tc>
          <w:tcPr>
            <w:tcW w:w="300" w:type="dxa"/>
            <w:vAlign w:val="bottom"/>
            <w:gridSpan w:val="4"/>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4.3</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10/15/2019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28">
              <w:r>
                <w:rPr>
                  <w:rFonts w:ascii="Arial" w:cs="Arial" w:eastAsia="Arial" w:hAnsi="Arial"/>
                  <w:sz w:val="18"/>
                  <w:szCs w:val="18"/>
                  <w:color w:val="0000EE"/>
                  <w:w w:val="86"/>
                </w:rPr>
                <w:t>Warrant.</w:t>
              </w:r>
            </w:hyperlink>
          </w:p>
        </w:tc>
        <w:tc>
          <w:tcPr>
            <w:tcW w:w="184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4.4</w:t>
            </w:r>
          </w:p>
        </w:tc>
        <w:tc>
          <w:tcPr>
            <w:tcW w:w="200" w:type="dxa"/>
            <w:vAlign w:val="bottom"/>
          </w:tcPr>
          <w:p>
            <w:pPr>
              <w:spacing w:after="0"/>
              <w:rPr>
                <w:sz w:val="17"/>
                <w:szCs w:val="17"/>
                <w:color w:val="auto"/>
              </w:rPr>
            </w:pPr>
          </w:p>
        </w:tc>
        <w:tc>
          <w:tcPr>
            <w:tcW w:w="216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r:id="rId129">
              <w:r>
                <w:rPr>
                  <w:rFonts w:ascii="Arial" w:cs="Arial" w:eastAsia="Arial" w:hAnsi="Arial"/>
                  <w:sz w:val="18"/>
                  <w:szCs w:val="18"/>
                  <w:color w:val="0000EE"/>
                  <w:w w:val="90"/>
                </w:rPr>
                <w:t>Form of 2015 Preferred Stock</w:t>
              </w:r>
            </w:hyperlink>
          </w:p>
        </w:tc>
        <w:tc>
          <w:tcPr>
            <w:tcW w:w="300" w:type="dxa"/>
            <w:vAlign w:val="bottom"/>
            <w:gridSpan w:val="4"/>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4.4</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10/15/2019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20" w:type="dxa"/>
            <w:vAlign w:val="bottom"/>
            <w:tcBorders>
              <w:bottom w:val="single" w:sz="8" w:color="0000EE"/>
            </w:tcBorders>
            <w:gridSpan w:val="2"/>
          </w:tcPr>
          <w:p>
            <w:pPr>
              <w:spacing w:after="0" w:line="196" w:lineRule="exact"/>
              <w:rPr>
                <w:rFonts w:ascii="Arial" w:cs="Arial" w:eastAsia="Arial" w:hAnsi="Arial"/>
                <w:sz w:val="18"/>
                <w:szCs w:val="18"/>
                <w:color w:val="0000EE"/>
                <w:w w:val="86"/>
              </w:rPr>
            </w:pPr>
            <w:hyperlink r:id="rId129">
              <w:r>
                <w:rPr>
                  <w:rFonts w:ascii="Arial" w:cs="Arial" w:eastAsia="Arial" w:hAnsi="Arial"/>
                  <w:sz w:val="18"/>
                  <w:szCs w:val="18"/>
                  <w:color w:val="0000EE"/>
                  <w:w w:val="86"/>
                </w:rPr>
                <w:t>Warrant.</w:t>
              </w:r>
            </w:hyperlink>
          </w:p>
        </w:tc>
        <w:tc>
          <w:tcPr>
            <w:tcW w:w="1840" w:type="dxa"/>
            <w:vAlign w:val="bottom"/>
            <w:gridSpan w:val="13"/>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4.5</w:t>
            </w:r>
          </w:p>
        </w:tc>
        <w:tc>
          <w:tcPr>
            <w:tcW w:w="200" w:type="dxa"/>
            <w:vAlign w:val="bottom"/>
          </w:tcPr>
          <w:p>
            <w:pPr>
              <w:spacing w:after="0"/>
              <w:rPr>
                <w:sz w:val="17"/>
                <w:szCs w:val="17"/>
                <w:color w:val="auto"/>
              </w:rPr>
            </w:pPr>
          </w:p>
        </w:tc>
        <w:tc>
          <w:tcPr>
            <w:tcW w:w="24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130">
              <w:r>
                <w:rPr>
                  <w:rFonts w:ascii="Arial" w:cs="Arial" w:eastAsia="Arial" w:hAnsi="Arial"/>
                  <w:sz w:val="18"/>
                  <w:szCs w:val="18"/>
                  <w:color w:val="0000EE"/>
                  <w:w w:val="87"/>
                </w:rPr>
                <w:t>Warrant to Purchase Stock issued</w:t>
              </w:r>
            </w:hyperlink>
          </w:p>
        </w:tc>
        <w:tc>
          <w:tcPr>
            <w:tcW w:w="60" w:type="dxa"/>
            <w:vAlign w:val="bottom"/>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S-1/A</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w w:val="91"/>
              </w:rPr>
              <w:t>333-233965</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4.5</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10/15/2019</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60" w:type="dxa"/>
            <w:vAlign w:val="bottom"/>
            <w:tcBorders>
              <w:bottom w:val="single" w:sz="8" w:color="0000EE"/>
            </w:tcBorders>
            <w:gridSpan w:val="9"/>
          </w:tcPr>
          <w:p>
            <w:pPr>
              <w:spacing w:after="0" w:line="196" w:lineRule="exact"/>
              <w:rPr>
                <w:rFonts w:ascii="Arial" w:cs="Arial" w:eastAsia="Arial" w:hAnsi="Arial"/>
                <w:sz w:val="18"/>
                <w:szCs w:val="18"/>
                <w:color w:val="0000EE"/>
                <w:w w:val="91"/>
              </w:rPr>
            </w:pPr>
            <w:hyperlink r:id="rId130">
              <w:r>
                <w:rPr>
                  <w:rFonts w:ascii="Arial" w:cs="Arial" w:eastAsia="Arial" w:hAnsi="Arial"/>
                  <w:sz w:val="18"/>
                  <w:szCs w:val="18"/>
                  <w:color w:val="0000EE"/>
                  <w:w w:val="91"/>
                </w:rPr>
                <w:t>to Silicon Valley Bank dated</w:t>
              </w:r>
            </w:hyperlink>
          </w:p>
        </w:tc>
        <w:tc>
          <w:tcPr>
            <w:tcW w:w="400" w:type="dxa"/>
            <w:vAlign w:val="bottom"/>
            <w:gridSpan w:val="6"/>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60" w:type="dxa"/>
            <w:vAlign w:val="bottom"/>
            <w:gridSpan w:val="15"/>
          </w:tcPr>
          <w:p>
            <w:pPr>
              <w:spacing w:after="0" w:line="196" w:lineRule="exact"/>
              <w:rPr>
                <w:rFonts w:ascii="Arial" w:cs="Arial" w:eastAsia="Arial" w:hAnsi="Arial"/>
                <w:sz w:val="18"/>
                <w:szCs w:val="18"/>
                <w:color w:val="0000EE"/>
              </w:rPr>
            </w:pPr>
            <w:hyperlink r:id="rId130">
              <w:r>
                <w:rPr>
                  <w:rFonts w:ascii="Arial" w:cs="Arial" w:eastAsia="Arial" w:hAnsi="Arial"/>
                  <w:sz w:val="18"/>
                  <w:szCs w:val="18"/>
                  <w:color w:val="0000EE"/>
                </w:rPr>
                <w:t>October 9, 2013.</w:t>
              </w:r>
            </w:hyperlink>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6"/>
            <w:shd w:val="clear" w:color="auto" w:fill="0000EE"/>
          </w:tcPr>
          <w:p>
            <w:pPr>
              <w:spacing w:after="0" w:line="20" w:lineRule="exact"/>
              <w:rPr>
                <w:sz w:val="1"/>
                <w:szCs w:val="1"/>
                <w:color w:val="auto"/>
              </w:rPr>
            </w:pPr>
          </w:p>
        </w:tc>
        <w:tc>
          <w:tcPr>
            <w:tcW w:w="900" w:type="dxa"/>
            <w:vAlign w:val="bottom"/>
            <w:gridSpan w:val="4"/>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jc w:val="right"/>
              <w:ind w:right="442"/>
              <w:spacing w:after="0" w:line="196" w:lineRule="exact"/>
              <w:rPr>
                <w:sz w:val="20"/>
                <w:szCs w:val="20"/>
                <w:color w:val="auto"/>
              </w:rPr>
            </w:pPr>
            <w:r>
              <w:rPr>
                <w:rFonts w:ascii="Arial" w:cs="Arial" w:eastAsia="Arial" w:hAnsi="Arial"/>
                <w:sz w:val="18"/>
                <w:szCs w:val="18"/>
                <w:color w:val="auto"/>
                <w:w w:val="87"/>
              </w:rPr>
              <w:t>4.6</w:t>
            </w:r>
          </w:p>
        </w:tc>
        <w:tc>
          <w:tcPr>
            <w:tcW w:w="200" w:type="dxa"/>
            <w:vAlign w:val="bottom"/>
          </w:tcPr>
          <w:p>
            <w:pPr>
              <w:spacing w:after="0"/>
              <w:rPr>
                <w:sz w:val="17"/>
                <w:szCs w:val="17"/>
                <w:color w:val="auto"/>
              </w:rPr>
            </w:pPr>
          </w:p>
        </w:tc>
        <w:tc>
          <w:tcPr>
            <w:tcW w:w="2100" w:type="dxa"/>
            <w:vAlign w:val="bottom"/>
            <w:tcBorders>
              <w:bottom w:val="single" w:sz="8" w:color="0000EE"/>
            </w:tcBorders>
            <w:gridSpan w:val="10"/>
          </w:tcPr>
          <w:p>
            <w:pPr>
              <w:spacing w:after="0" w:line="196" w:lineRule="exact"/>
              <w:rPr>
                <w:rFonts w:ascii="Arial" w:cs="Arial" w:eastAsia="Arial" w:hAnsi="Arial"/>
                <w:sz w:val="18"/>
                <w:szCs w:val="18"/>
                <w:color w:val="0000EE"/>
                <w:w w:val="91"/>
              </w:rPr>
            </w:pPr>
            <w:hyperlink r:id="rId131">
              <w:r>
                <w:rPr>
                  <w:rFonts w:ascii="Arial" w:cs="Arial" w:eastAsia="Arial" w:hAnsi="Arial"/>
                  <w:sz w:val="18"/>
                  <w:szCs w:val="18"/>
                  <w:color w:val="0000EE"/>
                  <w:w w:val="91"/>
                </w:rPr>
                <w:t>Description of Capital Stock.</w:t>
              </w:r>
            </w:hyperlink>
          </w:p>
        </w:tc>
        <w:tc>
          <w:tcPr>
            <w:tcW w:w="360" w:type="dxa"/>
            <w:vAlign w:val="bottom"/>
            <w:gridSpan w:val="5"/>
          </w:tcPr>
          <w:p>
            <w:pPr>
              <w:spacing w:after="0"/>
              <w:rPr>
                <w:sz w:val="17"/>
                <w:szCs w:val="17"/>
                <w:color w:val="auto"/>
              </w:rPr>
            </w:pPr>
          </w:p>
        </w:tc>
        <w:tc>
          <w:tcPr>
            <w:tcW w:w="82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10-K</w:t>
            </w:r>
          </w:p>
        </w:tc>
        <w:tc>
          <w:tcPr>
            <w:tcW w:w="106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001-39100</w:t>
            </w:r>
          </w:p>
        </w:tc>
        <w:tc>
          <w:tcPr>
            <w:tcW w:w="1060" w:type="dxa"/>
            <w:vAlign w:val="bottom"/>
            <w:gridSpan w:val="2"/>
          </w:tcPr>
          <w:p>
            <w:pPr>
              <w:jc w:val="right"/>
              <w:ind w:right="599"/>
              <w:spacing w:after="0" w:line="196" w:lineRule="exact"/>
              <w:rPr>
                <w:sz w:val="20"/>
                <w:szCs w:val="20"/>
                <w:color w:val="auto"/>
              </w:rPr>
            </w:pPr>
            <w:r>
              <w:rPr>
                <w:rFonts w:ascii="Arial" w:cs="Arial" w:eastAsia="Arial" w:hAnsi="Arial"/>
                <w:sz w:val="18"/>
                <w:szCs w:val="18"/>
                <w:color w:val="auto"/>
              </w:rPr>
              <w:t>4.6</w:t>
            </w:r>
          </w:p>
        </w:tc>
        <w:tc>
          <w:tcPr>
            <w:tcW w:w="1280" w:type="dxa"/>
            <w:vAlign w:val="bottom"/>
            <w:gridSpan w:val="2"/>
          </w:tcPr>
          <w:p>
            <w:pPr>
              <w:ind w:left="160"/>
              <w:spacing w:after="0" w:line="196" w:lineRule="exact"/>
              <w:rPr>
                <w:sz w:val="20"/>
                <w:szCs w:val="20"/>
                <w:color w:val="auto"/>
              </w:rPr>
            </w:pPr>
            <w:r>
              <w:rPr>
                <w:rFonts w:ascii="Arial" w:cs="Arial" w:eastAsia="Arial" w:hAnsi="Arial"/>
                <w:sz w:val="18"/>
                <w:szCs w:val="18"/>
                <w:color w:val="auto"/>
              </w:rPr>
              <w:t>3/10/2020</w:t>
            </w: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4" w:name="page105"/>
    <w:bookmarkEnd w:id="10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w:t>
            </w:r>
          </w:p>
        </w:tc>
        <w:tc>
          <w:tcPr>
            <w:tcW w:w="2300" w:type="dxa"/>
            <w:vAlign w:val="bottom"/>
            <w:tcBorders>
              <w:bottom w:val="single" w:sz="8" w:color="0000EE"/>
            </w:tcBorders>
            <w:gridSpan w:val="26"/>
          </w:tcPr>
          <w:p>
            <w:pPr>
              <w:spacing w:after="0"/>
              <w:rPr>
                <w:rFonts w:ascii="Arial" w:cs="Arial" w:eastAsia="Arial" w:hAnsi="Arial"/>
                <w:sz w:val="18"/>
                <w:szCs w:val="18"/>
                <w:color w:val="0000EE"/>
                <w:w w:val="88"/>
              </w:rPr>
            </w:pPr>
            <w:hyperlink r:id="rId133">
              <w:r>
                <w:rPr>
                  <w:rFonts w:ascii="Arial" w:cs="Arial" w:eastAsia="Arial" w:hAnsi="Arial"/>
                  <w:sz w:val="18"/>
                  <w:szCs w:val="18"/>
                  <w:color w:val="0000EE"/>
                  <w:w w:val="88"/>
                </w:rPr>
                <w:t>Amended and Restated Investor</w:t>
              </w:r>
            </w:hyperlink>
          </w:p>
        </w:tc>
        <w:tc>
          <w:tcPr>
            <w:tcW w:w="220" w:type="dxa"/>
            <w:vAlign w:val="bottom"/>
            <w:gridSpan w:val="5"/>
          </w:tcPr>
          <w:p>
            <w:pPr>
              <w:spacing w:after="0"/>
              <w:rPr>
                <w:sz w:val="17"/>
                <w:szCs w:val="17"/>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S-1</w:t>
            </w:r>
          </w:p>
        </w:tc>
        <w:tc>
          <w:tcPr>
            <w:tcW w:w="1200" w:type="dxa"/>
            <w:vAlign w:val="bottom"/>
          </w:tcPr>
          <w:p>
            <w:pPr>
              <w:ind w:left="220"/>
              <w:spacing w:after="0"/>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rPr>
                <w:sz w:val="20"/>
                <w:szCs w:val="20"/>
                <w:color w:val="auto"/>
              </w:rPr>
            </w:pPr>
            <w:r>
              <w:rPr>
                <w:rFonts w:ascii="Arial" w:cs="Arial" w:eastAsia="Arial" w:hAnsi="Arial"/>
                <w:sz w:val="18"/>
                <w:szCs w:val="18"/>
                <w:color w:val="auto"/>
              </w:rPr>
              <w:t>10.1</w:t>
            </w:r>
          </w:p>
        </w:tc>
        <w:tc>
          <w:tcPr>
            <w:tcW w:w="2720" w:type="dxa"/>
            <w:vAlign w:val="bottom"/>
          </w:tcPr>
          <w:p>
            <w:pPr>
              <w:ind w:left="320"/>
              <w:spacing w:after="0"/>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180" w:type="dxa"/>
            <w:vAlign w:val="bottom"/>
            <w:tcBorders>
              <w:bottom w:val="single" w:sz="8" w:color="0000EE"/>
            </w:tcBorders>
            <w:gridSpan w:val="22"/>
          </w:tcPr>
          <w:p>
            <w:pPr>
              <w:spacing w:after="0" w:line="196" w:lineRule="exact"/>
              <w:rPr>
                <w:rFonts w:ascii="Arial" w:cs="Arial" w:eastAsia="Arial" w:hAnsi="Arial"/>
                <w:sz w:val="18"/>
                <w:szCs w:val="18"/>
                <w:color w:val="0000EE"/>
                <w:w w:val="88"/>
              </w:rPr>
            </w:pPr>
            <w:hyperlink r:id="rId133">
              <w:r>
                <w:rPr>
                  <w:rFonts w:ascii="Arial" w:cs="Arial" w:eastAsia="Arial" w:hAnsi="Arial"/>
                  <w:sz w:val="18"/>
                  <w:szCs w:val="18"/>
                  <w:color w:val="0000EE"/>
                  <w:w w:val="88"/>
                </w:rPr>
                <w:t>Rights Agreement, dated as of</w:t>
              </w:r>
            </w:hyperlink>
          </w:p>
        </w:tc>
        <w:tc>
          <w:tcPr>
            <w:tcW w:w="34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60" w:type="dxa"/>
            <w:vAlign w:val="bottom"/>
            <w:tcBorders>
              <w:bottom w:val="single" w:sz="8" w:color="0000EE"/>
            </w:tcBorders>
            <w:gridSpan w:val="21"/>
          </w:tcPr>
          <w:p>
            <w:pPr>
              <w:spacing w:after="0" w:line="196" w:lineRule="exact"/>
              <w:rPr>
                <w:rFonts w:ascii="Arial" w:cs="Arial" w:eastAsia="Arial" w:hAnsi="Arial"/>
                <w:sz w:val="18"/>
                <w:szCs w:val="18"/>
                <w:color w:val="0000EE"/>
                <w:w w:val="89"/>
              </w:rPr>
            </w:pPr>
            <w:hyperlink r:id="rId133">
              <w:r>
                <w:rPr>
                  <w:rFonts w:ascii="Arial" w:cs="Arial" w:eastAsia="Arial" w:hAnsi="Arial"/>
                  <w:sz w:val="18"/>
                  <w:szCs w:val="18"/>
                  <w:color w:val="0000EE"/>
                  <w:w w:val="89"/>
                </w:rPr>
                <w:t>March 4, 2015, by and among</w:t>
              </w:r>
            </w:hyperlink>
          </w:p>
        </w:tc>
        <w:tc>
          <w:tcPr>
            <w:tcW w:w="360" w:type="dxa"/>
            <w:vAlign w:val="bottom"/>
            <w:gridSpan w:val="10"/>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2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33">
              <w:r>
                <w:rPr>
                  <w:rFonts w:ascii="Arial" w:cs="Arial" w:eastAsia="Arial" w:hAnsi="Arial"/>
                  <w:sz w:val="18"/>
                  <w:szCs w:val="18"/>
                  <w:color w:val="0000EE"/>
                  <w:w w:val="90"/>
                </w:rPr>
                <w:t>Progyny, Inc. and certain of its</w:t>
              </w:r>
            </w:hyperlink>
          </w:p>
        </w:tc>
        <w:tc>
          <w:tcPr>
            <w:tcW w:w="3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3">
              <w:r>
                <w:rPr>
                  <w:rFonts w:ascii="Arial" w:cs="Arial" w:eastAsia="Arial" w:hAnsi="Arial"/>
                  <w:sz w:val="18"/>
                  <w:szCs w:val="18"/>
                  <w:color w:val="0000EE"/>
                </w:rPr>
                <w:t>stockholders</w:t>
              </w:r>
              <w:r>
                <w:rPr>
                  <w:rFonts w:ascii="Arial" w:cs="Arial" w:eastAsia="Arial" w:hAnsi="Arial"/>
                  <w:sz w:val="18"/>
                  <w:szCs w:val="18"/>
                  <w:color w:val="000000"/>
                </w:rPr>
                <w:t>.</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10.2†</w:t>
            </w:r>
          </w:p>
        </w:tc>
        <w:tc>
          <w:tcPr>
            <w:tcW w:w="2520" w:type="dxa"/>
            <w:vAlign w:val="bottom"/>
            <w:gridSpan w:val="31"/>
          </w:tcPr>
          <w:p>
            <w:pPr>
              <w:spacing w:after="0" w:line="196" w:lineRule="exact"/>
              <w:rPr>
                <w:rFonts w:ascii="Arial" w:cs="Arial" w:eastAsia="Arial" w:hAnsi="Arial"/>
                <w:sz w:val="18"/>
                <w:szCs w:val="18"/>
                <w:color w:val="0000EE"/>
                <w:w w:val="92"/>
              </w:rPr>
            </w:pPr>
            <w:hyperlink r:id="rId134">
              <w:r>
                <w:rPr>
                  <w:rFonts w:ascii="Arial" w:cs="Arial" w:eastAsia="Arial" w:hAnsi="Arial"/>
                  <w:sz w:val="18"/>
                  <w:szCs w:val="18"/>
                  <w:color w:val="0000EE"/>
                  <w:w w:val="92"/>
                </w:rPr>
                <w:t>Progyny, Inc. 2008 Stock Plan, as</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10.2</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166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8"/>
              </w:rPr>
            </w:pPr>
            <w:hyperlink r:id="rId134">
              <w:r>
                <w:rPr>
                  <w:rFonts w:ascii="Arial" w:cs="Arial" w:eastAsia="Arial" w:hAnsi="Arial"/>
                  <w:sz w:val="18"/>
                  <w:szCs w:val="18"/>
                  <w:color w:val="0000EE"/>
                  <w:w w:val="88"/>
                </w:rPr>
                <w:t>amended, and forms of</w:t>
              </w:r>
            </w:hyperlink>
          </w:p>
        </w:tc>
        <w:tc>
          <w:tcPr>
            <w:tcW w:w="760" w:type="dxa"/>
            <w:vAlign w:val="bottom"/>
            <w:tcBorders>
              <w:top w:val="single" w:sz="8" w:color="0000EE"/>
            </w:tcBorders>
            <w:gridSpan w:val="22"/>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4">
              <w:r>
                <w:rPr>
                  <w:rFonts w:ascii="Arial" w:cs="Arial" w:eastAsia="Arial" w:hAnsi="Arial"/>
                  <w:sz w:val="18"/>
                  <w:szCs w:val="18"/>
                  <w:color w:val="0000EE"/>
                </w:rPr>
                <w:t>agreements thereunder</w:t>
              </w:r>
              <w:r>
                <w:rPr>
                  <w:rFonts w:ascii="Arial" w:cs="Arial" w:eastAsia="Arial" w:hAnsi="Arial"/>
                  <w:sz w:val="18"/>
                  <w:szCs w:val="18"/>
                  <w:color w:val="000000"/>
                </w:rPr>
                <w:t>.</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10.3†</w:t>
            </w:r>
          </w:p>
        </w:tc>
        <w:tc>
          <w:tcPr>
            <w:tcW w:w="1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5">
              <w:r>
                <w:rPr>
                  <w:rFonts w:ascii="Arial" w:cs="Arial" w:eastAsia="Arial" w:hAnsi="Arial"/>
                  <w:sz w:val="18"/>
                  <w:szCs w:val="18"/>
                  <w:color w:val="0000EE"/>
                  <w:w w:val="91"/>
                </w:rPr>
                <w:t>Progyny, Inc. 2017 Equity</w:t>
              </w:r>
            </w:hyperlink>
          </w:p>
        </w:tc>
        <w:tc>
          <w:tcPr>
            <w:tcW w:w="620" w:type="dxa"/>
            <w:vAlign w:val="bottom"/>
            <w:gridSpan w:val="15"/>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S-8</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99.2</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10/25/2019</w:t>
            </w: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5">
              <w:r>
                <w:rPr>
                  <w:rFonts w:ascii="Arial" w:cs="Arial" w:eastAsia="Arial" w:hAnsi="Arial"/>
                  <w:sz w:val="18"/>
                  <w:szCs w:val="18"/>
                  <w:color w:val="0000EE"/>
                  <w:w w:val="90"/>
                </w:rPr>
                <w:t>Incentive Plan and forms of</w:t>
              </w:r>
            </w:hyperlink>
          </w:p>
        </w:tc>
        <w:tc>
          <w:tcPr>
            <w:tcW w:w="5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5">
              <w:r>
                <w:rPr>
                  <w:rFonts w:ascii="Arial" w:cs="Arial" w:eastAsia="Arial" w:hAnsi="Arial"/>
                  <w:sz w:val="18"/>
                  <w:szCs w:val="18"/>
                  <w:color w:val="0000EE"/>
                </w:rPr>
                <w:t>agreements thereunder</w:t>
              </w:r>
              <w:r>
                <w:rPr>
                  <w:rFonts w:ascii="Arial" w:cs="Arial" w:eastAsia="Arial" w:hAnsi="Arial"/>
                  <w:sz w:val="18"/>
                  <w:szCs w:val="18"/>
                  <w:color w:val="000000"/>
                </w:rPr>
                <w:t>.</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10.4†</w:t>
            </w:r>
          </w:p>
        </w:tc>
        <w:tc>
          <w:tcPr>
            <w:tcW w:w="1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6">
              <w:r>
                <w:rPr>
                  <w:rFonts w:ascii="Arial" w:cs="Arial" w:eastAsia="Arial" w:hAnsi="Arial"/>
                  <w:sz w:val="18"/>
                  <w:szCs w:val="18"/>
                  <w:color w:val="0000EE"/>
                  <w:w w:val="91"/>
                </w:rPr>
                <w:t>Amendment No. 1 to the</w:t>
              </w:r>
            </w:hyperlink>
          </w:p>
        </w:tc>
        <w:tc>
          <w:tcPr>
            <w:tcW w:w="720" w:type="dxa"/>
            <w:vAlign w:val="bottom"/>
            <w:gridSpan w:val="18"/>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10-K</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rPr>
              <w:t>001-39100</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10.4</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3/10/2020</w:t>
            </w: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6">
              <w:r>
                <w:rPr>
                  <w:rFonts w:ascii="Arial" w:cs="Arial" w:eastAsia="Arial" w:hAnsi="Arial"/>
                  <w:sz w:val="18"/>
                  <w:szCs w:val="18"/>
                  <w:color w:val="0000EE"/>
                </w:rPr>
                <w:t>Progyny, Inc. 2017 Equity</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6">
              <w:r>
                <w:rPr>
                  <w:rFonts w:ascii="Arial" w:cs="Arial" w:eastAsia="Arial" w:hAnsi="Arial"/>
                  <w:sz w:val="18"/>
                  <w:szCs w:val="18"/>
                  <w:color w:val="0000EE"/>
                  <w:w w:val="89"/>
                </w:rPr>
                <w:t>Incentive Plan.</w:t>
              </w:r>
            </w:hyperlink>
          </w:p>
        </w:tc>
        <w:tc>
          <w:tcPr>
            <w:tcW w:w="800" w:type="dxa"/>
            <w:vAlign w:val="bottom"/>
            <w:tcBorders>
              <w:top w:val="single" w:sz="8" w:color="0000EE"/>
            </w:tcBorders>
            <w:gridSpan w:val="10"/>
          </w:tcPr>
          <w:p>
            <w:pPr>
              <w:spacing w:after="0"/>
              <w:rPr>
                <w:sz w:val="17"/>
                <w:szCs w:val="17"/>
                <w:color w:val="auto"/>
              </w:rPr>
            </w:pPr>
          </w:p>
        </w:tc>
        <w:tc>
          <w:tcPr>
            <w:tcW w:w="64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10.5†</w:t>
            </w:r>
          </w:p>
        </w:tc>
        <w:tc>
          <w:tcPr>
            <w:tcW w:w="1900" w:type="dxa"/>
            <w:vAlign w:val="bottom"/>
            <w:tcBorders>
              <w:bottom w:val="single" w:sz="8" w:color="0000EE"/>
            </w:tcBorders>
            <w:gridSpan w:val="16"/>
          </w:tcPr>
          <w:p>
            <w:pPr>
              <w:spacing w:after="0" w:line="196" w:lineRule="exact"/>
              <w:rPr>
                <w:rFonts w:ascii="Arial" w:cs="Arial" w:eastAsia="Arial" w:hAnsi="Arial"/>
                <w:sz w:val="18"/>
                <w:szCs w:val="18"/>
                <w:color w:val="0000EE"/>
                <w:w w:val="91"/>
              </w:rPr>
            </w:pPr>
            <w:hyperlink r:id="rId137">
              <w:r>
                <w:rPr>
                  <w:rFonts w:ascii="Arial" w:cs="Arial" w:eastAsia="Arial" w:hAnsi="Arial"/>
                  <w:sz w:val="18"/>
                  <w:szCs w:val="18"/>
                  <w:color w:val="0000EE"/>
                  <w:w w:val="91"/>
                </w:rPr>
                <w:t>Progyny, Inc. 2019 Equity</w:t>
              </w:r>
            </w:hyperlink>
          </w:p>
        </w:tc>
        <w:tc>
          <w:tcPr>
            <w:tcW w:w="620" w:type="dxa"/>
            <w:vAlign w:val="bottom"/>
            <w:gridSpan w:val="15"/>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S-1/A</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10.4</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10/15/2019</w:t>
            </w:r>
          </w:p>
        </w:tc>
      </w:tr>
      <w:tr>
        <w:trPr>
          <w:trHeight w:val="196"/>
        </w:trPr>
        <w:tc>
          <w:tcPr>
            <w:tcW w:w="960" w:type="dxa"/>
            <w:vAlign w:val="bottom"/>
          </w:tcPr>
          <w:p>
            <w:pPr>
              <w:spacing w:after="0"/>
              <w:rPr>
                <w:sz w:val="17"/>
                <w:szCs w:val="17"/>
                <w:color w:val="auto"/>
              </w:rPr>
            </w:pPr>
          </w:p>
        </w:tc>
        <w:tc>
          <w:tcPr>
            <w:tcW w:w="2000" w:type="dxa"/>
            <w:vAlign w:val="bottom"/>
            <w:tcBorders>
              <w:bottom w:val="single" w:sz="8" w:color="0000EE"/>
            </w:tcBorders>
            <w:gridSpan w:val="19"/>
          </w:tcPr>
          <w:p>
            <w:pPr>
              <w:spacing w:after="0" w:line="196" w:lineRule="exact"/>
              <w:rPr>
                <w:rFonts w:ascii="Arial" w:cs="Arial" w:eastAsia="Arial" w:hAnsi="Arial"/>
                <w:sz w:val="18"/>
                <w:szCs w:val="18"/>
                <w:color w:val="0000EE"/>
                <w:w w:val="90"/>
              </w:rPr>
            </w:pPr>
            <w:hyperlink r:id="rId137">
              <w:r>
                <w:rPr>
                  <w:rFonts w:ascii="Arial" w:cs="Arial" w:eastAsia="Arial" w:hAnsi="Arial"/>
                  <w:sz w:val="18"/>
                  <w:szCs w:val="18"/>
                  <w:color w:val="0000EE"/>
                  <w:w w:val="90"/>
                </w:rPr>
                <w:t>Incentive Plan and forms of</w:t>
              </w:r>
            </w:hyperlink>
          </w:p>
        </w:tc>
        <w:tc>
          <w:tcPr>
            <w:tcW w:w="520" w:type="dxa"/>
            <w:vAlign w:val="bottom"/>
            <w:gridSpan w:val="1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7">
              <w:r>
                <w:rPr>
                  <w:rFonts w:ascii="Arial" w:cs="Arial" w:eastAsia="Arial" w:hAnsi="Arial"/>
                  <w:sz w:val="18"/>
                  <w:szCs w:val="18"/>
                  <w:color w:val="0000EE"/>
                </w:rPr>
                <w:t>agreements thereunder.</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10.6†</w:t>
            </w:r>
          </w:p>
        </w:tc>
        <w:tc>
          <w:tcPr>
            <w:tcW w:w="1800" w:type="dxa"/>
            <w:vAlign w:val="bottom"/>
            <w:tcBorders>
              <w:bottom w:val="single" w:sz="8" w:color="0000EE"/>
            </w:tcBorders>
            <w:gridSpan w:val="13"/>
          </w:tcPr>
          <w:p>
            <w:pPr>
              <w:spacing w:after="0" w:line="196" w:lineRule="exact"/>
              <w:rPr>
                <w:rFonts w:ascii="Arial" w:cs="Arial" w:eastAsia="Arial" w:hAnsi="Arial"/>
                <w:sz w:val="18"/>
                <w:szCs w:val="18"/>
                <w:color w:val="0000EE"/>
                <w:w w:val="91"/>
              </w:rPr>
            </w:pPr>
            <w:hyperlink r:id="rId138">
              <w:r>
                <w:rPr>
                  <w:rFonts w:ascii="Arial" w:cs="Arial" w:eastAsia="Arial" w:hAnsi="Arial"/>
                  <w:sz w:val="18"/>
                  <w:szCs w:val="18"/>
                  <w:color w:val="0000EE"/>
                  <w:w w:val="91"/>
                </w:rPr>
                <w:t>Amendment No. 1 to the</w:t>
              </w:r>
            </w:hyperlink>
          </w:p>
        </w:tc>
        <w:tc>
          <w:tcPr>
            <w:tcW w:w="720" w:type="dxa"/>
            <w:vAlign w:val="bottom"/>
            <w:gridSpan w:val="18"/>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10-K</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rPr>
              <w:t>001-3910</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10.6</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3/10/2020</w:t>
            </w: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8">
              <w:r>
                <w:rPr>
                  <w:rFonts w:ascii="Arial" w:cs="Arial" w:eastAsia="Arial" w:hAnsi="Arial"/>
                  <w:sz w:val="18"/>
                  <w:szCs w:val="18"/>
                  <w:color w:val="0000EE"/>
                </w:rPr>
                <w:t>Progyny, Inc. 2019 Equity</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8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38">
              <w:r>
                <w:rPr>
                  <w:rFonts w:ascii="Arial" w:cs="Arial" w:eastAsia="Arial" w:hAnsi="Arial"/>
                  <w:sz w:val="18"/>
                  <w:szCs w:val="18"/>
                  <w:color w:val="0000EE"/>
                  <w:w w:val="89"/>
                </w:rPr>
                <w:t>Incentive Plan.</w:t>
              </w:r>
            </w:hyperlink>
          </w:p>
        </w:tc>
        <w:tc>
          <w:tcPr>
            <w:tcW w:w="800" w:type="dxa"/>
            <w:vAlign w:val="bottom"/>
            <w:tcBorders>
              <w:top w:val="single" w:sz="8" w:color="0000EE"/>
            </w:tcBorders>
            <w:gridSpan w:val="10"/>
          </w:tcPr>
          <w:p>
            <w:pPr>
              <w:spacing w:after="0"/>
              <w:rPr>
                <w:sz w:val="17"/>
                <w:szCs w:val="17"/>
                <w:color w:val="auto"/>
              </w:rPr>
            </w:pPr>
          </w:p>
        </w:tc>
        <w:tc>
          <w:tcPr>
            <w:tcW w:w="640" w:type="dxa"/>
            <w:vAlign w:val="bottom"/>
            <w:gridSpan w:val="16"/>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10.7†</w:t>
            </w:r>
          </w:p>
        </w:tc>
        <w:tc>
          <w:tcPr>
            <w:tcW w:w="21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139">
              <w:r>
                <w:rPr>
                  <w:rFonts w:ascii="Arial" w:cs="Arial" w:eastAsia="Arial" w:hAnsi="Arial"/>
                  <w:sz w:val="18"/>
                  <w:szCs w:val="18"/>
                  <w:color w:val="0000EE"/>
                  <w:w w:val="90"/>
                </w:rPr>
                <w:t>Progyny, Inc. 2019 Employee</w:t>
              </w:r>
            </w:hyperlink>
          </w:p>
        </w:tc>
        <w:tc>
          <w:tcPr>
            <w:tcW w:w="380" w:type="dxa"/>
            <w:vAlign w:val="bottom"/>
            <w:gridSpan w:val="11"/>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S-1/A</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10.5</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10/15/2019</w:t>
            </w: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39">
              <w:r>
                <w:rPr>
                  <w:rFonts w:ascii="Arial" w:cs="Arial" w:eastAsia="Arial" w:hAnsi="Arial"/>
                  <w:sz w:val="18"/>
                  <w:szCs w:val="18"/>
                  <w:color w:val="0000EE"/>
                </w:rPr>
                <w:t>Stock Purchase Plan.</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10.8†</w:t>
            </w:r>
          </w:p>
        </w:tc>
        <w:tc>
          <w:tcPr>
            <w:tcW w:w="1780" w:type="dxa"/>
            <w:vAlign w:val="bottom"/>
            <w:tcBorders>
              <w:bottom w:val="single" w:sz="8" w:color="0000EE"/>
            </w:tcBorders>
            <w:gridSpan w:val="12"/>
          </w:tcPr>
          <w:p>
            <w:pPr>
              <w:spacing w:after="0" w:line="196" w:lineRule="exact"/>
              <w:rPr>
                <w:rFonts w:ascii="Arial" w:cs="Arial" w:eastAsia="Arial" w:hAnsi="Arial"/>
                <w:sz w:val="18"/>
                <w:szCs w:val="18"/>
                <w:color w:val="0000EE"/>
                <w:w w:val="93"/>
              </w:rPr>
            </w:pPr>
            <w:hyperlink r:id="rId140">
              <w:r>
                <w:rPr>
                  <w:rFonts w:ascii="Arial" w:cs="Arial" w:eastAsia="Arial" w:hAnsi="Arial"/>
                  <w:sz w:val="18"/>
                  <w:szCs w:val="18"/>
                  <w:color w:val="0000EE"/>
                  <w:w w:val="93"/>
                </w:rPr>
                <w:t>Form of Indemnification</w:t>
              </w:r>
            </w:hyperlink>
          </w:p>
        </w:tc>
        <w:tc>
          <w:tcPr>
            <w:tcW w:w="740" w:type="dxa"/>
            <w:vAlign w:val="bottom"/>
            <w:gridSpan w:val="19"/>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10.6</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90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r:id="rId140">
              <w:r>
                <w:rPr>
                  <w:rFonts w:ascii="Arial" w:cs="Arial" w:eastAsia="Arial" w:hAnsi="Arial"/>
                  <w:sz w:val="18"/>
                  <w:szCs w:val="18"/>
                  <w:color w:val="0000EE"/>
                  <w:w w:val="92"/>
                </w:rPr>
                <w:t>Agreement.</w:t>
              </w:r>
            </w:hyperlink>
          </w:p>
        </w:tc>
        <w:tc>
          <w:tcPr>
            <w:tcW w:w="1620" w:type="dxa"/>
            <w:vAlign w:val="bottom"/>
            <w:gridSpan w:val="28"/>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10.9†</w:t>
            </w:r>
          </w:p>
        </w:tc>
        <w:tc>
          <w:tcPr>
            <w:tcW w:w="2520" w:type="dxa"/>
            <w:vAlign w:val="bottom"/>
            <w:gridSpan w:val="31"/>
          </w:tcPr>
          <w:p>
            <w:pPr>
              <w:spacing w:after="0" w:line="196" w:lineRule="exact"/>
              <w:rPr>
                <w:rFonts w:ascii="Arial" w:cs="Arial" w:eastAsia="Arial" w:hAnsi="Arial"/>
                <w:sz w:val="18"/>
                <w:szCs w:val="18"/>
                <w:color w:val="0000EE"/>
              </w:rPr>
            </w:pPr>
            <w:hyperlink r:id="rId141">
              <w:r>
                <w:rPr>
                  <w:rFonts w:ascii="Arial" w:cs="Arial" w:eastAsia="Arial" w:hAnsi="Arial"/>
                  <w:sz w:val="18"/>
                  <w:szCs w:val="18"/>
                  <w:color w:val="0000EE"/>
                </w:rPr>
                <w:t>Amended and Restated</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10.7</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1">
              <w:r>
                <w:rPr>
                  <w:rFonts w:ascii="Arial" w:cs="Arial" w:eastAsia="Arial" w:hAnsi="Arial"/>
                  <w:sz w:val="18"/>
                  <w:szCs w:val="18"/>
                  <w:color w:val="0000EE"/>
                  <w:w w:val="90"/>
                </w:rPr>
                <w:t>Employment Agreement between</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60" w:type="dxa"/>
            <w:vAlign w:val="bottom"/>
            <w:tcBorders>
              <w:bottom w:val="single" w:sz="8" w:color="0000EE"/>
            </w:tcBorders>
            <w:gridSpan w:val="11"/>
          </w:tcPr>
          <w:p>
            <w:pPr>
              <w:spacing w:after="0" w:line="196" w:lineRule="exact"/>
              <w:rPr>
                <w:rFonts w:ascii="Arial" w:cs="Arial" w:eastAsia="Arial" w:hAnsi="Arial"/>
                <w:sz w:val="18"/>
                <w:szCs w:val="18"/>
                <w:color w:val="0000EE"/>
                <w:w w:val="91"/>
              </w:rPr>
            </w:pPr>
            <w:hyperlink r:id="rId141">
              <w:r>
                <w:rPr>
                  <w:rFonts w:ascii="Arial" w:cs="Arial" w:eastAsia="Arial" w:hAnsi="Arial"/>
                  <w:sz w:val="18"/>
                  <w:szCs w:val="18"/>
                  <w:color w:val="0000EE"/>
                  <w:w w:val="91"/>
                </w:rPr>
                <w:t>Progyny, Inc. and David</w:t>
              </w:r>
            </w:hyperlink>
          </w:p>
        </w:tc>
        <w:tc>
          <w:tcPr>
            <w:tcW w:w="760" w:type="dxa"/>
            <w:vAlign w:val="bottom"/>
            <w:gridSpan w:val="20"/>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w w:val="96"/>
              </w:rPr>
            </w:pPr>
            <w:hyperlink r:id="rId141">
              <w:r>
                <w:rPr>
                  <w:rFonts w:ascii="Arial" w:cs="Arial" w:eastAsia="Arial" w:hAnsi="Arial"/>
                  <w:sz w:val="18"/>
                  <w:szCs w:val="18"/>
                  <w:color w:val="0000EE"/>
                  <w:w w:val="96"/>
                </w:rPr>
                <w:t>Schlanger, dated September 23,</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1">
              <w:r>
                <w:rPr>
                  <w:rFonts w:ascii="Arial" w:cs="Arial" w:eastAsia="Arial" w:hAnsi="Arial"/>
                  <w:sz w:val="18"/>
                  <w:szCs w:val="18"/>
                  <w:color w:val="0000EE"/>
                  <w:w w:val="84"/>
                </w:rPr>
                <w:t>2019.</w:t>
              </w:r>
            </w:hyperlink>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10.10†</w:t>
            </w:r>
          </w:p>
        </w:tc>
        <w:tc>
          <w:tcPr>
            <w:tcW w:w="2520" w:type="dxa"/>
            <w:vAlign w:val="bottom"/>
            <w:gridSpan w:val="31"/>
          </w:tcPr>
          <w:p>
            <w:pPr>
              <w:spacing w:after="0" w:line="196" w:lineRule="exact"/>
              <w:rPr>
                <w:rFonts w:ascii="Arial" w:cs="Arial" w:eastAsia="Arial" w:hAnsi="Arial"/>
                <w:sz w:val="18"/>
                <w:szCs w:val="18"/>
                <w:color w:val="0000EE"/>
              </w:rPr>
            </w:pPr>
            <w:hyperlink r:id="rId142">
              <w:r>
                <w:rPr>
                  <w:rFonts w:ascii="Arial" w:cs="Arial" w:eastAsia="Arial" w:hAnsi="Arial"/>
                  <w:sz w:val="18"/>
                  <w:szCs w:val="18"/>
                  <w:color w:val="0000EE"/>
                </w:rPr>
                <w:t>Amended and Restated</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10.8</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2">
              <w:r>
                <w:rPr>
                  <w:rFonts w:ascii="Arial" w:cs="Arial" w:eastAsia="Arial" w:hAnsi="Arial"/>
                  <w:sz w:val="18"/>
                  <w:szCs w:val="18"/>
                  <w:color w:val="0000EE"/>
                  <w:w w:val="90"/>
                </w:rPr>
                <w:t>Employment Agreement between</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w w:val="95"/>
              </w:rPr>
            </w:pPr>
            <w:hyperlink r:id="rId142">
              <w:r>
                <w:rPr>
                  <w:rFonts w:ascii="Arial" w:cs="Arial" w:eastAsia="Arial" w:hAnsi="Arial"/>
                  <w:sz w:val="18"/>
                  <w:szCs w:val="18"/>
                  <w:color w:val="0000EE"/>
                  <w:w w:val="95"/>
                </w:rPr>
                <w:t>Progyny, Inc. and Peter Anevski,</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r:id="rId142">
              <w:r>
                <w:rPr>
                  <w:rFonts w:ascii="Arial" w:cs="Arial" w:eastAsia="Arial" w:hAnsi="Arial"/>
                  <w:sz w:val="18"/>
                  <w:szCs w:val="18"/>
                  <w:color w:val="0000EE"/>
                  <w:w w:val="87"/>
                </w:rPr>
                <w:t>dated September 25, 2019.</w:t>
              </w:r>
            </w:hyperlink>
          </w:p>
        </w:tc>
        <w:tc>
          <w:tcPr>
            <w:tcW w:w="440" w:type="dxa"/>
            <w:vAlign w:val="bottom"/>
            <w:tcBorders>
              <w:top w:val="single" w:sz="8" w:color="0000EE"/>
            </w:tcBorders>
            <w:gridSpan w:val="11"/>
          </w:tcPr>
          <w:p>
            <w:pPr>
              <w:spacing w:after="0"/>
              <w:rPr>
                <w:sz w:val="17"/>
                <w:szCs w:val="17"/>
                <w:color w:val="auto"/>
              </w:rPr>
            </w:pPr>
          </w:p>
        </w:tc>
        <w:tc>
          <w:tcPr>
            <w:tcW w:w="16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10.11†</w:t>
            </w:r>
          </w:p>
        </w:tc>
        <w:tc>
          <w:tcPr>
            <w:tcW w:w="2520" w:type="dxa"/>
            <w:vAlign w:val="bottom"/>
            <w:gridSpan w:val="31"/>
          </w:tcPr>
          <w:p>
            <w:pPr>
              <w:spacing w:after="0" w:line="196" w:lineRule="exact"/>
              <w:rPr>
                <w:rFonts w:ascii="Arial" w:cs="Arial" w:eastAsia="Arial" w:hAnsi="Arial"/>
                <w:sz w:val="18"/>
                <w:szCs w:val="18"/>
                <w:color w:val="0000EE"/>
              </w:rPr>
            </w:pPr>
            <w:hyperlink r:id="rId143">
              <w:r>
                <w:rPr>
                  <w:rFonts w:ascii="Arial" w:cs="Arial" w:eastAsia="Arial" w:hAnsi="Arial"/>
                  <w:sz w:val="18"/>
                  <w:szCs w:val="18"/>
                  <w:color w:val="0000EE"/>
                </w:rPr>
                <w:t>Amended and Restated</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10-K</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rPr>
              <w:t>001-39100</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10.11</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3/10/2021</w:t>
            </w: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Employment Agreement between</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0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3">
              <w:r>
                <w:rPr>
                  <w:rFonts w:ascii="Arial" w:cs="Arial" w:eastAsia="Arial" w:hAnsi="Arial"/>
                  <w:sz w:val="18"/>
                  <w:szCs w:val="18"/>
                  <w:color w:val="0000EE"/>
                  <w:w w:val="90"/>
                </w:rPr>
                <w:t>Progyny, Inc. and Mark</w:t>
              </w:r>
            </w:hyperlink>
          </w:p>
        </w:tc>
        <w:tc>
          <w:tcPr>
            <w:tcW w:w="820" w:type="dxa"/>
            <w:vAlign w:val="bottom"/>
            <w:gridSpan w:val="2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w w:val="98"/>
              </w:rPr>
            </w:pPr>
            <w:hyperlink r:id="rId143">
              <w:r>
                <w:rPr>
                  <w:rFonts w:ascii="Arial" w:cs="Arial" w:eastAsia="Arial" w:hAnsi="Arial"/>
                  <w:sz w:val="18"/>
                  <w:szCs w:val="18"/>
                  <w:color w:val="0000EE"/>
                  <w:w w:val="98"/>
                </w:rPr>
                <w:t>Livingston dated September 15,</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40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r:id="rId143">
              <w:r>
                <w:rPr>
                  <w:rFonts w:ascii="Arial" w:cs="Arial" w:eastAsia="Arial" w:hAnsi="Arial"/>
                  <w:sz w:val="18"/>
                  <w:szCs w:val="18"/>
                  <w:color w:val="0000EE"/>
                  <w:w w:val="84"/>
                </w:rPr>
                <w:t>2020.</w:t>
              </w:r>
            </w:hyperlink>
          </w:p>
        </w:tc>
        <w:tc>
          <w:tcPr>
            <w:tcW w:w="3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10.12†</w:t>
            </w:r>
          </w:p>
        </w:tc>
        <w:tc>
          <w:tcPr>
            <w:tcW w:w="2420" w:type="dxa"/>
            <w:vAlign w:val="bottom"/>
            <w:tcBorders>
              <w:bottom w:val="single" w:sz="8" w:color="0000EE"/>
            </w:tcBorders>
            <w:gridSpan w:val="30"/>
          </w:tcPr>
          <w:p>
            <w:pPr>
              <w:spacing w:after="0" w:line="196" w:lineRule="exact"/>
              <w:rPr>
                <w:rFonts w:ascii="Arial" w:cs="Arial" w:eastAsia="Arial" w:hAnsi="Arial"/>
                <w:sz w:val="18"/>
                <w:szCs w:val="18"/>
                <w:color w:val="0000EE"/>
                <w:w w:val="90"/>
              </w:rPr>
            </w:pPr>
            <w:hyperlink r:id="rId144">
              <w:r>
                <w:rPr>
                  <w:rFonts w:ascii="Arial" w:cs="Arial" w:eastAsia="Arial" w:hAnsi="Arial"/>
                  <w:sz w:val="18"/>
                  <w:szCs w:val="18"/>
                  <w:color w:val="0000EE"/>
                  <w:w w:val="90"/>
                </w:rPr>
                <w:t>Employment Agreement between</w:t>
              </w:r>
            </w:hyperlink>
          </w:p>
        </w:tc>
        <w:tc>
          <w:tcPr>
            <w:tcW w:w="100" w:type="dxa"/>
            <w:vAlign w:val="bottom"/>
          </w:tcPr>
          <w:p>
            <w:pPr>
              <w:spacing w:after="0"/>
              <w:rPr>
                <w:sz w:val="17"/>
                <w:szCs w:val="17"/>
                <w:color w:val="auto"/>
              </w:rPr>
            </w:pPr>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10-K</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rPr>
              <w:t>001-39100</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10.12</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3/10/2021</w:t>
            </w: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w w:val="93"/>
              </w:rPr>
            </w:pPr>
            <w:hyperlink r:id="rId144">
              <w:r>
                <w:rPr>
                  <w:rFonts w:ascii="Arial" w:cs="Arial" w:eastAsia="Arial" w:hAnsi="Arial"/>
                  <w:sz w:val="18"/>
                  <w:szCs w:val="18"/>
                  <w:color w:val="0000EE"/>
                  <w:w w:val="93"/>
                </w:rPr>
                <w:t>Progyny, Inc. and Jennifer Bealer</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400" w:type="dxa"/>
            <w:vAlign w:val="bottom"/>
            <w:tcBorders>
              <w:top w:val="single" w:sz="8" w:color="0000EE"/>
            </w:tcBorders>
            <w:gridSpan w:val="29"/>
          </w:tcPr>
          <w:p>
            <w:pPr>
              <w:spacing w:after="0" w:line="196" w:lineRule="exact"/>
              <w:rPr>
                <w:rFonts w:ascii="Arial" w:cs="Arial" w:eastAsia="Arial" w:hAnsi="Arial"/>
                <w:sz w:val="18"/>
                <w:szCs w:val="18"/>
                <w:color w:val="0000EE"/>
              </w:rPr>
            </w:pPr>
            <w:hyperlink r:id="rId144">
              <w:r>
                <w:rPr>
                  <w:rFonts w:ascii="Arial" w:cs="Arial" w:eastAsia="Arial" w:hAnsi="Arial"/>
                  <w:sz w:val="18"/>
                  <w:szCs w:val="18"/>
                  <w:color w:val="0000EE"/>
                </w:rPr>
                <w:t>dated September 8, 2017.</w:t>
              </w:r>
            </w:hyperlink>
          </w:p>
        </w:tc>
        <w:tc>
          <w:tcPr>
            <w:tcW w:w="12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780" w:type="dxa"/>
            <w:vAlign w:val="bottom"/>
            <w:gridSpan w:val="6"/>
            <w:shd w:val="clear" w:color="auto" w:fill="0000EE"/>
          </w:tcPr>
          <w:p>
            <w:pPr>
              <w:spacing w:after="0" w:line="20" w:lineRule="exact"/>
              <w:rPr>
                <w:sz w:val="1"/>
                <w:szCs w:val="1"/>
                <w:color w:val="auto"/>
              </w:rPr>
            </w:pPr>
          </w:p>
        </w:tc>
        <w:tc>
          <w:tcPr>
            <w:tcW w:w="80" w:type="dxa"/>
            <w:vAlign w:val="bottom"/>
            <w:gridSpan w:val="4"/>
            <w:shd w:val="clear" w:color="auto" w:fill="0000EE"/>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10.13</w:t>
            </w:r>
          </w:p>
        </w:tc>
        <w:tc>
          <w:tcPr>
            <w:tcW w:w="2520" w:type="dxa"/>
            <w:vAlign w:val="bottom"/>
            <w:gridSpan w:val="31"/>
          </w:tcPr>
          <w:p>
            <w:pPr>
              <w:spacing w:after="0" w:line="196" w:lineRule="exact"/>
              <w:rPr>
                <w:rFonts w:ascii="Arial" w:cs="Arial" w:eastAsia="Arial" w:hAnsi="Arial"/>
                <w:sz w:val="18"/>
                <w:szCs w:val="18"/>
                <w:color w:val="0000EE"/>
                <w:w w:val="93"/>
              </w:rPr>
            </w:pPr>
            <w:hyperlink r:id="rId145">
              <w:r>
                <w:rPr>
                  <w:rFonts w:ascii="Arial" w:cs="Arial" w:eastAsia="Arial" w:hAnsi="Arial"/>
                  <w:sz w:val="18"/>
                  <w:szCs w:val="18"/>
                  <w:color w:val="0000EE"/>
                  <w:w w:val="93"/>
                </w:rPr>
                <w:t>Sublease Agreement, dated as of</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10.11</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196"/>
        </w:trPr>
        <w:tc>
          <w:tcPr>
            <w:tcW w:w="960" w:type="dxa"/>
            <w:vAlign w:val="bottom"/>
          </w:tcPr>
          <w:p>
            <w:pPr>
              <w:spacing w:after="0"/>
              <w:rPr>
                <w:sz w:val="17"/>
                <w:szCs w:val="17"/>
                <w:color w:val="auto"/>
              </w:rPr>
            </w:pPr>
          </w:p>
        </w:tc>
        <w:tc>
          <w:tcPr>
            <w:tcW w:w="2340" w:type="dxa"/>
            <w:vAlign w:val="bottom"/>
            <w:tcBorders>
              <w:top w:val="single" w:sz="8" w:color="0000EE"/>
            </w:tcBorders>
            <w:gridSpan w:val="27"/>
          </w:tcPr>
          <w:p>
            <w:pPr>
              <w:spacing w:after="0" w:line="196" w:lineRule="exact"/>
              <w:rPr>
                <w:rFonts w:ascii="Arial" w:cs="Arial" w:eastAsia="Arial" w:hAnsi="Arial"/>
                <w:sz w:val="18"/>
                <w:szCs w:val="18"/>
                <w:color w:val="0000EE"/>
                <w:w w:val="96"/>
              </w:rPr>
            </w:pPr>
            <w:hyperlink r:id="rId145">
              <w:r>
                <w:rPr>
                  <w:rFonts w:ascii="Arial" w:cs="Arial" w:eastAsia="Arial" w:hAnsi="Arial"/>
                  <w:sz w:val="18"/>
                  <w:szCs w:val="18"/>
                  <w:color w:val="0000EE"/>
                  <w:w w:val="96"/>
                </w:rPr>
                <w:t>July 29, 2019 by and between</w:t>
              </w:r>
            </w:hyperlink>
          </w:p>
        </w:tc>
        <w:tc>
          <w:tcPr>
            <w:tcW w:w="18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960" w:type="dxa"/>
            <w:vAlign w:val="bottom"/>
            <w:tcBorders>
              <w:top w:val="single" w:sz="8" w:color="0000EE"/>
              <w:bottom w:val="single" w:sz="8" w:color="0000EE"/>
            </w:tcBorders>
            <w:gridSpan w:val="18"/>
          </w:tcPr>
          <w:p>
            <w:pPr>
              <w:spacing w:after="0" w:line="196" w:lineRule="exact"/>
              <w:rPr>
                <w:rFonts w:ascii="Arial" w:cs="Arial" w:eastAsia="Arial" w:hAnsi="Arial"/>
                <w:sz w:val="18"/>
                <w:szCs w:val="18"/>
                <w:color w:val="0000EE"/>
                <w:w w:val="92"/>
              </w:rPr>
            </w:pPr>
            <w:hyperlink r:id="rId145">
              <w:r>
                <w:rPr>
                  <w:rFonts w:ascii="Arial" w:cs="Arial" w:eastAsia="Arial" w:hAnsi="Arial"/>
                  <w:sz w:val="18"/>
                  <w:szCs w:val="18"/>
                  <w:color w:val="0000EE"/>
                  <w:w w:val="92"/>
                </w:rPr>
                <w:t>IPREO Holdings, LLC and</w:t>
              </w:r>
            </w:hyperlink>
          </w:p>
        </w:tc>
        <w:tc>
          <w:tcPr>
            <w:tcW w:w="180" w:type="dxa"/>
            <w:vAlign w:val="bottom"/>
            <w:tcBorders>
              <w:top w:val="single" w:sz="8" w:color="0000EE"/>
            </w:tcBorders>
            <w:gridSpan w:val="2"/>
          </w:tcPr>
          <w:p>
            <w:pPr>
              <w:spacing w:after="0"/>
              <w:rPr>
                <w:sz w:val="17"/>
                <w:szCs w:val="17"/>
                <w:color w:val="auto"/>
              </w:rPr>
            </w:pPr>
          </w:p>
        </w:tc>
        <w:tc>
          <w:tcPr>
            <w:tcW w:w="38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96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145">
              <w:r>
                <w:rPr>
                  <w:rFonts w:ascii="Arial" w:cs="Arial" w:eastAsia="Arial" w:hAnsi="Arial"/>
                  <w:sz w:val="18"/>
                  <w:szCs w:val="18"/>
                  <w:color w:val="0000EE"/>
                  <w:w w:val="89"/>
                </w:rPr>
                <w:t>Progyny, Inc.</w:t>
              </w:r>
            </w:hyperlink>
          </w:p>
        </w:tc>
        <w:tc>
          <w:tcPr>
            <w:tcW w:w="1560" w:type="dxa"/>
            <w:vAlign w:val="bottom"/>
            <w:gridSpan w:val="27"/>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10.14</w:t>
            </w:r>
          </w:p>
        </w:tc>
        <w:tc>
          <w:tcPr>
            <w:tcW w:w="2520" w:type="dxa"/>
            <w:vAlign w:val="bottom"/>
            <w:gridSpan w:val="3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Loan and Security Agreement,</w:t>
              </w:r>
            </w:hyperlink>
          </w:p>
        </w:tc>
        <w:tc>
          <w:tcPr>
            <w:tcW w:w="700" w:type="dxa"/>
            <w:vAlign w:val="bottom"/>
          </w:tcPr>
          <w:p>
            <w:pPr>
              <w:ind w:left="100"/>
              <w:spacing w:after="0" w:line="196" w:lineRule="exact"/>
              <w:rPr>
                <w:sz w:val="20"/>
                <w:szCs w:val="20"/>
                <w:color w:val="auto"/>
              </w:rPr>
            </w:pPr>
            <w:r>
              <w:rPr>
                <w:rFonts w:ascii="Arial" w:cs="Arial" w:eastAsia="Arial" w:hAnsi="Arial"/>
                <w:sz w:val="18"/>
                <w:szCs w:val="18"/>
                <w:color w:val="auto"/>
              </w:rPr>
              <w:t>S-1</w:t>
            </w:r>
          </w:p>
        </w:tc>
        <w:tc>
          <w:tcPr>
            <w:tcW w:w="1200" w:type="dxa"/>
            <w:vAlign w:val="bottom"/>
          </w:tcPr>
          <w:p>
            <w:pPr>
              <w:ind w:left="220"/>
              <w:spacing w:after="0" w:line="196" w:lineRule="exact"/>
              <w:rPr>
                <w:sz w:val="20"/>
                <w:szCs w:val="20"/>
                <w:color w:val="auto"/>
              </w:rPr>
            </w:pPr>
            <w:r>
              <w:rPr>
                <w:rFonts w:ascii="Arial" w:cs="Arial" w:eastAsia="Arial" w:hAnsi="Arial"/>
                <w:sz w:val="18"/>
                <w:szCs w:val="18"/>
                <w:color w:val="auto"/>
                <w:w w:val="99"/>
              </w:rPr>
              <w:t>333-233965</w:t>
            </w:r>
          </w:p>
        </w:tc>
        <w:tc>
          <w:tcPr>
            <w:tcW w:w="820" w:type="dxa"/>
            <w:vAlign w:val="bottom"/>
          </w:tcPr>
          <w:p>
            <w:pPr>
              <w:ind w:left="80"/>
              <w:spacing w:after="0" w:line="196" w:lineRule="exact"/>
              <w:rPr>
                <w:sz w:val="20"/>
                <w:szCs w:val="20"/>
                <w:color w:val="auto"/>
              </w:rPr>
            </w:pPr>
            <w:r>
              <w:rPr>
                <w:rFonts w:ascii="Arial" w:cs="Arial" w:eastAsia="Arial" w:hAnsi="Arial"/>
                <w:sz w:val="18"/>
                <w:szCs w:val="18"/>
                <w:color w:val="auto"/>
              </w:rPr>
              <w:t>10.10</w:t>
            </w:r>
          </w:p>
        </w:tc>
        <w:tc>
          <w:tcPr>
            <w:tcW w:w="2720" w:type="dxa"/>
            <w:vAlign w:val="bottom"/>
          </w:tcPr>
          <w:p>
            <w:pPr>
              <w:ind w:left="320"/>
              <w:spacing w:after="0" w:line="196" w:lineRule="exact"/>
              <w:rPr>
                <w:sz w:val="20"/>
                <w:szCs w:val="20"/>
                <w:color w:val="auto"/>
              </w:rPr>
            </w:pPr>
            <w:r>
              <w:rPr>
                <w:rFonts w:ascii="Arial" w:cs="Arial" w:eastAsia="Arial" w:hAnsi="Arial"/>
                <w:sz w:val="18"/>
                <w:szCs w:val="18"/>
                <w:color w:val="auto"/>
              </w:rPr>
              <w:t>9/27/2019</w:t>
            </w:r>
          </w:p>
        </w:tc>
      </w:tr>
      <w:tr>
        <w:trPr>
          <w:trHeight w:val="20"/>
        </w:trPr>
        <w:tc>
          <w:tcPr>
            <w:tcW w:w="960" w:type="dxa"/>
            <w:vAlign w:val="bottom"/>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960" w:type="dxa"/>
            <w:vAlign w:val="bottom"/>
            <w:gridSpan w:val="8"/>
            <w:shd w:val="clear" w:color="auto" w:fill="0000EE"/>
          </w:tcPr>
          <w:p>
            <w:pPr>
              <w:spacing w:after="0" w:line="20" w:lineRule="exact"/>
              <w:rPr>
                <w:sz w:val="1"/>
                <w:szCs w:val="1"/>
                <w:color w:val="auto"/>
              </w:rPr>
            </w:pPr>
          </w:p>
        </w:tc>
        <w:tc>
          <w:tcPr>
            <w:tcW w:w="460" w:type="dxa"/>
            <w:vAlign w:val="bottom"/>
            <w:gridSpan w:val="13"/>
            <w:shd w:val="clear" w:color="auto" w:fill="0000EE"/>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w w:val="90"/>
              </w:rPr>
            </w:pPr>
            <w:hyperlink r:id="rId146">
              <w:r>
                <w:rPr>
                  <w:rFonts w:ascii="Arial" w:cs="Arial" w:eastAsia="Arial" w:hAnsi="Arial"/>
                  <w:sz w:val="18"/>
                  <w:szCs w:val="18"/>
                  <w:color w:val="0000EE"/>
                  <w:w w:val="90"/>
                </w:rPr>
                <w:t>dated as of June 8, 2018, between</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7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46">
              <w:r>
                <w:rPr>
                  <w:rFonts w:ascii="Arial" w:cs="Arial" w:eastAsia="Arial" w:hAnsi="Arial"/>
                  <w:sz w:val="18"/>
                  <w:szCs w:val="18"/>
                  <w:color w:val="0000EE"/>
                  <w:w w:val="91"/>
                </w:rPr>
                <w:t>Silicon Valley Bank and</w:t>
              </w:r>
            </w:hyperlink>
          </w:p>
        </w:tc>
        <w:tc>
          <w:tcPr>
            <w:tcW w:w="680" w:type="dxa"/>
            <w:vAlign w:val="bottom"/>
            <w:tcBorders>
              <w:top w:val="single" w:sz="8" w:color="0000EE"/>
            </w:tcBorders>
            <w:gridSpan w:val="20"/>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31"/>
          </w:tcPr>
          <w:p>
            <w:pPr>
              <w:spacing w:after="0" w:line="196" w:lineRule="exact"/>
              <w:rPr>
                <w:rFonts w:ascii="Arial" w:cs="Arial" w:eastAsia="Arial" w:hAnsi="Arial"/>
                <w:sz w:val="18"/>
                <w:szCs w:val="18"/>
                <w:color w:val="0000EE"/>
              </w:rPr>
            </w:pPr>
            <w:hyperlink r:id="rId146">
              <w:r>
                <w:rPr>
                  <w:rFonts w:ascii="Arial" w:cs="Arial" w:eastAsia="Arial" w:hAnsi="Arial"/>
                  <w:sz w:val="18"/>
                  <w:szCs w:val="18"/>
                  <w:color w:val="0000EE"/>
                </w:rPr>
                <w:t>Registrant.</w:t>
              </w:r>
            </w:hyperlink>
          </w:p>
        </w:tc>
        <w:tc>
          <w:tcPr>
            <w:tcW w:w="7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720" w:type="dxa"/>
            <w:vAlign w:val="bottom"/>
          </w:tcPr>
          <w:p>
            <w:pPr>
              <w:spacing w:after="0"/>
              <w:rPr>
                <w:sz w:val="17"/>
                <w:szCs w:val="17"/>
                <w:color w:val="auto"/>
              </w:rPr>
            </w:pPr>
          </w:p>
        </w:tc>
      </w:tr>
      <w:tr>
        <w:trPr>
          <w:trHeight w:val="668"/>
        </w:trPr>
        <w:tc>
          <w:tcPr>
            <w:tcW w:w="960" w:type="dxa"/>
            <w:vAlign w:val="bottom"/>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0" w:type="dxa"/>
            <w:vAlign w:val="bottom"/>
          </w:tcPr>
          <w:p>
            <w:pPr>
              <w:ind w:left="140"/>
              <w:spacing w:after="0"/>
              <w:rPr>
                <w:sz w:val="20"/>
                <w:szCs w:val="20"/>
                <w:color w:val="auto"/>
              </w:rPr>
            </w:pPr>
            <w:r>
              <w:rPr>
                <w:rFonts w:ascii="Arial" w:cs="Arial" w:eastAsia="Arial" w:hAnsi="Arial"/>
                <w:sz w:val="18"/>
                <w:szCs w:val="18"/>
                <w:color w:val="auto"/>
              </w:rPr>
              <w:t>105</w:t>
            </w:r>
          </w:p>
        </w:tc>
        <w:tc>
          <w:tcPr>
            <w:tcW w:w="8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561"/>
        </w:trPr>
        <w:tc>
          <w:tcPr>
            <w:tcW w:w="9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7" w:right="1440" w:bottom="1440" w:gutter="0" w:footer="0" w:header="0"/>
        </w:sectPr>
      </w:pPr>
    </w:p>
    <w:bookmarkStart w:id="105" w:name="page106"/>
    <w:bookmarkEnd w:id="10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60" w:type="dxa"/>
            <w:vAlign w:val="bottom"/>
          </w:tcPr>
          <w:p>
            <w:pPr>
              <w:spacing w:after="0"/>
              <w:rPr>
                <w:sz w:val="20"/>
                <w:szCs w:val="20"/>
                <w:color w:val="auto"/>
              </w:rPr>
            </w:pPr>
            <w:r>
              <w:rPr>
                <w:rFonts w:ascii="Arial" w:cs="Arial" w:eastAsia="Arial" w:hAnsi="Arial"/>
                <w:sz w:val="18"/>
                <w:szCs w:val="18"/>
                <w:color w:val="auto"/>
              </w:rPr>
              <w:t>10.15</w:t>
            </w:r>
          </w:p>
        </w:tc>
        <w:tc>
          <w:tcPr>
            <w:tcW w:w="1860" w:type="dxa"/>
            <w:vAlign w:val="bottom"/>
            <w:tcBorders>
              <w:bottom w:val="single" w:sz="8" w:color="0000EE"/>
            </w:tcBorders>
            <w:gridSpan w:val="8"/>
          </w:tcPr>
          <w:p>
            <w:pPr>
              <w:spacing w:after="0"/>
              <w:rPr>
                <w:rFonts w:ascii="Arial" w:cs="Arial" w:eastAsia="Arial" w:hAnsi="Arial"/>
                <w:sz w:val="18"/>
                <w:szCs w:val="18"/>
                <w:color w:val="0000EE"/>
                <w:w w:val="89"/>
              </w:rPr>
            </w:pPr>
            <w:hyperlink r:id="rId147">
              <w:r>
                <w:rPr>
                  <w:rFonts w:ascii="Arial" w:cs="Arial" w:eastAsia="Arial" w:hAnsi="Arial"/>
                  <w:sz w:val="18"/>
                  <w:szCs w:val="18"/>
                  <w:color w:val="0000EE"/>
                  <w:w w:val="89"/>
                </w:rPr>
                <w:t>Amendments to Loan and</w:t>
              </w:r>
            </w:hyperlink>
          </w:p>
        </w:tc>
        <w:tc>
          <w:tcPr>
            <w:tcW w:w="660" w:type="dxa"/>
            <w:vAlign w:val="bottom"/>
            <w:gridSpan w:val="10"/>
          </w:tcPr>
          <w:p>
            <w:pPr>
              <w:spacing w:after="0"/>
              <w:rPr>
                <w:sz w:val="17"/>
                <w:szCs w:val="17"/>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auto"/>
              </w:rPr>
              <w:t>10-Q</w:t>
            </w:r>
          </w:p>
        </w:tc>
        <w:tc>
          <w:tcPr>
            <w:tcW w:w="1960" w:type="dxa"/>
            <w:vAlign w:val="bottom"/>
          </w:tcPr>
          <w:p>
            <w:pPr>
              <w:jc w:val="right"/>
              <w:ind w:right="270"/>
              <w:spacing w:after="0"/>
              <w:rPr>
                <w:sz w:val="20"/>
                <w:szCs w:val="20"/>
                <w:color w:val="auto"/>
              </w:rPr>
            </w:pPr>
            <w:r>
              <w:rPr>
                <w:rFonts w:ascii="Arial" w:cs="Arial" w:eastAsia="Arial" w:hAnsi="Arial"/>
                <w:sz w:val="18"/>
                <w:szCs w:val="18"/>
                <w:color w:val="auto"/>
              </w:rPr>
              <w:t>001-39100   10.1</w:t>
            </w:r>
          </w:p>
        </w:tc>
        <w:tc>
          <w:tcPr>
            <w:tcW w:w="2300" w:type="dxa"/>
            <w:vAlign w:val="bottom"/>
          </w:tcPr>
          <w:p>
            <w:pPr>
              <w:jc w:val="right"/>
              <w:ind w:right="1190"/>
              <w:spacing w:after="0"/>
              <w:rPr>
                <w:sz w:val="20"/>
                <w:szCs w:val="20"/>
                <w:color w:val="auto"/>
              </w:rPr>
            </w:pPr>
            <w:r>
              <w:rPr>
                <w:rFonts w:ascii="Arial" w:cs="Arial" w:eastAsia="Arial" w:hAnsi="Arial"/>
                <w:sz w:val="18"/>
                <w:szCs w:val="18"/>
                <w:color w:val="auto"/>
              </w:rPr>
              <w:t>8/7/2020</w:t>
            </w: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w w:val="97"/>
              </w:rPr>
            </w:pPr>
            <w:hyperlink r:id="rId147">
              <w:r>
                <w:rPr>
                  <w:rFonts w:ascii="Arial" w:cs="Arial" w:eastAsia="Arial" w:hAnsi="Arial"/>
                  <w:sz w:val="18"/>
                  <w:szCs w:val="18"/>
                  <w:color w:val="0000EE"/>
                  <w:w w:val="97"/>
                </w:rPr>
                <w:t>Security Agreement, dated as of</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16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color w:val="0000EE"/>
                <w:w w:val="89"/>
              </w:rPr>
            </w:pPr>
            <w:hyperlink r:id="rId147">
              <w:r>
                <w:rPr>
                  <w:rFonts w:ascii="Arial" w:cs="Arial" w:eastAsia="Arial" w:hAnsi="Arial"/>
                  <w:sz w:val="18"/>
                  <w:szCs w:val="18"/>
                  <w:color w:val="0000EE"/>
                  <w:w w:val="89"/>
                </w:rPr>
                <w:t>June 8, 2018, between Silicon</w:t>
              </w:r>
            </w:hyperlink>
          </w:p>
        </w:tc>
        <w:tc>
          <w:tcPr>
            <w:tcW w:w="140" w:type="dxa"/>
            <w:vAlign w:val="bottom"/>
            <w:tcBorders>
              <w:top w:val="single" w:sz="8" w:color="0000EE"/>
            </w:tcBorders>
            <w:gridSpan w:val="3"/>
          </w:tcPr>
          <w:p>
            <w:pPr>
              <w:spacing w:after="0"/>
              <w:rPr>
                <w:sz w:val="17"/>
                <w:szCs w:val="17"/>
                <w:color w:val="auto"/>
              </w:rPr>
            </w:pPr>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147">
              <w:r>
                <w:rPr>
                  <w:rFonts w:ascii="Arial" w:cs="Arial" w:eastAsia="Arial" w:hAnsi="Arial"/>
                  <w:sz w:val="18"/>
                  <w:szCs w:val="18"/>
                  <w:color w:val="0000EE"/>
                  <w:w w:val="90"/>
                </w:rPr>
                <w:t>Valley Bank and Registrant.</w:t>
              </w:r>
            </w:hyperlink>
          </w:p>
        </w:tc>
        <w:tc>
          <w:tcPr>
            <w:tcW w:w="500" w:type="dxa"/>
            <w:vAlign w:val="bottom"/>
            <w:gridSpan w:val="9"/>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21.1</w:t>
            </w:r>
          </w:p>
        </w:tc>
        <w:tc>
          <w:tcPr>
            <w:tcW w:w="1440" w:type="dxa"/>
            <w:vAlign w:val="bottom"/>
            <w:tcBorders>
              <w:bottom w:val="single" w:sz="8" w:color="0000EE"/>
            </w:tcBorders>
            <w:gridSpan w:val="5"/>
          </w:tcPr>
          <w:p>
            <w:pPr>
              <w:spacing w:after="0" w:line="196" w:lineRule="exact"/>
              <w:rPr>
                <w:rFonts w:ascii="Arial" w:cs="Arial" w:eastAsia="Arial" w:hAnsi="Arial"/>
                <w:sz w:val="18"/>
                <w:szCs w:val="18"/>
                <w:color w:val="0000EE"/>
                <w:w w:val="90"/>
              </w:rPr>
            </w:pPr>
            <w:hyperlink w:anchor="page110">
              <w:r>
                <w:rPr>
                  <w:rFonts w:ascii="Arial" w:cs="Arial" w:eastAsia="Arial" w:hAnsi="Arial"/>
                  <w:sz w:val="18"/>
                  <w:szCs w:val="18"/>
                  <w:color w:val="0000EE"/>
                  <w:w w:val="90"/>
                </w:rPr>
                <w:t>List of Subsidiaries.</w:t>
              </w:r>
            </w:hyperlink>
          </w:p>
        </w:tc>
        <w:tc>
          <w:tcPr>
            <w:tcW w:w="1080" w:type="dxa"/>
            <w:vAlign w:val="bottom"/>
            <w:gridSpan w:val="13"/>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5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23.1</w:t>
            </w:r>
          </w:p>
        </w:tc>
        <w:tc>
          <w:tcPr>
            <w:tcW w:w="230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111">
              <w:r>
                <w:rPr>
                  <w:rFonts w:ascii="Arial" w:cs="Arial" w:eastAsia="Arial" w:hAnsi="Arial"/>
                  <w:sz w:val="18"/>
                  <w:szCs w:val="18"/>
                  <w:color w:val="0000EE"/>
                  <w:w w:val="92"/>
                </w:rPr>
                <w:t>Consent of Ernst &amp; Young LLP</w:t>
              </w:r>
            </w:hyperlink>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5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24.1</w:t>
            </w:r>
          </w:p>
        </w:tc>
        <w:tc>
          <w:tcPr>
            <w:tcW w:w="2520" w:type="dxa"/>
            <w:vAlign w:val="bottom"/>
            <w:gridSpan w:val="18"/>
          </w:tcPr>
          <w:p>
            <w:pPr>
              <w:spacing w:after="0" w:line="196" w:lineRule="exact"/>
              <w:rPr>
                <w:rFonts w:ascii="Arial" w:cs="Arial" w:eastAsia="Arial" w:hAnsi="Arial"/>
                <w:sz w:val="18"/>
                <w:szCs w:val="18"/>
                <w:color w:val="0000EE"/>
                <w:w w:val="98"/>
              </w:rPr>
            </w:pPr>
            <w:hyperlink w:anchor="page108">
              <w:r>
                <w:rPr>
                  <w:rFonts w:ascii="Arial" w:cs="Arial" w:eastAsia="Arial" w:hAnsi="Arial"/>
                  <w:sz w:val="18"/>
                  <w:szCs w:val="18"/>
                  <w:color w:val="0000EE"/>
                  <w:w w:val="98"/>
                </w:rPr>
                <w:t>Power of Attorney (incorporated</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5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34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by reference to the signature</w:t>
              </w:r>
            </w:hyperlink>
          </w:p>
        </w:tc>
        <w:tc>
          <w:tcPr>
            <w:tcW w:w="1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4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240" w:type="dxa"/>
            <w:vAlign w:val="bottom"/>
            <w:tcBorders>
              <w:bottom w:val="single" w:sz="8" w:color="0000EE"/>
            </w:tcBorders>
            <w:gridSpan w:val="13"/>
          </w:tcPr>
          <w:p>
            <w:pPr>
              <w:spacing w:after="0" w:line="196" w:lineRule="exact"/>
              <w:rPr>
                <w:rFonts w:ascii="Arial" w:cs="Arial" w:eastAsia="Arial" w:hAnsi="Arial"/>
                <w:sz w:val="18"/>
                <w:szCs w:val="18"/>
                <w:color w:val="0000EE"/>
                <w:w w:val="89"/>
              </w:rPr>
            </w:pPr>
            <w:hyperlink w:anchor="page108">
              <w:r>
                <w:rPr>
                  <w:rFonts w:ascii="Arial" w:cs="Arial" w:eastAsia="Arial" w:hAnsi="Arial"/>
                  <w:sz w:val="18"/>
                  <w:szCs w:val="18"/>
                  <w:color w:val="0000EE"/>
                  <w:w w:val="89"/>
                </w:rPr>
                <w:t>pages of this Annual Report on</w:t>
              </w:r>
            </w:hyperlink>
          </w:p>
        </w:tc>
        <w:tc>
          <w:tcPr>
            <w:tcW w:w="280" w:type="dxa"/>
            <w:vAlign w:val="bottom"/>
            <w:gridSpan w:val="5"/>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rPr>
            </w:pPr>
            <w:hyperlink w:anchor="page108">
              <w:r>
                <w:rPr>
                  <w:rFonts w:ascii="Arial" w:cs="Arial" w:eastAsia="Arial" w:hAnsi="Arial"/>
                  <w:sz w:val="18"/>
                  <w:szCs w:val="18"/>
                  <w:color w:val="0000EE"/>
                </w:rPr>
                <w:t>Form 10-K).</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31.1</w:t>
            </w:r>
          </w:p>
        </w:tc>
        <w:tc>
          <w:tcPr>
            <w:tcW w:w="2520" w:type="dxa"/>
            <w:vAlign w:val="bottom"/>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Certification of Chief Executive</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50"/>
              <w:spacing w:after="0" w:line="196" w:lineRule="exact"/>
              <w:rPr>
                <w:sz w:val="20"/>
                <w:szCs w:val="20"/>
                <w:color w:val="auto"/>
              </w:rPr>
            </w:pPr>
            <w:r>
              <w:rPr>
                <w:rFonts w:ascii="Arial" w:cs="Arial" w:eastAsia="Arial" w:hAnsi="Arial"/>
                <w:sz w:val="18"/>
                <w:szCs w:val="18"/>
                <w:color w:val="auto"/>
              </w:rPr>
              <w:t>*</w:t>
            </w:r>
          </w:p>
        </w:tc>
      </w:tr>
      <w:tr>
        <w:trPr>
          <w:trHeight w:val="20"/>
        </w:trPr>
        <w:tc>
          <w:tcPr>
            <w:tcW w:w="9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4"/>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2">
              <w:r>
                <w:rPr>
                  <w:rFonts w:ascii="Arial" w:cs="Arial" w:eastAsia="Arial" w:hAnsi="Arial"/>
                  <w:sz w:val="18"/>
                  <w:szCs w:val="18"/>
                  <w:color w:val="0000EE"/>
                  <w:w w:val="90"/>
                </w:rPr>
                <w:t>Officer pursuant to Exchange Act</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rPr>
            </w:pPr>
            <w:hyperlink w:anchor="page112">
              <w:r>
                <w:rPr>
                  <w:rFonts w:ascii="Arial" w:cs="Arial" w:eastAsia="Arial" w:hAnsi="Arial"/>
                  <w:sz w:val="18"/>
                  <w:szCs w:val="18"/>
                  <w:color w:val="0000EE"/>
                </w:rPr>
                <w:t>Rule 13a-14(a).</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31.2</w:t>
            </w:r>
          </w:p>
        </w:tc>
        <w:tc>
          <w:tcPr>
            <w:tcW w:w="2300" w:type="dxa"/>
            <w:vAlign w:val="bottom"/>
            <w:tcBorders>
              <w:bottom w:val="single" w:sz="8" w:color="0000EE"/>
            </w:tcBorders>
            <w:gridSpan w:val="15"/>
          </w:tcPr>
          <w:p>
            <w:pPr>
              <w:spacing w:after="0" w:line="196" w:lineRule="exact"/>
              <w:rPr>
                <w:rFonts w:ascii="Arial" w:cs="Arial" w:eastAsia="Arial" w:hAnsi="Arial"/>
                <w:sz w:val="18"/>
                <w:szCs w:val="18"/>
                <w:color w:val="0000EE"/>
                <w:w w:val="94"/>
              </w:rPr>
            </w:pPr>
            <w:hyperlink w:anchor="page113">
              <w:r>
                <w:rPr>
                  <w:rFonts w:ascii="Arial" w:cs="Arial" w:eastAsia="Arial" w:hAnsi="Arial"/>
                  <w:sz w:val="18"/>
                  <w:szCs w:val="18"/>
                  <w:color w:val="0000EE"/>
                  <w:w w:val="94"/>
                </w:rPr>
                <w:t>Certification of Chief Financial</w:t>
              </w:r>
            </w:hyperlink>
          </w:p>
        </w:tc>
        <w:tc>
          <w:tcPr>
            <w:tcW w:w="220" w:type="dxa"/>
            <w:vAlign w:val="bottom"/>
            <w:gridSpan w:val="3"/>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5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42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Officer pursuant to Exchange Act</w:t>
              </w:r>
            </w:hyperlink>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rPr>
            </w:pPr>
            <w:hyperlink w:anchor="page113">
              <w:r>
                <w:rPr>
                  <w:rFonts w:ascii="Arial" w:cs="Arial" w:eastAsia="Arial" w:hAnsi="Arial"/>
                  <w:sz w:val="18"/>
                  <w:szCs w:val="18"/>
                  <w:color w:val="0000EE"/>
                </w:rPr>
                <w:t>Rule 13a-14(a).</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32.1</w:t>
            </w:r>
          </w:p>
        </w:tc>
        <w:tc>
          <w:tcPr>
            <w:tcW w:w="1800" w:type="dxa"/>
            <w:vAlign w:val="bottom"/>
            <w:tcBorders>
              <w:bottom w:val="single" w:sz="8" w:color="0000EE"/>
            </w:tcBorders>
            <w:gridSpan w:val="7"/>
          </w:tcPr>
          <w:p>
            <w:pPr>
              <w:spacing w:after="0" w:line="196" w:lineRule="exact"/>
              <w:rPr>
                <w:rFonts w:ascii="Arial" w:cs="Arial" w:eastAsia="Arial" w:hAnsi="Arial"/>
                <w:sz w:val="18"/>
                <w:szCs w:val="18"/>
                <w:color w:val="0000EE"/>
                <w:w w:val="94"/>
              </w:rPr>
            </w:pPr>
            <w:hyperlink w:anchor="page114">
              <w:r>
                <w:rPr>
                  <w:rFonts w:ascii="Arial" w:cs="Arial" w:eastAsia="Arial" w:hAnsi="Arial"/>
                  <w:sz w:val="18"/>
                  <w:szCs w:val="18"/>
                  <w:color w:val="0000EE"/>
                  <w:w w:val="94"/>
                </w:rPr>
                <w:t>Certification of Principal</w:t>
              </w:r>
            </w:hyperlink>
          </w:p>
        </w:tc>
        <w:tc>
          <w:tcPr>
            <w:tcW w:w="720" w:type="dxa"/>
            <w:vAlign w:val="bottom"/>
            <w:gridSpan w:val="11"/>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3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w w:val="97"/>
              </w:rPr>
            </w:pPr>
            <w:hyperlink w:anchor="page114">
              <w:r>
                <w:rPr>
                  <w:rFonts w:ascii="Arial" w:cs="Arial" w:eastAsia="Arial" w:hAnsi="Arial"/>
                  <w:sz w:val="18"/>
                  <w:szCs w:val="18"/>
                  <w:color w:val="0000EE"/>
                  <w:w w:val="97"/>
                </w:rPr>
                <w:t>Executive Officer pursuant to 18</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52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89"/>
              </w:rPr>
            </w:pPr>
            <w:hyperlink w:anchor="page114">
              <w:r>
                <w:rPr>
                  <w:rFonts w:ascii="Arial" w:cs="Arial" w:eastAsia="Arial" w:hAnsi="Arial"/>
                  <w:sz w:val="18"/>
                  <w:szCs w:val="18"/>
                  <w:color w:val="0000EE"/>
                  <w:w w:val="89"/>
                </w:rPr>
                <w:t>U.S.C. Section 1350.</w:t>
              </w:r>
            </w:hyperlink>
          </w:p>
        </w:tc>
        <w:tc>
          <w:tcPr>
            <w:tcW w:w="820" w:type="dxa"/>
            <w:vAlign w:val="bottom"/>
            <w:tcBorders>
              <w:top w:val="single" w:sz="8" w:color="0000EE"/>
            </w:tcBorders>
            <w:gridSpan w:val="10"/>
          </w:tcPr>
          <w:p>
            <w:pPr>
              <w:spacing w:after="0"/>
              <w:rPr>
                <w:sz w:val="17"/>
                <w:szCs w:val="17"/>
                <w:color w:val="auto"/>
              </w:rPr>
            </w:pPr>
          </w:p>
        </w:tc>
        <w:tc>
          <w:tcPr>
            <w:tcW w:w="180" w:type="dxa"/>
            <w:vAlign w:val="bottom"/>
            <w:gridSpan w:val="2"/>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line="196" w:lineRule="exact"/>
              <w:rPr>
                <w:sz w:val="20"/>
                <w:szCs w:val="20"/>
                <w:color w:val="auto"/>
              </w:rPr>
            </w:pPr>
            <w:r>
              <w:rPr>
                <w:rFonts w:ascii="Arial" w:cs="Arial" w:eastAsia="Arial" w:hAnsi="Arial"/>
                <w:sz w:val="18"/>
                <w:szCs w:val="18"/>
                <w:color w:val="auto"/>
              </w:rPr>
              <w:t>32.2</w:t>
            </w:r>
          </w:p>
        </w:tc>
        <w:tc>
          <w:tcPr>
            <w:tcW w:w="2260" w:type="dxa"/>
            <w:vAlign w:val="bottom"/>
            <w:tcBorders>
              <w:bottom w:val="single" w:sz="8" w:color="0000EE"/>
            </w:tcBorders>
            <w:gridSpan w:val="14"/>
          </w:tcPr>
          <w:p>
            <w:pPr>
              <w:spacing w:after="0" w:line="196" w:lineRule="exact"/>
              <w:rPr>
                <w:rFonts w:ascii="Arial" w:cs="Arial" w:eastAsia="Arial" w:hAnsi="Arial"/>
                <w:sz w:val="18"/>
                <w:szCs w:val="18"/>
                <w:color w:val="0000EE"/>
                <w:w w:val="93"/>
              </w:rPr>
            </w:pPr>
            <w:hyperlink w:anchor="page115">
              <w:r>
                <w:rPr>
                  <w:rFonts w:ascii="Arial" w:cs="Arial" w:eastAsia="Arial" w:hAnsi="Arial"/>
                  <w:sz w:val="18"/>
                  <w:szCs w:val="18"/>
                  <w:color w:val="0000EE"/>
                  <w:w w:val="93"/>
                </w:rPr>
                <w:t>Certification of Chief Financial</w:t>
              </w:r>
            </w:hyperlink>
          </w:p>
        </w:tc>
        <w:tc>
          <w:tcPr>
            <w:tcW w:w="260" w:type="dxa"/>
            <w:vAlign w:val="bottom"/>
            <w:gridSpan w:val="4"/>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jc w:val="center"/>
              <w:ind w:left="2030"/>
              <w:spacing w:after="0" w:line="196" w:lineRule="exact"/>
              <w:rPr>
                <w:sz w:val="20"/>
                <w:szCs w:val="20"/>
                <w:color w:val="auto"/>
              </w:rPr>
            </w:pPr>
            <w:r>
              <w:rPr>
                <w:rFonts w:ascii="Arial" w:cs="Arial" w:eastAsia="Arial" w:hAnsi="Arial"/>
                <w:sz w:val="18"/>
                <w:szCs w:val="18"/>
                <w:color w:val="auto"/>
              </w:rPr>
              <w:t>**</w:t>
            </w:r>
          </w:p>
        </w:tc>
      </w:tr>
      <w:tr>
        <w:trPr>
          <w:trHeight w:val="196"/>
        </w:trPr>
        <w:tc>
          <w:tcPr>
            <w:tcW w:w="960" w:type="dxa"/>
            <w:vAlign w:val="bottom"/>
          </w:tcPr>
          <w:p>
            <w:pPr>
              <w:spacing w:after="0"/>
              <w:rPr>
                <w:sz w:val="17"/>
                <w:szCs w:val="17"/>
                <w:color w:val="auto"/>
              </w:rPr>
            </w:pPr>
          </w:p>
        </w:tc>
        <w:tc>
          <w:tcPr>
            <w:tcW w:w="2120" w:type="dxa"/>
            <w:vAlign w:val="bottom"/>
            <w:tcBorders>
              <w:bottom w:val="single" w:sz="8" w:color="0000EE"/>
            </w:tcBorders>
            <w:gridSpan w:val="11"/>
          </w:tcPr>
          <w:p>
            <w:pPr>
              <w:spacing w:after="0" w:line="196" w:lineRule="exact"/>
              <w:rPr>
                <w:rFonts w:ascii="Arial" w:cs="Arial" w:eastAsia="Arial" w:hAnsi="Arial"/>
                <w:sz w:val="18"/>
                <w:szCs w:val="18"/>
                <w:color w:val="0000EE"/>
                <w:w w:val="90"/>
              </w:rPr>
            </w:pPr>
            <w:hyperlink w:anchor="page115">
              <w:r>
                <w:rPr>
                  <w:rFonts w:ascii="Arial" w:cs="Arial" w:eastAsia="Arial" w:hAnsi="Arial"/>
                  <w:sz w:val="18"/>
                  <w:szCs w:val="18"/>
                  <w:color w:val="0000EE"/>
                  <w:w w:val="90"/>
                </w:rPr>
                <w:t>Officer pursuant to 18 U.S.C.</w:t>
              </w:r>
            </w:hyperlink>
          </w:p>
        </w:tc>
        <w:tc>
          <w:tcPr>
            <w:tcW w:w="400" w:type="dxa"/>
            <w:vAlign w:val="bottom"/>
            <w:gridSpan w:val="7"/>
          </w:tcPr>
          <w:p>
            <w:pPr>
              <w:spacing w:after="0"/>
              <w:rPr>
                <w:sz w:val="17"/>
                <w:szCs w:val="17"/>
                <w:color w:val="auto"/>
              </w:rPr>
            </w:pPr>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2520" w:type="dxa"/>
            <w:vAlign w:val="bottom"/>
            <w:gridSpan w:val="18"/>
          </w:tcPr>
          <w:p>
            <w:pPr>
              <w:spacing w:after="0" w:line="196" w:lineRule="exact"/>
              <w:rPr>
                <w:rFonts w:ascii="Arial" w:cs="Arial" w:eastAsia="Arial" w:hAnsi="Arial"/>
                <w:sz w:val="18"/>
                <w:szCs w:val="18"/>
                <w:color w:val="0000EE"/>
              </w:rPr>
            </w:pPr>
            <w:hyperlink w:anchor="page115">
              <w:r>
                <w:rPr>
                  <w:rFonts w:ascii="Arial" w:cs="Arial" w:eastAsia="Arial" w:hAnsi="Arial"/>
                  <w:sz w:val="18"/>
                  <w:szCs w:val="18"/>
                  <w:color w:val="0000EE"/>
                </w:rPr>
                <w:t>Section 1350.</w:t>
              </w:r>
            </w:hyperlink>
          </w:p>
        </w:tc>
        <w:tc>
          <w:tcPr>
            <w:tcW w:w="70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2300" w:type="dxa"/>
            <w:vAlign w:val="bottom"/>
          </w:tcPr>
          <w:p>
            <w:pPr>
              <w:spacing w:after="0"/>
              <w:rPr>
                <w:sz w:val="17"/>
                <w:szCs w:val="17"/>
                <w:color w:val="auto"/>
              </w:rPr>
            </w:pPr>
          </w:p>
        </w:tc>
      </w:tr>
      <w:tr>
        <w:trPr>
          <w:trHeight w:val="20"/>
        </w:trPr>
        <w:tc>
          <w:tcPr>
            <w:tcW w:w="96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40" w:type="dxa"/>
            <w:vAlign w:val="bottom"/>
            <w:gridSpan w:val="1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101.INS</w:t>
            </w:r>
          </w:p>
        </w:tc>
        <w:tc>
          <w:tcPr>
            <w:tcW w:w="2520" w:type="dxa"/>
            <w:vAlign w:val="bottom"/>
            <w:gridSpan w:val="18"/>
          </w:tcPr>
          <w:p>
            <w:pPr>
              <w:spacing w:after="0"/>
              <w:rPr>
                <w:sz w:val="20"/>
                <w:szCs w:val="20"/>
                <w:color w:val="auto"/>
              </w:rPr>
            </w:pPr>
            <w:r>
              <w:rPr>
                <w:rFonts w:ascii="Arial" w:cs="Arial" w:eastAsia="Arial" w:hAnsi="Arial"/>
                <w:sz w:val="18"/>
                <w:szCs w:val="18"/>
                <w:color w:val="auto"/>
                <w:w w:val="96"/>
              </w:rPr>
              <w:t>Inline XBRL Instance Document.</w:t>
            </w:r>
          </w:p>
        </w:tc>
        <w:tc>
          <w:tcPr>
            <w:tcW w:w="70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300" w:type="dxa"/>
            <w:vAlign w:val="bottom"/>
          </w:tcPr>
          <w:p>
            <w:pPr>
              <w:spacing w:after="0"/>
              <w:rPr>
                <w:sz w:val="19"/>
                <w:szCs w:val="19"/>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101.SCH</w:t>
            </w:r>
          </w:p>
        </w:tc>
        <w:tc>
          <w:tcPr>
            <w:tcW w:w="252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Extension Schema Document.</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101.CAL</w:t>
            </w:r>
          </w:p>
        </w:tc>
        <w:tc>
          <w:tcPr>
            <w:tcW w:w="252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w w:val="99"/>
              </w:rPr>
              <w:t>Extension Calculation Linkbase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101.DEF</w:t>
            </w:r>
          </w:p>
        </w:tc>
        <w:tc>
          <w:tcPr>
            <w:tcW w:w="252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Extension Definition Linkbase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101.LAB</w:t>
            </w:r>
          </w:p>
        </w:tc>
        <w:tc>
          <w:tcPr>
            <w:tcW w:w="252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Extension Label Linkbase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101.PRE</w:t>
            </w:r>
          </w:p>
        </w:tc>
        <w:tc>
          <w:tcPr>
            <w:tcW w:w="2520" w:type="dxa"/>
            <w:vAlign w:val="bottom"/>
            <w:gridSpan w:val="18"/>
          </w:tcPr>
          <w:p>
            <w:pPr>
              <w:spacing w:after="0"/>
              <w:rPr>
                <w:sz w:val="20"/>
                <w:szCs w:val="20"/>
                <w:color w:val="auto"/>
              </w:rPr>
            </w:pPr>
            <w:r>
              <w:rPr>
                <w:rFonts w:ascii="Arial" w:cs="Arial" w:eastAsia="Arial" w:hAnsi="Arial"/>
                <w:sz w:val="18"/>
                <w:szCs w:val="18"/>
                <w:color w:val="auto"/>
              </w:rPr>
              <w:t>Inline XBRL Taxonomy</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w w:val="95"/>
              </w:rPr>
              <w:t>Extension Presentation Linkbase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Document.</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104</w:t>
            </w:r>
          </w:p>
        </w:tc>
        <w:tc>
          <w:tcPr>
            <w:tcW w:w="2520" w:type="dxa"/>
            <w:vAlign w:val="bottom"/>
            <w:gridSpan w:val="18"/>
          </w:tcPr>
          <w:p>
            <w:pPr>
              <w:spacing w:after="0"/>
              <w:rPr>
                <w:sz w:val="20"/>
                <w:szCs w:val="20"/>
                <w:color w:val="auto"/>
              </w:rPr>
            </w:pPr>
            <w:r>
              <w:rPr>
                <w:rFonts w:ascii="Arial" w:cs="Arial" w:eastAsia="Arial" w:hAnsi="Arial"/>
                <w:sz w:val="18"/>
                <w:szCs w:val="18"/>
                <w:color w:val="auto"/>
                <w:w w:val="96"/>
              </w:rPr>
              <w:t>Cover Page Interactive Data File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jc w:val="center"/>
              <w:ind w:left="2050"/>
              <w:spacing w:after="0"/>
              <w:rPr>
                <w:sz w:val="20"/>
                <w:szCs w:val="20"/>
                <w:color w:val="auto"/>
              </w:rPr>
            </w:pPr>
            <w:r>
              <w:rPr>
                <w:rFonts w:ascii="Arial" w:cs="Arial" w:eastAsia="Arial" w:hAnsi="Arial"/>
                <w:sz w:val="18"/>
                <w:szCs w:val="18"/>
                <w:color w:val="auto"/>
              </w:rPr>
              <w:t>*</w:t>
            </w:r>
          </w:p>
        </w:tc>
      </w:tr>
      <w:tr>
        <w:trPr>
          <w:trHeight w:val="216"/>
        </w:trPr>
        <w:tc>
          <w:tcPr>
            <w:tcW w:w="960" w:type="dxa"/>
            <w:vAlign w:val="bottom"/>
          </w:tcPr>
          <w:p>
            <w:pPr>
              <w:spacing w:after="0"/>
              <w:rPr>
                <w:sz w:val="18"/>
                <w:szCs w:val="18"/>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(embedded within the Inline</w:t>
            </w:r>
          </w:p>
        </w:tc>
        <w:tc>
          <w:tcPr>
            <w:tcW w:w="7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300" w:type="dxa"/>
            <w:vAlign w:val="bottom"/>
          </w:tcPr>
          <w:p>
            <w:pPr>
              <w:spacing w:after="0"/>
              <w:rPr>
                <w:sz w:val="18"/>
                <w:szCs w:val="18"/>
                <w:color w:val="auto"/>
              </w:rPr>
            </w:pPr>
          </w:p>
        </w:tc>
      </w:tr>
      <w:tr>
        <w:trPr>
          <w:trHeight w:val="230"/>
        </w:trPr>
        <w:tc>
          <w:tcPr>
            <w:tcW w:w="960" w:type="dxa"/>
            <w:vAlign w:val="bottom"/>
          </w:tcPr>
          <w:p>
            <w:pPr>
              <w:spacing w:after="0"/>
              <w:rPr>
                <w:sz w:val="20"/>
                <w:szCs w:val="20"/>
                <w:color w:val="auto"/>
              </w:rPr>
            </w:pPr>
          </w:p>
        </w:tc>
        <w:tc>
          <w:tcPr>
            <w:tcW w:w="2520" w:type="dxa"/>
            <w:vAlign w:val="bottom"/>
            <w:gridSpan w:val="18"/>
          </w:tcPr>
          <w:p>
            <w:pPr>
              <w:spacing w:after="0"/>
              <w:rPr>
                <w:sz w:val="20"/>
                <w:szCs w:val="20"/>
                <w:color w:val="auto"/>
              </w:rPr>
            </w:pPr>
            <w:r>
              <w:rPr>
                <w:rFonts w:ascii="Arial" w:cs="Arial" w:eastAsia="Arial" w:hAnsi="Arial"/>
                <w:sz w:val="18"/>
                <w:szCs w:val="18"/>
                <w:color w:val="auto"/>
              </w:rPr>
              <w:t>XBRL document).</w:t>
            </w:r>
          </w:p>
        </w:tc>
        <w:tc>
          <w:tcPr>
            <w:tcW w:w="70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300" w:type="dxa"/>
            <w:vAlign w:val="bottom"/>
          </w:tcPr>
          <w:p>
            <w:pPr>
              <w:spacing w:after="0"/>
              <w:rPr>
                <w:sz w:val="20"/>
                <w:szCs w:val="20"/>
                <w:color w:val="auto"/>
              </w:rPr>
            </w:pPr>
          </w:p>
        </w:tc>
      </w:tr>
      <w:tr>
        <w:trPr>
          <w:trHeight w:val="128"/>
        </w:trPr>
        <w:tc>
          <w:tcPr>
            <w:tcW w:w="9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300" w:type="dxa"/>
            <w:vAlign w:val="bottom"/>
          </w:tcPr>
          <w:p>
            <w:pPr>
              <w:spacing w:after="0"/>
              <w:rPr>
                <w:sz w:val="11"/>
                <w:szCs w:val="11"/>
                <w:color w:val="auto"/>
              </w:rPr>
            </w:pPr>
          </w:p>
        </w:tc>
      </w:tr>
    </w:tbl>
    <w:p>
      <w:pPr>
        <w:spacing w:after="0" w:line="188" w:lineRule="exact"/>
        <w:rPr>
          <w:sz w:val="20"/>
          <w:szCs w:val="20"/>
          <w:color w:val="auto"/>
        </w:rPr>
      </w:pPr>
    </w:p>
    <w:p>
      <w:pPr>
        <w:ind w:left="460" w:hanging="410"/>
        <w:spacing w:after="0"/>
        <w:tabs>
          <w:tab w:leader="none" w:pos="4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17" w:lineRule="exact"/>
        <w:rPr>
          <w:sz w:val="20"/>
          <w:szCs w:val="20"/>
          <w:color w:val="auto"/>
        </w:rPr>
      </w:pPr>
    </w:p>
    <w:p>
      <w:pPr>
        <w:ind w:left="460" w:hanging="410"/>
        <w:spacing w:after="0"/>
        <w:tabs>
          <w:tab w:leader="none" w:pos="4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117" w:lineRule="exact"/>
        <w:rPr>
          <w:sz w:val="20"/>
          <w:szCs w:val="20"/>
          <w:color w:val="auto"/>
        </w:rPr>
      </w:pPr>
    </w:p>
    <w:p>
      <w:pPr>
        <w:ind w:left="460" w:hanging="410"/>
        <w:spacing w:after="0"/>
        <w:tabs>
          <w:tab w:leader="none" w:pos="4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6" w:name="page107"/>
    <w:bookmarkEnd w:id="10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13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07" w:name="page108"/>
    <w:bookmarkEnd w:id="10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79" w:firstLine="648"/>
        <w:spacing w:after="0" w:line="308" w:lineRule="auto"/>
        <w:rPr>
          <w:sz w:val="20"/>
          <w:szCs w:val="20"/>
          <w:color w:val="auto"/>
        </w:rPr>
      </w:pPr>
      <w:r>
        <w:rPr>
          <w:rFonts w:ascii="Arial" w:cs="Arial" w:eastAsia="Arial" w:hAnsi="Arial"/>
          <w:sz w:val="17"/>
          <w:szCs w:val="17"/>
          <w:color w:val="auto"/>
        </w:rPr>
        <w:t>Pursuant to the requirements of Section 13 or Section 15(d) of the Securities Exchange Act of 1934, the Registrant has duly caused this report to be signed on its behalf by the undersigned thereunto duly authorized.</w:t>
      </w:r>
    </w:p>
    <w:p>
      <w:pPr>
        <w:spacing w:after="0" w:line="183"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PROGYNY, INC.</w:t>
      </w:r>
    </w:p>
    <w:p>
      <w:pPr>
        <w:sectPr>
          <w:pgSz w:w="11900" w:h="16838" w:orient="portrait"/>
          <w:cols w:equalWidth="0" w:num="1">
            <w:col w:w="9019"/>
          </w:cols>
          <w:pgMar w:left="1440" w:top="517" w:right="1440" w:bottom="1440" w:gutter="0" w:footer="0" w:header="0"/>
        </w:sectPr>
      </w:pPr>
    </w:p>
    <w:p>
      <w:pPr>
        <w:spacing w:after="0" w:line="256" w:lineRule="exact"/>
        <w:rPr>
          <w:sz w:val="20"/>
          <w:szCs w:val="20"/>
          <w:color w:val="auto"/>
        </w:rPr>
      </w:pPr>
    </w:p>
    <w:p>
      <w:pPr>
        <w:ind w:left="60"/>
        <w:spacing w:after="0"/>
        <w:rPr>
          <w:sz w:val="20"/>
          <w:szCs w:val="20"/>
          <w:color w:val="auto"/>
        </w:rPr>
      </w:pPr>
      <w:r>
        <w:rPr>
          <w:rFonts w:ascii="Arial" w:cs="Arial" w:eastAsia="Arial" w:hAnsi="Arial"/>
          <w:sz w:val="16"/>
          <w:szCs w:val="16"/>
          <w:color w:val="auto"/>
        </w:rPr>
        <w:t>Date: March 1, 2022</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center"/>
        <w:ind w:right="1339"/>
        <w:spacing w:after="0"/>
        <w:rPr>
          <w:sz w:val="20"/>
          <w:szCs w:val="20"/>
          <w:color w:val="auto"/>
        </w:rPr>
      </w:pPr>
      <w:r>
        <w:rPr>
          <w:rFonts w:ascii="Arial" w:cs="Arial" w:eastAsia="Arial" w:hAnsi="Arial"/>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-803275</wp:posOffset>
            </wp:positionH>
            <wp:positionV relativeFrom="paragraph">
              <wp:posOffset>22225</wp:posOffset>
            </wp:positionV>
            <wp:extent cx="263144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0">
                      <a:extLst>
                        <a:ext uri="{28A0092B-C50C-407E-A947-70E740481C1C}"/>
                      </a:extLst>
                    </a:blip>
                    <a:srcRect/>
                    <a:stretch>
                      <a:fillRect/>
                    </a:stretch>
                  </pic:blipFill>
                  <pic:spPr bwMode="auto">
                    <a:xfrm>
                      <a:off x="0" y="0"/>
                      <a:ext cx="2631440" cy="8255"/>
                    </a:xfrm>
                    <a:prstGeom prst="rect">
                      <a:avLst/>
                    </a:prstGeom>
                    <a:noFill/>
                  </pic:spPr>
                </pic:pic>
              </a:graphicData>
            </a:graphic>
          </wp:anchor>
        </w:drawing>
      </w:r>
    </w:p>
    <w:p>
      <w:pPr>
        <w:spacing w:after="0" w:line="48" w:lineRule="exact"/>
        <w:rPr>
          <w:sz w:val="20"/>
          <w:szCs w:val="20"/>
          <w:color w:val="auto"/>
        </w:rPr>
      </w:pPr>
    </w:p>
    <w:p>
      <w:pPr>
        <w:sectPr>
          <w:pgSz w:w="11900" w:h="16838" w:orient="portrait"/>
          <w:cols w:equalWidth="0" w:num="3">
            <w:col w:w="3800" w:space="720"/>
            <w:col w:w="840" w:space="720"/>
            <w:col w:w="2939"/>
          </w:cols>
          <w:pgMar w:left="1440" w:top="517" w:right="1440" w:bottom="1440" w:gutter="0" w:footer="0" w:header="0"/>
          <w:type w:val="continuous"/>
        </w:sectPr>
      </w:pPr>
    </w:p>
    <w:p>
      <w:pPr>
        <w:jc w:val="center"/>
        <w:ind w:left="4720"/>
        <w:spacing w:after="0"/>
        <w:rPr>
          <w:sz w:val="20"/>
          <w:szCs w:val="20"/>
          <w:color w:val="auto"/>
        </w:rPr>
      </w:pPr>
      <w:r>
        <w:rPr>
          <w:rFonts w:ascii="Arial" w:cs="Arial" w:eastAsia="Arial" w:hAnsi="Arial"/>
          <w:sz w:val="18"/>
          <w:szCs w:val="18"/>
          <w:color w:val="auto"/>
        </w:rPr>
        <w:t>Peter Anevski</w:t>
      </w:r>
    </w:p>
    <w:p>
      <w:pPr>
        <w:spacing w:after="0" w:line="23" w:lineRule="exact"/>
        <w:rPr>
          <w:sz w:val="20"/>
          <w:szCs w:val="20"/>
          <w:color w:val="auto"/>
        </w:rPr>
      </w:pPr>
    </w:p>
    <w:p>
      <w:pPr>
        <w:jc w:val="center"/>
        <w:ind w:left="4720"/>
        <w:spacing w:after="0"/>
        <w:rPr>
          <w:sz w:val="20"/>
          <w:szCs w:val="20"/>
          <w:color w:val="auto"/>
        </w:rPr>
      </w:pPr>
      <w:r>
        <w:rPr>
          <w:rFonts w:ascii="Arial" w:cs="Arial" w:eastAsia="Arial" w:hAnsi="Arial"/>
          <w:sz w:val="18"/>
          <w:szCs w:val="18"/>
          <w:color w:val="auto"/>
        </w:rPr>
        <w:t>Chief Executive Officer</w:t>
      </w:r>
    </w:p>
    <w:p>
      <w:pPr>
        <w:spacing w:after="0" w:line="23" w:lineRule="exact"/>
        <w:rPr>
          <w:sz w:val="20"/>
          <w:szCs w:val="20"/>
          <w:color w:val="auto"/>
        </w:rPr>
      </w:pPr>
    </w:p>
    <w:p>
      <w:pPr>
        <w:jc w:val="center"/>
        <w:ind w:left="4720"/>
        <w:spacing w:after="0"/>
        <w:rPr>
          <w:sz w:val="20"/>
          <w:szCs w:val="20"/>
          <w:color w:val="auto"/>
        </w:rPr>
      </w:pPr>
      <w:r>
        <w:rPr>
          <w:rFonts w:ascii="Arial" w:cs="Arial" w:eastAsia="Arial" w:hAnsi="Arial"/>
          <w:sz w:val="17"/>
          <w:szCs w:val="17"/>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8" w:name="page109"/>
    <w:bookmarkEnd w:id="10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left="60" w:right="159" w:firstLine="648"/>
        <w:spacing w:after="0" w:line="289" w:lineRule="auto"/>
        <w:rPr>
          <w:sz w:val="20"/>
          <w:szCs w:val="20"/>
          <w:color w:val="auto"/>
        </w:rPr>
      </w:pPr>
      <w:r>
        <w:rPr>
          <w:rFonts w:ascii="Arial" w:cs="Arial" w:eastAsia="Arial" w:hAnsi="Arial"/>
          <w:sz w:val="16"/>
          <w:szCs w:val="16"/>
          <w:color w:val="auto"/>
        </w:rPr>
        <w:t>KNOW ALL PERSONS BY THESE PRESENTS, that each person whose signature appears below constitutes and appoints Peter Anevski and Mark Livingston, and each one of them, as his or her true and lawful attorneys-in-fact and agents, with full power of substitution and resubstitution, for him or her and in their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or her substitute or substitutes, may lawfully do or cause to be done by virtue hereof.</w:t>
      </w:r>
    </w:p>
    <w:p>
      <w:pPr>
        <w:spacing w:after="0" w:line="382" w:lineRule="exact"/>
        <w:rPr>
          <w:sz w:val="20"/>
          <w:szCs w:val="20"/>
          <w:color w:val="auto"/>
        </w:rPr>
      </w:pPr>
    </w:p>
    <w:p>
      <w:pPr>
        <w:ind w:left="60" w:right="399" w:firstLine="648"/>
        <w:spacing w:after="0" w:line="308"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indicated as of March 1, 2022.</w:t>
      </w:r>
    </w:p>
    <w:p>
      <w:pPr>
        <w:spacing w:after="0" w:line="170"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640" w:type="dxa"/>
            <w:vAlign w:val="bottom"/>
          </w:tcPr>
          <w:p>
            <w:pPr>
              <w:spacing w:after="0"/>
              <w:rPr>
                <w:sz w:val="17"/>
                <w:szCs w:val="17"/>
                <w:color w:val="auto"/>
              </w:rPr>
            </w:pPr>
          </w:p>
        </w:tc>
        <w:tc>
          <w:tcPr>
            <w:tcW w:w="2420" w:type="dxa"/>
            <w:vAlign w:val="bottom"/>
            <w:gridSpan w:val="2"/>
          </w:tcPr>
          <w:p>
            <w:pPr>
              <w:jc w:val="center"/>
              <w:ind w:right="1680"/>
              <w:spacing w:after="0"/>
              <w:rPr>
                <w:sz w:val="20"/>
                <w:szCs w:val="20"/>
                <w:color w:val="auto"/>
              </w:rPr>
            </w:pPr>
            <w:r>
              <w:rPr>
                <w:rFonts w:ascii="Arial" w:cs="Arial" w:eastAsia="Arial" w:hAnsi="Arial"/>
                <w:sz w:val="18"/>
                <w:szCs w:val="18"/>
                <w:b w:val="1"/>
                <w:bCs w:val="1"/>
                <w:color w:val="auto"/>
                <w:w w:val="89"/>
              </w:rPr>
              <w:t>Signature</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b w:val="1"/>
                <w:bCs w:val="1"/>
                <w:color w:val="auto"/>
                <w:w w:val="97"/>
              </w:rPr>
              <w:t>Title</w:t>
            </w:r>
          </w:p>
        </w:tc>
      </w:tr>
      <w:tr>
        <w:trPr>
          <w:trHeight w:val="20"/>
        </w:trPr>
        <w:tc>
          <w:tcPr>
            <w:tcW w:w="16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r>
        <w:trPr>
          <w:trHeight w:val="480"/>
        </w:trPr>
        <w:tc>
          <w:tcPr>
            <w:tcW w:w="4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5"/>
              </w:rPr>
              <w:t>/s/ PETER ANEVSKI</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3"/>
              </w:rPr>
              <w:t>Chief Executive Officer and Director</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Peter Anevski</w:t>
            </w:r>
          </w:p>
        </w:tc>
        <w:tc>
          <w:tcPr>
            <w:tcW w:w="4300" w:type="dxa"/>
            <w:vAlign w:val="bottom"/>
            <w:gridSpan w:val="3"/>
          </w:tcPr>
          <w:p>
            <w:pPr>
              <w:jc w:val="center"/>
              <w:ind w:left="1110"/>
              <w:spacing w:after="0"/>
              <w:rPr>
                <w:sz w:val="20"/>
                <w:szCs w:val="20"/>
                <w:color w:val="auto"/>
              </w:rPr>
            </w:pPr>
            <w:r>
              <w:rPr>
                <w:rFonts w:ascii="Arial" w:cs="Arial" w:eastAsia="Arial" w:hAnsi="Arial"/>
                <w:sz w:val="18"/>
                <w:szCs w:val="18"/>
                <w:color w:val="auto"/>
                <w:w w:val="94"/>
              </w:rPr>
              <w:t>(principal executive officer)</w:t>
            </w:r>
          </w:p>
        </w:tc>
      </w:tr>
      <w:tr>
        <w:trPr>
          <w:trHeight w:val="454"/>
        </w:trPr>
        <w:tc>
          <w:tcPr>
            <w:tcW w:w="4060" w:type="dxa"/>
            <w:vAlign w:val="bottom"/>
            <w:tcBorders>
              <w:bottom w:val="single" w:sz="8" w:color="auto"/>
            </w:tcBorders>
            <w:gridSpan w:val="3"/>
          </w:tcPr>
          <w:p>
            <w:pPr>
              <w:jc w:val="center"/>
              <w:ind w:right="20"/>
              <w:spacing w:after="0"/>
              <w:rPr>
                <w:sz w:val="20"/>
                <w:szCs w:val="20"/>
                <w:color w:val="auto"/>
              </w:rPr>
            </w:pPr>
            <w:r>
              <w:rPr>
                <w:rFonts w:ascii="Arial" w:cs="Arial" w:eastAsia="Arial" w:hAnsi="Arial"/>
                <w:sz w:val="18"/>
                <w:szCs w:val="18"/>
                <w:color w:val="auto"/>
                <w:w w:val="98"/>
              </w:rPr>
              <w:t>/s/ MARK LIVINGSTON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4"/>
              </w:rPr>
              <w:t>Chief Financial Officer</w:t>
            </w:r>
          </w:p>
        </w:tc>
      </w:tr>
      <w:tr>
        <w:trPr>
          <w:trHeight w:val="228"/>
        </w:trPr>
        <w:tc>
          <w:tcPr>
            <w:tcW w:w="4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Mark Livingston</w:t>
            </w:r>
          </w:p>
        </w:tc>
        <w:tc>
          <w:tcPr>
            <w:tcW w:w="4300" w:type="dxa"/>
            <w:vAlign w:val="bottom"/>
            <w:gridSpan w:val="3"/>
          </w:tcPr>
          <w:p>
            <w:pPr>
              <w:jc w:val="center"/>
              <w:ind w:left="1110"/>
              <w:spacing w:after="0"/>
              <w:rPr>
                <w:sz w:val="20"/>
                <w:szCs w:val="20"/>
                <w:color w:val="auto"/>
              </w:rPr>
            </w:pPr>
            <w:r>
              <w:rPr>
                <w:rFonts w:ascii="Arial" w:cs="Arial" w:eastAsia="Arial" w:hAnsi="Arial"/>
                <w:sz w:val="18"/>
                <w:szCs w:val="18"/>
                <w:color w:val="auto"/>
                <w:w w:val="93"/>
              </w:rPr>
              <w:t>(principal financial and accounting officer)</w:t>
            </w:r>
          </w:p>
        </w:tc>
      </w:tr>
      <w:tr>
        <w:trPr>
          <w:trHeight w:val="441"/>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6"/>
              </w:rPr>
              <w:t>/s/ DAVID SCHLANGER</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1"/>
              </w:rPr>
              <w:t>Executive Chairman</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David Schlanger</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27"/>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5"/>
              </w:rPr>
              <w:t>/s/ BETH SEIDENBERG</w:t>
            </w:r>
          </w:p>
        </w:tc>
        <w:tc>
          <w:tcPr>
            <w:tcW w:w="4300" w:type="dxa"/>
            <w:vAlign w:val="bottom"/>
            <w:gridSpan w:val="3"/>
          </w:tcPr>
          <w:p>
            <w:pPr>
              <w:jc w:val="center"/>
              <w:ind w:left="1110"/>
              <w:spacing w:after="0"/>
              <w:rPr>
                <w:sz w:val="20"/>
                <w:szCs w:val="20"/>
                <w:color w:val="auto"/>
              </w:rPr>
            </w:pPr>
            <w:r>
              <w:rPr>
                <w:rFonts w:ascii="Arial" w:cs="Arial" w:eastAsia="Arial" w:hAnsi="Arial"/>
                <w:sz w:val="18"/>
                <w:szCs w:val="18"/>
                <w:color w:val="auto"/>
                <w:w w:val="91"/>
              </w:rPr>
              <w:t>Lead Independent Director</w:t>
            </w:r>
          </w:p>
        </w:tc>
      </w:tr>
      <w:tr>
        <w:trPr>
          <w:trHeight w:val="228"/>
        </w:trPr>
        <w:tc>
          <w:tcPr>
            <w:tcW w:w="4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Beth Seidenberg, M.D.</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9"/>
              </w:rPr>
              <w:t>/s/ MALISSIA CLINTON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1"/>
              </w:rPr>
              <w:t>Malissia Clinton</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3"/>
              </w:rPr>
              <w:t>/s/ FRED COHEN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4"/>
              </w:rPr>
              <w:t>Fred Cohen, M.D., D.Phil.</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6"/>
              </w:rPr>
              <w:t>/s/ KEVIN GORDON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40"/>
              <w:spacing w:after="0"/>
              <w:rPr>
                <w:sz w:val="20"/>
                <w:szCs w:val="20"/>
                <w:color w:val="auto"/>
              </w:rPr>
            </w:pPr>
            <w:r>
              <w:rPr>
                <w:rFonts w:ascii="Arial" w:cs="Arial" w:eastAsia="Arial" w:hAnsi="Arial"/>
                <w:sz w:val="18"/>
                <w:szCs w:val="18"/>
                <w:b w:val="1"/>
                <w:bCs w:val="1"/>
                <w:color w:val="auto"/>
                <w:w w:val="92"/>
              </w:rPr>
              <w:t>Kevin Gordon</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ROGER HOLSTEIN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Roger Holstein</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2"/>
              </w:rPr>
              <w:t>/s/ JEFFREY PARK</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3"/>
              </w:rPr>
              <w:t>Jeffrey Park</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b w:val="1"/>
                <w:bCs w:val="1"/>
                <w:color w:val="auto"/>
                <w:w w:val="94"/>
              </w:rPr>
              <w:t>/</w:t>
            </w:r>
            <w:r>
              <w:rPr>
                <w:rFonts w:ascii="Arial" w:cs="Arial" w:eastAsia="Arial" w:hAnsi="Arial"/>
                <w:sz w:val="18"/>
                <w:szCs w:val="18"/>
                <w:color w:val="auto"/>
                <w:w w:val="94"/>
              </w:rPr>
              <w:t>s</w:t>
            </w:r>
            <w:r>
              <w:rPr>
                <w:rFonts w:ascii="Arial" w:cs="Arial" w:eastAsia="Arial" w:hAnsi="Arial"/>
                <w:sz w:val="18"/>
                <w:szCs w:val="18"/>
                <w:b w:val="1"/>
                <w:bCs w:val="1"/>
                <w:color w:val="auto"/>
                <w:w w:val="94"/>
              </w:rPr>
              <w:t xml:space="preserve">/ </w:t>
            </w:r>
            <w:r>
              <w:rPr>
                <w:rFonts w:ascii="Arial" w:cs="Arial" w:eastAsia="Arial" w:hAnsi="Arial"/>
                <w:sz w:val="18"/>
                <w:szCs w:val="18"/>
                <w:color w:val="auto"/>
                <w:w w:val="94"/>
              </w:rPr>
              <w:t>NORMAN PAYSON</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2"/>
              </w:rPr>
              <w:t>Norman Payson, M.D.</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454"/>
        </w:trPr>
        <w:tc>
          <w:tcPr>
            <w:tcW w:w="40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8"/>
                <w:szCs w:val="18"/>
                <w:color w:val="auto"/>
                <w:w w:val="94"/>
              </w:rPr>
              <w:t>/s/ CHERYL SCOTT</w:t>
            </w:r>
          </w:p>
        </w:tc>
        <w:tc>
          <w:tcPr>
            <w:tcW w:w="4300" w:type="dxa"/>
            <w:vAlign w:val="bottom"/>
            <w:gridSpan w:val="3"/>
          </w:tcPr>
          <w:p>
            <w:pPr>
              <w:jc w:val="center"/>
              <w:ind w:left="1130"/>
              <w:spacing w:after="0"/>
              <w:rPr>
                <w:sz w:val="20"/>
                <w:szCs w:val="20"/>
                <w:color w:val="auto"/>
              </w:rPr>
            </w:pPr>
            <w:r>
              <w:rPr>
                <w:rFonts w:ascii="Arial" w:cs="Arial" w:eastAsia="Arial" w:hAnsi="Arial"/>
                <w:sz w:val="18"/>
                <w:szCs w:val="18"/>
                <w:color w:val="auto"/>
                <w:w w:val="95"/>
              </w:rPr>
              <w:t>Director</w:t>
            </w:r>
          </w:p>
        </w:tc>
      </w:tr>
      <w:tr>
        <w:trPr>
          <w:trHeight w:val="228"/>
        </w:trPr>
        <w:tc>
          <w:tcPr>
            <w:tcW w:w="406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0"/>
              </w:rPr>
              <w:t>Cheryl Scott</w:t>
            </w:r>
          </w:p>
        </w:tc>
        <w:tc>
          <w:tcPr>
            <w:tcW w:w="2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36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9" w:name="page110"/>
    <w:bookmarkEnd w:id="109"/>
    <w:tbl>
      <w:tblPr>
        <w:tblLayout w:type="fixed"/>
        <w:tblInd w:w="200" w:type="dxa"/>
        <w:tblCellMar>
          <w:top w:w="0" w:type="dxa"/>
          <w:left w:w="0" w:type="dxa"/>
          <w:bottom w:w="0" w:type="dxa"/>
          <w:right w:w="0" w:type="dxa"/>
        </w:tblCellMar>
      </w:tblPr>
      <w:tr>
        <w:trPr>
          <w:trHeight w:val="256"/>
        </w:trPr>
        <w:tc>
          <w:tcPr>
            <w:tcW w:w="4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020" w:type="dxa"/>
            <w:vAlign w:val="bottom"/>
          </w:tcPr>
          <w:p>
            <w:pPr>
              <w:spacing w:after="0"/>
              <w:rPr>
                <w:sz w:val="22"/>
                <w:szCs w:val="22"/>
                <w:color w:val="auto"/>
              </w:rPr>
            </w:pPr>
          </w:p>
        </w:tc>
        <w:tc>
          <w:tcPr>
            <w:tcW w:w="2760" w:type="dxa"/>
            <w:vAlign w:val="bottom"/>
            <w:gridSpan w:val="2"/>
          </w:tcPr>
          <w:p>
            <w:pPr>
              <w:ind w:left="1520"/>
              <w:spacing w:after="0"/>
              <w:rPr>
                <w:sz w:val="20"/>
                <w:szCs w:val="20"/>
                <w:color w:val="auto"/>
              </w:rPr>
            </w:pPr>
            <w:r>
              <w:rPr>
                <w:rFonts w:ascii="Arial" w:cs="Arial" w:eastAsia="Arial" w:hAnsi="Arial"/>
                <w:sz w:val="20"/>
                <w:szCs w:val="20"/>
                <w:b w:val="1"/>
                <w:bCs w:val="1"/>
                <w:color w:val="auto"/>
                <w:w w:val="98"/>
              </w:rPr>
              <w:t>EXHIBIT 21.1</w:t>
            </w:r>
          </w:p>
        </w:tc>
      </w:tr>
      <w:tr>
        <w:trPr>
          <w:trHeight w:val="392"/>
        </w:trPr>
        <w:tc>
          <w:tcPr>
            <w:tcW w:w="4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6780" w:type="dxa"/>
            <w:vAlign w:val="bottom"/>
            <w:gridSpan w:val="3"/>
          </w:tcPr>
          <w:p>
            <w:pPr>
              <w:ind w:left="860"/>
              <w:spacing w:after="0"/>
              <w:rPr>
                <w:sz w:val="20"/>
                <w:szCs w:val="20"/>
                <w:color w:val="auto"/>
              </w:rPr>
            </w:pPr>
            <w:r>
              <w:rPr>
                <w:rFonts w:ascii="Arial" w:cs="Arial" w:eastAsia="Arial" w:hAnsi="Arial"/>
                <w:sz w:val="20"/>
                <w:szCs w:val="20"/>
                <w:b w:val="1"/>
                <w:bCs w:val="1"/>
                <w:color w:val="auto"/>
              </w:rPr>
              <w:t>SUBSIDIARIES OF THE COMPANY</w:t>
            </w:r>
          </w:p>
        </w:tc>
      </w:tr>
      <w:tr>
        <w:trPr>
          <w:trHeight w:val="320"/>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136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Organization</w:t>
            </w:r>
          </w:p>
        </w:tc>
        <w:tc>
          <w:tcPr>
            <w:tcW w:w="580" w:type="dxa"/>
            <w:vAlign w:val="bottom"/>
          </w:tcPr>
          <w:p>
            <w:pPr>
              <w:spacing w:after="0"/>
              <w:rPr>
                <w:sz w:val="24"/>
                <w:szCs w:val="24"/>
                <w:color w:val="auto"/>
              </w:rPr>
            </w:pPr>
          </w:p>
        </w:tc>
      </w:tr>
      <w:tr>
        <w:trPr>
          <w:trHeight w:val="398"/>
        </w:trPr>
        <w:tc>
          <w:tcPr>
            <w:tcW w:w="1820" w:type="dxa"/>
            <w:vAlign w:val="bottom"/>
            <w:gridSpan w:val="2"/>
          </w:tcPr>
          <w:p>
            <w:pPr>
              <w:spacing w:after="0"/>
              <w:rPr>
                <w:sz w:val="20"/>
                <w:szCs w:val="20"/>
                <w:color w:val="auto"/>
              </w:rPr>
            </w:pPr>
            <w:r>
              <w:rPr>
                <w:rFonts w:ascii="Arial" w:cs="Arial" w:eastAsia="Arial" w:hAnsi="Arial"/>
                <w:sz w:val="18"/>
                <w:szCs w:val="18"/>
                <w:color w:val="auto"/>
              </w:rPr>
              <w:t>Progyny, Inc.</w:t>
            </w:r>
          </w:p>
        </w:tc>
        <w:tc>
          <w:tcPr>
            <w:tcW w:w="6780" w:type="dxa"/>
            <w:vAlign w:val="bottom"/>
            <w:gridSpan w:val="3"/>
          </w:tcPr>
          <w:p>
            <w:pPr>
              <w:ind w:left="4020"/>
              <w:spacing w:after="0"/>
              <w:rPr>
                <w:sz w:val="20"/>
                <w:szCs w:val="20"/>
                <w:color w:val="auto"/>
              </w:rPr>
            </w:pPr>
            <w:r>
              <w:rPr>
                <w:rFonts w:ascii="Arial" w:cs="Arial" w:eastAsia="Arial" w:hAnsi="Arial"/>
                <w:sz w:val="18"/>
                <w:szCs w:val="18"/>
                <w:color w:val="auto"/>
              </w:rPr>
              <w:t>Delaware, U.S.A</w:t>
            </w:r>
          </w:p>
        </w:tc>
      </w:tr>
    </w:tbl>
    <w:p>
      <w:pPr>
        <w:spacing w:after="0" w:line="200" w:lineRule="exact"/>
        <w:rPr>
          <w:sz w:val="20"/>
          <w:szCs w:val="20"/>
          <w:color w:val="auto"/>
        </w:rPr>
      </w:pPr>
    </w:p>
    <w:p>
      <w:pPr>
        <w:spacing w:after="0" w:line="308"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5260" w:type="dxa"/>
            <w:vAlign w:val="bottom"/>
          </w:tcPr>
          <w:p>
            <w:pPr>
              <w:ind w:left="200"/>
              <w:spacing w:after="0"/>
              <w:rPr>
                <w:sz w:val="20"/>
                <w:szCs w:val="20"/>
                <w:color w:val="auto"/>
              </w:rPr>
            </w:pPr>
            <w:r>
              <w:rPr>
                <w:rFonts w:ascii="Arial" w:cs="Arial" w:eastAsia="Arial" w:hAnsi="Arial"/>
                <w:sz w:val="18"/>
                <w:szCs w:val="18"/>
                <w:b w:val="1"/>
                <w:bCs w:val="1"/>
                <w:color w:val="auto"/>
                <w:w w:val="90"/>
              </w:rPr>
              <w:t>The following is a list of significant subsidiaries of Progyny, Inc.:</w:t>
            </w:r>
          </w:p>
        </w:tc>
        <w:tc>
          <w:tcPr>
            <w:tcW w:w="12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580" w:type="dxa"/>
            <w:vAlign w:val="bottom"/>
          </w:tcPr>
          <w:p>
            <w:pPr>
              <w:spacing w:after="0"/>
              <w:rPr>
                <w:sz w:val="20"/>
                <w:szCs w:val="20"/>
                <w:color w:val="auto"/>
              </w:rPr>
            </w:pPr>
          </w:p>
        </w:tc>
      </w:tr>
      <w:tr>
        <w:trPr>
          <w:trHeight w:val="338"/>
        </w:trPr>
        <w:tc>
          <w:tcPr>
            <w:tcW w:w="46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Name</w:t>
            </w:r>
          </w:p>
        </w:tc>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0"/>
              </w:rPr>
              <w:t>Jurisdiction of Organization</w:t>
            </w:r>
          </w:p>
        </w:tc>
        <w:tc>
          <w:tcPr>
            <w:tcW w:w="580" w:type="dxa"/>
            <w:vAlign w:val="bottom"/>
          </w:tcPr>
          <w:p>
            <w:pPr>
              <w:spacing w:after="0"/>
              <w:rPr>
                <w:sz w:val="24"/>
                <w:szCs w:val="24"/>
                <w:color w:val="auto"/>
              </w:rPr>
            </w:pPr>
          </w:p>
        </w:tc>
      </w:tr>
      <w:tr>
        <w:trPr>
          <w:trHeight w:val="398"/>
        </w:trPr>
        <w:tc>
          <w:tcPr>
            <w:tcW w:w="5720" w:type="dxa"/>
            <w:vAlign w:val="bottom"/>
            <w:gridSpan w:val="2"/>
          </w:tcPr>
          <w:p>
            <w:pPr>
              <w:spacing w:after="0"/>
              <w:rPr>
                <w:sz w:val="20"/>
                <w:szCs w:val="20"/>
                <w:color w:val="auto"/>
              </w:rPr>
            </w:pPr>
            <w:r>
              <w:rPr>
                <w:rFonts w:ascii="Arial" w:cs="Arial" w:eastAsia="Arial" w:hAnsi="Arial"/>
                <w:sz w:val="18"/>
                <w:szCs w:val="18"/>
                <w:color w:val="auto"/>
              </w:rPr>
              <w:t>Progyny Fertility Purchasing, LLC</w:t>
            </w:r>
          </w:p>
        </w:tc>
        <w:tc>
          <w:tcPr>
            <w:tcW w:w="2880" w:type="dxa"/>
            <w:vAlign w:val="bottom"/>
            <w:gridSpan w:val="3"/>
          </w:tcPr>
          <w:p>
            <w:pPr>
              <w:ind w:left="120"/>
              <w:spacing w:after="0"/>
              <w:rPr>
                <w:sz w:val="20"/>
                <w:szCs w:val="20"/>
                <w:color w:val="auto"/>
              </w:rPr>
            </w:pPr>
            <w:r>
              <w:rPr>
                <w:rFonts w:ascii="Arial" w:cs="Arial" w:eastAsia="Arial" w:hAnsi="Arial"/>
                <w:sz w:val="18"/>
                <w:szCs w:val="18"/>
                <w:color w:val="auto"/>
              </w:rPr>
              <w:t>Delaware, U.S.A</w:t>
            </w:r>
          </w:p>
        </w:tc>
      </w:tr>
      <w:tr>
        <w:trPr>
          <w:trHeight w:val="547"/>
        </w:trPr>
        <w:tc>
          <w:tcPr>
            <w:tcW w:w="46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30" w:right="1440" w:bottom="1440" w:gutter="0" w:footer="0" w:header="0"/>
        </w:sectPr>
      </w:pPr>
    </w:p>
    <w:bookmarkStart w:id="110" w:name="page111"/>
    <w:bookmarkEnd w:id="110"/>
    <w:p>
      <w:pPr>
        <w:jc w:val="right"/>
        <w:ind w:right="219"/>
        <w:spacing w:after="0"/>
        <w:rPr>
          <w:sz w:val="20"/>
          <w:szCs w:val="20"/>
          <w:color w:val="auto"/>
        </w:rPr>
      </w:pPr>
      <w:r>
        <w:rPr>
          <w:rFonts w:ascii="Arial" w:cs="Arial" w:eastAsia="Arial" w:hAnsi="Arial"/>
          <w:sz w:val="20"/>
          <w:szCs w:val="20"/>
          <w:b w:val="1"/>
          <w:bCs w:val="1"/>
          <w:color w:val="auto"/>
        </w:rPr>
        <w:t>Exhibit 23.1</w:t>
      </w:r>
    </w:p>
    <w:p>
      <w:pPr>
        <w:spacing w:after="0" w:line="162" w:lineRule="exact"/>
        <w:rPr>
          <w:sz w:val="20"/>
          <w:szCs w:val="20"/>
          <w:color w:val="auto"/>
        </w:rPr>
      </w:pPr>
    </w:p>
    <w:p>
      <w:pPr>
        <w:ind w:left="1980"/>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20"/>
          <w:szCs w:val="20"/>
          <w:color w:val="auto"/>
        </w:rPr>
        <w:t>We consent to the incorporation by reference in the following Registration Statements:</w:t>
      </w:r>
    </w:p>
    <w:p>
      <w:pPr>
        <w:spacing w:after="0" w:line="148" w:lineRule="exact"/>
        <w:rPr>
          <w:sz w:val="20"/>
          <w:szCs w:val="20"/>
          <w:color w:val="auto"/>
        </w:rPr>
      </w:pPr>
    </w:p>
    <w:p>
      <w:pPr>
        <w:ind w:left="860" w:hanging="327"/>
        <w:spacing w:after="0"/>
        <w:tabs>
          <w:tab w:leader="none" w:pos="8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on Form S-8 (No. 333-253787) pertaining to the following plans:</w:t>
      </w:r>
    </w:p>
    <w:p>
      <w:pPr>
        <w:spacing w:after="0" w:line="215" w:lineRule="exact"/>
        <w:rPr>
          <w:rFonts w:ascii="Arial" w:cs="Arial" w:eastAsia="Arial" w:hAnsi="Arial"/>
          <w:sz w:val="20"/>
          <w:szCs w:val="20"/>
          <w:color w:val="auto"/>
        </w:rPr>
      </w:pP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2019 Equity Incentive Plan, as amended</w:t>
      </w:r>
    </w:p>
    <w:p>
      <w:pPr>
        <w:spacing w:after="0" w:line="15" w:lineRule="exact"/>
        <w:rPr>
          <w:rFonts w:ascii="Arial" w:cs="Arial" w:eastAsia="Arial" w:hAnsi="Arial"/>
          <w:sz w:val="20"/>
          <w:szCs w:val="20"/>
          <w:color w:val="auto"/>
        </w:rPr>
      </w:pP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2019 Employee Stock Purchase Plan</w:t>
      </w:r>
    </w:p>
    <w:p>
      <w:pPr>
        <w:spacing w:after="0" w:line="240" w:lineRule="exact"/>
        <w:rPr>
          <w:rFonts w:ascii="Arial" w:cs="Arial" w:eastAsia="Arial" w:hAnsi="Arial"/>
          <w:sz w:val="20"/>
          <w:szCs w:val="20"/>
          <w:color w:val="auto"/>
        </w:rPr>
      </w:pPr>
    </w:p>
    <w:p>
      <w:pPr>
        <w:ind w:left="860" w:hanging="327"/>
        <w:spacing w:after="0"/>
        <w:tabs>
          <w:tab w:leader="none" w:pos="8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on Form S-8 (No. 333-237072) pertaining to the following plans:</w:t>
      </w:r>
    </w:p>
    <w:p>
      <w:pPr>
        <w:spacing w:after="0" w:line="148" w:lineRule="exact"/>
        <w:rPr>
          <w:rFonts w:ascii="Arial" w:cs="Arial" w:eastAsia="Arial" w:hAnsi="Arial"/>
          <w:sz w:val="20"/>
          <w:szCs w:val="20"/>
          <w:color w:val="auto"/>
        </w:rPr>
      </w:pP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2019 Equity Incentive Plan</w:t>
      </w:r>
    </w:p>
    <w:p>
      <w:pPr>
        <w:spacing w:after="0" w:line="256" w:lineRule="exact"/>
        <w:rPr>
          <w:rFonts w:ascii="Arial" w:cs="Arial" w:eastAsia="Arial" w:hAnsi="Arial"/>
          <w:sz w:val="20"/>
          <w:szCs w:val="20"/>
          <w:color w:val="auto"/>
        </w:rPr>
      </w:pPr>
    </w:p>
    <w:p>
      <w:pPr>
        <w:ind w:left="860" w:hanging="327"/>
        <w:spacing w:after="0"/>
        <w:tabs>
          <w:tab w:leader="none" w:pos="860" w:val="left"/>
        </w:tabs>
        <w:numPr>
          <w:ilvl w:val="0"/>
          <w:numId w:val="48"/>
        </w:numPr>
        <w:rPr>
          <w:rFonts w:ascii="Arial" w:cs="Arial" w:eastAsia="Arial" w:hAnsi="Arial"/>
          <w:sz w:val="20"/>
          <w:szCs w:val="20"/>
          <w:color w:val="auto"/>
        </w:rPr>
      </w:pPr>
      <w:r>
        <w:rPr>
          <w:rFonts w:ascii="Arial" w:cs="Arial" w:eastAsia="Arial" w:hAnsi="Arial"/>
          <w:sz w:val="20"/>
          <w:szCs w:val="20"/>
          <w:color w:val="auto"/>
        </w:rPr>
        <w:t>Registration Statement on Form S-8 (No. 333-234342) pertaining to the following plans:</w:t>
      </w:r>
    </w:p>
    <w:p>
      <w:pPr>
        <w:spacing w:after="0" w:line="134" w:lineRule="exact"/>
        <w:rPr>
          <w:rFonts w:ascii="Arial" w:cs="Arial" w:eastAsia="Arial" w:hAnsi="Arial"/>
          <w:sz w:val="20"/>
          <w:szCs w:val="20"/>
          <w:color w:val="auto"/>
        </w:rPr>
      </w:pP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2019 Equity Incentive Plan</w:t>
      </w:r>
    </w:p>
    <w:p>
      <w:pPr>
        <w:spacing w:after="0" w:line="15" w:lineRule="exact"/>
        <w:rPr>
          <w:rFonts w:ascii="Arial" w:cs="Arial" w:eastAsia="Arial" w:hAnsi="Arial"/>
          <w:sz w:val="20"/>
          <w:szCs w:val="20"/>
          <w:color w:val="auto"/>
        </w:rPr>
      </w:pP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2019 Employee Stock Purchase Plan</w:t>
      </w: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2017 Equity Incentive Plan</w:t>
      </w:r>
    </w:p>
    <w:p>
      <w:pPr>
        <w:ind w:left="1500" w:hanging="319"/>
        <w:spacing w:after="0"/>
        <w:tabs>
          <w:tab w:leader="none" w:pos="1500" w:val="left"/>
        </w:tabs>
        <w:numPr>
          <w:ilvl w:val="1"/>
          <w:numId w:val="48"/>
        </w:numPr>
        <w:rPr>
          <w:rFonts w:ascii="Arial" w:cs="Arial" w:eastAsia="Arial" w:hAnsi="Arial"/>
          <w:sz w:val="20"/>
          <w:szCs w:val="20"/>
          <w:color w:val="auto"/>
        </w:rPr>
      </w:pPr>
      <w:r>
        <w:rPr>
          <w:rFonts w:ascii="Arial" w:cs="Arial" w:eastAsia="Arial" w:hAnsi="Arial"/>
          <w:sz w:val="20"/>
          <w:szCs w:val="20"/>
          <w:color w:val="auto"/>
        </w:rPr>
        <w:t>2008 Stock Plan</w:t>
      </w:r>
    </w:p>
    <w:p>
      <w:pPr>
        <w:spacing w:after="0" w:line="213" w:lineRule="exact"/>
        <w:rPr>
          <w:sz w:val="20"/>
          <w:szCs w:val="20"/>
          <w:color w:val="auto"/>
        </w:rPr>
      </w:pPr>
    </w:p>
    <w:p>
      <w:pPr>
        <w:jc w:val="both"/>
        <w:ind w:left="200" w:right="459"/>
        <w:spacing w:after="0" w:line="284" w:lineRule="auto"/>
        <w:rPr>
          <w:sz w:val="20"/>
          <w:szCs w:val="20"/>
          <w:color w:val="auto"/>
        </w:rPr>
      </w:pPr>
      <w:r>
        <w:rPr>
          <w:rFonts w:ascii="Arial" w:cs="Arial" w:eastAsia="Arial" w:hAnsi="Arial"/>
          <w:sz w:val="19"/>
          <w:szCs w:val="19"/>
          <w:color w:val="auto"/>
        </w:rPr>
        <w:t>of our reports dated March 1, 2022, with respect to the consolidated financial statements of Progyny, Inc. and the effectiveness of internal controls over financial reporting of Progyny, Inc. included in this Annual Report (Form 10-K) of Progyny, Inc. for the year ended December 31, 2021.</w:t>
      </w:r>
    </w:p>
    <w:p>
      <w:pPr>
        <w:spacing w:after="0" w:line="345" w:lineRule="exact"/>
        <w:rPr>
          <w:sz w:val="20"/>
          <w:szCs w:val="20"/>
          <w:color w:val="auto"/>
        </w:rPr>
      </w:pPr>
    </w:p>
    <w:p>
      <w:pPr>
        <w:ind w:left="200"/>
        <w:spacing w:after="0"/>
        <w:rPr>
          <w:sz w:val="20"/>
          <w:szCs w:val="20"/>
          <w:color w:val="auto"/>
        </w:rPr>
      </w:pPr>
      <w:r>
        <w:rPr>
          <w:rFonts w:ascii="Arial" w:cs="Arial" w:eastAsia="Arial" w:hAnsi="Arial"/>
          <w:sz w:val="20"/>
          <w:szCs w:val="20"/>
          <w:color w:val="auto"/>
        </w:rPr>
        <w:t>/s/ Ernst &amp; Young LLP</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20"/>
          <w:szCs w:val="20"/>
          <w:color w:val="auto"/>
        </w:rPr>
        <w:t>New York, New York</w:t>
      </w:r>
    </w:p>
    <w:p>
      <w:pPr>
        <w:spacing w:after="0" w:line="148" w:lineRule="exact"/>
        <w:rPr>
          <w:sz w:val="20"/>
          <w:szCs w:val="20"/>
          <w:color w:val="auto"/>
        </w:rPr>
      </w:pPr>
    </w:p>
    <w:p>
      <w:pPr>
        <w:ind w:left="200"/>
        <w:spacing w:after="0"/>
        <w:rPr>
          <w:sz w:val="20"/>
          <w:szCs w:val="20"/>
          <w:color w:val="auto"/>
        </w:rPr>
      </w:pPr>
      <w:r>
        <w:rPr>
          <w:rFonts w:ascii="Arial" w:cs="Arial" w:eastAsia="Arial" w:hAnsi="Arial"/>
          <w:sz w:val="20"/>
          <w:szCs w:val="20"/>
          <w:color w:val="auto"/>
        </w:rPr>
        <w:t>March 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353060</wp:posOffset>
            </wp:positionV>
            <wp:extent cx="545211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3">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111" w:name="page112"/>
    <w:bookmarkEnd w:id="111"/>
    <w:p>
      <w:pPr>
        <w:jc w:val="right"/>
        <w:ind w:right="21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21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Peter Anevski, certify that:</w:t>
      </w:r>
    </w:p>
    <w:p>
      <w:pPr>
        <w:spacing w:after="0" w:line="185" w:lineRule="exact"/>
        <w:rPr>
          <w:sz w:val="20"/>
          <w:szCs w:val="20"/>
          <w:color w:val="auto"/>
        </w:rPr>
      </w:pPr>
    </w:p>
    <w:p>
      <w:pPr>
        <w:ind w:left="860" w:hanging="327"/>
        <w:spacing w:after="0"/>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Progyny, Inc.;</w:t>
      </w:r>
    </w:p>
    <w:p>
      <w:pPr>
        <w:spacing w:after="0" w:line="171" w:lineRule="exact"/>
        <w:rPr>
          <w:rFonts w:ascii="Arial" w:cs="Arial" w:eastAsia="Arial" w:hAnsi="Arial"/>
          <w:sz w:val="18"/>
          <w:szCs w:val="18"/>
          <w:color w:val="auto"/>
        </w:rPr>
      </w:pPr>
    </w:p>
    <w:p>
      <w:pPr>
        <w:ind w:left="860" w:right="279" w:hanging="327"/>
        <w:spacing w:after="0" w:line="270" w:lineRule="auto"/>
        <w:tabs>
          <w:tab w:leader="none" w:pos="8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860" w:right="599" w:hanging="327"/>
        <w:spacing w:after="0" w:line="248"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860" w:right="479" w:hanging="327"/>
        <w:spacing w:after="0" w:line="243"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259" w:hanging="443"/>
        <w:spacing w:after="0" w:line="24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1300" w:right="239" w:hanging="443"/>
        <w:spacing w:after="0" w:line="243"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379" w:hanging="443"/>
        <w:spacing w:after="0" w:line="270"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7"/>
          <w:szCs w:val="17"/>
          <w:color w:val="auto"/>
        </w:rPr>
      </w:pPr>
    </w:p>
    <w:p>
      <w:pPr>
        <w:ind w:left="1300" w:right="499" w:hanging="443"/>
        <w:spacing w:after="0" w:line="262" w:lineRule="auto"/>
        <w:tabs>
          <w:tab w:leader="none" w:pos="1300" w:val="left"/>
        </w:tabs>
        <w:numPr>
          <w:ilvl w:val="1"/>
          <w:numId w:val="4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7"/>
          <w:szCs w:val="17"/>
          <w:color w:val="auto"/>
        </w:rPr>
      </w:pPr>
    </w:p>
    <w:p>
      <w:pPr>
        <w:ind w:left="860" w:right="259" w:hanging="327"/>
        <w:spacing w:after="0" w:line="248" w:lineRule="auto"/>
        <w:tabs>
          <w:tab w:leader="none" w:pos="8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300" w:right="359" w:hanging="443"/>
        <w:spacing w:after="0" w:line="248"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1300" w:right="939" w:hanging="443"/>
        <w:spacing w:after="0" w:line="261" w:lineRule="auto"/>
        <w:tabs>
          <w:tab w:leader="none" w:pos="13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220"/>
        <w:spacing w:after="0"/>
        <w:tabs>
          <w:tab w:leader="none" w:pos="4680" w:val="left"/>
          <w:tab w:leader="none" w:pos="62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3168650</wp:posOffset>
            </wp:positionH>
            <wp:positionV relativeFrom="paragraph">
              <wp:posOffset>6350</wp:posOffset>
            </wp:positionV>
            <wp:extent cx="24174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4">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ind w:left="6380"/>
        <w:spacing w:after="0"/>
        <w:rPr>
          <w:sz w:val="20"/>
          <w:szCs w:val="20"/>
          <w:color w:val="auto"/>
        </w:rPr>
      </w:pPr>
      <w:r>
        <w:rPr>
          <w:rFonts w:ascii="Arial" w:cs="Arial" w:eastAsia="Arial" w:hAnsi="Arial"/>
          <w:sz w:val="18"/>
          <w:szCs w:val="18"/>
          <w:color w:val="auto"/>
        </w:rPr>
        <w:t>Peter Anevski</w:t>
      </w:r>
    </w:p>
    <w:p>
      <w:pPr>
        <w:spacing w:after="0" w:line="21" w:lineRule="exact"/>
        <w:rPr>
          <w:sz w:val="20"/>
          <w:szCs w:val="20"/>
          <w:color w:val="auto"/>
        </w:rPr>
      </w:pPr>
    </w:p>
    <w:p>
      <w:pPr>
        <w:ind w:left="6020"/>
        <w:spacing w:after="0"/>
        <w:rPr>
          <w:sz w:val="20"/>
          <w:szCs w:val="20"/>
          <w:color w:val="auto"/>
        </w:rPr>
      </w:pPr>
      <w:r>
        <w:rPr>
          <w:rFonts w:ascii="Arial" w:cs="Arial" w:eastAsia="Arial" w:hAnsi="Arial"/>
          <w:sz w:val="18"/>
          <w:szCs w:val="18"/>
          <w:color w:val="auto"/>
        </w:rPr>
        <w:t>Chief Executive Officer</w:t>
      </w:r>
    </w:p>
    <w:p>
      <w:pPr>
        <w:ind w:left="58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5">
                      <a:extLst>
                        <a:ext uri="{28A0092B-C50C-407E-A947-70E740481C1C}"/>
                      </a:extLst>
                    </a:blip>
                    <a:srcRect/>
                    <a:stretch>
                      <a:fillRect/>
                    </a:stretch>
                  </pic:blipFill>
                  <pic:spPr bwMode="auto">
                    <a:xfrm>
                      <a:off x="0" y="0"/>
                      <a:ext cx="5452110" cy="17145"/>
                    </a:xfrm>
                    <a:prstGeom prst="rect">
                      <a:avLst/>
                    </a:prstGeom>
                    <a:noFill/>
                  </pic:spPr>
                </pic:pic>
              </a:graphicData>
            </a:graphic>
          </wp:anchor>
        </w:drawing>
      </w:r>
    </w:p>
    <w:p>
      <w:pPr>
        <w:sectPr>
          <w:pgSz w:w="11900" w:h="16838" w:orient="portrait"/>
          <w:cols w:equalWidth="0" w:num="1">
            <w:col w:w="9019"/>
          </w:cols>
          <w:pgMar w:left="1440" w:top="135" w:right="1440" w:bottom="1440" w:gutter="0" w:footer="0" w:header="0"/>
        </w:sectPr>
      </w:pPr>
    </w:p>
    <w:bookmarkStart w:id="112" w:name="page113"/>
    <w:bookmarkEnd w:id="112"/>
    <w:p>
      <w:pPr>
        <w:jc w:val="right"/>
        <w:ind w:right="219"/>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89" w:lineRule="exact"/>
        <w:rPr>
          <w:sz w:val="20"/>
          <w:szCs w:val="20"/>
          <w:color w:val="auto"/>
        </w:rPr>
      </w:pPr>
    </w:p>
    <w:p>
      <w:pPr>
        <w:ind w:left="200"/>
        <w:spacing w:after="0"/>
        <w:rPr>
          <w:sz w:val="20"/>
          <w:szCs w:val="20"/>
          <w:color w:val="auto"/>
        </w:rPr>
      </w:pPr>
      <w:r>
        <w:rPr>
          <w:rFonts w:ascii="Arial" w:cs="Arial" w:eastAsia="Arial" w:hAnsi="Arial"/>
          <w:sz w:val="18"/>
          <w:szCs w:val="18"/>
          <w:color w:val="auto"/>
        </w:rPr>
        <w:t>I, Mark Livingston, certify that:</w:t>
      </w:r>
    </w:p>
    <w:p>
      <w:pPr>
        <w:spacing w:after="0" w:line="171" w:lineRule="exact"/>
        <w:rPr>
          <w:sz w:val="20"/>
          <w:szCs w:val="20"/>
          <w:color w:val="auto"/>
        </w:rPr>
      </w:pPr>
    </w:p>
    <w:p>
      <w:pPr>
        <w:ind w:left="860" w:hanging="327"/>
        <w:spacing w:after="0"/>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Progyny, Inc.;</w:t>
      </w:r>
    </w:p>
    <w:p>
      <w:pPr>
        <w:spacing w:after="0" w:line="171" w:lineRule="exact"/>
        <w:rPr>
          <w:rFonts w:ascii="Arial" w:cs="Arial" w:eastAsia="Arial" w:hAnsi="Arial"/>
          <w:sz w:val="18"/>
          <w:szCs w:val="18"/>
          <w:color w:val="auto"/>
        </w:rPr>
      </w:pPr>
    </w:p>
    <w:p>
      <w:pPr>
        <w:ind w:left="860" w:right="279" w:hanging="327"/>
        <w:spacing w:after="0" w:line="270" w:lineRule="auto"/>
        <w:tabs>
          <w:tab w:leader="none" w:pos="860" w:val="left"/>
        </w:tabs>
        <w:numPr>
          <w:ilvl w:val="0"/>
          <w:numId w:val="5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Arial" w:cs="Arial" w:eastAsia="Arial" w:hAnsi="Arial"/>
          <w:sz w:val="17"/>
          <w:szCs w:val="17"/>
          <w:color w:val="auto"/>
        </w:rPr>
      </w:pPr>
    </w:p>
    <w:p>
      <w:pPr>
        <w:ind w:left="860" w:right="599" w:hanging="327"/>
        <w:spacing w:after="0" w:line="248"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1" w:lineRule="exact"/>
        <w:rPr>
          <w:rFonts w:ascii="Arial" w:cs="Arial" w:eastAsia="Arial" w:hAnsi="Arial"/>
          <w:sz w:val="18"/>
          <w:szCs w:val="18"/>
          <w:color w:val="auto"/>
        </w:rPr>
      </w:pPr>
    </w:p>
    <w:p>
      <w:pPr>
        <w:ind w:left="860" w:right="479" w:hanging="327"/>
        <w:spacing w:after="0" w:line="243"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280" w:right="259" w:hanging="423"/>
        <w:spacing w:after="0" w:line="243"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1280" w:right="239" w:hanging="423"/>
        <w:spacing w:after="0" w:line="243"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ind w:left="1280" w:right="239" w:hanging="423"/>
        <w:spacing w:after="0" w:line="248"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1" w:lineRule="exact"/>
        <w:rPr>
          <w:rFonts w:ascii="Arial" w:cs="Arial" w:eastAsia="Arial" w:hAnsi="Arial"/>
          <w:sz w:val="18"/>
          <w:szCs w:val="18"/>
          <w:color w:val="auto"/>
        </w:rPr>
      </w:pPr>
    </w:p>
    <w:p>
      <w:pPr>
        <w:ind w:left="1280" w:right="519" w:hanging="423"/>
        <w:spacing w:after="0" w:line="262" w:lineRule="auto"/>
        <w:tabs>
          <w:tab w:leader="none" w:pos="1280" w:val="left"/>
        </w:tabs>
        <w:numPr>
          <w:ilvl w:val="1"/>
          <w:numId w:val="5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5" w:lineRule="exact"/>
        <w:rPr>
          <w:rFonts w:ascii="Arial" w:cs="Arial" w:eastAsia="Arial" w:hAnsi="Arial"/>
          <w:sz w:val="17"/>
          <w:szCs w:val="17"/>
          <w:color w:val="auto"/>
        </w:rPr>
      </w:pPr>
    </w:p>
    <w:p>
      <w:pPr>
        <w:ind w:left="860" w:right="259" w:hanging="327"/>
        <w:spacing w:after="0" w:line="248" w:lineRule="auto"/>
        <w:tabs>
          <w:tab w:leader="none" w:pos="8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1" w:lineRule="exact"/>
        <w:rPr>
          <w:rFonts w:ascii="Arial" w:cs="Arial" w:eastAsia="Arial" w:hAnsi="Arial"/>
          <w:sz w:val="18"/>
          <w:szCs w:val="18"/>
          <w:color w:val="auto"/>
        </w:rPr>
      </w:pPr>
    </w:p>
    <w:p>
      <w:pPr>
        <w:ind w:left="1280" w:right="379" w:hanging="423"/>
        <w:spacing w:after="0" w:line="248"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1" w:lineRule="exact"/>
        <w:rPr>
          <w:rFonts w:ascii="Arial" w:cs="Arial" w:eastAsia="Arial" w:hAnsi="Arial"/>
          <w:sz w:val="18"/>
          <w:szCs w:val="18"/>
          <w:color w:val="auto"/>
        </w:rPr>
      </w:pPr>
    </w:p>
    <w:p>
      <w:pPr>
        <w:ind w:left="1280" w:right="959" w:hanging="423"/>
        <w:spacing w:after="0" w:line="261" w:lineRule="auto"/>
        <w:tabs>
          <w:tab w:leader="none" w:pos="128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5" w:lineRule="exact"/>
        <w:rPr>
          <w:sz w:val="20"/>
          <w:szCs w:val="20"/>
          <w:color w:val="auto"/>
        </w:rPr>
      </w:pPr>
    </w:p>
    <w:p>
      <w:pPr>
        <w:ind w:left="220"/>
        <w:spacing w:after="0"/>
        <w:tabs>
          <w:tab w:leader="none" w:pos="4660" w:val="left"/>
          <w:tab w:leader="none" w:pos="614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3151505</wp:posOffset>
            </wp:positionH>
            <wp:positionV relativeFrom="paragraph">
              <wp:posOffset>6350</wp:posOffset>
            </wp:positionV>
            <wp:extent cx="24345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6">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16" w:lineRule="exact"/>
        <w:rPr>
          <w:sz w:val="20"/>
          <w:szCs w:val="20"/>
          <w:color w:val="auto"/>
        </w:rPr>
      </w:pPr>
    </w:p>
    <w:p>
      <w:pPr>
        <w:ind w:left="6260"/>
        <w:spacing w:after="0"/>
        <w:rPr>
          <w:sz w:val="20"/>
          <w:szCs w:val="20"/>
          <w:color w:val="auto"/>
        </w:rPr>
      </w:pPr>
      <w:r>
        <w:rPr>
          <w:rFonts w:ascii="Arial" w:cs="Arial" w:eastAsia="Arial" w:hAnsi="Arial"/>
          <w:sz w:val="18"/>
          <w:szCs w:val="18"/>
          <w:color w:val="auto"/>
        </w:rPr>
        <w:t>Mark Livingston</w:t>
      </w:r>
    </w:p>
    <w:p>
      <w:pPr>
        <w:spacing w:after="0" w:line="21"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Financial Officer</w:t>
      </w:r>
    </w:p>
    <w:p>
      <w:pPr>
        <w:ind w:left="58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7">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3" w:name="page114"/>
    <w:bookmarkEnd w:id="113"/>
    <w:p>
      <w:pPr>
        <w:jc w:val="right"/>
        <w:ind w:right="219"/>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160" w:right="2179" w:firstLine="62"/>
        <w:spacing w:after="0" w:line="271"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4" w:lineRule="exact"/>
        <w:rPr>
          <w:sz w:val="20"/>
          <w:szCs w:val="20"/>
          <w:color w:val="auto"/>
        </w:rPr>
      </w:pPr>
    </w:p>
    <w:p>
      <w:pPr>
        <w:ind w:left="200" w:right="259" w:firstLine="441"/>
        <w:spacing w:after="0" w:line="294" w:lineRule="auto"/>
        <w:rPr>
          <w:sz w:val="20"/>
          <w:szCs w:val="20"/>
          <w:color w:val="auto"/>
        </w:rPr>
      </w:pPr>
      <w:r>
        <w:rPr>
          <w:rFonts w:ascii="Arial" w:cs="Arial" w:eastAsia="Arial" w:hAnsi="Arial"/>
          <w:sz w:val="16"/>
          <w:szCs w:val="16"/>
          <w:color w:val="auto"/>
        </w:rPr>
        <w:t>In connection with the Annual Report on Form 10-K of Progyny, Inc. (the “Company”) for the period ended December 31, 2021 as filed with the Securities and Exchange Commission on the date hereof (the “Report”), I certify, pursuant to 18 U.S.C. § 1350, as adopted pursuant to § 906 of the Sarbanes-Oxley Act of 2002, that, to my knowledge:</w:t>
      </w:r>
    </w:p>
    <w:p>
      <w:pPr>
        <w:spacing w:after="0" w:line="147" w:lineRule="exact"/>
        <w:rPr>
          <w:sz w:val="20"/>
          <w:szCs w:val="20"/>
          <w:color w:val="auto"/>
        </w:rPr>
      </w:pPr>
    </w:p>
    <w:p>
      <w:pPr>
        <w:ind w:left="1080" w:right="359" w:hanging="439"/>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80" w:right="239" w:hanging="439"/>
        <w:spacing w:after="0" w:line="261"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20"/>
        <w:spacing w:after="0"/>
        <w:tabs>
          <w:tab w:leader="none" w:pos="4300" w:val="left"/>
          <w:tab w:leader="none" w:pos="60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6350</wp:posOffset>
            </wp:positionV>
            <wp:extent cx="265747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8">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Peter Anevski</w:t>
      </w:r>
    </w:p>
    <w:p>
      <w:pPr>
        <w:spacing w:after="0" w:line="23"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Executive Officer</w:t>
      </w:r>
    </w:p>
    <w:p>
      <w:pPr>
        <w:spacing w:after="0" w:line="11"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executive officer</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9">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14" w:name="page115"/>
    <w:bookmarkEnd w:id="114"/>
    <w:p>
      <w:pPr>
        <w:jc w:val="right"/>
        <w:ind w:right="219"/>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PURSUANT TO</w:t>
      </w:r>
    </w:p>
    <w:p>
      <w:pPr>
        <w:spacing w:after="0" w:line="16" w:lineRule="exact"/>
        <w:rPr>
          <w:sz w:val="20"/>
          <w:szCs w:val="20"/>
          <w:color w:val="auto"/>
        </w:rPr>
      </w:pPr>
    </w:p>
    <w:p>
      <w:pPr>
        <w:ind w:left="2160" w:right="2179" w:firstLine="62"/>
        <w:spacing w:after="0" w:line="271" w:lineRule="auto"/>
        <w:rPr>
          <w:sz w:val="20"/>
          <w:szCs w:val="20"/>
          <w:color w:val="auto"/>
        </w:rPr>
      </w:pPr>
      <w:r>
        <w:rPr>
          <w:rFonts w:ascii="Arial" w:cs="Arial" w:eastAsia="Arial" w:hAnsi="Arial"/>
          <w:sz w:val="17"/>
          <w:szCs w:val="17"/>
          <w:b w:val="1"/>
          <w:bCs w:val="1"/>
          <w:color w:val="auto"/>
        </w:rPr>
        <w:t>18 U.S.C. SECTION 1350, AS ADOPTED PURSUANT TO SECTION 906 OF THE SARBANES-OXLEY ACT OF 2002</w:t>
      </w:r>
    </w:p>
    <w:p>
      <w:pPr>
        <w:spacing w:after="0" w:line="164" w:lineRule="exact"/>
        <w:rPr>
          <w:sz w:val="20"/>
          <w:szCs w:val="20"/>
          <w:color w:val="auto"/>
        </w:rPr>
      </w:pPr>
    </w:p>
    <w:p>
      <w:pPr>
        <w:ind w:left="200" w:right="259" w:firstLine="441"/>
        <w:spacing w:after="0" w:line="294" w:lineRule="auto"/>
        <w:rPr>
          <w:sz w:val="20"/>
          <w:szCs w:val="20"/>
          <w:color w:val="auto"/>
        </w:rPr>
      </w:pPr>
      <w:r>
        <w:rPr>
          <w:rFonts w:ascii="Arial" w:cs="Arial" w:eastAsia="Arial" w:hAnsi="Arial"/>
          <w:sz w:val="16"/>
          <w:szCs w:val="16"/>
          <w:color w:val="auto"/>
        </w:rPr>
        <w:t>In connection with the Annual Report on Form 10-K of Progyny, Inc. (the “Company”) for the period ended December 31, 2021 as filed with the Securities and Exchange Commission on the date hereof (the “Report”), I certify, pursuant to 18 U.S.C. § 1350, as adopted pursuant to § 906 of the Sarbanes-Oxley Act of 2002, that, to my knowledge:</w:t>
      </w:r>
    </w:p>
    <w:p>
      <w:pPr>
        <w:spacing w:after="0" w:line="147" w:lineRule="exact"/>
        <w:rPr>
          <w:sz w:val="20"/>
          <w:szCs w:val="20"/>
          <w:color w:val="auto"/>
        </w:rPr>
      </w:pPr>
    </w:p>
    <w:p>
      <w:pPr>
        <w:ind w:left="1080" w:right="359" w:hanging="439"/>
        <w:spacing w:after="0" w:line="26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0" w:lineRule="exact"/>
        <w:rPr>
          <w:rFonts w:ascii="Arial" w:cs="Arial" w:eastAsia="Arial" w:hAnsi="Arial"/>
          <w:sz w:val="18"/>
          <w:szCs w:val="18"/>
          <w:color w:val="auto"/>
        </w:rPr>
      </w:pPr>
    </w:p>
    <w:p>
      <w:pPr>
        <w:ind w:left="1080" w:right="239" w:hanging="439"/>
        <w:spacing w:after="0" w:line="261" w:lineRule="auto"/>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ind w:left="220"/>
        <w:spacing w:after="0"/>
        <w:tabs>
          <w:tab w:leader="none" w:pos="4300" w:val="left"/>
          <w:tab w:leader="none" w:pos="5960" w:val="left"/>
        </w:tabs>
        <w:rPr>
          <w:sz w:val="20"/>
          <w:szCs w:val="20"/>
          <w:color w:val="auto"/>
        </w:rPr>
      </w:pPr>
      <w:r>
        <w:rPr>
          <w:rFonts w:ascii="Arial" w:cs="Arial" w:eastAsia="Arial" w:hAnsi="Arial"/>
          <w:sz w:val="18"/>
          <w:szCs w:val="18"/>
          <w:color w:val="auto"/>
        </w:rPr>
        <w:t>Date: March 1,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2928620</wp:posOffset>
            </wp:positionH>
            <wp:positionV relativeFrom="paragraph">
              <wp:posOffset>6350</wp:posOffset>
            </wp:positionV>
            <wp:extent cx="265747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0">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16"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Mark Livingston</w:t>
      </w:r>
    </w:p>
    <w:p>
      <w:pPr>
        <w:spacing w:after="0" w:line="21"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Chief Financial Officer</w:t>
      </w:r>
    </w:p>
    <w:p>
      <w:pPr>
        <w:ind w:left="5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493395</wp:posOffset>
            </wp:positionV>
            <wp:extent cx="5452110" cy="260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1">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lvl w:ilvl="1">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
      <w:numFmt w:val="bullet"/>
      <w:start w:val="1"/>
    </w:lvl>
  </w:abstractNum>
  <w:abstractNum w:abstractNumId="28">
    <w:nsid w:val="580BD78F"/>
    <w:multiLevelType w:val="hybridMultilevel"/>
    <w:lvl w:ilvl="0">
      <w:lvlJc w:val="left"/>
      <w:lvlText w:val="●"/>
      <w:numFmt w:val="bullet"/>
      <w:start w:val="1"/>
    </w:lvl>
  </w:abstractNum>
  <w:abstractNum w:abstractNumId="29">
    <w:nsid w:val="153EA438"/>
    <w:multiLevelType w:val="hybridMultilevel"/>
    <w:lvl w:ilvl="0">
      <w:lvlJc w:val="left"/>
      <w:lvlText w:val="●"/>
      <w:numFmt w:val="bullet"/>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1)"/>
      <w:numFmt w:val="decimal"/>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2"/>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
      <w:numFmt w:val="bullet"/>
      <w:start w:val="1"/>
    </w:lvl>
  </w:abstractNum>
  <w:abstractNum w:abstractNumId="40">
    <w:nsid w:val="542289EC"/>
    <w:multiLevelType w:val="hybridMultilevel"/>
    <w:lvl w:ilvl="0">
      <w:lvlJc w:val="left"/>
      <w:lvlText w:val="%1."/>
      <w:numFmt w:val="decimal"/>
      <w:start w:val="10"/>
    </w:lvl>
  </w:abstractNum>
  <w:abstractNum w:abstractNumId="41">
    <w:nsid w:val="6DE91B18"/>
    <w:multiLevelType w:val="hybridMultilevel"/>
    <w:lvl w:ilvl="0">
      <w:lvlJc w:val="left"/>
      <w:lvlText w:val="%1."/>
      <w:numFmt w:val="decimal"/>
      <w:start w:val="14"/>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1)"/>
      <w:numFmt w:val="lowerLetter"/>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lvl w:ilvl="1">
      <w:lvlJc w:val="left"/>
      <w:lvlText w:val="●"/>
      <w:numFmt w:val="bullet"/>
      <w:start w:val="1"/>
    </w:lvl>
  </w:abstractNum>
  <w:abstractNum w:abstractNumId="48">
    <w:nsid w:val="3DC240FB"/>
    <w:multiLevelType w:val="hybridMultilevel"/>
    <w:lvl w:ilvl="0">
      <w:lvlJc w:val="left"/>
      <w:lvlText w:val="%1."/>
      <w:numFmt w:val="decimal"/>
      <w:start w:val="1"/>
    </w:lvl>
    <w:lvl w:ilvl="1">
      <w:lvlJc w:val="left"/>
      <w:lvlText w:val="(%2)"/>
      <w:numFmt w:val="lowerLetter"/>
      <w:start w:val="1"/>
    </w:lvl>
  </w:abstractNum>
  <w:abstractNum w:abstractNumId="49">
    <w:nsid w:val="1BA026FA"/>
    <w:multiLevelType w:val="hybridMultilevel"/>
    <w:lvl w:ilvl="0">
      <w:lvlJc w:val="left"/>
      <w:lvlText w:val="%1."/>
      <w:numFmt w:val="decimal"/>
      <w:start w:val="1"/>
    </w:lvl>
    <w:lvl w:ilvl="1">
      <w:lvlJc w:val="left"/>
      <w:lvlText w:val="(%2)"/>
      <w:numFmt w:val="lowerLetter"/>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32" Type="http://schemas.openxmlformats.org/officeDocument/2006/relationships/image" Target="media/image116.png"/><Relationship Id="rId148" Type="http://schemas.openxmlformats.org/officeDocument/2006/relationships/image" Target="media/image117.png"/><Relationship Id="rId149" Type="http://schemas.openxmlformats.org/officeDocument/2006/relationships/image" Target="media/image118.png"/><Relationship Id="rId150" Type="http://schemas.openxmlformats.org/officeDocument/2006/relationships/image" Target="media/image119.png"/><Relationship Id="rId151" Type="http://schemas.openxmlformats.org/officeDocument/2006/relationships/image" Target="media/image120.png"/><Relationship Id="rId152" Type="http://schemas.openxmlformats.org/officeDocument/2006/relationships/image" Target="media/image121.png"/><Relationship Id="rId153" Type="http://schemas.openxmlformats.org/officeDocument/2006/relationships/image" Target="media/image122.png"/><Relationship Id="rId154" Type="http://schemas.openxmlformats.org/officeDocument/2006/relationships/image" Target="media/image123.png"/><Relationship Id="rId155" Type="http://schemas.openxmlformats.org/officeDocument/2006/relationships/image" Target="media/image124.png"/><Relationship Id="rId156" Type="http://schemas.openxmlformats.org/officeDocument/2006/relationships/image" Target="media/image125.png"/><Relationship Id="rId157" Type="http://schemas.openxmlformats.org/officeDocument/2006/relationships/image" Target="media/image126.png"/><Relationship Id="rId158" Type="http://schemas.openxmlformats.org/officeDocument/2006/relationships/image" Target="media/image127.png"/><Relationship Id="rId159" Type="http://schemas.openxmlformats.org/officeDocument/2006/relationships/image" Target="media/image128.png"/><Relationship Id="rId160" Type="http://schemas.openxmlformats.org/officeDocument/2006/relationships/image" Target="media/image129.png"/><Relationship Id="rId161" Type="http://schemas.openxmlformats.org/officeDocument/2006/relationships/image" Target="media/image130.png"/><Relationship Id="rId74" Type="http://schemas.openxmlformats.org/officeDocument/2006/relationships/hyperlink" Target="https://www.sec.gov/Archives/edgar/data/0001551306/000155837021002082/pgny-20201231x10k.htm" TargetMode="External"/><Relationship Id="rId124" Type="http://schemas.openxmlformats.org/officeDocument/2006/relationships/hyperlink" Target="http://www.sec.gov/Archives/edgar/data/1551306/000104746919005487/a2239750zex-3_2.htm" TargetMode="External"/><Relationship Id="rId125" Type="http://schemas.openxmlformats.org/officeDocument/2006/relationships/hyperlink" Target="http://www.sec.gov/Archives/edgar/data/1551306/000104746919005487/a2239750zex-3_4.htm" TargetMode="External"/><Relationship Id="rId126" Type="http://schemas.openxmlformats.org/officeDocument/2006/relationships/hyperlink" Target="http://www.sec.gov/Archives/edgar/data/1551306/000104746919005727/a2239825zex-4_1.htm" TargetMode="External"/><Relationship Id="rId127" Type="http://schemas.openxmlformats.org/officeDocument/2006/relationships/hyperlink" Target="http://www.sec.gov/Archives/edgar/data/1551306/000104746919005727/a2239825zex-4_2.htm" TargetMode="External"/><Relationship Id="rId128" Type="http://schemas.openxmlformats.org/officeDocument/2006/relationships/hyperlink" Target="http://www.sec.gov/Archives/edgar/data/1551306/000104746919005727/a2239825zex-4_3.htm" TargetMode="External"/><Relationship Id="rId129" Type="http://schemas.openxmlformats.org/officeDocument/2006/relationships/hyperlink" Target="http://www.sec.gov/Archives/edgar/data/1551306/000104746919005727/a2239825zex-4_4.htm" TargetMode="External"/><Relationship Id="rId130" Type="http://schemas.openxmlformats.org/officeDocument/2006/relationships/hyperlink" Target="http://www.sec.gov/Archives/edgar/data/1551306/000104746919005727/a2239825zex-4_5.htm" TargetMode="External"/><Relationship Id="rId131" Type="http://schemas.openxmlformats.org/officeDocument/2006/relationships/hyperlink" Target="https://www.sec.gov/Archives/edgar/data/1551306/000155837020002258/pgny-20191231ex463bdd89d.htm" TargetMode="External"/><Relationship Id="rId133" Type="http://schemas.openxmlformats.org/officeDocument/2006/relationships/hyperlink" Target="http://www.sec.gov/Archives/edgar/data/1551306/000104746919005487/a2239750zex-10_1.htm" TargetMode="External"/><Relationship Id="rId134" Type="http://schemas.openxmlformats.org/officeDocument/2006/relationships/hyperlink" Target="http://www.sec.gov/Archives/edgar/data/1551306/000104746919005487/a2239750zex-10_2.htm" TargetMode="External"/><Relationship Id="rId135" Type="http://schemas.openxmlformats.org/officeDocument/2006/relationships/hyperlink" Target="http://www.sec.gov/Archives/edgar/data/1551306/000110465919056592/a19-11098_10ex99d2.htm" TargetMode="External"/><Relationship Id="rId136" Type="http://schemas.openxmlformats.org/officeDocument/2006/relationships/hyperlink" Target="https://www.sec.gov/Archives/edgar/data/0001551306/000155837021002082/pgny-20201231ex1049139b5.htm" TargetMode="External"/><Relationship Id="rId137" Type="http://schemas.openxmlformats.org/officeDocument/2006/relationships/hyperlink" Target="http://www.sec.gov/Archives/edgar/data/1551306/000104746919005727/a2239825zex-10_4.htm" TargetMode="External"/><Relationship Id="rId138" Type="http://schemas.openxmlformats.org/officeDocument/2006/relationships/hyperlink" Target="https://www.sec.gov/Archives/edgar/data/0001551306/000155837021002082/pgny-20201231ex1066f1c79.htm" TargetMode="External"/><Relationship Id="rId139" Type="http://schemas.openxmlformats.org/officeDocument/2006/relationships/hyperlink" Target="http://www.sec.gov/Archives/edgar/data/1551306/000104746919005727/a2239825zex-10_5.htm" TargetMode="External"/><Relationship Id="rId140" Type="http://schemas.openxmlformats.org/officeDocument/2006/relationships/hyperlink" Target="http://www.sec.gov/Archives/edgar/data/1551306/000104746919005487/a2239750zex-10_6.htm" TargetMode="External"/><Relationship Id="rId141" Type="http://schemas.openxmlformats.org/officeDocument/2006/relationships/hyperlink" Target="https://www.sec.gov/Archives/edgar/data/1551306/000104746919005487/a2239750zex-10_7.htm" TargetMode="External"/><Relationship Id="rId142" Type="http://schemas.openxmlformats.org/officeDocument/2006/relationships/hyperlink" Target="https://www.sec.gov/Archives/edgar/data/1551306/000104746919005487/a2239750zex-10_8.htm" TargetMode="External"/><Relationship Id="rId143" Type="http://schemas.openxmlformats.org/officeDocument/2006/relationships/hyperlink" Target="https://www.sec.gov/Archives/edgar/data/0001551306/000155837021002082/pgny-20201231ex10117e50d.htm" TargetMode="External"/><Relationship Id="rId144" Type="http://schemas.openxmlformats.org/officeDocument/2006/relationships/hyperlink" Target="https://www.sec.gov/Archives/edgar/data/0001551306/000155837021002082/pgny-20201231ex101273786.htm" TargetMode="External"/><Relationship Id="rId145" Type="http://schemas.openxmlformats.org/officeDocument/2006/relationships/hyperlink" Target="http://www.sec.gov/Archives/edgar/data/1551306/000104746919005487/a2239750zex-10_11.htm" TargetMode="External"/><Relationship Id="rId146" Type="http://schemas.openxmlformats.org/officeDocument/2006/relationships/hyperlink" Target="http://www.sec.gov/Archives/edgar/data/1551306/000104746919005487/a2239750zex-10_10.htm" TargetMode="External"/><Relationship Id="rId147" Type="http://schemas.openxmlformats.org/officeDocument/2006/relationships/hyperlink" Target="https://www.sec.gov/Archives/edgar/data/0001551306/000155837020009993/pgny-20200630ex101d40dc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2022-03-01T12:52:38Z</dcterms:created>
  <dcterms:modified xsi:type="dcterms:W3CDTF">2022-03-01T12:52:38Z</dcterms:modified>
</cp:coreProperties>
</file>