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77470</wp:posOffset>
            </wp:positionH>
            <wp:positionV relativeFrom="paragraph">
              <wp:posOffset>480060</wp:posOffset>
            </wp:positionV>
            <wp:extent cx="701992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9925" cy="698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432435</wp:posOffset>
            </wp:positionV>
            <wp:extent cx="7019925" cy="26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9925" cy="26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38735</wp:posOffset>
            </wp:positionV>
            <wp:extent cx="17449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4980" cy="698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59690</wp:posOffset>
            </wp:positionV>
            <wp:extent cx="17449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4980" cy="698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(Mark One)</w:t>
      </w:r>
    </w:p>
    <w:p>
      <w:pPr>
        <w:spacing w:after="0" w:line="38" w:lineRule="exact"/>
        <w:rPr>
          <w:sz w:val="24"/>
          <w:szCs w:val="24"/>
          <w:color w:val="auto"/>
        </w:rPr>
      </w:pPr>
    </w:p>
    <w:p>
      <w:pPr>
        <w:ind w:left="640" w:hanging="621"/>
        <w:spacing w:after="0"/>
        <w:tabs>
          <w:tab w:leader="none" w:pos="64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2025</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32" w:lineRule="exact"/>
        <w:rPr>
          <w:sz w:val="24"/>
          <w:szCs w:val="24"/>
          <w:color w:val="auto"/>
        </w:rPr>
      </w:pPr>
    </w:p>
    <w:p>
      <w:pPr>
        <w:ind w:left="640" w:hanging="621"/>
        <w:spacing w:after="0"/>
        <w:tabs>
          <w:tab w:leader="none" w:pos="640" w:val="left"/>
        </w:tabs>
        <w:numPr>
          <w:ilvl w:val="0"/>
          <w:numId w:val="2"/>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4120" w:type="dxa"/>
            <w:vAlign w:val="bottom"/>
            <w:gridSpan w:val="7"/>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___________________ to ___________________</w:t>
            </w:r>
          </w:p>
        </w:tc>
        <w:tc>
          <w:tcPr>
            <w:tcW w:w="3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4"/>
          </w:tcPr>
          <w:p>
            <w:pPr>
              <w:jc w:val="center"/>
              <w:ind w:right="840"/>
              <w:spacing w:after="0"/>
              <w:rPr>
                <w:sz w:val="20"/>
                <w:szCs w:val="20"/>
                <w:color w:val="auto"/>
              </w:rPr>
            </w:pPr>
            <w:r>
              <w:rPr>
                <w:rFonts w:ascii="Times New Roman" w:cs="Times New Roman" w:eastAsia="Times New Roman" w:hAnsi="Times New Roman"/>
                <w:sz w:val="11"/>
                <w:szCs w:val="11"/>
                <w:b w:val="1"/>
                <w:bCs w:val="1"/>
                <w:color w:val="auto"/>
              </w:rPr>
              <w:t>Commission File Number: 001-39100</w:t>
            </w: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3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gridSpan w:val="4"/>
          </w:tcPr>
          <w:p>
            <w:pPr>
              <w:jc w:val="center"/>
              <w:ind w:right="840"/>
              <w:spacing w:after="0"/>
              <w:rPr>
                <w:sz w:val="20"/>
                <w:szCs w:val="20"/>
                <w:color w:val="auto"/>
              </w:rPr>
            </w:pPr>
            <w:r>
              <w:rPr>
                <w:rFonts w:ascii="Times New Roman" w:cs="Times New Roman" w:eastAsia="Times New Roman" w:hAnsi="Times New Roman"/>
                <w:sz w:val="31"/>
                <w:szCs w:val="31"/>
                <w:b w:val="1"/>
                <w:bCs w:val="1"/>
                <w:color w:val="auto"/>
                <w:w w:val="98"/>
              </w:rPr>
              <w:t>Progyny, Inc.</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80" w:type="dxa"/>
            <w:vAlign w:val="bottom"/>
            <w:gridSpan w:val="4"/>
          </w:tcPr>
          <w:p>
            <w:pPr>
              <w:jc w:val="center"/>
              <w:ind w:right="8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3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680" w:type="dxa"/>
            <w:vAlign w:val="bottom"/>
            <w:vMerge w:val="restart"/>
          </w:tcPr>
          <w:p>
            <w:pPr>
              <w:jc w:val="center"/>
              <w:ind w:left="1911"/>
              <w:spacing w:after="0"/>
              <w:rPr>
                <w:sz w:val="20"/>
                <w:szCs w:val="20"/>
                <w:color w:val="auto"/>
              </w:rPr>
            </w:pPr>
            <w:r>
              <w:rPr>
                <w:rFonts w:ascii="Times New Roman" w:cs="Times New Roman" w:eastAsia="Times New Roman" w:hAnsi="Times New Roman"/>
                <w:sz w:val="10"/>
                <w:szCs w:val="10"/>
                <w:b w:val="1"/>
                <w:bCs w:val="1"/>
                <w:color w:val="auto"/>
                <w:w w:val="98"/>
              </w:rPr>
              <w:t>Delaware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3480" w:type="dxa"/>
            <w:vAlign w:val="bottom"/>
            <w:vMerge w:val="restart"/>
          </w:tcPr>
          <w:p>
            <w:pPr>
              <w:jc w:val="right"/>
              <w:ind w:right="2551"/>
              <w:spacing w:after="0"/>
              <w:rPr>
                <w:sz w:val="20"/>
                <w:szCs w:val="20"/>
                <w:color w:val="auto"/>
              </w:rPr>
            </w:pPr>
            <w:r>
              <w:rPr>
                <w:rFonts w:ascii="Times New Roman" w:cs="Times New Roman" w:eastAsia="Times New Roman" w:hAnsi="Times New Roman"/>
                <w:sz w:val="10"/>
                <w:szCs w:val="10"/>
                <w:b w:val="1"/>
                <w:bCs w:val="1"/>
                <w:color w:val="auto"/>
              </w:rPr>
              <w:t>27-2220139</w:t>
            </w:r>
          </w:p>
        </w:tc>
        <w:tc>
          <w:tcPr>
            <w:tcW w:w="0" w:type="dxa"/>
            <w:vAlign w:val="bottom"/>
          </w:tcPr>
          <w:p>
            <w:pPr>
              <w:spacing w:after="0"/>
              <w:rPr>
                <w:sz w:val="1"/>
                <w:szCs w:val="1"/>
                <w:color w:val="auto"/>
              </w:rPr>
            </w:pPr>
          </w:p>
        </w:tc>
      </w:tr>
      <w:tr>
        <w:trPr>
          <w:trHeight w:val="212"/>
        </w:trPr>
        <w:tc>
          <w:tcPr>
            <w:tcW w:w="36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680" w:type="dxa"/>
            <w:vAlign w:val="bottom"/>
          </w:tcPr>
          <w:p>
            <w:pPr>
              <w:jc w:val="center"/>
              <w:ind w:left="1891"/>
              <w:spacing w:after="0"/>
              <w:rPr>
                <w:sz w:val="20"/>
                <w:szCs w:val="20"/>
                <w:color w:val="auto"/>
              </w:rPr>
            </w:pPr>
            <w:r>
              <w:rPr>
                <w:rFonts w:ascii="Times New Roman" w:cs="Times New Roman" w:eastAsia="Times New Roman" w:hAnsi="Times New Roman"/>
                <w:sz w:val="10"/>
                <w:szCs w:val="10"/>
                <w:b w:val="1"/>
                <w:bCs w:val="1"/>
                <w:color w:val="auto"/>
                <w:w w:val="97"/>
              </w:rPr>
              <w:t>(State or other jurisdiction of</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80" w:type="dxa"/>
            <w:vAlign w:val="bottom"/>
          </w:tcPr>
          <w:p>
            <w:pPr>
              <w:jc w:val="center"/>
              <w:ind w:right="2151"/>
              <w:spacing w:after="0"/>
              <w:rPr>
                <w:sz w:val="20"/>
                <w:szCs w:val="20"/>
                <w:color w:val="auto"/>
              </w:rPr>
            </w:pPr>
            <w:r>
              <w:rPr>
                <w:rFonts w:ascii="Times New Roman" w:cs="Times New Roman" w:eastAsia="Times New Roman" w:hAnsi="Times New Roman"/>
                <w:sz w:val="10"/>
                <w:szCs w:val="10"/>
                <w:b w:val="1"/>
                <w:bCs w:val="1"/>
                <w:color w:val="auto"/>
                <w:w w:val="99"/>
              </w:rPr>
              <w:t>(I.R.S. Employer</w:t>
            </w:r>
          </w:p>
        </w:tc>
        <w:tc>
          <w:tcPr>
            <w:tcW w:w="0" w:type="dxa"/>
            <w:vAlign w:val="bottom"/>
          </w:tcPr>
          <w:p>
            <w:pPr>
              <w:spacing w:after="0"/>
              <w:rPr>
                <w:sz w:val="1"/>
                <w:szCs w:val="1"/>
                <w:color w:val="auto"/>
              </w:rPr>
            </w:pPr>
          </w:p>
        </w:tc>
      </w:tr>
      <w:tr>
        <w:trPr>
          <w:trHeight w:val="130"/>
        </w:trPr>
        <w:tc>
          <w:tcPr>
            <w:tcW w:w="3680" w:type="dxa"/>
            <w:vAlign w:val="bottom"/>
          </w:tcPr>
          <w:p>
            <w:pPr>
              <w:jc w:val="center"/>
              <w:ind w:left="1891"/>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80" w:type="dxa"/>
            <w:vAlign w:val="bottom"/>
          </w:tcPr>
          <w:p>
            <w:pPr>
              <w:jc w:val="center"/>
              <w:ind w:right="2131"/>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c>
          <w:tcPr>
            <w:tcW w:w="0" w:type="dxa"/>
            <w:vAlign w:val="bottom"/>
          </w:tcPr>
          <w:p>
            <w:pPr>
              <w:spacing w:after="0"/>
              <w:rPr>
                <w:sz w:val="1"/>
                <w:szCs w:val="1"/>
                <w:color w:val="auto"/>
              </w:rPr>
            </w:pPr>
          </w:p>
        </w:tc>
      </w:tr>
      <w:tr>
        <w:trPr>
          <w:trHeight w:val="135"/>
        </w:trPr>
        <w:tc>
          <w:tcPr>
            <w:tcW w:w="3680" w:type="dxa"/>
            <w:vAlign w:val="bottom"/>
          </w:tcPr>
          <w:p>
            <w:pPr>
              <w:jc w:val="center"/>
              <w:ind w:left="1891"/>
              <w:spacing w:after="0"/>
              <w:rPr>
                <w:sz w:val="20"/>
                <w:szCs w:val="20"/>
                <w:color w:val="auto"/>
              </w:rPr>
            </w:pPr>
            <w:r>
              <w:rPr>
                <w:rFonts w:ascii="Times New Roman" w:cs="Times New Roman" w:eastAsia="Times New Roman" w:hAnsi="Times New Roman"/>
                <w:sz w:val="10"/>
                <w:szCs w:val="10"/>
                <w:b w:val="1"/>
                <w:bCs w:val="1"/>
                <w:color w:val="auto"/>
                <w:w w:val="99"/>
              </w:rPr>
              <w:t>1359 Broadway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80" w:type="dxa"/>
            <w:vAlign w:val="bottom"/>
            <w:vMerge w:val="restart"/>
          </w:tcPr>
          <w:p>
            <w:pPr>
              <w:jc w:val="right"/>
              <w:ind w:right="2671"/>
              <w:spacing w:after="0"/>
              <w:rPr>
                <w:sz w:val="20"/>
                <w:szCs w:val="20"/>
                <w:color w:val="auto"/>
              </w:rPr>
            </w:pPr>
            <w:r>
              <w:rPr>
                <w:rFonts w:ascii="Times New Roman" w:cs="Times New Roman" w:eastAsia="Times New Roman" w:hAnsi="Times New Roman"/>
                <w:sz w:val="10"/>
                <w:szCs w:val="10"/>
                <w:b w:val="1"/>
                <w:bCs w:val="1"/>
                <w:color w:val="auto"/>
              </w:rPr>
              <w:t>10018</w:t>
            </w:r>
          </w:p>
        </w:tc>
        <w:tc>
          <w:tcPr>
            <w:tcW w:w="0" w:type="dxa"/>
            <w:vAlign w:val="bottom"/>
          </w:tcPr>
          <w:p>
            <w:pPr>
              <w:spacing w:after="0"/>
              <w:rPr>
                <w:sz w:val="1"/>
                <w:szCs w:val="1"/>
                <w:color w:val="auto"/>
              </w:rPr>
            </w:pPr>
          </w:p>
        </w:tc>
      </w:tr>
      <w:tr>
        <w:trPr>
          <w:trHeight w:val="130"/>
        </w:trPr>
        <w:tc>
          <w:tcPr>
            <w:tcW w:w="3680" w:type="dxa"/>
            <w:vAlign w:val="bottom"/>
          </w:tcPr>
          <w:p>
            <w:pPr>
              <w:jc w:val="center"/>
              <w:ind w:left="1891"/>
              <w:spacing w:after="0"/>
              <w:rPr>
                <w:sz w:val="20"/>
                <w:szCs w:val="20"/>
                <w:color w:val="auto"/>
              </w:rPr>
            </w:pPr>
            <w:r>
              <w:rPr>
                <w:rFonts w:ascii="Times New Roman" w:cs="Times New Roman" w:eastAsia="Times New Roman" w:hAnsi="Times New Roman"/>
                <w:sz w:val="10"/>
                <w:szCs w:val="10"/>
                <w:b w:val="1"/>
                <w:bCs w:val="1"/>
                <w:color w:val="auto"/>
                <w:w w:val="97"/>
              </w:rPr>
              <w:t>New York, New York</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Pr>
          <w:p>
            <w:pPr>
              <w:jc w:val="center"/>
              <w:ind w:left="1891"/>
              <w:spacing w:after="0"/>
              <w:rPr>
                <w:sz w:val="20"/>
                <w:szCs w:val="20"/>
                <w:color w:val="auto"/>
              </w:rPr>
            </w:pPr>
            <w:r>
              <w:rPr>
                <w:rFonts w:ascii="Times New Roman" w:cs="Times New Roman" w:eastAsia="Times New Roman" w:hAnsi="Times New Roman"/>
                <w:sz w:val="10"/>
                <w:szCs w:val="10"/>
                <w:b w:val="1"/>
                <w:bCs w:val="1"/>
                <w:color w:val="auto"/>
                <w:w w:val="97"/>
              </w:rPr>
              <w:t>(Address of principal executive offices)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80" w:type="dxa"/>
            <w:vAlign w:val="bottom"/>
          </w:tcPr>
          <w:p>
            <w:pPr>
              <w:jc w:val="center"/>
              <w:ind w:right="2131"/>
              <w:spacing w:after="0"/>
              <w:rPr>
                <w:sz w:val="20"/>
                <w:szCs w:val="20"/>
                <w:color w:val="auto"/>
              </w:rPr>
            </w:pPr>
            <w:r>
              <w:rPr>
                <w:rFonts w:ascii="Times New Roman" w:cs="Times New Roman" w:eastAsia="Times New Roman" w:hAnsi="Times New Roman"/>
                <w:sz w:val="10"/>
                <w:szCs w:val="10"/>
                <w:b w:val="1"/>
                <w:bCs w:val="1"/>
                <w:color w:val="auto"/>
                <w:w w:val="99"/>
              </w:rPr>
              <w:t>(Zip Code)</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3240" w:type="dxa"/>
            <w:vAlign w:val="bottom"/>
            <w:gridSpan w:val="4"/>
          </w:tcPr>
          <w:p>
            <w:pPr>
              <w:jc w:val="center"/>
              <w:ind w:left="643"/>
              <w:spacing w:after="0"/>
              <w:rPr>
                <w:sz w:val="20"/>
                <w:szCs w:val="20"/>
                <w:color w:val="auto"/>
              </w:rPr>
            </w:pPr>
            <w:r>
              <w:rPr>
                <w:rFonts w:ascii="Times New Roman" w:cs="Times New Roman" w:eastAsia="Times New Roman" w:hAnsi="Times New Roman"/>
                <w:sz w:val="11"/>
                <w:szCs w:val="11"/>
                <w:b w:val="1"/>
                <w:bCs w:val="1"/>
                <w:color w:val="auto"/>
              </w:rPr>
              <w:t>(212) 888-3124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80" w:type="dxa"/>
            <w:vAlign w:val="bottom"/>
            <w:gridSpan w:val="4"/>
          </w:tcPr>
          <w:p>
            <w:pPr>
              <w:jc w:val="center"/>
              <w:ind w:right="840"/>
              <w:spacing w:after="0"/>
              <w:rPr>
                <w:sz w:val="20"/>
                <w:szCs w:val="20"/>
                <w:color w:val="auto"/>
              </w:rPr>
            </w:pPr>
            <w:r>
              <w:rPr>
                <w:rFonts w:ascii="Times New Roman" w:cs="Times New Roman" w:eastAsia="Times New Roman" w:hAnsi="Times New Roman"/>
                <w:sz w:val="10"/>
                <w:szCs w:val="10"/>
                <w:b w:val="1"/>
                <w:bCs w:val="1"/>
                <w:color w:val="auto"/>
                <w:w w:val="98"/>
              </w:rPr>
              <w:t>(Registrant’s telephone number, including area code)</w:t>
            </w: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3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gridSpan w:val="2"/>
          </w:tcPr>
          <w:p>
            <w:pPr>
              <w:spacing w:after="0"/>
              <w:rPr>
                <w:sz w:val="5"/>
                <w:szCs w:val="5"/>
                <w:color w:val="auto"/>
              </w:rPr>
            </w:pPr>
          </w:p>
        </w:tc>
        <w:tc>
          <w:tcPr>
            <w:tcW w:w="3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4"/>
          </w:tcPr>
          <w:p>
            <w:pPr>
              <w:jc w:val="center"/>
              <w:ind w:right="820"/>
              <w:spacing w:after="0"/>
              <w:rPr>
                <w:sz w:val="20"/>
                <w:szCs w:val="20"/>
                <w:color w:val="auto"/>
              </w:rPr>
            </w:pPr>
            <w:r>
              <w:rPr>
                <w:rFonts w:ascii="Times New Roman" w:cs="Times New Roman" w:eastAsia="Times New Roman" w:hAnsi="Times New Roman"/>
                <w:sz w:val="10"/>
                <w:szCs w:val="10"/>
                <w:b w:val="1"/>
                <w:bCs w:val="1"/>
                <w:color w:val="auto"/>
                <w:w w:val="98"/>
              </w:rPr>
              <w:t>Securities registered pursuant to Section 12(b) of the Act:</w:t>
            </w: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36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3"/>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3680" w:type="dxa"/>
            <w:vAlign w:val="bottom"/>
            <w:tcBorders>
              <w:left w:val="single" w:sz="8" w:color="auto"/>
            </w:tcBorders>
          </w:tcPr>
          <w:p>
            <w:pPr>
              <w:jc w:val="center"/>
              <w:ind w:left="491"/>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5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0" w:type="dxa"/>
            <w:vAlign w:val="bottom"/>
            <w:tcBorders>
              <w:right w:val="single" w:sz="8" w:color="auto"/>
            </w:tcBorders>
          </w:tcPr>
          <w:p>
            <w:pPr>
              <w:jc w:val="center"/>
              <w:ind w:right="73"/>
              <w:spacing w:after="0"/>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80" w:type="dxa"/>
            <w:vAlign w:val="bottom"/>
            <w:tcBorders>
              <w:right w:val="single" w:sz="8" w:color="auto"/>
            </w:tcBorders>
          </w:tcPr>
          <w:p>
            <w:pPr>
              <w:jc w:val="center"/>
              <w:ind w:right="871"/>
              <w:spacing w:after="0"/>
              <w:rPr>
                <w:sz w:val="20"/>
                <w:szCs w:val="20"/>
                <w:color w:val="auto"/>
              </w:rPr>
            </w:pPr>
            <w:r>
              <w:rPr>
                <w:rFonts w:ascii="Times New Roman" w:cs="Times New Roman" w:eastAsia="Times New Roman" w:hAnsi="Times New Roman"/>
                <w:sz w:val="10"/>
                <w:szCs w:val="10"/>
                <w:b w:val="1"/>
                <w:bCs w:val="1"/>
                <w:color w:val="auto"/>
                <w:w w:val="98"/>
              </w:rPr>
              <w:t>Name of each exchange on which registered</w:t>
            </w:r>
          </w:p>
        </w:tc>
        <w:tc>
          <w:tcPr>
            <w:tcW w:w="0" w:type="dxa"/>
            <w:vAlign w:val="bottom"/>
          </w:tcPr>
          <w:p>
            <w:pPr>
              <w:spacing w:after="0"/>
              <w:rPr>
                <w:sz w:val="1"/>
                <w:szCs w:val="1"/>
                <w:color w:val="auto"/>
              </w:rPr>
            </w:pPr>
          </w:p>
        </w:tc>
      </w:tr>
      <w:tr>
        <w:trPr>
          <w:trHeight w:val="23"/>
        </w:trPr>
        <w:tc>
          <w:tcPr>
            <w:tcW w:w="36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5"/>
        </w:trPr>
        <w:tc>
          <w:tcPr>
            <w:tcW w:w="3680" w:type="dxa"/>
            <w:vAlign w:val="bottom"/>
            <w:tcBorders>
              <w:left w:val="single" w:sz="8" w:color="auto"/>
            </w:tcBorders>
          </w:tcPr>
          <w:p>
            <w:pPr>
              <w:jc w:val="center"/>
              <w:ind w:left="491"/>
              <w:spacing w:after="0" w:line="105" w:lineRule="exact"/>
              <w:rPr>
                <w:sz w:val="20"/>
                <w:szCs w:val="20"/>
                <w:color w:val="auto"/>
              </w:rPr>
            </w:pPr>
            <w:r>
              <w:rPr>
                <w:rFonts w:ascii="Times New Roman" w:cs="Times New Roman" w:eastAsia="Times New Roman" w:hAnsi="Times New Roman"/>
                <w:sz w:val="10"/>
                <w:szCs w:val="10"/>
                <w:color w:val="auto"/>
              </w:rPr>
              <w:t>Common Stock,</w:t>
            </w:r>
          </w:p>
        </w:tc>
        <w:tc>
          <w:tcPr>
            <w:tcW w:w="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0" w:type="dxa"/>
            <w:vAlign w:val="bottom"/>
            <w:tcBorders>
              <w:right w:val="single" w:sz="8" w:color="auto"/>
            </w:tcBorders>
          </w:tcPr>
          <w:p>
            <w:pPr>
              <w:jc w:val="center"/>
              <w:ind w:right="73"/>
              <w:spacing w:after="0" w:line="105" w:lineRule="exact"/>
              <w:rPr>
                <w:sz w:val="20"/>
                <w:szCs w:val="20"/>
                <w:color w:val="auto"/>
              </w:rPr>
            </w:pPr>
            <w:r>
              <w:rPr>
                <w:rFonts w:ascii="Times New Roman" w:cs="Times New Roman" w:eastAsia="Times New Roman" w:hAnsi="Times New Roman"/>
                <w:sz w:val="10"/>
                <w:szCs w:val="10"/>
                <w:color w:val="auto"/>
                <w:w w:val="95"/>
              </w:rPr>
              <w:t>PGNY</w:t>
            </w:r>
          </w:p>
        </w:tc>
        <w:tc>
          <w:tcPr>
            <w:tcW w:w="880" w:type="dxa"/>
            <w:vAlign w:val="bottom"/>
            <w:gridSpan w:val="3"/>
          </w:tcPr>
          <w:p>
            <w:pPr>
              <w:spacing w:after="0"/>
              <w:rPr>
                <w:sz w:val="9"/>
                <w:szCs w:val="9"/>
                <w:color w:val="auto"/>
              </w:rPr>
            </w:pPr>
          </w:p>
        </w:tc>
        <w:tc>
          <w:tcPr>
            <w:tcW w:w="3480" w:type="dxa"/>
            <w:vAlign w:val="bottom"/>
            <w:tcBorders>
              <w:right w:val="single" w:sz="8" w:color="auto"/>
            </w:tcBorders>
          </w:tcPr>
          <w:p>
            <w:pPr>
              <w:jc w:val="center"/>
              <w:ind w:right="871"/>
              <w:spacing w:after="0" w:line="105" w:lineRule="exact"/>
              <w:rPr>
                <w:sz w:val="20"/>
                <w:szCs w:val="20"/>
                <w:color w:val="auto"/>
              </w:rPr>
            </w:pPr>
            <w:r>
              <w:rPr>
                <w:rFonts w:ascii="Times New Roman" w:cs="Times New Roman" w:eastAsia="Times New Roman" w:hAnsi="Times New Roman"/>
                <w:sz w:val="10"/>
                <w:szCs w:val="10"/>
                <w:color w:val="auto"/>
                <w:w w:val="99"/>
              </w:rPr>
              <w:t>The Nasdaq Global Select Market</w:t>
            </w:r>
          </w:p>
        </w:tc>
        <w:tc>
          <w:tcPr>
            <w:tcW w:w="0" w:type="dxa"/>
            <w:vAlign w:val="bottom"/>
          </w:tcPr>
          <w:p>
            <w:pPr>
              <w:spacing w:after="0"/>
              <w:rPr>
                <w:sz w:val="1"/>
                <w:szCs w:val="1"/>
                <w:color w:val="auto"/>
              </w:rPr>
            </w:pPr>
          </w:p>
        </w:tc>
      </w:tr>
      <w:tr>
        <w:trPr>
          <w:trHeight w:val="128"/>
        </w:trPr>
        <w:tc>
          <w:tcPr>
            <w:tcW w:w="3680" w:type="dxa"/>
            <w:vAlign w:val="bottom"/>
            <w:tcBorders>
              <w:left w:val="single" w:sz="8" w:color="auto"/>
            </w:tcBorders>
          </w:tcPr>
          <w:p>
            <w:pPr>
              <w:jc w:val="center"/>
              <w:ind w:left="491"/>
              <w:spacing w:after="0"/>
              <w:rPr>
                <w:sz w:val="20"/>
                <w:szCs w:val="20"/>
                <w:color w:val="auto"/>
              </w:rPr>
            </w:pPr>
            <w:r>
              <w:rPr>
                <w:rFonts w:ascii="Times New Roman" w:cs="Times New Roman" w:eastAsia="Times New Roman" w:hAnsi="Times New Roman"/>
                <w:sz w:val="10"/>
                <w:szCs w:val="10"/>
                <w:color w:val="auto"/>
                <w:w w:val="99"/>
              </w:rPr>
              <w:t>$0.0001 par value per share</w:t>
            </w:r>
          </w:p>
        </w:tc>
        <w:tc>
          <w:tcPr>
            <w:tcW w:w="5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6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12(g) of the Act: None</w:t>
      </w:r>
    </w:p>
    <w:p>
      <w:pPr>
        <w:spacing w:after="0" w:line="41" w:lineRule="exact"/>
        <w:rPr>
          <w:sz w:val="24"/>
          <w:szCs w:val="24"/>
          <w:color w:val="auto"/>
        </w:rPr>
      </w:pPr>
    </w:p>
    <w:p>
      <w:pPr>
        <w:ind w:left="380"/>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76" w:lineRule="exact"/>
        <w:rPr>
          <w:sz w:val="24"/>
          <w:szCs w:val="24"/>
          <w:color w:val="auto"/>
        </w:rPr>
      </w:pPr>
    </w:p>
    <w:p>
      <w:pPr>
        <w:ind w:left="380"/>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102" w:lineRule="exact"/>
        <w:rPr>
          <w:sz w:val="24"/>
          <w:szCs w:val="24"/>
          <w:color w:val="auto"/>
        </w:rPr>
      </w:pPr>
    </w:p>
    <w:p>
      <w:pPr>
        <w:jc w:val="both"/>
        <w:ind w:firstLine="382"/>
        <w:spacing w:after="0" w:line="128"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63" w:lineRule="exact"/>
        <w:rPr>
          <w:sz w:val="24"/>
          <w:szCs w:val="24"/>
          <w:color w:val="auto"/>
        </w:rPr>
      </w:pPr>
    </w:p>
    <w:p>
      <w:pPr>
        <w:jc w:val="both"/>
        <w:ind w:firstLine="382"/>
        <w:spacing w:after="0" w:line="122"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64" w:lineRule="exact"/>
        <w:rPr>
          <w:sz w:val="24"/>
          <w:szCs w:val="24"/>
          <w:color w:val="auto"/>
        </w:rPr>
      </w:pPr>
    </w:p>
    <w:p>
      <w:pPr>
        <w:jc w:val="both"/>
        <w:ind w:firstLine="382"/>
        <w:spacing w:after="0" w:line="271"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580" w:type="dxa"/>
        <w:tblCellMar>
          <w:top w:w="0" w:type="dxa"/>
          <w:left w:w="0" w:type="dxa"/>
          <w:bottom w:w="0" w:type="dxa"/>
          <w:right w:w="0" w:type="dxa"/>
        </w:tblCellMar>
      </w:tblPr>
      <w:tr>
        <w:trPr>
          <w:trHeight w:val="154"/>
        </w:trPr>
        <w:tc>
          <w:tcPr>
            <w:tcW w:w="1740" w:type="dxa"/>
            <w:vAlign w:val="bottom"/>
          </w:tcPr>
          <w:p>
            <w:pPr>
              <w:jc w:val="center"/>
              <w:ind w:right="791"/>
              <w:spacing w:after="0"/>
              <w:rPr>
                <w:sz w:val="20"/>
                <w:szCs w:val="20"/>
                <w:color w:val="auto"/>
              </w:rPr>
            </w:pPr>
            <w:r>
              <w:rPr>
                <w:rFonts w:ascii="Times New Roman" w:cs="Times New Roman" w:eastAsia="Times New Roman" w:hAnsi="Times New Roman"/>
                <w:sz w:val="10"/>
                <w:szCs w:val="10"/>
                <w:color w:val="auto"/>
              </w:rPr>
              <w:t>Large accelerated filer</w:t>
            </w:r>
          </w:p>
        </w:tc>
        <w:tc>
          <w:tcPr>
            <w:tcW w:w="1640" w:type="dxa"/>
            <w:vAlign w:val="bottom"/>
          </w:tcPr>
          <w:p>
            <w:pPr>
              <w:ind w:left="840"/>
              <w:spacing w:after="0" w:line="101" w:lineRule="exact"/>
              <w:rPr>
                <w:sz w:val="20"/>
                <w:szCs w:val="20"/>
                <w:color w:val="auto"/>
              </w:rPr>
            </w:pPr>
            <w:r>
              <w:rPr>
                <w:rFonts w:ascii="MS PGothic" w:cs="MS PGothic" w:eastAsia="MS PGothic" w:hAnsi="MS PGothic"/>
                <w:sz w:val="10"/>
                <w:szCs w:val="10"/>
                <w:color w:val="auto"/>
              </w:rPr>
              <w:t>☒</w:t>
            </w:r>
          </w:p>
        </w:tc>
        <w:tc>
          <w:tcPr>
            <w:tcW w:w="284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Accelerated filer</w:t>
            </w:r>
          </w:p>
        </w:tc>
        <w:tc>
          <w:tcPr>
            <w:tcW w:w="1140" w:type="dxa"/>
            <w:vAlign w:val="bottom"/>
          </w:tcPr>
          <w:p>
            <w:pPr>
              <w:ind w:left="10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0"/>
        </w:trPr>
        <w:tc>
          <w:tcPr>
            <w:tcW w:w="1740" w:type="dxa"/>
            <w:vAlign w:val="bottom"/>
          </w:tcPr>
          <w:p>
            <w:pPr>
              <w:jc w:val="center"/>
              <w:ind w:right="811"/>
              <w:spacing w:after="0"/>
              <w:rPr>
                <w:sz w:val="20"/>
                <w:szCs w:val="20"/>
                <w:color w:val="auto"/>
              </w:rPr>
            </w:pPr>
            <w:r>
              <w:rPr>
                <w:rFonts w:ascii="Times New Roman" w:cs="Times New Roman" w:eastAsia="Times New Roman" w:hAnsi="Times New Roman"/>
                <w:sz w:val="10"/>
                <w:szCs w:val="10"/>
                <w:color w:val="auto"/>
                <w:w w:val="99"/>
              </w:rPr>
              <w:t>Non-accelerated filer</w:t>
            </w:r>
          </w:p>
        </w:tc>
        <w:tc>
          <w:tcPr>
            <w:tcW w:w="1640" w:type="dxa"/>
            <w:vAlign w:val="bottom"/>
          </w:tcPr>
          <w:p>
            <w:pPr>
              <w:ind w:left="840"/>
              <w:spacing w:after="0" w:line="101" w:lineRule="exact"/>
              <w:rPr>
                <w:sz w:val="20"/>
                <w:szCs w:val="20"/>
                <w:color w:val="auto"/>
              </w:rPr>
            </w:pPr>
            <w:r>
              <w:rPr>
                <w:rFonts w:ascii="MS PGothic" w:cs="MS PGothic" w:eastAsia="MS PGothic" w:hAnsi="MS PGothic"/>
                <w:sz w:val="10"/>
                <w:szCs w:val="10"/>
                <w:color w:val="auto"/>
              </w:rPr>
              <w:t>☐</w:t>
            </w:r>
          </w:p>
        </w:tc>
        <w:tc>
          <w:tcPr>
            <w:tcW w:w="284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1140" w:type="dxa"/>
            <w:vAlign w:val="bottom"/>
          </w:tcPr>
          <w:p>
            <w:pPr>
              <w:ind w:left="10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59"/>
        </w:trPr>
        <w:tc>
          <w:tcPr>
            <w:tcW w:w="1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4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Emerging growth company</w:t>
            </w:r>
          </w:p>
        </w:tc>
        <w:tc>
          <w:tcPr>
            <w:tcW w:w="1140" w:type="dxa"/>
            <w:vAlign w:val="bottom"/>
          </w:tcPr>
          <w:p>
            <w:pPr>
              <w:ind w:left="10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58" w:lineRule="exact"/>
        <w:rPr>
          <w:sz w:val="24"/>
          <w:szCs w:val="24"/>
          <w:color w:val="auto"/>
        </w:rPr>
      </w:pPr>
    </w:p>
    <w:p>
      <w:pPr>
        <w:ind w:left="420"/>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70" w:lineRule="exact"/>
        <w:rPr>
          <w:sz w:val="24"/>
          <w:szCs w:val="24"/>
          <w:color w:val="auto"/>
        </w:rPr>
      </w:pPr>
    </w:p>
    <w:p>
      <w:pPr>
        <w:ind w:firstLine="407"/>
        <w:spacing w:after="0" w:line="133"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16" w:lineRule="exact"/>
        <w:rPr>
          <w:sz w:val="24"/>
          <w:szCs w:val="24"/>
          <w:color w:val="auto"/>
        </w:rPr>
      </w:pPr>
    </w:p>
    <w:p>
      <w:pPr>
        <w:ind w:left="420"/>
        <w:spacing w:after="0" w:line="115"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193" w:lineRule="exact"/>
        <w:rPr>
          <w:sz w:val="24"/>
          <w:szCs w:val="24"/>
          <w:color w:val="auto"/>
        </w:rPr>
      </w:pPr>
    </w:p>
    <w:p>
      <w:pPr>
        <w:ind w:left="420"/>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p>
    <w:p>
      <w:pPr>
        <w:spacing w:after="0" w:line="182" w:lineRule="exact"/>
        <w:rPr>
          <w:sz w:val="24"/>
          <w:szCs w:val="24"/>
          <w:color w:val="auto"/>
        </w:rPr>
      </w:pPr>
    </w:p>
    <w:p>
      <w:pPr>
        <w:ind w:left="420"/>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 shell company (as defined in Rule 12b-2 of the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208" w:lineRule="exact"/>
        <w:rPr>
          <w:sz w:val="24"/>
          <w:szCs w:val="24"/>
          <w:color w:val="auto"/>
        </w:rPr>
      </w:pPr>
    </w:p>
    <w:p>
      <w:pPr>
        <w:ind w:firstLine="407"/>
        <w:spacing w:after="0" w:line="271" w:lineRule="auto"/>
        <w:rPr>
          <w:sz w:val="20"/>
          <w:szCs w:val="20"/>
          <w:color w:val="auto"/>
        </w:rPr>
      </w:pPr>
      <w:r>
        <w:rPr>
          <w:rFonts w:ascii="Times New Roman" w:cs="Times New Roman" w:eastAsia="Times New Roman" w:hAnsi="Times New Roman"/>
          <w:sz w:val="10"/>
          <w:szCs w:val="10"/>
          <w:color w:val="auto"/>
        </w:rPr>
        <w:t>The aggregate market value of the voting and non-voting common equity held by non-affiliates of the registrant, based on the closing price of the registrant’s shares of common stock as reported by The Nasdaq Global Select Market on June 30, 2025 (the last business day of the registrant’s second fiscal quarter), was approximately $1.9 billion.</w:t>
      </w:r>
    </w:p>
    <w:p>
      <w:pPr>
        <w:spacing w:after="0" w:line="2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0"/>
          <w:szCs w:val="10"/>
          <w:color w:val="auto"/>
        </w:rPr>
        <w:t>As of January 31, 2026, the registrant had 81,902,232 shares of common stock, $0.0001 par value per share, outstanding.</w:t>
      </w:r>
    </w:p>
    <w:p>
      <w:pPr>
        <w:spacing w:after="0" w:line="5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0"/>
          <w:szCs w:val="10"/>
          <w:b w:val="1"/>
          <w:bCs w:val="1"/>
          <w:color w:val="auto"/>
        </w:rPr>
        <w:t>DOCUMENTS INCORPORATED BY REFERENCE</w:t>
      </w:r>
    </w:p>
    <w:p>
      <w:pPr>
        <w:spacing w:after="0" w:line="5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9"/>
          <w:szCs w:val="9"/>
          <w:color w:val="auto"/>
        </w:rPr>
        <w:t>Portions of the registrant’s Definitive Proxy Statement relating to its 2026 Annual Meeting of Stockholders to be filed within 120 days after the end of the fiscal year ended December 31,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630555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wp:posOffset>
            </wp:positionV>
            <wp:extent cx="7019925" cy="26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9925" cy="26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84455</wp:posOffset>
            </wp:positionV>
            <wp:extent cx="70199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9925" cy="698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3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18"/>
        </w:trPr>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80" w:type="dxa"/>
            <w:vAlign w:val="bottom"/>
            <w:gridSpan w:val="11"/>
          </w:tcPr>
          <w:p>
            <w:pPr>
              <w:jc w:val="center"/>
              <w:ind w:right="4740"/>
              <w:spacing w:after="0"/>
              <w:rPr>
                <w:sz w:val="20"/>
                <w:szCs w:val="20"/>
                <w:color w:val="auto"/>
              </w:rPr>
            </w:pPr>
            <w:r>
              <w:rPr>
                <w:rFonts w:ascii="Times New Roman" w:cs="Times New Roman" w:eastAsia="Times New Roman" w:hAnsi="Times New Roman"/>
                <w:sz w:val="14"/>
                <w:szCs w:val="14"/>
                <w:b w:val="1"/>
                <w:bCs w:val="1"/>
                <w:color w:val="auto"/>
                <w:w w:val="99"/>
              </w:rPr>
              <w:t>PROGYNY, INC.</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20" w:type="dxa"/>
            <w:vAlign w:val="bottom"/>
            <w:gridSpan w:val="12"/>
          </w:tcPr>
          <w:p>
            <w:pPr>
              <w:jc w:val="center"/>
              <w:ind w:right="41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3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FF"/>
              </w:rPr>
              <w:t>PART I</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1.</w:t>
            </w: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Business</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1A.</w:t>
            </w:r>
          </w:p>
        </w:tc>
        <w:tc>
          <w:tcPr>
            <w:tcW w:w="320" w:type="dxa"/>
            <w:vAlign w:val="bottom"/>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Risk Factors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1B.</w:t>
            </w:r>
          </w:p>
        </w:tc>
        <w:tc>
          <w:tcPr>
            <w:tcW w:w="4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43</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1C.</w:t>
            </w:r>
          </w:p>
        </w:tc>
        <w:tc>
          <w:tcPr>
            <w:tcW w:w="360" w:type="dxa"/>
            <w:vAlign w:val="bottom"/>
            <w:gridSpan w:val="3"/>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Cybersecurity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43</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40" w:type="dxa"/>
            <w:vAlign w:val="bottom"/>
            <w:gridSpan w:val="2"/>
          </w:tcPr>
          <w:p>
            <w:pPr>
              <w:spacing w:after="0"/>
              <w:rPr>
                <w:sz w:val="15"/>
                <w:szCs w:val="15"/>
                <w:color w:val="auto"/>
              </w:rPr>
            </w:pPr>
          </w:p>
        </w:tc>
        <w:tc>
          <w:tcPr>
            <w:tcW w:w="360" w:type="dxa"/>
            <w:vAlign w:val="bottom"/>
            <w:gridSpan w:val="3"/>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Properties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43</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3.</w:t>
            </w:r>
          </w:p>
        </w:tc>
        <w:tc>
          <w:tcPr>
            <w:tcW w:w="400" w:type="dxa"/>
            <w:vAlign w:val="bottom"/>
            <w:gridSpan w:val="5"/>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Legal Proceedings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44</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4.</w:t>
            </w: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44</w:t>
            </w:r>
          </w:p>
        </w:tc>
        <w:tc>
          <w:tcPr>
            <w:tcW w:w="20" w:type="dxa"/>
            <w:vAlign w:val="bottom"/>
          </w:tcPr>
          <w:p>
            <w:pPr>
              <w:spacing w:after="0"/>
              <w:rPr>
                <w:sz w:val="15"/>
                <w:szCs w:val="15"/>
                <w:color w:val="auto"/>
              </w:rPr>
            </w:pPr>
          </w:p>
        </w:tc>
      </w:tr>
      <w:tr>
        <w:trPr>
          <w:trHeight w:val="383"/>
        </w:trPr>
        <w:tc>
          <w:tcPr>
            <w:tcW w:w="20" w:type="dxa"/>
            <w:vAlign w:val="bottom"/>
          </w:tcPr>
          <w:p>
            <w:pPr>
              <w:spacing w:after="0"/>
              <w:rPr>
                <w:sz w:val="24"/>
                <w:szCs w:val="24"/>
                <w:color w:val="auto"/>
              </w:rPr>
            </w:pPr>
          </w:p>
        </w:tc>
        <w:tc>
          <w:tcPr>
            <w:tcW w:w="14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400" w:type="dxa"/>
            <w:vAlign w:val="bottom"/>
            <w:tcBorders>
              <w:top w:val="single" w:sz="8" w:color="0000FF"/>
            </w:tcBorders>
          </w:tcPr>
          <w:p>
            <w:pPr>
              <w:spacing w:after="0"/>
              <w:rPr>
                <w:sz w:val="24"/>
                <w:szCs w:val="24"/>
                <w:color w:val="auto"/>
              </w:rPr>
            </w:pPr>
          </w:p>
        </w:tc>
        <w:tc>
          <w:tcPr>
            <w:tcW w:w="4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5.</w:t>
            </w: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45</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6.</w:t>
            </w: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[Reserved]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7.</w:t>
            </w: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7A.</w:t>
            </w: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8.</w:t>
            </w:r>
          </w:p>
        </w:tc>
        <w:tc>
          <w:tcPr>
            <w:tcW w:w="400" w:type="dxa"/>
            <w:vAlign w:val="bottom"/>
            <w:gridSpan w:val="5"/>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9.</w:t>
            </w:r>
          </w:p>
        </w:tc>
        <w:tc>
          <w:tcPr>
            <w:tcW w:w="400" w:type="dxa"/>
            <w:vAlign w:val="bottom"/>
            <w:gridSpan w:val="5"/>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93</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9A.</w:t>
            </w:r>
          </w:p>
        </w:tc>
        <w:tc>
          <w:tcPr>
            <w:tcW w:w="320" w:type="dxa"/>
            <w:vAlign w:val="bottom"/>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94</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9B.</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Other Information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9C.</w:t>
            </w: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97</w:t>
            </w: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4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520" w:type="dxa"/>
            <w:vAlign w:val="bottom"/>
            <w:tcBorders>
              <w:top w:val="single" w:sz="8" w:color="0000FF"/>
            </w:tcBorders>
            <w:gridSpan w:val="4"/>
          </w:tcPr>
          <w:p>
            <w:pPr>
              <w:spacing w:after="0"/>
              <w:rPr>
                <w:sz w:val="15"/>
                <w:szCs w:val="15"/>
                <w:color w:val="auto"/>
              </w:rPr>
            </w:pPr>
          </w:p>
        </w:tc>
        <w:tc>
          <w:tcPr>
            <w:tcW w:w="36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Item 10.</w:t>
            </w:r>
          </w:p>
        </w:tc>
        <w:tc>
          <w:tcPr>
            <w:tcW w:w="400" w:type="dxa"/>
            <w:vAlign w:val="bottom"/>
            <w:gridSpan w:val="5"/>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Item 11.</w:t>
            </w:r>
          </w:p>
        </w:tc>
        <w:tc>
          <w:tcPr>
            <w:tcW w:w="20" w:type="dxa"/>
            <w:vAlign w:val="bottom"/>
          </w:tcPr>
          <w:p>
            <w:pPr>
              <w:spacing w:after="0"/>
              <w:rPr>
                <w:sz w:val="15"/>
                <w:szCs w:val="15"/>
                <w:color w:val="auto"/>
              </w:rPr>
            </w:pPr>
          </w:p>
        </w:tc>
        <w:tc>
          <w:tcPr>
            <w:tcW w:w="380" w:type="dxa"/>
            <w:vAlign w:val="bottom"/>
            <w:gridSpan w:val="4"/>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Executive Compensation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12.</w:t>
            </w:r>
          </w:p>
        </w:tc>
        <w:tc>
          <w:tcPr>
            <w:tcW w:w="380" w:type="dxa"/>
            <w:vAlign w:val="bottom"/>
            <w:gridSpan w:val="4"/>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7"/>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13.</w:t>
            </w:r>
          </w:p>
        </w:tc>
        <w:tc>
          <w:tcPr>
            <w:tcW w:w="380" w:type="dxa"/>
            <w:vAlign w:val="bottom"/>
            <w:gridSpan w:val="4"/>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Item 14.</w:t>
            </w:r>
          </w:p>
        </w:tc>
        <w:tc>
          <w:tcPr>
            <w:tcW w:w="20" w:type="dxa"/>
            <w:vAlign w:val="bottom"/>
          </w:tcPr>
          <w:p>
            <w:pPr>
              <w:spacing w:after="0"/>
              <w:rPr>
                <w:sz w:val="15"/>
                <w:szCs w:val="15"/>
                <w:color w:val="auto"/>
              </w:rPr>
            </w:pPr>
          </w:p>
        </w:tc>
        <w:tc>
          <w:tcPr>
            <w:tcW w:w="380" w:type="dxa"/>
            <w:vAlign w:val="bottom"/>
            <w:gridSpan w:val="4"/>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98</w:t>
            </w: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4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FF"/>
              </w:rPr>
              <w:t>PART IV</w:t>
            </w:r>
          </w:p>
        </w:tc>
        <w:tc>
          <w:tcPr>
            <w:tcW w:w="480" w:type="dxa"/>
            <w:vAlign w:val="bottom"/>
            <w:tcBorders>
              <w:top w:val="single" w:sz="8" w:color="0000FF"/>
            </w:tcBorders>
            <w:gridSpan w:val="2"/>
          </w:tcPr>
          <w:p>
            <w:pPr>
              <w:spacing w:after="0"/>
              <w:rPr>
                <w:sz w:val="15"/>
                <w:szCs w:val="15"/>
                <w:color w:val="auto"/>
              </w:rPr>
            </w:pPr>
          </w:p>
        </w:tc>
        <w:tc>
          <w:tcPr>
            <w:tcW w:w="40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15.</w:t>
            </w:r>
          </w:p>
        </w:tc>
        <w:tc>
          <w:tcPr>
            <w:tcW w:w="380" w:type="dxa"/>
            <w:vAlign w:val="bottom"/>
            <w:gridSpan w:val="4"/>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98</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Item 16.</w:t>
            </w:r>
          </w:p>
        </w:tc>
        <w:tc>
          <w:tcPr>
            <w:tcW w:w="20" w:type="dxa"/>
            <w:vAlign w:val="bottom"/>
          </w:tcPr>
          <w:p>
            <w:pPr>
              <w:spacing w:after="0"/>
              <w:rPr>
                <w:sz w:val="15"/>
                <w:szCs w:val="15"/>
                <w:color w:val="auto"/>
              </w:rPr>
            </w:pPr>
          </w:p>
        </w:tc>
        <w:tc>
          <w:tcPr>
            <w:tcW w:w="380" w:type="dxa"/>
            <w:vAlign w:val="bottom"/>
            <w:gridSpan w:val="4"/>
          </w:tcPr>
          <w:p>
            <w:pPr>
              <w:spacing w:after="0"/>
              <w:rPr>
                <w:sz w:val="15"/>
                <w:szCs w:val="15"/>
                <w:color w:val="auto"/>
              </w:rPr>
            </w:pPr>
          </w:p>
        </w:tc>
        <w:tc>
          <w:tcPr>
            <w:tcW w:w="8680" w:type="dxa"/>
            <w:vAlign w:val="bottom"/>
            <w:gridSpan w:val="23"/>
          </w:tcPr>
          <w:p>
            <w:pPr>
              <w:ind w:left="360"/>
              <w:spacing w:after="0"/>
              <w:rPr>
                <w:sz w:val="20"/>
                <w:szCs w:val="20"/>
                <w:color w:val="auto"/>
              </w:rPr>
            </w:pPr>
            <w:r>
              <w:rPr>
                <w:rFonts w:ascii="Times New Roman" w:cs="Times New Roman" w:eastAsia="Times New Roman" w:hAnsi="Times New Roman"/>
                <w:sz w:val="14"/>
                <w:szCs w:val="14"/>
                <w:color w:val="0000FF"/>
              </w:rPr>
              <w:t>Form 10-K Summary</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w w:val="85"/>
              </w:rPr>
              <w:t>102</w:t>
            </w:r>
          </w:p>
        </w:tc>
      </w:tr>
      <w:tr>
        <w:trPr>
          <w:trHeight w:val="20"/>
        </w:trPr>
        <w:tc>
          <w:tcPr>
            <w:tcW w:w="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14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480" w:type="dxa"/>
            <w:vAlign w:val="bottom"/>
            <w:gridSpan w:val="2"/>
          </w:tcPr>
          <w:p>
            <w:pPr>
              <w:spacing w:after="0"/>
              <w:rPr>
                <w:sz w:val="24"/>
                <w:szCs w:val="24"/>
                <w:color w:val="auto"/>
              </w:rPr>
            </w:pPr>
          </w:p>
        </w:tc>
        <w:tc>
          <w:tcPr>
            <w:tcW w:w="40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w w:val="85"/>
              </w:rPr>
              <w:t>103</w:t>
            </w:r>
          </w:p>
        </w:tc>
      </w:tr>
      <w:tr>
        <w:trPr>
          <w:trHeight w:val="733"/>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gridSpan w:val="15"/>
          </w:tcPr>
          <w:p>
            <w:pPr>
              <w:jc w:val="center"/>
              <w:ind w:left="2869"/>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Annual Report on Form 10-K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and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 of public health emergencies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“expect,” “plan,” “anticipate,” “could,” “intend,” “target,” “project,” “contemplate,” “believe,” “estimate,” “predict,” “potential,” “seek,” “assume,” “future,” “continue” or “aim”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Part I, Item 1A. “Risk Factors” and Part II, Item 7. “Management’s Discussion and Analysis of Financial Condition and Results of Operations” of this Annual Report on Form 10-K.</w:t>
      </w:r>
    </w:p>
    <w:p>
      <w:pPr>
        <w:spacing w:after="0" w:line="14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In addition, statements such as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OF RISKS AFFECTING OUR BUSINESS</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Below is a summary of the principal factors that make an investment in our common stock speculative or risky. This summary does not address all of the risks and uncertainties that we face. Additional discussion of the risks summarized in this risk factor summary, and other risks and uncertainties that we face, can be found under the heading “Risk Factors” in Part I, Item 1A. of this Annual Report on Form 10-K and should be carefully considered, together with other information in this Annual Report on Form 10-K and our other filings with the U.S. Securities and Exchange Commission, or the SEC, before making an investment decision regarding our common stock.</w:t>
      </w:r>
    </w:p>
    <w:p>
      <w:pPr>
        <w:spacing w:after="0" w:line="149"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meet our publicly announced guidance or other expectations about our business and future results of operations, which would cause our stock price to decline.</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in which we operate is highly competitive, and, if we do not continue to compete effectively, our business, financial condition and results of operations could be harmed.</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conditions in the global economy or our industry could limit our ability to grow our business and negatively affect our results of operations.</w:t>
      </w:r>
    </w:p>
    <w:p>
      <w:pPr>
        <w:spacing w:after="0" w:line="178"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1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new clients, our business, financial condition and results of operations would be adversely affected.</w:t>
      </w:r>
    </w:p>
    <w:p>
      <w:pPr>
        <w:spacing w:after="0" w:line="16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change in the utilization of our solutions, including the consumption rate or the mix of utilization, could have an adverse effect on our business, financial condition and results of operations.</w:t>
      </w:r>
    </w:p>
    <w:p>
      <w:pPr>
        <w:spacing w:after="0" w:line="113"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regulated industry and must comply with a significant number of new and evolving legal and regulatory requirements, as well as complex judicial mandates, which could have an adverse impact on our business.</w:t>
      </w:r>
    </w:p>
    <w:p>
      <w:pPr>
        <w:spacing w:after="0" w:line="13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with our current platform of solutions, which makes it difficult to predict our future results of operations.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benefits industry may be subject to negative publicity, which could adversely affect our business, financial condition and results of operations.</w:t>
      </w:r>
    </w:p>
    <w:p>
      <w:pPr>
        <w:spacing w:after="0" w:line="167"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information technology systems, or those of the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spacing w:after="0" w:line="13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artificial intelligence may subject us to new or heightened legal, regulatory, ethical, operational or other challenges.</w:t>
      </w:r>
    </w:p>
    <w:p>
      <w:pPr>
        <w:spacing w:after="0" w:line="16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1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depends in part on the success of our strategic relationships with, and monitoring of, third parties, including channel partners and vendors as well as insurance carriers.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maintain an efficient pharmacy distribution network or if there is a disruption to our network of specialty pharmacies or their supply chains or business economics, our business, financial condition and results of operations could suffer.</w:t>
      </w:r>
    </w:p>
    <w:p>
      <w:pPr>
        <w:spacing w:after="0" w:line="13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part of the broader healthcare industry and subject to increasing scrutiny, business requirements and regulation within our business, including with respect to Progyny Rx’s PBM operations, which may adversely affect our business, financial condition and results of operations.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Unless the context otherwise indicates, references in this Annual Report on Form 10-K to the terms “Progyny,” “the Company,” “we,” “our” and “us” refer to Progyny, Inc. and its wholly owned subsidiaries.</w:t>
      </w:r>
    </w:p>
    <w:p>
      <w:pPr>
        <w:spacing w:after="0" w:line="12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“Progyny®” and our other registered and common law trade names, trademarks and service marks are the property of Progyny, Inc. Other trade names, trademarks and service marks used in this Annual Report on Form 10-K are the property of their respective owners. Solely for convenience, the trademarks and trade names in this Annual Report on Form 10-K may be referred to without the ® and ™ symbols, but such references should not be construed as any indicator that their respective owners will not assert their rights thereto.</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MARKET, INDUSTRY AND OTHER DATA</w:t>
      </w:r>
    </w:p>
    <w:p>
      <w:pPr>
        <w:spacing w:after="0" w:line="18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This Annual Report on Form 10-K contains statistical data, estimates and forecasts that are based on independent industry publications and other publicly available information, as well as other information based on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Further, while we believe our internal research is reliable, such research has not been verified by any third party. The industry in which we operate is subject to a high degree of uncertainty and risk due to a variety of factors, including those described under Part I, Item 1A. “Risk Factors” of this Annual Report on Form 10-K, that could cause results to differ materially from those expressed in these publications and other publicly available information.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tab/>
        <w:t>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Progyny is a global leader in women’s health and family building solutions. We envision a world where everyone can realize their dreams of family and ideal health. Our mission is to empower healthier, supported journeys through transformative fertility, family building and women’s health benefits. Through our differentiated approach to benefits plan design, member education and support and active network management, our clients’ employees are able to pursue the most effective treatment across life’s milestones from the best providers and specialists and achieve optimal outcomes.</w:t>
      </w:r>
    </w:p>
    <w:p>
      <w:pPr>
        <w:spacing w:after="0" w:line="14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color w:val="auto"/>
        </w:rPr>
        <w:t>We launched our fertility benefits solution in 2016 with five employer clients and have since expanded our platform to include solutions in pregnancy and postpartum, menopause and midlife, benefit and leave navigation and parent and child wellbeing in order to address the continuum of women’s health. Today, we have grown our current base of clients to more than 590 employers, each with at least 1,000 covered lives. Our clients include many of the nation’s most prominent employers across a broad array of industries. We currently have contracts to provide coverage to approximately 7.2 million employees and their covered dependents (known in our industry as covered lives, and to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is evidenced by our most recent industry-leading Net Promoter Score, or NPS, of +81 for our fertility benefits solution and +79 for Progyny Rx, our integrated pharmacy benefits solution, as of December 31, 2025.</w:t>
      </w:r>
    </w:p>
    <w:p>
      <w:pPr>
        <w:spacing w:after="0" w:line="1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We are transforming women’s health benefits, proving that comprehensive, inclusive, and intentionally designed solutions can simultaneously benefit employers, members and providers. We believe the value proposition we deliver to all of these constituents is key to our success and growth. Our solutions empower members with concierge support, coaching, education, and digital tools; provide access to a premier network of fertility and women’s health specialists who use the latest science and technologies; drive optimal clinical outcomes; and reduce healthcare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7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We believe we have a significant opportunity to provide employers with a superior comprehensive solution that addresses the unique challenges and complexities of women’s health and family building benefits. We estimate that the market for women’s health and family building benefits in the United States will continue to grow, especially as current estimates of the market exclude those individuals who do not have access to a comprehensive family building benefit and, as a result, do not seek treatment for infertility.</w:t>
      </w:r>
    </w:p>
    <w:p>
      <w:pPr>
        <w:spacing w:after="0" w:line="152"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We contract with employers to provide women's health and family building benefits to their employees and covered dependents. We believe our addressable market primarily consists of large self-insured employers as well as labor populations under the Labor Management Relations Act of 1947 (also known as the Taft-Hartley Act) and federal government populations. There are approximately 9,000 employers in the United States who have a minimum of 1,000 employees, who together with the Taft-Hartley populations and federal government populations, represent approximately 106 million potential covered lives in total. As such, we estimate that our current member base of 7.2 million covered lives under contract represents a mid-single digit percent of our total market opportunity.</w:t>
      </w:r>
    </w:p>
    <w:p>
      <w:pPr>
        <w:spacing w:after="0" w:line="15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As part of our growth strategy, we anticipate expanding our addressable market to include large group fully insured employers. Overall, we believe our market opportunity is substantial and is continuing to grow as a result of the rising demand for women’s health and family building benefits solutions, the lack of adequate offerings in the market today and the increased awareness of the challenges of women’s health that we are helping to drive.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Solutions</w:t>
      </w:r>
    </w:p>
    <w:p>
      <w:pPr>
        <w:spacing w:after="0" w:line="17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We are redefining women's health and family building benefits through our purpose-built, data-driven and disruptive platform through which we offer our benefits solutions. Our innovative and comprehensive solutions have proven to be simultaneously beneficial for our clients, our members and our network of providers and specialists. Through our differentiated approach to benefits plan design, member education and support and active network management, our clients’ employees are able to pursue the most effective treatment from the best providers and specialists and achieve optimal outcomes in a cost-efficient manner, while our clients and members achieve savings in upfront treatment costs as well as reduced maternity and neonatal intensive care unit, or NICU, expenses.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Fertility Benefits Solution</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Differentiated Benefits Plan Design</w:t>
      </w:r>
    </w:p>
    <w:p>
      <w:pPr>
        <w:spacing w:after="0" w:line="18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In order to simplify the process for our members, we offer our proprietary Smart Cycle approach. The innovative Smart Cycle is our proprietary, easy-to-understand fertility benefits design. It provides members with equitable access to the treatment they need and is designed to drive superior outcomes and reduce both upfront treatment expenses and subsequent costs. Everything needed for a comprehensive fertility treatment is contained within a Smart Cycle treatment bundle, including all necessary diagnostic testing and access to the latest technology (e.g., in the case of IVF treatment, preimplantation genetic testing). We currently offer 20 different Smart Cycle treatment bundles, which may be used independently or in combination depending on a member’s need. Each Smart Cycle has a separate unit value (i.e., some have fractional values and some have whole values). Our clients contract to purchase a cumulative Smart Cycle unit value per eligible member. These can range from one to unlimited cumulative Smart Cycle units. Members have access to our selective network of high-quality fertility specialists and can choose their preferred provider clinics within our network and utilize their Smart Cycles for whichever treatments they and their fertility specialists determine to be necessary throughout their fertility journey, providing our members with tailored treatments that result in optimal clinical outcomes. Our superior clinical outcomes driven by our Smart Cycle plan design include higher rates of pregnancy and live births, as well as lower miscarriage rates and fewer multiple births. In addition, these clinical outcomes are further reinforced through our pregnancy and postpartum program, which provides support throughout from pregnancy through postpartum.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Personalized Concierge-Style Member Support Services</w:t>
      </w:r>
    </w:p>
    <w:p>
      <w:pPr>
        <w:spacing w:after="0" w:line="17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We provide our members with access to high-touch, end-to-end concierge support, including logistical assistance, clinical guidance and emotional support through our Progyny Care Advocates, or PCAs, and our in-house clinical staff, as well as access to digital tools. Our PCAs have deep fertility expertise and provide extensive clinical education, guidance and emotional support to our members. Additionally, we have an in-house clinical staff, comprised of professionals with substantial expertise in reproductive endocrinology, fertility nursing, clinical psychology and social work who design our PCA training curriculum and direct our comprehensive member experience. Our comprehensive member portal further supports the member experience by providing key educational resources and easy-to-access benefits information to our members. We believe our platform provides our members with best-in-class support services to help them navigate their fertility and family building journeys.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Selective Network of High-Quality Fertility Specialists</w:t>
      </w:r>
    </w:p>
    <w:p>
      <w:pPr>
        <w:spacing w:after="0" w:line="18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We have utilized our deep industry knowledge and the insights derived from our data analytics platform to establish and actively manage a national network of leading fertility specialists in the United States. Our members have access to our selective Center of Excellence network of high-quality providers that includes over 1,100 fertility specialists who practice at over 690 provider clinic locations throughout the United States and over 1,190 specialists in total when including reproductive urologists. Our network includes 45 of the top 50 fertility practice groups by volume in the United States according to 2022 CDC data, which was published in 2024 and is the most recent data available. Fertility specialists who are invited to join our network must meet and maintain rigorous credentialing standards and quality thresholds that we set for inclusion in our network to ensure that our members receive the highest quality care. Our national network serves members in virtually every state, providing extensive geographic coverage to our national employers.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Progyny Rx, an Integrated Pharmacy Benefits Solution</w:t>
      </w:r>
    </w:p>
    <w:p>
      <w:pPr>
        <w:spacing w:after="0" w:line="17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Progyny Rx is our integrated pharmacy benefits solution that can be added by clients that utilize our fertility benefits solution. This solution provides our members with access to the medications needed during their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Our single treatment and medication authorization process reduces the administrative burden, creating an efficient pharmacy solution for our members and their fertility specialists. Progyny Rx reduces dispensing and delivery time to eliminate the risk of missed treatment cycles. Given the importance of the timely use of medication to the success of fertility treatments, and the complexity involved in administering the medications, we believe Progyny Rx provides a differentiated and effective pharmacy solution for our clients and their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Pregnancy and Postpartum Solution</w:t>
      </w:r>
    </w:p>
    <w:p>
      <w:pPr>
        <w:spacing w:after="0" w:line="19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pregnancy and postpartum solution offers comprehensive support from pregnancy through postpartum and return-to-work, improving outcomes, reducing complications, and supporting a healthier workforce. Progyny’s integrated care model provides personalized clinical guidance and coaching, emotional support, access to digital tools and logistical expertise.</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Menopause and Midlife Solution</w:t>
      </w:r>
    </w:p>
    <w:p>
      <w:pPr>
        <w:spacing w:after="0" w:line="191"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Our menopause and midlife solution offers access to programmatic clinical coaching, personalized digital tools, and a curated network of menopause and midlife providers. Our comprehensive approach removes barriers to treatment and improves health outcomes through a specialized clinical network, proactive, personalized guidance, and early intervention and treatment options.</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Benefit and Leave Navigation Solution</w:t>
      </w:r>
    </w:p>
    <w:p>
      <w:pPr>
        <w:spacing w:after="0" w:line="20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Our benefit and leave navigation solution provides expecting parents with a concierge-level service model that delivers expert guidance, navigation and support for parental leave planning. It offers access to benefit and leave navigation tools, educational resources, and return-to-work support.</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Parent and Child Wellbeing Solution</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Our parent and child wellbeing solution provides comprehensive, personalized support, expert guidance and benefit navigation, and interactive education and community to address the unique challenges parents face. It offers access to a continuum of support to help members with children ages 0-12 navigate parenthood, including tailored 1:1 coaching from licensed clinical social workers, proactive stress-reduction strategies, and guidance on navigating workplace policies and benefits.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Assistance Service Reimbursement Programs</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also offer an assistance services program where certain services can be offered through a reimbursement program, including adoption, surrogacy, doula, and travel reimbursement when travel is required to receive medical services. We manage the reimbursement of these expenses for those clients who offer such reimbursement benefits. For these programs, employers designate a specific lifetime dollar amount toward the elected assistance service for their employees. We then administer the expense reimbursement to employees up to this dollar amount. We work with our clients to determine what expenses related to adoption or surrogacy or any other elected benefit will be covered under their plan, thereby alleviating their administrative burden.</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Global Solution</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Progyny Global offers expertise, a high-touch partnership model and a compliant framework to deliver on country-specific needs across the fertility, family building and women’s health benefits space. Progyny Global offers inclusive, personalized support for every stage of life and simplifies women’s health journeys by helping members find quality care and providing crucial support and advocacy.</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Robust Data Collection Process</w:t>
      </w:r>
    </w:p>
    <w:p>
      <w:pPr>
        <w:spacing w:after="0" w:line="19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We believe that we are the only fertility and family building benefits company to collect data in a timely manner directly from fertility providers on adherence to treatment protocols and clinical outcomes, including single embryo transfer rates, pregnancy rates, miscarriage rates, live birth rates, multiple birth rates, practice patterns, treatment timelines and costs per birth. This data is used to understand the utilization of our benefits, our provider clinics’ adherence to best practices and the outcomes produced by each clinic and across our network. This data also informs decisions across our platform, from services covered to our fertility network standards and enables us to actively manage our fertility specialist network and ensure that our fertility specialists are utilizing best practices and optimizing outcomes. The data collection process also includes extensive member surveys, which allow us to understand and improve our member experience and satisfaction. Finally, this data allows us to provide our clients with unique and detailed reports in order to provide full transparency into the utilization of their benefit program, their expenditures and the outcomes delivered and value created. We believe that we effectively utilize our thorough data collection and analysis process and our unique and robust data set to continuously improve the client and member experience across our platform.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Prestigious Medical Advisory Board</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Our Medical Advisory Board is comprised of nationally recognized fertility specialists who are advancing fertility science and research. They are responsible for oversight of key clinical issues, including evaluating new fertility treatment diagnostics and procedures to ensure that our benefits design and overall program is comprehensive and designed to drive the best outcomes. This review ensures that we are evaluating and covering the latest and most effective fertility treatments and identifying opportunities to improve our plan design, member experience and fertility specialists network standards.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Full Service Client Success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4"/>
          <w:szCs w:val="14"/>
          <w:color w:val="auto"/>
        </w:rPr>
        <w:t>We provide a dedicated client success team to help ensure that we are delivering superior service to our clients and members. Our client success managers support our clients’ day-to-day needs and resolve issues that arise, including benefit awareness and client reporting. We believe our client success services, including our detailed client reporting, play an important role in helping us maintain and strengthen our client relationships.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Value Proposition</w:t>
      </w:r>
    </w:p>
    <w:p>
      <w:pPr>
        <w:spacing w:after="0" w:line="170"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We believe that our competitive success is a function of our ability to concurrently: (1) provide tangible financial value to our clients through total cost management; (2) deliver better and more supported journeys to our members; and (3) provide value to, and work collaboratively with, the nation’s leading providers and specialists.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Provide Measurable Value to Our Employer Clients</w:t>
      </w:r>
    </w:p>
    <w:p>
      <w:pPr>
        <w:spacing w:after="0" w:line="179" w:lineRule="exact"/>
        <w:rPr>
          <w:sz w:val="20"/>
          <w:szCs w:val="20"/>
          <w:color w:val="auto"/>
        </w:rPr>
      </w:pPr>
    </w:p>
    <w:p>
      <w:pPr>
        <w:ind w:left="760" w:hanging="246"/>
        <w:spacing w:after="0" w:line="232" w:lineRule="auto"/>
        <w:tabs>
          <w:tab w:leader="none" w:pos="75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Substantial and Measurable Financial Value. </w:t>
      </w:r>
      <w:r>
        <w:rPr>
          <w:rFonts w:ascii="Times New Roman" w:cs="Times New Roman" w:eastAsia="Times New Roman" w:hAnsi="Times New Roman"/>
          <w:sz w:val="14"/>
          <w:szCs w:val="14"/>
          <w:color w:val="auto"/>
        </w:rPr>
        <w:t>Our superior clinical outcomes drive savings and total cost management in both upfront fertility treatment costs (due to our higher live birth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rates) as well as subsequent maternity and NICU expenses for our clients (due to our lower multiple birth rates).</w:t>
      </w:r>
    </w:p>
    <w:p>
      <w:pPr>
        <w:spacing w:after="0" w:line="144" w:lineRule="exact"/>
        <w:rPr>
          <w:rFonts w:ascii="Times New Roman" w:cs="Times New Roman" w:eastAsia="Times New Roman" w:hAnsi="Times New Roman"/>
          <w:sz w:val="17"/>
          <w:szCs w:val="17"/>
          <w:b w:val="1"/>
          <w:bCs w:val="1"/>
          <w:color w:val="auto"/>
        </w:rPr>
      </w:pPr>
    </w:p>
    <w:p>
      <w:pPr>
        <w:ind w:left="760" w:hanging="246"/>
        <w:spacing w:after="0"/>
        <w:tabs>
          <w:tab w:leader="none" w:pos="76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Progyny Rx Savings. </w:t>
      </w:r>
      <w:r>
        <w:rPr>
          <w:rFonts w:ascii="Times New Roman" w:cs="Times New Roman" w:eastAsia="Times New Roman" w:hAnsi="Times New Roman"/>
          <w:sz w:val="14"/>
          <w:szCs w:val="14"/>
          <w:color w:val="auto"/>
        </w:rPr>
        <w:t>Progyny Rx delivers unit cost savings to our clients based on a reduction in unnecessary quantities of medication dispensed.</w:t>
      </w:r>
    </w:p>
    <w:p>
      <w:pPr>
        <w:spacing w:after="0" w:line="154" w:lineRule="exact"/>
        <w:rPr>
          <w:rFonts w:ascii="Times New Roman" w:cs="Times New Roman" w:eastAsia="Times New Roman" w:hAnsi="Times New Roman"/>
          <w:sz w:val="17"/>
          <w:szCs w:val="17"/>
          <w:b w:val="1"/>
          <w:bCs w:val="1"/>
          <w:color w:val="auto"/>
        </w:rPr>
      </w:pPr>
    </w:p>
    <w:p>
      <w:pPr>
        <w:ind w:left="760" w:hanging="246"/>
        <w:spacing w:after="0"/>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i w:val="1"/>
          <w:iCs w:val="1"/>
          <w:color w:val="auto"/>
        </w:rPr>
        <w:t xml:space="preserve">Employee Productivity and Retention. </w:t>
      </w:r>
      <w:r>
        <w:rPr>
          <w:rFonts w:ascii="Times New Roman" w:cs="Times New Roman" w:eastAsia="Times New Roman" w:hAnsi="Times New Roman"/>
          <w:sz w:val="14"/>
          <w:szCs w:val="14"/>
          <w:color w:val="auto"/>
        </w:rPr>
        <w:t>Our solutions address employee absenteeism, poor productivity, and the lack of employee retention as well as the return-to-work issues.</w:t>
      </w:r>
    </w:p>
    <w:p>
      <w:pPr>
        <w:spacing w:after="0" w:line="153" w:lineRule="exact"/>
        <w:rPr>
          <w:rFonts w:ascii="Times New Roman" w:cs="Times New Roman" w:eastAsia="Times New Roman" w:hAnsi="Times New Roman"/>
          <w:sz w:val="17"/>
          <w:szCs w:val="17"/>
          <w:color w:val="auto"/>
        </w:rPr>
      </w:pPr>
    </w:p>
    <w:p>
      <w:pPr>
        <w:jc w:val="both"/>
        <w:ind w:left="760" w:hanging="246"/>
        <w:spacing w:after="0" w:line="228" w:lineRule="auto"/>
        <w:tabs>
          <w:tab w:leader="none" w:pos="75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Appeal to Existing and Prospective Employees. </w:t>
      </w:r>
      <w:r>
        <w:rPr>
          <w:rFonts w:ascii="Times New Roman" w:cs="Times New Roman" w:eastAsia="Times New Roman" w:hAnsi="Times New Roman"/>
          <w:sz w:val="14"/>
          <w:szCs w:val="14"/>
          <w:color w:val="auto"/>
        </w:rPr>
        <w:t>Better fertility benefits programs can be a key component to enhancing a company’s overall benefits program and an important tool in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recruiting efforts and in helping retain key talent. An appealing feature of the Progyny benefit from an employee retention perspective is that the benefit is both comprehensive and is accessible by all groups across an employee population. The level of employee satisfaction we provide is important for any employer focused on employee retention.</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Provide Meaningful Value to Our Members</w:t>
      </w:r>
    </w:p>
    <w:p>
      <w:pPr>
        <w:spacing w:after="0" w:line="189" w:lineRule="exact"/>
        <w:rPr>
          <w:sz w:val="20"/>
          <w:szCs w:val="20"/>
          <w:color w:val="auto"/>
        </w:rPr>
      </w:pPr>
    </w:p>
    <w:p>
      <w:pPr>
        <w:ind w:left="760" w:hanging="246"/>
        <w:spacing w:after="0" w:line="225" w:lineRule="auto"/>
        <w:tabs>
          <w:tab w:leader="none" w:pos="75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Superior Clinical Outcomes. </w:t>
      </w:r>
      <w:r>
        <w:rPr>
          <w:rFonts w:ascii="Times New Roman" w:cs="Times New Roman" w:eastAsia="Times New Roman" w:hAnsi="Times New Roman"/>
          <w:sz w:val="14"/>
          <w:szCs w:val="14"/>
          <w:color w:val="auto"/>
        </w:rPr>
        <w:t>Our members experience healthier pregnancies (with significantly increased utilization of single embryo transfer) and superior rates of pregnancy and live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births, as well as reduced rates of miscarriages and multiple births, saving valuable time and money and limiting personal and professional disruption.</w:t>
      </w:r>
    </w:p>
    <w:p>
      <w:pPr>
        <w:sectPr>
          <w:pgSz w:w="11900" w:h="16838" w:orient="portrait"/>
          <w:cols w:equalWidth="0" w:num="1">
            <w:col w:w="11280"/>
          </w:cols>
          <w:pgMar w:left="300" w:top="295" w:right="319" w:bottom="1440" w:gutter="0" w:footer="0" w:header="0"/>
        </w:sectPr>
      </w:pP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980" w:type="dxa"/>
            <w:vAlign w:val="bottom"/>
          </w:tcPr>
          <w:p>
            <w:pPr>
              <w:spacing w:after="0"/>
              <w:rPr>
                <w:sz w:val="11"/>
                <w:szCs w:val="11"/>
                <w:color w:val="auto"/>
              </w:rPr>
            </w:pPr>
          </w:p>
        </w:tc>
        <w:tc>
          <w:tcPr>
            <w:tcW w:w="4340" w:type="dxa"/>
            <w:vAlign w:val="bottom"/>
            <w:vMerge w:val="restart"/>
          </w:tcPr>
          <w:p>
            <w:pPr>
              <w:jc w:val="center"/>
              <w:ind w:left="2363"/>
              <w:spacing w:after="0"/>
              <w:rPr>
                <w:sz w:val="20"/>
                <w:szCs w:val="20"/>
                <w:color w:val="auto"/>
              </w:rPr>
            </w:pPr>
            <w:r>
              <w:rPr>
                <w:rFonts w:ascii="Times New Roman" w:cs="Times New Roman" w:eastAsia="Times New Roman" w:hAnsi="Times New Roman"/>
                <w:sz w:val="11"/>
                <w:szCs w:val="11"/>
                <w:b w:val="1"/>
                <w:bCs w:val="1"/>
                <w:color w:val="auto"/>
              </w:rPr>
              <w:t>National Averages for All Provider</w:t>
            </w:r>
          </w:p>
        </w:tc>
        <w:tc>
          <w:tcPr>
            <w:tcW w:w="1900" w:type="dxa"/>
            <w:vAlign w:val="bottom"/>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Progyny In-Network Provider Clinic</w:t>
            </w:r>
          </w:p>
        </w:tc>
        <w:tc>
          <w:tcPr>
            <w:tcW w:w="0" w:type="dxa"/>
            <w:vAlign w:val="bottom"/>
          </w:tcPr>
          <w:p>
            <w:pPr>
              <w:spacing w:after="0"/>
              <w:rPr>
                <w:sz w:val="1"/>
                <w:szCs w:val="1"/>
                <w:color w:val="auto"/>
              </w:rPr>
            </w:pPr>
          </w:p>
        </w:tc>
      </w:tr>
      <w:tr>
        <w:trPr>
          <w:trHeight w:val="127"/>
        </w:trPr>
        <w:tc>
          <w:tcPr>
            <w:tcW w:w="29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Outcome</w:t>
            </w:r>
          </w:p>
        </w:tc>
        <w:tc>
          <w:tcPr>
            <w:tcW w:w="4340" w:type="dxa"/>
            <w:vAlign w:val="bottom"/>
            <w:vMerge w:val="continue"/>
          </w:tcPr>
          <w:p>
            <w:pPr>
              <w:spacing w:after="0"/>
              <w:rPr>
                <w:sz w:val="11"/>
                <w:szCs w:val="11"/>
                <w:color w:val="auto"/>
              </w:rPr>
            </w:pPr>
          </w:p>
        </w:tc>
        <w:tc>
          <w:tcPr>
            <w:tcW w:w="1900" w:type="dxa"/>
            <w:vAlign w:val="bottom"/>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Averages</w:t>
            </w:r>
          </w:p>
        </w:tc>
        <w:tc>
          <w:tcPr>
            <w:tcW w:w="0" w:type="dxa"/>
            <w:vAlign w:val="bottom"/>
          </w:tcPr>
          <w:p>
            <w:pPr>
              <w:spacing w:after="0"/>
              <w:rPr>
                <w:sz w:val="1"/>
                <w:szCs w:val="1"/>
                <w:color w:val="auto"/>
              </w:rPr>
            </w:pPr>
          </w:p>
        </w:tc>
      </w:tr>
      <w:tr>
        <w:trPr>
          <w:trHeight w:val="149"/>
        </w:trPr>
        <w:tc>
          <w:tcPr>
            <w:tcW w:w="2980" w:type="dxa"/>
            <w:vAlign w:val="bottom"/>
            <w:vMerge w:val="continue"/>
          </w:tcPr>
          <w:p>
            <w:pPr>
              <w:spacing w:after="0"/>
              <w:rPr>
                <w:sz w:val="12"/>
                <w:szCs w:val="12"/>
                <w:color w:val="auto"/>
              </w:rPr>
            </w:pPr>
          </w:p>
        </w:tc>
        <w:tc>
          <w:tcPr>
            <w:tcW w:w="4340" w:type="dxa"/>
            <w:vAlign w:val="bottom"/>
          </w:tcPr>
          <w:p>
            <w:pPr>
              <w:jc w:val="center"/>
              <w:ind w:left="2363"/>
              <w:spacing w:after="0"/>
              <w:rPr>
                <w:sz w:val="20"/>
                <w:szCs w:val="20"/>
                <w:color w:val="auto"/>
              </w:rPr>
            </w:pPr>
            <w:r>
              <w:rPr>
                <w:rFonts w:ascii="Times New Roman" w:cs="Times New Roman" w:eastAsia="Times New Roman" w:hAnsi="Times New Roman"/>
                <w:sz w:val="11"/>
                <w:szCs w:val="11"/>
                <w:b w:val="1"/>
                <w:bCs w:val="1"/>
                <w:color w:val="auto"/>
                <w:w w:val="98"/>
              </w:rPr>
              <w:t>Clinics</w:t>
            </w:r>
          </w:p>
        </w:tc>
        <w:tc>
          <w:tcPr>
            <w:tcW w:w="190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for All Patients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59086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086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Progyny In-Network Provider Clinic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Averages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b w:val="1"/>
          <w:bCs w:val="1"/>
          <w:color w:val="auto"/>
        </w:rPr>
        <w:t>for Progyny Members Only</w:t>
      </w:r>
      <w:r>
        <w:rPr>
          <w:rFonts w:ascii="Times New Roman" w:cs="Times New Roman" w:eastAsia="Times New Roman" w:hAnsi="Times New Roman"/>
          <w:sz w:val="5"/>
          <w:szCs w:val="5"/>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17145</wp:posOffset>
            </wp:positionV>
            <wp:extent cx="119951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9240" w:space="220"/>
            <w:col w:w="1820"/>
          </w:cols>
          <w:pgMar w:left="300" w:top="295" w:right="31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Live birth rate per attempted retrieval</w:t>
            </w:r>
            <w:r>
              <w:rPr>
                <w:rFonts w:ascii="Times New Roman" w:cs="Times New Roman" w:eastAsia="Times New Roman" w:hAnsi="Times New Roman"/>
                <w:sz w:val="6"/>
                <w:szCs w:val="6"/>
                <w:color w:val="auto"/>
              </w:rPr>
              <w:t>(2)</w:t>
            </w:r>
          </w:p>
        </w:tc>
        <w:tc>
          <w:tcPr>
            <w:tcW w:w="41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34.9 %</w:t>
            </w:r>
          </w:p>
        </w:tc>
        <w:tc>
          <w:tcPr>
            <w:tcW w:w="19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36.8 %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46.7 %</w:t>
            </w:r>
          </w:p>
        </w:tc>
      </w:tr>
      <w:tr>
        <w:trPr>
          <w:trHeight w:val="20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Single embryo transfer rate</w:t>
            </w:r>
            <w:r>
              <w:rPr>
                <w:rFonts w:ascii="Times New Roman" w:cs="Times New Roman" w:eastAsia="Times New Roman" w:hAnsi="Times New Roman"/>
                <w:sz w:val="6"/>
                <w:szCs w:val="6"/>
                <w:color w:val="auto"/>
              </w:rPr>
              <w:t>(1)</w:t>
            </w:r>
          </w:p>
        </w:tc>
        <w:tc>
          <w:tcPr>
            <w:tcW w:w="41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78.9 %</w:t>
            </w:r>
          </w:p>
        </w:tc>
        <w:tc>
          <w:tcPr>
            <w:tcW w:w="19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80.8 %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96.6 %</w:t>
            </w:r>
          </w:p>
        </w:tc>
      </w:tr>
      <w:tr>
        <w:trPr>
          <w:trHeight w:val="19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Pregnancy rate per IVF transfer</w:t>
            </w:r>
            <w:r>
              <w:rPr>
                <w:rFonts w:ascii="Times New Roman" w:cs="Times New Roman" w:eastAsia="Times New Roman" w:hAnsi="Times New Roman"/>
                <w:sz w:val="6"/>
                <w:szCs w:val="6"/>
                <w:color w:val="auto"/>
              </w:rPr>
              <w:t>(1)</w:t>
            </w:r>
          </w:p>
        </w:tc>
        <w:tc>
          <w:tcPr>
            <w:tcW w:w="41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54.3 %</w:t>
            </w:r>
          </w:p>
        </w:tc>
        <w:tc>
          <w:tcPr>
            <w:tcW w:w="19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55.6 %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60.8 %</w:t>
            </w:r>
          </w:p>
        </w:tc>
      </w:tr>
      <w:tr>
        <w:trPr>
          <w:trHeight w:val="20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Miscarriage rate</w:t>
            </w:r>
            <w:r>
              <w:rPr>
                <w:rFonts w:ascii="Times New Roman" w:cs="Times New Roman" w:eastAsia="Times New Roman" w:hAnsi="Times New Roman"/>
                <w:sz w:val="6"/>
                <w:szCs w:val="6"/>
                <w:color w:val="auto"/>
              </w:rPr>
              <w:t>(1)</w:t>
            </w:r>
          </w:p>
        </w:tc>
        <w:tc>
          <w:tcPr>
            <w:tcW w:w="41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18.2 %</w:t>
            </w:r>
          </w:p>
        </w:tc>
        <w:tc>
          <w:tcPr>
            <w:tcW w:w="19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17.9 %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14.4 %</w:t>
            </w:r>
          </w:p>
        </w:tc>
      </w:tr>
      <w:tr>
        <w:trPr>
          <w:trHeight w:val="20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Live birth rate per transfer</w:t>
            </w:r>
            <w:r>
              <w:rPr>
                <w:rFonts w:ascii="Times New Roman" w:cs="Times New Roman" w:eastAsia="Times New Roman" w:hAnsi="Times New Roman"/>
                <w:sz w:val="6"/>
                <w:szCs w:val="6"/>
                <w:color w:val="auto"/>
              </w:rPr>
              <w:t>(2)</w:t>
            </w:r>
          </w:p>
        </w:tc>
        <w:tc>
          <w:tcPr>
            <w:tcW w:w="41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42.2 %</w:t>
            </w:r>
          </w:p>
        </w:tc>
        <w:tc>
          <w:tcPr>
            <w:tcW w:w="19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43.2 %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52.1 %</w:t>
            </w:r>
          </w:p>
        </w:tc>
      </w:tr>
      <w:tr>
        <w:trPr>
          <w:trHeight w:val="20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IVF multiples rate</w:t>
            </w:r>
            <w:r>
              <w:rPr>
                <w:rFonts w:ascii="Times New Roman" w:cs="Times New Roman" w:eastAsia="Times New Roman" w:hAnsi="Times New Roman"/>
                <w:sz w:val="6"/>
                <w:szCs w:val="6"/>
                <w:color w:val="auto"/>
              </w:rPr>
              <w:t>(2)</w:t>
            </w:r>
          </w:p>
        </w:tc>
        <w:tc>
          <w:tcPr>
            <w:tcW w:w="41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5.8 %</w:t>
            </w:r>
          </w:p>
        </w:tc>
        <w:tc>
          <w:tcPr>
            <w:tcW w:w="19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5.4 %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891"/>
        </w:trPr>
        <w:tc>
          <w:tcPr>
            <w:tcW w:w="3920" w:type="dxa"/>
            <w:vAlign w:val="bottom"/>
          </w:tcPr>
          <w:p>
            <w:pPr>
              <w:spacing w:after="0"/>
              <w:rPr>
                <w:sz w:val="24"/>
                <w:szCs w:val="24"/>
                <w:color w:val="auto"/>
              </w:rPr>
            </w:pPr>
          </w:p>
        </w:tc>
        <w:tc>
          <w:tcPr>
            <w:tcW w:w="4180" w:type="dxa"/>
            <w:vAlign w:val="bottom"/>
          </w:tcPr>
          <w:p>
            <w:pPr>
              <w:jc w:val="right"/>
              <w:ind w:right="2349"/>
              <w:spacing w:after="0"/>
              <w:rPr>
                <w:sz w:val="20"/>
                <w:szCs w:val="20"/>
                <w:color w:val="auto"/>
              </w:rPr>
            </w:pPr>
            <w:r>
              <w:rPr>
                <w:rFonts w:ascii="Times New Roman" w:cs="Times New Roman" w:eastAsia="Times New Roman" w:hAnsi="Times New Roman"/>
                <w:sz w:val="14"/>
                <w:szCs w:val="14"/>
                <w:color w:val="auto"/>
              </w:rPr>
              <w:t>9</w:t>
            </w:r>
          </w:p>
        </w:tc>
        <w:tc>
          <w:tcPr>
            <w:tcW w:w="1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6"/>
        </w:trPr>
        <w:tc>
          <w:tcPr>
            <w:tcW w:w="3920" w:type="dxa"/>
            <w:vAlign w:val="bottom"/>
            <w:tcBorders>
              <w:bottom w:val="single" w:sz="8" w:color="9A9A9A"/>
            </w:tcBorders>
          </w:tcPr>
          <w:p>
            <w:pPr>
              <w:spacing w:after="0"/>
              <w:rPr>
                <w:sz w:val="6"/>
                <w:szCs w:val="6"/>
                <w:color w:val="auto"/>
              </w:rPr>
            </w:pPr>
          </w:p>
        </w:tc>
        <w:tc>
          <w:tcPr>
            <w:tcW w:w="418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0" w:hanging="235"/>
        <w:spacing w:after="0"/>
        <w:tabs>
          <w:tab w:leader="none" w:pos="2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Calculated based on the Society for Assisted Reproductive Technology, or SART, 2021 National Summary Report, finalized in 2024.</w:t>
      </w:r>
    </w:p>
    <w:p>
      <w:pPr>
        <w:spacing w:after="0" w:line="79" w:lineRule="exact"/>
        <w:rPr>
          <w:rFonts w:ascii="Times New Roman" w:cs="Times New Roman" w:eastAsia="Times New Roman" w:hAnsi="Times New Roman"/>
          <w:sz w:val="18"/>
          <w:szCs w:val="18"/>
          <w:color w:val="auto"/>
          <w:vertAlign w:val="superscript"/>
        </w:rPr>
      </w:pPr>
    </w:p>
    <w:p>
      <w:pPr>
        <w:ind w:left="240" w:hanging="235"/>
        <w:spacing w:after="0"/>
        <w:tabs>
          <w:tab w:leader="none" w:pos="2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Calculated based on CDC, 2022 National Summary and Clinic Data Sets, published in 2024.</w:t>
      </w:r>
    </w:p>
    <w:p>
      <w:pPr>
        <w:spacing w:after="0" w:line="90" w:lineRule="exact"/>
        <w:rPr>
          <w:rFonts w:ascii="Times New Roman" w:cs="Times New Roman" w:eastAsia="Times New Roman" w:hAnsi="Times New Roman"/>
          <w:sz w:val="18"/>
          <w:szCs w:val="18"/>
          <w:color w:val="auto"/>
          <w:vertAlign w:val="superscript"/>
        </w:rPr>
      </w:pPr>
    </w:p>
    <w:p>
      <w:pPr>
        <w:ind w:left="240" w:hanging="235"/>
        <w:spacing w:after="0"/>
        <w:tabs>
          <w:tab w:leader="none" w:pos="2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Calculated based on the 12-month period ended December 31, 2023.</w:t>
      </w:r>
    </w:p>
    <w:p>
      <w:pPr>
        <w:spacing w:after="0" w:line="132" w:lineRule="exact"/>
        <w:rPr>
          <w:rFonts w:ascii="Times New Roman" w:cs="Times New Roman" w:eastAsia="Times New Roman" w:hAnsi="Times New Roman"/>
          <w:sz w:val="18"/>
          <w:szCs w:val="18"/>
          <w:color w:val="auto"/>
          <w:vertAlign w:val="superscript"/>
        </w:rPr>
      </w:pPr>
    </w:p>
    <w:p>
      <w:pPr>
        <w:ind w:left="760" w:hanging="246"/>
        <w:spacing w:after="0" w:line="232" w:lineRule="auto"/>
        <w:tabs>
          <w:tab w:leader="none" w:pos="756" w:val="left"/>
        </w:tabs>
        <w:numPr>
          <w:ilvl w:val="1"/>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4"/>
          <w:szCs w:val="14"/>
          <w:i w:val="1"/>
          <w:iCs w:val="1"/>
          <w:color w:val="auto"/>
        </w:rPr>
        <w:t xml:space="preserve">Comprehensive Coverage. </w:t>
      </w:r>
      <w:r>
        <w:rPr>
          <w:rFonts w:ascii="Times New Roman" w:cs="Times New Roman" w:eastAsia="Times New Roman" w:hAnsi="Times New Roman"/>
          <w:sz w:val="14"/>
          <w:szCs w:val="14"/>
          <w:color w:val="auto"/>
        </w:rPr>
        <w:t>We provide all individuals with access to comprehensive coverage. Our Smart Cycle design ensures that members always have coverage for a full treatment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cycle as their access to treatment is not limited by a dollar maximum that could be exhausted mid-treatment.</w:t>
      </w:r>
    </w:p>
    <w:p>
      <w:pPr>
        <w:spacing w:after="0" w:line="144" w:lineRule="exact"/>
        <w:rPr>
          <w:rFonts w:ascii="Times New Roman" w:cs="Times New Roman" w:eastAsia="Times New Roman" w:hAnsi="Times New Roman"/>
          <w:sz w:val="17"/>
          <w:szCs w:val="17"/>
          <w:b w:val="1"/>
          <w:bCs w:val="1"/>
          <w:i w:val="1"/>
          <w:iCs w:val="1"/>
          <w:color w:val="auto"/>
        </w:rPr>
      </w:pPr>
    </w:p>
    <w:p>
      <w:pPr>
        <w:ind w:left="760" w:hanging="246"/>
        <w:spacing w:after="0"/>
        <w:tabs>
          <w:tab w:leader="none" w:pos="760" w:val="left"/>
        </w:tabs>
        <w:numPr>
          <w:ilvl w:val="1"/>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Access for All Employees and Dependents. </w:t>
      </w:r>
      <w:r>
        <w:rPr>
          <w:rFonts w:ascii="Times New Roman" w:cs="Times New Roman" w:eastAsia="Times New Roman" w:hAnsi="Times New Roman"/>
          <w:sz w:val="14"/>
          <w:szCs w:val="14"/>
          <w:color w:val="auto"/>
        </w:rPr>
        <w:t>Our solutions are available to be utilized across all employee groups, including populations not typically covered.</w:t>
      </w:r>
    </w:p>
    <w:p>
      <w:pPr>
        <w:spacing w:after="0" w:line="164" w:lineRule="exact"/>
        <w:rPr>
          <w:rFonts w:ascii="Times New Roman" w:cs="Times New Roman" w:eastAsia="Times New Roman" w:hAnsi="Times New Roman"/>
          <w:sz w:val="17"/>
          <w:szCs w:val="17"/>
          <w:b w:val="1"/>
          <w:bCs w:val="1"/>
          <w:color w:val="auto"/>
        </w:rPr>
      </w:pPr>
    </w:p>
    <w:p>
      <w:pPr>
        <w:ind w:left="760" w:hanging="246"/>
        <w:spacing w:after="0" w:line="225" w:lineRule="auto"/>
        <w:tabs>
          <w:tab w:leader="none" w:pos="756" w:val="left"/>
        </w:tabs>
        <w:numPr>
          <w:ilvl w:val="1"/>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Equitable Access to Care. </w:t>
      </w:r>
      <w:r>
        <w:rPr>
          <w:rFonts w:ascii="Times New Roman" w:cs="Times New Roman" w:eastAsia="Times New Roman" w:hAnsi="Times New Roman"/>
          <w:sz w:val="14"/>
          <w:szCs w:val="14"/>
          <w:color w:val="auto"/>
        </w:rPr>
        <w:t>Our benefit plan design ensures members receive fair and balanced access to care that is not dependent on where members live, how expensive a provider is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specific treatments are required.</w:t>
      </w:r>
    </w:p>
    <w:p>
      <w:pPr>
        <w:spacing w:after="0" w:line="153" w:lineRule="exact"/>
        <w:rPr>
          <w:rFonts w:ascii="Times New Roman" w:cs="Times New Roman" w:eastAsia="Times New Roman" w:hAnsi="Times New Roman"/>
          <w:sz w:val="17"/>
          <w:szCs w:val="17"/>
          <w:b w:val="1"/>
          <w:bCs w:val="1"/>
          <w:color w:val="auto"/>
        </w:rPr>
      </w:pPr>
    </w:p>
    <w:p>
      <w:pPr>
        <w:ind w:left="760" w:hanging="246"/>
        <w:spacing w:after="0" w:line="232" w:lineRule="auto"/>
        <w:tabs>
          <w:tab w:leader="none" w:pos="756" w:val="left"/>
        </w:tabs>
        <w:numPr>
          <w:ilvl w:val="1"/>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High-Touch Concierge Member Experience. </w:t>
      </w:r>
      <w:r>
        <w:rPr>
          <w:rFonts w:ascii="Times New Roman" w:cs="Times New Roman" w:eastAsia="Times New Roman" w:hAnsi="Times New Roman"/>
          <w:sz w:val="14"/>
          <w:szCs w:val="14"/>
          <w:color w:val="auto"/>
        </w:rPr>
        <w:t>We provide our members with high-touch, end-to-end concierge support, including logistical assistance, clinical guidance and emotional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support through our PCAs and our in-house clinical staff.</w:t>
      </w:r>
    </w:p>
    <w:p>
      <w:pPr>
        <w:spacing w:after="0" w:line="144" w:lineRule="exact"/>
        <w:rPr>
          <w:rFonts w:ascii="Times New Roman" w:cs="Times New Roman" w:eastAsia="Times New Roman" w:hAnsi="Times New Roman"/>
          <w:sz w:val="17"/>
          <w:szCs w:val="17"/>
          <w:b w:val="1"/>
          <w:bCs w:val="1"/>
          <w:color w:val="auto"/>
        </w:rPr>
      </w:pPr>
    </w:p>
    <w:p>
      <w:pPr>
        <w:ind w:left="760" w:hanging="246"/>
        <w:spacing w:after="0"/>
        <w:tabs>
          <w:tab w:leader="none" w:pos="760" w:val="left"/>
        </w:tabs>
        <w:numPr>
          <w:ilvl w:val="1"/>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Access to Selective, Premier Fertility Specialist Network. </w:t>
      </w:r>
      <w:r>
        <w:rPr>
          <w:rFonts w:ascii="Times New Roman" w:cs="Times New Roman" w:eastAsia="Times New Roman" w:hAnsi="Times New Roman"/>
          <w:sz w:val="14"/>
          <w:szCs w:val="14"/>
          <w:color w:val="auto"/>
        </w:rPr>
        <w:t>Our solution provides members with access to the nation’s leading fertility specialists.</w:t>
      </w:r>
    </w:p>
    <w:p>
      <w:pPr>
        <w:spacing w:after="0" w:line="164" w:lineRule="exact"/>
        <w:rPr>
          <w:rFonts w:ascii="Times New Roman" w:cs="Times New Roman" w:eastAsia="Times New Roman" w:hAnsi="Times New Roman"/>
          <w:sz w:val="17"/>
          <w:szCs w:val="17"/>
          <w:b w:val="1"/>
          <w:bCs w:val="1"/>
          <w:color w:val="auto"/>
        </w:rPr>
      </w:pPr>
    </w:p>
    <w:p>
      <w:pPr>
        <w:ind w:left="760" w:hanging="246"/>
        <w:spacing w:after="0" w:line="232" w:lineRule="auto"/>
        <w:tabs>
          <w:tab w:leader="none" w:pos="756" w:val="left"/>
        </w:tabs>
        <w:numPr>
          <w:ilvl w:val="1"/>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Integrated Pharmacy Benefits Solution. </w:t>
      </w:r>
      <w:r>
        <w:rPr>
          <w:rFonts w:ascii="Times New Roman" w:cs="Times New Roman" w:eastAsia="Times New Roman" w:hAnsi="Times New Roman"/>
          <w:sz w:val="14"/>
          <w:szCs w:val="14"/>
          <w:color w:val="auto"/>
        </w:rPr>
        <w:t>Progyny Rx provides members with a simplified authorization process, timely medication delivery and member support from pharmacy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clinicians seven days a week.</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Provide Meaningful Value to Our Providers and Specialists</w:t>
      </w:r>
    </w:p>
    <w:p>
      <w:pPr>
        <w:spacing w:after="0" w:line="189" w:lineRule="exact"/>
        <w:rPr>
          <w:sz w:val="20"/>
          <w:szCs w:val="20"/>
          <w:color w:val="auto"/>
        </w:rPr>
      </w:pPr>
    </w:p>
    <w:p>
      <w:pPr>
        <w:ind w:left="760" w:hanging="246"/>
        <w:spacing w:after="0" w:line="232" w:lineRule="auto"/>
        <w:tabs>
          <w:tab w:leader="none" w:pos="75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i w:val="1"/>
          <w:iCs w:val="1"/>
          <w:color w:val="auto"/>
        </w:rPr>
        <w:t xml:space="preserve">Members Supported with a Comprehensive Benefit. </w:t>
      </w:r>
      <w:r>
        <w:rPr>
          <w:rFonts w:ascii="Times New Roman" w:cs="Times New Roman" w:eastAsia="Times New Roman" w:hAnsi="Times New Roman"/>
          <w:sz w:val="14"/>
          <w:szCs w:val="14"/>
          <w:color w:val="auto"/>
        </w:rPr>
        <w:t>Our solutions provide our members with access to a comprehensive benefit and the flexibility to utilize the latest approved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technologies and best practices. Members are supported by PCAs throughout their journeys.</w:t>
      </w:r>
    </w:p>
    <w:p>
      <w:pPr>
        <w:spacing w:after="0" w:line="185" w:lineRule="exact"/>
        <w:rPr>
          <w:rFonts w:ascii="Times New Roman" w:cs="Times New Roman" w:eastAsia="Times New Roman" w:hAnsi="Times New Roman"/>
          <w:sz w:val="17"/>
          <w:szCs w:val="17"/>
          <w:color w:val="auto"/>
        </w:rPr>
      </w:pPr>
    </w:p>
    <w:p>
      <w:pPr>
        <w:jc w:val="both"/>
        <w:ind w:left="760" w:hanging="246"/>
        <w:spacing w:after="0" w:line="226" w:lineRule="auto"/>
        <w:tabs>
          <w:tab w:leader="none" w:pos="756"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Superior Clinical Outcomes. </w:t>
      </w:r>
      <w:r>
        <w:rPr>
          <w:rFonts w:ascii="Times New Roman" w:cs="Times New Roman" w:eastAsia="Times New Roman" w:hAnsi="Times New Roman"/>
          <w:sz w:val="14"/>
          <w:szCs w:val="14"/>
          <w:color w:val="auto"/>
        </w:rPr>
        <w:t>Outcomes for Progyny members across our fertility specialist network are superior to the average outcomes that the same provider clinics report to the CDC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all of their patients. Specifically, as shown in the table above, the in-network average live birth rate per attempted retrieval for Progyny members is 46.7%, as compared to the 36.8% average live birth rate per attempted retrieval for all patients at those same clinics. This results in the typical Progyny member undergoing 2.1 retrievals for a live birth as compared to the national average of 3.6 retrievals. This difference of more than one retrieval represents substantial cost avoidance for our clients, as well as significantly less physical and emotional stress on the member.</w:t>
      </w:r>
    </w:p>
    <w:p>
      <w:pPr>
        <w:spacing w:after="0" w:line="153" w:lineRule="exact"/>
        <w:rPr>
          <w:rFonts w:ascii="Times New Roman" w:cs="Times New Roman" w:eastAsia="Times New Roman" w:hAnsi="Times New Roman"/>
          <w:sz w:val="17"/>
          <w:szCs w:val="17"/>
          <w:b w:val="1"/>
          <w:bCs w:val="1"/>
          <w:color w:val="auto"/>
        </w:rPr>
      </w:pPr>
    </w:p>
    <w:p>
      <w:pPr>
        <w:ind w:left="760" w:hanging="246"/>
        <w:spacing w:after="0" w:line="232" w:lineRule="auto"/>
        <w:tabs>
          <w:tab w:leader="none" w:pos="756"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Eliminating Financial Risk Associated with Collections. </w:t>
      </w:r>
      <w:r>
        <w:rPr>
          <w:rFonts w:ascii="Times New Roman" w:cs="Times New Roman" w:eastAsia="Times New Roman" w:hAnsi="Times New Roman"/>
          <w:sz w:val="14"/>
          <w:szCs w:val="14"/>
          <w:color w:val="auto"/>
        </w:rPr>
        <w:t>We assume full responsibility for the collection of all members’ deductibles and coinsurance, thereby eliminating the burden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 of collection (and bad debt expense) for member payments that our provider clinics otherwise would experience.</w:t>
      </w:r>
    </w:p>
    <w:p>
      <w:pPr>
        <w:spacing w:after="0" w:line="144" w:lineRule="exact"/>
        <w:rPr>
          <w:rFonts w:ascii="Times New Roman" w:cs="Times New Roman" w:eastAsia="Times New Roman" w:hAnsi="Times New Roman"/>
          <w:sz w:val="17"/>
          <w:szCs w:val="17"/>
          <w:b w:val="1"/>
          <w:bCs w:val="1"/>
          <w:color w:val="auto"/>
        </w:rPr>
      </w:pPr>
    </w:p>
    <w:p>
      <w:pPr>
        <w:ind w:left="760" w:hanging="246"/>
        <w:spacing w:after="0"/>
        <w:tabs>
          <w:tab w:leader="none" w:pos="76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Data Sharing and Reporting. </w:t>
      </w:r>
      <w:r>
        <w:rPr>
          <w:rFonts w:ascii="Times New Roman" w:cs="Times New Roman" w:eastAsia="Times New Roman" w:hAnsi="Times New Roman"/>
          <w:sz w:val="14"/>
          <w:szCs w:val="14"/>
          <w:color w:val="auto"/>
        </w:rPr>
        <w:t>We produce clinic scorecards quarterly with key performance indicators that allow fertility specialists to compare their results with peer averages.</w:t>
      </w:r>
    </w:p>
    <w:p>
      <w:pPr>
        <w:spacing w:after="0" w:line="153" w:lineRule="exact"/>
        <w:rPr>
          <w:rFonts w:ascii="Times New Roman" w:cs="Times New Roman" w:eastAsia="Times New Roman" w:hAnsi="Times New Roman"/>
          <w:sz w:val="17"/>
          <w:szCs w:val="17"/>
          <w:b w:val="1"/>
          <w:bCs w:val="1"/>
          <w:color w:val="auto"/>
        </w:rPr>
      </w:pPr>
    </w:p>
    <w:p>
      <w:pPr>
        <w:ind w:left="760" w:hanging="246"/>
        <w:spacing w:after="0" w:line="232" w:lineRule="auto"/>
        <w:tabs>
          <w:tab w:leader="none" w:pos="756"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i w:val="1"/>
          <w:iCs w:val="1"/>
          <w:color w:val="auto"/>
        </w:rPr>
        <w:t xml:space="preserve">Higher Volumes and Improved Financial Performance. </w:t>
      </w:r>
      <w:r>
        <w:rPr>
          <w:rFonts w:ascii="Times New Roman" w:cs="Times New Roman" w:eastAsia="Times New Roman" w:hAnsi="Times New Roman"/>
          <w:sz w:val="14"/>
          <w:szCs w:val="14"/>
          <w:color w:val="auto"/>
        </w:rPr>
        <w:t>Fertility specialists in our network often experience an increase in patient volume, and because of our comprehensive benefits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 an increase in the number of patients who progress from consultation to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Growth Strategy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Expand Our Client Base</w:t>
      </w:r>
    </w:p>
    <w:p>
      <w:pPr>
        <w:spacing w:after="0" w:line="18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We intend to continue expanding our client base of self-insured employers in the United States by leveraging our experienced sales team and strong relationships with benefits consultants. As we have grown, we have meaningfully diversified our client base across an array of different industries. We believe that our employer clients are thought leaders in their respective industries and are creating a network effect that is helping to drive more widespread adoption of women’s health and family building benefits in their specific industries. We are expanding our client base within each industry that we serve, and have developed industry-specific strategies, which enable us to most effectively target our addressable market. Additionally, we believe that our expanding presence has resulted in a heightened awareness of women’s health and family building benefits and has informed the market of the value we provide to our employer clients and our members, which we believe also helps facilitate growth.</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Capitalize on Embedded Growth Potential within Our Existing Client Base</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Because of how our revenue model is structured, we believe we are positioned to realize organic revenue growth as our clients and their respective employee bases grow and utilize more of our services as a result. A meaningful portion of our clients have grown, and we believe many of them will continue to grow. In addition, we have historically realized similar utilization trends of fertility services for new members compared with existing members on a same client basis. We believe the combination of these factors results in meaningful and sustainable embedded growth potential well into the future.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Expansion of Progyny Benefits Solutions within Our Existing Client Base</w:t>
      </w:r>
    </w:p>
    <w:p>
      <w:pPr>
        <w:spacing w:after="0" w:line="17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We expect to see further growth from existing clients that add incremental services to their fertility benefits program. For example, a client can expand the fertility benefits they offer to their employees by increasing the number of Smart Cycles they contract for, and they can expand the solutions they offer by adding our new solutions in pregnancy and postpartum, menopause and midlife, benefit and leave navigation and parent and child wellbeing. More than 2.7 million members will have access to one or more of our newer solutions. In addition, our fertility benefits solution clients can purchase our add-on Progyny Rx solution. Currently, 92% of our clients under contract are utilizing our Progyny Rx solution, including 97% of the clients we signed in fiscal year 2025. We believe our sales and marketing capabilities play an important role in informing and educating clients about the additional value and impact we can provide to them and their members by enhancing their benefits program.</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New Services and Addressable Markets to Enhance the Depth and Breadth of Our Comprehensive Offerings</w:t>
      </w:r>
    </w:p>
    <w:p>
      <w:pPr>
        <w:spacing w:after="0" w:line="17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As we continue to grow and expand our client base, we continually evaluate the latest evolving trends to identify ways we can better serve the needs of existing and potential clients and their employees. We believe we are uniquely positioned to do this for several reasons. We believe the combination of our Medical Advisory Board and our selective network of high-quality fertility specialists, as well as the data we collect and analyze, provides us with differentiated insights into fertility care delivery and support. In addition, we believe we have positive and collaborative relationships with our clients that offer us additional insights into their needs. We believe the combination of these factors, coupled with our demonstrated track record of adding more services to our benefits design, highlights that we are well positioned to continue to do so in the future. To date, we have identified several ways we believe we can expand our comprehensive benefit offerings, our addressable market, and our client base in the future, including through acquisitions and the addition of new solutions, such as pregnancy and postpartum, menopause and midlife, benefit and leave navigation, and parent and child wellbeing. In addition, as part of our growth strategy, we anticipate expanding our addressable market to include large group fully insured employers. We will continue to evaluate opportunities as our platform continues to expand.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Clients</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currently have contracts to serve over 590 employers in the United States across more than 40 industries, including technology, consumer retail, e-commerce, industrial, healthcare, media, insurance, legal, food and beverage, financial services, life sciences, professional services, government services, union, energy, manufacturing, logistics, transportation, aerospace, real estate, nonprofit and hospitality sectors. Our current clients, who are leaders across both high-growth and mature industries and range in size from at least 1,000 to 300,000 employees, represent approximately 7.2 million lives under contract.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Substantially all of our clients have renewed their benefits management contracts since our fertility benefit offering launched in 2016. The majority of our clients have signed multi-year contracts or contracts that renew automatically on an annual basis.</w:t>
      </w:r>
    </w:p>
    <w:p>
      <w:pPr>
        <w:spacing w:after="0" w:line="13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Given that the majority of our clients contract with us for a January 1</w:t>
      </w:r>
      <w:r>
        <w:rPr>
          <w:rFonts w:ascii="Times New Roman" w:cs="Times New Roman" w:eastAsia="Times New Roman" w:hAnsi="Times New Roman"/>
          <w:sz w:val="7"/>
          <w:szCs w:val="7"/>
          <w:color w:val="auto"/>
        </w:rPr>
        <w:t>st</w:t>
      </w:r>
      <w:r>
        <w:rPr>
          <w:rFonts w:ascii="Times New Roman" w:cs="Times New Roman" w:eastAsia="Times New Roman" w:hAnsi="Times New Roman"/>
          <w:sz w:val="14"/>
          <w:szCs w:val="14"/>
          <w:color w:val="auto"/>
        </w:rPr>
        <w:t xml:space="preserve"> benefits plan start date, our sales cycle follows the conventional healthcare benefits cycle, which largely concludes by the end of October of the prior year to allow for benefits education and annual open enrollment to occur. In the 2025 sales cycle, substantially all of our new clients with benefits going live in 2026 opted for comprehensive coverage, electing Progyny Rx, multiple Smart Cycles and/or egg-freezing.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Landscape</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believe we are the leader in the market for employer-sponsored women’s health and family building solutions. We believe we compete favorably based on the following factors: the value and comprehensiveness of our benefit solutions and superior outcomes for members; benefits plan design; access for all employees and their covered dependents; equitable access to care across geographic areas; treatment plans that maximize effectiveness and achieve desired outcomes; member experience, including unlimited dedicated patient education, clinical guidance and emotional support; access to a network of high-quality providers and specialists; data reporting and sharing; and access to an integrated pharmacy solution.</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While we do not believe any single competitor offers a similarly robust, integrated fertility and family building benefits solution, there are alternative solutions in the market such as the health insurance companies who are able to provide fertility benefits management services as part of their overall administration of a company’s health plan and who are our primary competitors. In addition, other competitors include specialty fertility-focused solutions owned or sponsored by health insurance companies to provide more comprehensive support to fertility patients than their general medical coverage provides, such as case management or educational support, and venture capital or private equity-backed companies who focus on maternity and reproductive health services more broadly, or who provide fertility-specific benefits solutions.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7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We sell our solutions through our sales organization and, in many cases, we leverage our relationships with top benefits consultants, channel partners and health plan partners to establish relationships with potential clients. Our sales team has broad experience in health benefits management and extensive long-term relationships with industry participants and benefits executives at large employers. Our sales team is organized principally by geography and account size and is responsible for identifying potential clients and managing the overall sales process. The success and effectiveness of our sales team is evidenced by the addition of over 70 new clients in 2025, and the fact that a majority of our current clients terminated their prior fertility benefit to switch to Progyny.</w:t>
      </w:r>
    </w:p>
    <w:p>
      <w:pPr>
        <w:spacing w:after="0" w:line="30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generate client leads, accelerate sales opportunities and build brand awareness through our marketing programs. Our marketing programs target human resource, benefits and finance executives in addition to healthcare professionals and senior business leaders. Our principal marketing programs include learning opportunities for potential members, demand generation, field marketing events, integrated marketing campaigns (including direct email and online advertising) and participation in industry events, trade shows and conferences. We also benefit from strong referrals as several of our prominent clients have publicly endorsed Progyny and discussed the value they and their members receive.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8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The healthcare industry is subject to significant and evolving federal and state regulation and judicial interpretation. We are regulated, directly or indirectly through our client relationships, by various federal agencies, including, but not limited to, the Department of Health and Human Services, or HHS, the Department of Labor, or DOL, and the Federal Trade Commission, or FTC, as well as by various state governments and agencies. Although many regulatory and governmental requirements do not directly apply to us or our business, our clients may be directly subject to such regulations and requirements, and, in turn, we may be required to comply as a result of our contractual obligations with our clients. We have structured our operations to comply with all laws, regulations and other requirements applicable to us directly and to our clients, members, fertility specialists and specialty pharmacies. However, it is uncertain how our operations may be impacted by changing political, legislative, and regulatory landscapes and priorities, as well as other factors impacting the healthcare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Licensing Requirements</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Many states have licensure or registration requirements for entities acting as a third-party administrator, or TPA, or pharmacy benefit manager, or PBM. Given the nature and scope of the solutions and services that we provide, we are required to maintain TPA and/or PBM licenses and registrations in certain jurisdictions and to ensure that such licenses and registrations are in good standing on an annual basis. These licenses require us to comply with the rules and regulations of the governmental bodies that issued such licenses, including maintaining certain solvency or bond requirements. In addition, certain states impose licensing requirements on entities that provide utilization review services. We are licensed, are exempt from licensure or registration, or believe that we are otherwise authorized in the states where we provide utilization review services.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ERISA Regulation</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The Employee Retirement Income Security Act of 1974, or ERISA, regulates certain aspects of employee health plans, including both insured and self-funded health plans sponsored by our clients, with whom we have agreements to provide TPA services and, in most cases, PBM services through Progyny Rx. In our capacity as a TPA and/or PBM for our clients, we may be subject to certain provisions of ERISA.</w:t>
      </w:r>
    </w:p>
    <w:p>
      <w:pPr>
        <w:spacing w:after="0" w:line="157"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Under ERISA, health plan fiduciaries are subject to certain fiduciary obligations. However, we believe that the conduct of our business vis-à-vis our clients’ plans is not of a fiduciary nature, and, therefore, we are not subject in general to the fiduciary obligations imposed by ERISA with respect to such plans. In addition, ERISA plans are subject to certain rules, published by the DOL, including reporting requirements for direct and indirect compensation received by health plan service providers. ERISA's prohibitions on certain forms of remuneration made to, or received by, health plan service providers or other persons are broadly written, and their application to particular cases is uncertain.</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Although ERISA has historically been interpreted to have a broad preemptive effect with respect to certain state laws that “relate” to benefit plans, it does not preempt all state laws imposing transparency or other requirements on PBMs. If the interpretation of ERISA preemption is further narrowed in the future, our contractual obligations with our self-insured clients would likely require us to comply more broadly with state laws applicable to health insurance that do not currently apply to us.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PBM Regulation</w:t>
      </w:r>
    </w:p>
    <w:p>
      <w:pPr>
        <w:spacing w:after="0" w:line="19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Recently, there have been a number of reform efforts focused on PBM regulation, program pricing, and transparency, from both federal and state legislatures and agencies, including, but not limited to, the disclosure, receipt and retention of rebates and other payments received from pharmaceutical manufacturers or pharmacy program partners, rules governing contractual provisions between PBMs and their contracted payers and/or pharmacies, registration or licensing of PBMs, transparency reporting requirements, and audits of PBM operations.</w:t>
      </w:r>
    </w:p>
    <w:p>
      <w:pPr>
        <w:spacing w:after="0" w:line="15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In addition, certain quasi-regulatory organizations, including the National Association of Boards of Pharmacy and the National Association of Insurance Commissioners, have issued model regulations or may propose future model regulations related to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HIPAA Privacy and Security Requirements</w:t>
      </w:r>
    </w:p>
    <w:p>
      <w:pPr>
        <w:spacing w:after="0" w:line="191"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Regulations promulgated pursuant to the Health Insurance Portability and Accountability Act of 1996, as amended, or HIPAA, establish privacy and security standards that limit the use and disclosure of certain individually identifiable health information (known as “protected health information”), including reproductive health information, and require the implementation of administrative, physical and technical safeguards to protect the privacy of protected health information and ensure the confidentiality, integrity and availability of electronic protected health information. The privacy regulations established under HIPAA provide individuals with rights related to understanding and controlling how their protected health information is used and disclosed. As a provider of services to entities subject to HIPAA, we are directly subject to certain provisions of HIPAA in our capacity as a “Business Associate.” When acting as a Business Associate under HIPAA, to the extent permitted by applicable privacy regulations and contractual arrangements with our clients, we are permitted to use and disclose protected health information to perform our services and for other limited purposes, but other uses and disclosures, such as marketing communications, require written authorization from the member or must meet an exception specified under HIPAA. We also have downstream Business Associates that perform services for us and are also subject to HIPAA.</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Data Privacy and Cybersecurity Requirements</w:t>
      </w:r>
    </w:p>
    <w:p>
      <w:pPr>
        <w:spacing w:after="0" w:line="19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In addition to HIPAA, numerous other federal and state laws, rules, regulations and standards govern the collection, dissemination, use, handling, transfer, processing,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data privacy or cybersecurity breaches, as well as fines. State laws are contributing to increased enforcement activity and may also be subject to interpretation by various courts and other governmental authorities. Further, the California Consumer Privacy Act, as amended by the California Privacy Rights Act (collectively, CCPA), gives California residents certain rights to access and delete their personal information, opt out of certain personal information sharing, including certain sensitive personal information, and receive detailed information about how their personal information is used. The CCPA provides for civil penalties for violations, as well as a private right of action for data breaches, which has increased the likelihood and risks associated with data breach litigation.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more challenging and could lead to additional liability risks.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Consumer Protection Laws</w:t>
      </w:r>
    </w:p>
    <w:p>
      <w:pPr>
        <w:spacing w:after="0" w:line="19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Federal and state consumer protection laws are being applied increasingly by the FTC, Federal Communications Commission, or FCC, and state attorneys general to regulate the collection, use, handling, transfer, storage, processing and disclosure of personal or health information, through websites or otherwise, and to regulate the presentation of website content. Consumer protection laws require us to publish statements to users of our services that describe how we handle personal information and choices consumers may have about the way we handle personal information.</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State Corporate Practice and Fee-Splitting Prohibitions</w:t>
      </w:r>
    </w:p>
    <w:p>
      <w:pPr>
        <w:spacing w:after="0" w:line="19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These laws generally prohibit non-physician entities from practicing medicine, exercising control over physicians or engaging in certain practices such as fee-splitting with physicians. We have structured our operations and contracts with our providers to comply with these laws. However,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As of December 31, 2025, we had a number of registered trademarks, including Progyny (and design), Smart Cycle and UnPack It, none of which are subject to any known rights of any third parties, including any impairments, assignments or pledges. Other than these registered trademarks, we do not believe our business is dependent to a material degree on trademarks, patents, copyrights or trade secrets.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70"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4"/>
          <w:szCs w:val="14"/>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For additional information, see Part I, Item 1A. “Risk Factors—Risks Related to Our Business and Industry—Our business experiences seasonality, which may cause fluctuations in our sales and results of operations”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w:t>
      </w:r>
    </w:p>
    <w:p>
      <w:pPr>
        <w:spacing w:after="0" w:line="17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we had 856 employees, of which 835 were full-time. Our employees are our most important asset, and our culture is key to our success. We are united around our mission and committed to our shared values of curiosity, respect, excellence, accountability, tenacity, and empathy.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people strategy is primarily focused on culture and engagement, competitive compensation and development, and community outreach and support.</w:t>
      </w:r>
    </w:p>
    <w:p>
      <w:pPr>
        <w:spacing w:after="0" w:line="187" w:lineRule="exact"/>
        <w:rPr>
          <w:sz w:val="20"/>
          <w:szCs w:val="20"/>
          <w:color w:val="auto"/>
        </w:rPr>
      </w:pPr>
    </w:p>
    <w:p>
      <w:pPr>
        <w:jc w:val="both"/>
        <w:ind w:left="760" w:hanging="182"/>
        <w:spacing w:after="0" w:line="247" w:lineRule="auto"/>
        <w:tabs>
          <w:tab w:leader="none" w:pos="741" w:val="left"/>
        </w:tabs>
        <w:numPr>
          <w:ilvl w:val="0"/>
          <w:numId w:val="9"/>
        </w:numPr>
        <w:rPr>
          <w:rFonts w:ascii="Arial" w:cs="Arial" w:eastAsia="Arial" w:hAnsi="Arial"/>
          <w:sz w:val="13"/>
          <w:szCs w:val="13"/>
          <w:color w:val="auto"/>
        </w:rPr>
      </w:pPr>
      <w:r>
        <w:rPr>
          <w:rFonts w:ascii="Times New Roman" w:cs="Times New Roman" w:eastAsia="Times New Roman" w:hAnsi="Times New Roman"/>
          <w:sz w:val="14"/>
          <w:szCs w:val="14"/>
          <w:i w:val="1"/>
          <w:iCs w:val="1"/>
          <w:color w:val="auto"/>
        </w:rPr>
        <w:t xml:space="preserve">Culture and Engagement. </w:t>
      </w:r>
      <w:r>
        <w:rPr>
          <w:rFonts w:ascii="Times New Roman" w:cs="Times New Roman" w:eastAsia="Times New Roman" w:hAnsi="Times New Roman"/>
          <w:sz w:val="14"/>
          <w:szCs w:val="14"/>
          <w:color w:val="auto"/>
        </w:rPr>
        <w:t>We believe that our culture is a key contributor to our ability to execute our strategy, attract and retain talent, and deliver value to our clients and members.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mission-driven focus on improving access to personalized fertility and family building care fosters a shared sense of purpose and accountability among our employees. As we grow, we continue to invest time and resources in creating a culture that emphasizes curiosity, respect, empathy, accountability, and excellence, while maintaining operational discipline and clarity of execution. We regularly measure employee engagement through company-wide engagement surveys, targeted pulse surveys, and ongoing feedback mechanisms. These tools are designed to assess employee sentiment across areas such as communication, collaboration, leadership effectiveness, workload sustainability, recognition, and alignment with our business objectives. Survey participation and results are reviewed by senior leadership and functional leaders to identify strengths, emerging risks, and areas for improvement. Engagement survey results are used to inform the development and refinement of targeted action plans at the enterprise, functional, and team levels. We also leverage manager-level commitments and leadership development efforts to reinforce consistent communication, accountability, and inclusive decision-making practices across the organization. We continue to monitor engagement trends through follow-up pulse surveys, retention metrics, and qualitative feedback to evaluate the effectiveness of these initiatives and to adjust programs and practices as needed. While we believe our culture remains a foundational strength, particularly in connection with our mission and peer collaboration, we recognize that maintaining employee engagement and organizational alignment is increasingly important as we operate in a complex, fast-growing environment.</w:t>
      </w:r>
    </w:p>
    <w:p>
      <w:pPr>
        <w:spacing w:after="0" w:line="161" w:lineRule="exact"/>
        <w:rPr>
          <w:rFonts w:ascii="Arial" w:cs="Arial" w:eastAsia="Arial" w:hAnsi="Arial"/>
          <w:sz w:val="13"/>
          <w:szCs w:val="13"/>
          <w:color w:val="auto"/>
        </w:rPr>
      </w:pPr>
    </w:p>
    <w:p>
      <w:pPr>
        <w:jc w:val="both"/>
        <w:ind w:left="760" w:hanging="182"/>
        <w:spacing w:after="0" w:line="249" w:lineRule="auto"/>
        <w:tabs>
          <w:tab w:leader="none" w:pos="75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Competitive Compensation and Development. </w:t>
      </w:r>
      <w:r>
        <w:rPr>
          <w:rFonts w:ascii="Times New Roman" w:cs="Times New Roman" w:eastAsia="Times New Roman" w:hAnsi="Times New Roman"/>
          <w:sz w:val="14"/>
          <w:szCs w:val="14"/>
          <w:color w:val="auto"/>
        </w:rPr>
        <w:t>We invest in our workforce by offering competitive salaries, attractive incentives and innovative benefits. Our benefits are designed to help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employees and their families stay healthy, meet their financial goals, protect their income and balance their work and personal lives. These benefits include access to mental health services, life and financial planning workshops, wellness initiatives, employee assistance programs, and new parent and return-to-work benefits. We also include Progyny benefits as part of our offerings, allowing our employees to access comprehensive women’s and family health suppor</w:t>
      </w:r>
      <w:r>
        <w:rPr>
          <w:rFonts w:ascii="Times New Roman" w:cs="Times New Roman" w:eastAsia="Times New Roman" w:hAnsi="Times New Roman"/>
          <w:sz w:val="12"/>
          <w:szCs w:val="12"/>
          <w:color w:val="auto"/>
        </w:rPr>
        <w:t>t</w:t>
      </w:r>
      <w:r>
        <w:rPr>
          <w:rFonts w:ascii="Times New Roman" w:cs="Times New Roman" w:eastAsia="Times New Roman" w:hAnsi="Times New Roman"/>
          <w:sz w:val="14"/>
          <w:szCs w:val="14"/>
          <w:color w:val="auto"/>
        </w:rPr>
        <w:t>. We offer paid parental leave for new parents, with an extension of leave for those with an infant in the NICU, as well as a pregnancy loss leave benefit as an enhancement to our bereavement leave policy, explicitly recognizing the physical, emotional, and mental health impact of a pregnancy loss or failed fertility procedure, adoption process or surrogacy arrangement. We also offer additional paid leave to all employees to support other family health and care challenges. In addition, we focus on creating opportunities for employee growth, development and training, including opportunities to cultivate talent and identify internal candidates for new roles at the Company, management and leadership development programs, technical skill building initiatives and mentoring programs.</w:t>
      </w:r>
    </w:p>
    <w:p>
      <w:pPr>
        <w:spacing w:after="0" w:line="159" w:lineRule="exact"/>
        <w:rPr>
          <w:rFonts w:ascii="Times New Roman" w:cs="Times New Roman" w:eastAsia="Times New Roman" w:hAnsi="Times New Roman"/>
          <w:sz w:val="14"/>
          <w:szCs w:val="14"/>
          <w:i w:val="1"/>
          <w:iCs w:val="1"/>
          <w:color w:val="auto"/>
        </w:rPr>
      </w:pPr>
    </w:p>
    <w:p>
      <w:pPr>
        <w:jc w:val="both"/>
        <w:ind w:left="760" w:hanging="182"/>
        <w:spacing w:after="0" w:line="263"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Community Outreach and Support</w:t>
      </w:r>
      <w:r>
        <w:rPr>
          <w:rFonts w:ascii="Times New Roman" w:cs="Times New Roman" w:eastAsia="Times New Roman" w:hAnsi="Times New Roman"/>
          <w:sz w:val="14"/>
          <w:szCs w:val="14"/>
          <w:color w:val="auto"/>
        </w:rPr>
        <w:t>. We believe it is important to give back and promote community outreach and support through corporate giving, charitable matching, and employee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volunteerism in the communities in which we live and work. We allow flexible work hours to accommodate employee volunteer opportunities and attendance at company-sponsored charitable events. We also continue to develop partnerships with community organizations that align with our priorities in women's health and healthcare equity.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1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 xml:space="preserve">We were incorporated in Delaware in 2008 under the name Auxogen Bioscience, Inc. In 2010, we changed our name to Auxogen, Inc. and in 2015 we changed our name to Progyny, Inc. Our principal executive offices are located at 1359 Broadway, New York, New York 10018, and our telephone number is (212) 888-3124. Our website address is </w:t>
      </w:r>
      <w:r>
        <w:rPr>
          <w:rFonts w:ascii="Times New Roman" w:cs="Times New Roman" w:eastAsia="Times New Roman" w:hAnsi="Times New Roman"/>
          <w:sz w:val="14"/>
          <w:szCs w:val="14"/>
          <w:i w:val="1"/>
          <w:iCs w:val="1"/>
          <w:color w:val="auto"/>
        </w:rPr>
        <w:t>www.progyny.com</w:t>
      </w:r>
      <w:r>
        <w:rPr>
          <w:rFonts w:ascii="Times New Roman" w:cs="Times New Roman" w:eastAsia="Times New Roman" w:hAnsi="Times New Roman"/>
          <w:sz w:val="14"/>
          <w:szCs w:val="14"/>
          <w:color w:val="auto"/>
        </w:rPr>
        <w:t>. Information contained on, or that can be accessed through, our website is not incorporated by reference into this Annual Report on Form 10-K.</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 xml:space="preserve">We file electronically with the SEC our annual reports on Form 10-K, quarterly reports on Form 10-Q, current reports on Form 8-K (including amendments to those reports), proxy statements and other information. Our SEC filings are available to the public on the Internet at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We also make available on our website at </w:t>
      </w:r>
      <w:r>
        <w:rPr>
          <w:rFonts w:ascii="Times New Roman" w:cs="Times New Roman" w:eastAsia="Times New Roman" w:hAnsi="Times New Roman"/>
          <w:sz w:val="14"/>
          <w:szCs w:val="14"/>
          <w:i w:val="1"/>
          <w:iCs w:val="1"/>
          <w:color w:val="auto"/>
        </w:rPr>
        <w:t>investors.progyny.com</w:t>
      </w:r>
      <w:r>
        <w:rPr>
          <w:rFonts w:ascii="Times New Roman" w:cs="Times New Roman" w:eastAsia="Times New Roman" w:hAnsi="Times New Roman"/>
          <w:sz w:val="14"/>
          <w:szCs w:val="14"/>
          <w:color w:val="auto"/>
        </w:rPr>
        <w:t>, under “Financials—SEC Filings,” free of charge, copies of these reports as soon as reasonably practicable after filing or furnishing these reports with the SEC. The information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contained on the websites referenced in this Annual Report on Form 10-K is not incorporated by reference into this Annual Report on Form 10-K. Further, our references to website URLs are intended to be inactive textual references only.</w:t>
      </w:r>
    </w:p>
    <w:p>
      <w:pPr>
        <w:spacing w:after="0" w:line="157"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 xml:space="preserve">We announce material information to the public through filings with the SEC, our investor relations website at </w:t>
      </w:r>
      <w:r>
        <w:rPr>
          <w:rFonts w:ascii="Times New Roman" w:cs="Times New Roman" w:eastAsia="Times New Roman" w:hAnsi="Times New Roman"/>
          <w:sz w:val="14"/>
          <w:szCs w:val="14"/>
          <w:i w:val="1"/>
          <w:iCs w:val="1"/>
          <w:color w:val="auto"/>
        </w:rPr>
        <w:t>investors.progyny.com</w:t>
      </w:r>
      <w:r>
        <w:rPr>
          <w:rFonts w:ascii="Times New Roman" w:cs="Times New Roman" w:eastAsia="Times New Roman" w:hAnsi="Times New Roman"/>
          <w:sz w:val="14"/>
          <w:szCs w:val="14"/>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of our website.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carefully consider all of the information contained in this Annual Report on Form 10-K, including the sections titled “Cautionary Note Regarding Forward-Looking Statements,” Part II, Item 7 “Management’s Discussion and Analysis of Financial Condition and Results of Operations” and our consolidated financial statements and the accompanying notes included elsewhere in this Annual Report on Form 10-K. The risks and uncertainties described below are not the only ones we face. Any of the following risks could materially and adversely affect our business, financial condition and results of operations, the actual outcome of matters as to which forward-looking statements are made in this Annual Report on Form 10-K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meet our publicly announced guidance or other expectations about our business and future results of operations, which would cause our stock price to decline.</w:t>
      </w:r>
    </w:p>
    <w:p>
      <w:pPr>
        <w:spacing w:after="0" w:line="18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We have provided, and may continue to provide, guidance about our business and future results of operations. On February 26, 2026, we issued guidance for the first quarter of 2026 and full year 2026. Our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guidance, our management must make certain assumptions and judgments about, among other things, our business strategy, plans, and goals; expectations concerning our market position and future operations; and other financial and operating information, as well as the impact of events beyond our control, such as macroeconomic conditions, shortages of fertility medications or trends in utilization or consumption, that are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consensus due to a number of factors, many of which are outside of our control and which could adversely affect our business and future results of operations. In addition,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in which we operate is highly competitive, and, if we do not continue to compete effectively, our business, financial condition and results of operations could be harmed.</w:t>
      </w:r>
    </w:p>
    <w:p>
      <w:pPr>
        <w:spacing w:after="0" w:line="191"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We operate in a highly competitive market and compete on the basis of several factors, including: the value and comprehensiveness of our solutions and the Smart Cycle (our unique approach to benefits plan design that ensures that members always have coverage for a full treatment cycle as their access to treatment is not limited by a dollar maximum that could be exhausted mid-treatment), superior outcomes, access for all employee groups and covered dependents, equitable access to care across geographic areas, quality of the member experience and comprehensive member support, access to our selective Center of Excellence network of high-quality fertility specialists, data reporting and analysis and access to an integrated pharmacy solution. While we do not believe any single competitor offers similarly robust and integrated fertility and family building benefits solutions, there are alternative solutions in the market offered by health insurance companies, entities owned or sponsored by health insurance companies, and venture capital or private equity-backed companies that focus on maternity and reproductive health services more broadly or that provide fertility-specific benefits solutions.</w:t>
      </w:r>
    </w:p>
    <w:p>
      <w:pPr>
        <w:spacing w:after="0" w:line="172"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As we market our solutions to potential clients that currently utilize other fertility benefits vendors,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develop or integrate solutions and services that may be more efficient or appealing to our existing and potential clients. For example, fertility-focused PBMs could emerge that would compete with Progyny Rx. In addition, we believe one of our key competitive advantages is our purpose-built, data-driven platform. While we do not believe any competitors have developed a similarly robust data collection, sharing and reporting process at this time, current or future competitors may be successful in doing so in the future.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As the market in which we operate matures and more competitors enter the market and introduce differentiated solutions or services that compete with our solutions, our success depends on our ability to: compete effectively in our market, identify and effectively respond to changes in market dynamics and client and member preferences, maintain or increase our market share, and differentiate our offerings by innovating and delivering products and services that provide enhanced value to our clients and members. As we market our solutions to existing and potential clients, we must convince them that our solutions and our model are superior to our competitors. As a result of these and other factors, we may be unable to continue to compete successfully, which would have an adverse effect on our business, financial condition and results of operations.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declining market share, which would harm our business, financial condition and results of operations.</w:t>
      </w:r>
    </w:p>
    <w:p>
      <w:pPr>
        <w:spacing w:after="0" w:line="162"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In addition, many healthcare industry participants are consolidating to create larger and more integrated healthcare delivery systems with greater market power, and we expect regulatory and economic conditions to result in additional consolidation in the healthcare industry. Financial investors are acquiring fertility practices, and this may accelerate consolidation within the fertility industry. Although comprehensive, our solution is a standalone fertility benefit, and clients may prefer a single healthcare solution, which could adversely affect our ability to retain existing clients or grow our client base. We work with partner organizations to market our benefit to potential clients. As consolidation accelerates, the economies of scale of our partner organizations may grow. If a partner experiences sizable growth following consolidation, it may determine that it no longer needs to rely on us and may reduce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also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conditions in the global economy or our industry could limit our ability to grow our business and negatively affect our results of operations.</w:t>
      </w:r>
    </w:p>
    <w:p>
      <w:pPr>
        <w:spacing w:after="0" w:line="191"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tariffs, export controls and other trade barriers, global trade wars or domestic preferences, geopolitical conflict, political turmoil, natural catastrophes, epidemics, pandemics or outbreaks of contagious diseases, warfare and terrorist attacks, could cause a decrease in business investments, including spending on employee benefits, and negatively affect the growth of our business. In addition,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17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Unfavorable changes in our industry, including reductions in general healthcare spending, or in the United States and global economy could have a negative effect on our and our existing clients’ and potential clients’ results of operations. This could result in the delay or cancellation by certain clients, including if adoption of our solutions are perceived by existing clients and potential clients to be discretionary, if they experience a reduction in their employee headcount, whether due to reductions in force or turnover, or are unable to grow employee headcount or there are material defaults by members on past amounts due. An increase in the cost of obtaining fertility medication or general medical cost inflation could also negatively impact our results of operations. In addition, the increased pace of consolidation in the healthcare industry may result in competitors with greater market power, which may adversely affect our ability to retain existing clients and attract new clients.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 on our results of operations. We cannot predict the timing, strength, or duration of any economic slowdown, instability, or recovery, generally or within any particular industry, nor its impact on us or our clients.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The global economy has also been impacted by geopolitical tensions. There is currently significant uncertainty about future trade relationships between the United States and various other countries. Further escalation of specific trade tensions, or more broadly in global trade conflicts, could materially and adversely affect the Company’s business and operations. The U.S. government and other governments may impose tariffs on certain pharmaceutical drugs and their components that may impact pharmaceutical imports into the United States, and we, our customers, suppliers, and our pharmacy program partners may then become subject to additional tariffs and adverse business impacts. If we are not successful in mitigating the impact of tariffs, trade barriers, and other geopolitical disruptions, our business, financial condition and results of operations may be adversely affected.</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3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As part of our growth strategy, we are focused on retaining and expanding our services within our existing client base. Our clients can expand the benefits they offer their employees in a number of ways, including by adding egg freezing, increasing the number of Smart Cycle units, and adding our Progyny Rx solution or any of our other solutions and services. We went live with Progyny Rx in 2018, and 92% of our current clients have now launched this solution, including approximately 97% of the clients we signed in 2025.</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that may affect our ability to retain our existing clients and sell additional solutions to them include, but are not limited to, the following:</w:t>
      </w:r>
    </w:p>
    <w:p>
      <w:pPr>
        <w:spacing w:after="0" w:line="199" w:lineRule="exact"/>
        <w:rPr>
          <w:sz w:val="20"/>
          <w:szCs w:val="20"/>
          <w:color w:val="auto"/>
        </w:rPr>
      </w:pPr>
    </w:p>
    <w:p>
      <w:pPr>
        <w:ind w:left="500" w:hanging="240"/>
        <w:spacing w:after="0"/>
        <w:tabs>
          <w:tab w:leader="none" w:pos="500" w:val="left"/>
        </w:tabs>
        <w:numPr>
          <w:ilvl w:val="0"/>
          <w:numId w:val="10"/>
        </w:numPr>
        <w:rPr>
          <w:rFonts w:ascii="Arial" w:cs="Arial" w:eastAsia="Arial" w:hAnsi="Arial"/>
          <w:sz w:val="17"/>
          <w:szCs w:val="17"/>
          <w:color w:val="auto"/>
        </w:rPr>
      </w:pPr>
      <w:r>
        <w:rPr>
          <w:rFonts w:ascii="Times New Roman" w:cs="Times New Roman" w:eastAsia="Times New Roman" w:hAnsi="Times New Roman"/>
          <w:sz w:val="14"/>
          <w:szCs w:val="14"/>
          <w:color w:val="auto"/>
        </w:rPr>
        <w:t>the price, timeliness and outcomes of our solutions;</w:t>
      </w:r>
    </w:p>
    <w:p>
      <w:pPr>
        <w:spacing w:after="0" w:line="186" w:lineRule="exact"/>
        <w:rPr>
          <w:rFonts w:ascii="Arial" w:cs="Arial" w:eastAsia="Arial" w:hAnsi="Arial"/>
          <w:sz w:val="17"/>
          <w:szCs w:val="17"/>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availability, price, timeliness, outcomes, performance and functionality of competing solutions;</w:t>
      </w:r>
    </w:p>
    <w:p>
      <w:pPr>
        <w:spacing w:after="0" w:line="19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maintain and appropriately expand our Center of Excellence network of high-quality fertility specialists;</w:t>
      </w:r>
    </w:p>
    <w:p>
      <w:pPr>
        <w:spacing w:after="0" w:line="18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continue to offer complementary solutions and services that will enhance our comprehensive fertility and family building offering;</w:t>
      </w:r>
    </w:p>
    <w:p>
      <w:pPr>
        <w:spacing w:after="0" w:line="19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changes in healthcare laws and regulations, the enforcement of such laws and regulations, or healthcare trends;</w:t>
      </w:r>
    </w:p>
    <w:p>
      <w:pPr>
        <w:spacing w:after="0" w:line="197" w:lineRule="exact"/>
        <w:rPr>
          <w:rFonts w:ascii="Times New Roman" w:cs="Times New Roman" w:eastAsia="Times New Roman" w:hAnsi="Times New Roman"/>
          <w:sz w:val="17"/>
          <w:szCs w:val="17"/>
          <w:color w:val="auto"/>
        </w:rPr>
      </w:pPr>
    </w:p>
    <w:p>
      <w:pPr>
        <w:ind w:left="520" w:hanging="260"/>
        <w:spacing w:after="0" w:line="238" w:lineRule="auto"/>
        <w:tabs>
          <w:tab w:leader="none" w:pos="5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global economic conditions, including any material increase in unemployment rates, and the business environment of our clients and, in particular, slowing growth or reduction in our clients’ headcount or spending on employee benefits; and</w:t>
      </w:r>
    </w:p>
    <w:p>
      <w:pPr>
        <w:spacing w:after="0" w:line="18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consolidation of our clients, resulting in a change to their benefits program or a shift to one of our competitors.</w:t>
      </w:r>
    </w:p>
    <w:p>
      <w:pPr>
        <w:spacing w:after="0" w:line="17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4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We currently have contracts to serve over 590 employers with at least 1,000 covered lives in the United States across more than 40 industries. For the year ended December 31, 2025, none of our clients accounted for more than 10% of our total revenue. For the year ended December 31, 2024, one client accounted for 12% of our total revenue (the "Client"). The Client terminated its services agreement effective January 1,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impact our long-term growth.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new clients, our business, financial condition and results of operations would be adversely affected.</w:t>
      </w:r>
    </w:p>
    <w:p>
      <w:pPr>
        <w:spacing w:after="0" w:line="19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To increase our revenue, we must continue to attract new clients. Our ability to do so depends in large part on the success of our sales and marketing efforts and our ability to attract industry leaders in diversified sectors, which could prompt others in the same sectors to follow suit in order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high unemployment rates, reductions in workforce or employee attrition, impacts related to epidemics, pandemics, and outbreaks of contagious diseases, a decrease in business investments, including spending on employee benefits, and other factors. If the market for our solutions declines or grows more slowly than we expect, or if the number of clients that contract with us for our solutions declines or fails to increase as we expect, our financial results could be adversely impacted. As the markets in which we participate mature, fertility solutions and services evolve and competitors begin to enter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6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 significant change in the utilization of our solutions, including the consumption rate or the mix of utilization, could have an adverse effect on our business, financial condition and results of operations.</w:t>
      </w:r>
    </w:p>
    <w:p>
      <w:pPr>
        <w:spacing w:after="0" w:line="154"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We cannot control or predict the consumption rate of our solutions or the mix of utilization of our solutions by our clients, in particular as it relates to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downturns that result in business failures and high unemployment rates; impacts related to public health emergencies; employers no longer offering comprehensive health coverage or offering alternative solutions such as coverage on a voluntary, employee-funded basis; labor shortages at our provider clinics; changes to the taxability of medical benefits; failure to adapt and respond effectively to changes in the medical landscape, laws, regulations and government enforcement priorities, or client and member needs, requirements or preferences; premium increases and benefits changes; or negative publicity.</w:t>
      </w:r>
    </w:p>
    <w:p>
      <w:pPr>
        <w:spacing w:after="0" w:line="17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It is also difficult for us to control or predict the consumption rate or mix of utilization of our solutions at the member level. If the actual utilization of our solutions by members is significantly greater than budgeted, our clients may be responsible for costs that exceed their planned expenditure. If we cannot help our clients accurately predict the rate of consumption by their</w:t>
      </w:r>
    </w:p>
    <w:p>
      <w:pPr>
        <w:spacing w:after="0" w:line="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color w:val="auto"/>
        </w:rPr>
        <w:t>employees, our clients may turn to alternative solutions, and our business and profitability would be adversely impacted. In addition, higher clinical success rates and other factors could also impact timing and treatment paths, which may result in lower revenue per utilizing member.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4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From time to time, we may acquire or invest in businesses, joint ventures, products and services, or technologies that we believe could complement or expand our solutions, enhance our technical capabilities, or otherwise offer growth opportunities. For example, we acquired Apryl GmbH, a Berlin-based fertility benefits platform provider, in June 2024 and Benefit Bump LLC, a company that provides a comprehensive parental leave benefits navigation program for new and growing families, in January 2025. We have also expanded our offerings to include pregnancy and postpartum, menopause and midlife care, benefit and leave navigation and parent and child wellbeing solutions. We expect to make additional investments as we continue to introduce new solutions and services that complement our comprehensive family building offering and as we continue to enhance our technology infrastructure, including systems architecture, scalability, availability, performance and security. Any acquisition or investment may divert the attention of management and cause us to incur expenses in identifying, investigating and pursuing suitable opportunities, whether or not the transactions are completed, and may result in unforeseen operating difficulties and expenditures. In particular, we may encounter difficulties integrating the businesses, technologies, products and services, personnel or operations of any acquired companies, particularly if key personnel of an acquired company choose not to work for us, an acquired company is operationally difficult to integrate, or we have difficulty retaining the clients of any acquired business due to changes in ownership, management or otherwise. Any transactions that we are able to complete may not result in any synergies or other benefits we had expected to achieve, which could result in impairment charges that could be substantial. In addition, certain transactions could also result in dilutive issuances of equity securities or the incurrence of debt, which could adversely affect our results of operations. If the resulting business from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with our current platform of solutions, which makes it difficult to predict our future results of operations.</w:t>
      </w:r>
    </w:p>
    <w:p>
      <w:pPr>
        <w:spacing w:after="0" w:line="19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We went live with our fertility benefits solution in 2016, Progyny Rx in 2018 and more recently with our newer solutions. As a result of our limited operating history with our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and women's health benefits in general, change in utilization trends by our members, general economic slowdown, an increase in unemployment rates, increased competition, changes in healthcare trends and regulations, changes to science relating to the fertility market, a decrease in the growth of the fertility market, or our failure to anticipate and adapt to changing market trends and to take advantage of growth opportunities. If our assumptions regarding these risks and uncertainties and our future revenue growth are incorrect or change, or if we do not address these risks effectively, our operating and financial results could differ materially from our expectations, and our business could suffer.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operating losses and may not sustain profitability in the future.</w:t>
      </w:r>
    </w:p>
    <w:p>
      <w:pPr>
        <w:spacing w:after="0" w:line="17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that we will have sufficient sales to sustain our growth or maintain profitability in the future. We also expect our costs and expenses to increase in future periods, which could negatively affect our future results of operations if our revenue does not increase sufficiently to cover increased costs. In particular, we expect to continue to invest in our sales and client success teams to educate potential clients and drive new client adoption, as well as expand the scope of Progyny benefits within our existing client base. We also expect to incur additional costs as we continue to introduce new solutions and services to enhance our comprehensive women's health and family building offerings and as we continue to invest in enhancing our technology infrastructure, including systems architecture, scalability, availability, performance and security. We will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health benefits industry may be subject to negative publicity, which could adversely affect our business, financial condition and results of operations.</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 health benefits industry may be subject to negative publicity, which can arise from, among other things, increases in premium rates, industry consolidation, cost of care initiatives, and drug prices. In addition, negative publicity may result in increased regulation and legislative review of industry practices, which may further increase our costs of doing business and adversely affect our profitability. For example, PBM reform, increased disclosure requirements or additional review of benefit administrators by HHS’s Office of Inspector General, or OIG,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If our information technology systems, or those of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r>
        <w:rPr>
          <w:rFonts w:ascii="Times New Roman" w:cs="Times New Roman" w:eastAsia="Times New Roman" w:hAnsi="Times New Roman"/>
          <w:sz w:val="14"/>
          <w:szCs w:val="14"/>
          <w:i w:val="1"/>
          <w:iCs w:val="1"/>
          <w:color w:val="auto"/>
        </w:rPr>
        <w:t>.</w:t>
      </w:r>
    </w:p>
    <w:p>
      <w:pPr>
        <w:spacing w:after="0" w:line="15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Our business is increasingly dependent on critical, complex and interdependent information technology systems, including cloud-based systems, to support business processes as well as internal and external communications. Therefore, our success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the third parties with whom we do business, including our provider clinics, specialty pharmacies or other vendors, experience an issue with our or their information technology systems, it may result in a disruption to our operations or downstream disruption to our relationships with our clients or our provider clinics. Additionally, if we choose to in source any of the services currently handled by a third-party vendor, it may result in technological or operational disruptions.</w:t>
      </w:r>
    </w:p>
    <w:p>
      <w:pPr>
        <w:spacing w:after="0" w:line="16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In the current environment, there are numerous and evolving risks to cybersecurity and data privacy, including criminal hackers, hacktivists, denial-of-service attacks, ransomware, state-sponsored intrusions, industrial espionage, employee malfeasance and human or technological errors. High-profile cybersecurity breaches at other companies and government agencies have increased in recent years, and there remains the possibility of targeted cyberattacks by foreign countries or entities that could impact United States government and private companies’ technological infrastructures, some of which we utilize to provide our services. The healthcare industry has experienced a shift towards an increased use of and reliance on digital and technological platforms. As a result of this shift, there have been, and may continue to be, more targeted cyberattacks and threats directed at us, our vendors, provider clinics and specialty pharmacies. Despite the implementation of security measures, including steps designed to secure our technology infrastructure and sensitive data, we cannot provide assurance that our current information technology system or any updates or upgrades thereto or the current or future information technology systems of the third parties with whom we do business, including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cybersecurity breach were to result in a loss or inappropriate disclosure of confidential or proprietary information, we could incur liability. We have access to sensitive information relating to our members, our employees and our business partners in the ordinary course of our business. Any failure or perceived failure by us, or our third-party vendors on our behalf, to comply with U.S. and foreign data privacy and cybersecurity laws, rules and regulations, as well as contractual commitments in this respect, may result in governmental enforcement actions,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clients and have a material adverse effect on us. We maintain cyber liability insurance, however, this insurance may not be sufficient to cover the financial, legal, business or reputational losses that may result from an interruption or breach of our systems, and we cannot be sure that such coverage will continue to be available on commercially reasonable terms or at all. To the extent such disruptions or uncertainties result in the theft, destruction, loss or misappropriation or release of our confidential data or our intellectual property, our business and results of operations could be materially and adversely affected. See “Risks Related to Legal and Regulatory Requirements—We operate in a highly regulated industry and must comply with a significant number of evolving legal and regulatory requirements, as well as complex judicial mandates, which could have an adverse impact on our business—Data Protection and Breaches.”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use of artificial intelligence may subject us to new or heightened legal, regulatory, ethical, operational or other challenges.</w:t>
      </w:r>
    </w:p>
    <w:p>
      <w:pPr>
        <w:spacing w:after="0" w:line="18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4"/>
          <w:szCs w:val="14"/>
          <w:color w:val="auto"/>
        </w:rPr>
        <w:t>We use, and may in the future continue to use, artificial intelligence (“AI”), including generative AI, in connection with our business and operations, including for internal operational and productivity improvement business purposes. There are significant risks involved in utilizing AI, the development and use of which is still in its early stages, and no assurance can be provided that such use will enhance our business or operations or result in our business or operations being more efficient or profitable. AI models and algorithms, and the data, prompts and other material or content on which it relies, as well as the output thereof, could be flawed, insufficient, of poor quality, reflect unwanted forms of bias, or contain other errors or inadequacies, any of which may not be easily detectable. AI has also been known to produce false or “hallucinatory” inferences or outputs, and AI can subject users to new or heightened legal, regulatory, ethical, operational, reputational or other challenges. Inappropriate or controversial data practices by developers and end-users, or other factors adversely affecting public opinion of AI, could impair the acceptance of AI solutions. If the AI solutions that we use are or are perceived to be deficient, inaccurate or controversial, we could suffer operational inefficiencies, competitive harm, legal liability, brand or reputational harm, or other adverse impacts on our business, operations and financial results. The use of AI solutions by companies has also resulted in, and may in the future result in, failures, interruptions and security breaches of their information technology systems and data privacy violations that implicate the personal data or confidential information of users of such AI solutions. If any of our employees, contractors, vendors or service providers use any third-party AI solutions in connection with the services they provide to us, it may lead to the inadvertent disclosure of our confidential information, including personal information of our clients and members, which may impact our ability to secure such information, or adequately protect and enforce our intellectual property rights, harming our competitive position and business. Further, any content created by us using generative AI may not be subject to copyright protection which may adversely affect our intellectual property rights in, or ability to commercialize or use, any such content.</w:t>
      </w:r>
    </w:p>
    <w:p>
      <w:pPr>
        <w:spacing w:after="0" w:line="17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color w:val="auto"/>
        </w:rPr>
        <w:t>Regulation of AI is rapidly evolving worldwide and may change the competitive landscape of our and many other industries. AI is also an area of increased focus for legislators and regulators as this emerging technology develops. The technologies underlying AI and its uses are already subject to a variety of laws and regulations, including intellectual property, data privacy and security, consumer protection, competition, and equal opportunity laws and regulations, and are expected to be subject to increased regulation and new laws or new applications of existing laws and regulations. It is possible that we will not be able to anticipate how to respond to these rapidly evolving frameworks, and we could be required to expend resources to adjust our offerings in certain jurisdictions if the legal frameworks are inconsistent across jurisdictions. If we do not have sufficient rights to use the models, algorithms, data, prompts or other material or content on which our AI solutions rely, or the output thereof, we could also incur liability through the violation of applicable laws and regulations, third-party intellectual property, privacy or other rights, or contracts to which we are a party. Furthermore, because AI technology itself is highly complex, costly, and rapidly developing, it is not possible to predict all of the legal, operational or technological risks that may arise relating to the use of AI.</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offer high-quality support, our reputation could suffer.</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 negatively impacted, and our members’ and clients’ satisfaction with our solutions and services would be adversely affected.</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Failure to effectively develop and expand our marketing and sales capabilities could harm our ability to increase our client base and achieve broader market acceptance of the solutions we provide.</w:t>
      </w:r>
    </w:p>
    <w:p>
      <w:pPr>
        <w:spacing w:after="0" w:line="154"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Our ability to increase our client base and achieve broader market acceptance of the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revenue and client base may not grow at the rates they historically have, or at all.</w:t>
      </w:r>
    </w:p>
    <w:p>
      <w:pPr>
        <w:spacing w:after="0" w:line="1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55"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continue to attract new clients and maintain existing clients;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price our solutions and services effectively so that we are able to attract new clients, expand sales to our existing clients and maintain profitability;</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provide our clients and members with client support that meets their needs, including through dedicated PCAs;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maintain successful collection of member cost shares and other applicable receivable balances directly from members;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retain and maintain relationships with high-quality and respected fertility specialists;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attract and retain highly qualified personnel to support all clients and members;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maintain satisfactory relationships with insurance carriers; and</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increase awareness of our brand and successfully compete with other companies.</w:t>
      </w:r>
    </w:p>
    <w:p>
      <w:pPr>
        <w:spacing w:after="0" w:line="17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we expect to continue to expend substantial financial and other resources on:</w:t>
      </w:r>
    </w:p>
    <w:p>
      <w:pPr>
        <w:spacing w:after="0" w:line="188"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sales and marketing;</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our technology infrastructure, including systems architecture, scalability, availability, performance and security; and</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general administration, including increased legal and accounting expenses associated with being a public company.</w:t>
      </w:r>
    </w:p>
    <w:p>
      <w:pPr>
        <w:spacing w:after="0" w:line="17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 If our revenue growth does not meet our expectations in future periods, we may not maintain profitability in the future, and our business, financial position and results of operations may be harmed.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9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 in which we operate achieves the forecasted growth, our business could fail to grow at similar rates, if at all.</w:t>
      </w:r>
    </w:p>
    <w:p>
      <w:pPr>
        <w:spacing w:after="0" w:line="135"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Our estimates of the market opportunity for our services are based on the assumption that the purpose-built, data-driven and disruptive fertility benefits platform with the Smart Cycle plan design we offer will continue to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3"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6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color w:val="auto"/>
        </w:rPr>
        <w:t xml:space="preserve">Additionally, in June 2022 the U.S. Supreme Court in </w:t>
      </w:r>
      <w:r>
        <w:rPr>
          <w:rFonts w:ascii="Times New Roman" w:cs="Times New Roman" w:eastAsia="Times New Roman" w:hAnsi="Times New Roman"/>
          <w:sz w:val="14"/>
          <w:szCs w:val="14"/>
          <w:i w:val="1"/>
          <w:iCs w:val="1"/>
          <w:color w:val="auto"/>
        </w:rPr>
        <w:t>Dobbs v. Jackson Women's Health Organization</w:t>
      </w:r>
      <w:r>
        <w:rPr>
          <w:rFonts w:ascii="Times New Roman" w:cs="Times New Roman" w:eastAsia="Times New Roman" w:hAnsi="Times New Roman"/>
          <w:sz w:val="14"/>
          <w:szCs w:val="14"/>
          <w:color w:val="auto"/>
        </w:rPr>
        <w:t xml:space="preserve"> reversed </w:t>
      </w:r>
      <w:r>
        <w:rPr>
          <w:rFonts w:ascii="Times New Roman" w:cs="Times New Roman" w:eastAsia="Times New Roman" w:hAnsi="Times New Roman"/>
          <w:sz w:val="14"/>
          <w:szCs w:val="14"/>
          <w:i w:val="1"/>
          <w:iCs w:val="1"/>
          <w:color w:val="auto"/>
        </w:rPr>
        <w:t>Roe v. Wade</w:t>
      </w:r>
      <w:r>
        <w:rPr>
          <w:rFonts w:ascii="Times New Roman" w:cs="Times New Roman" w:eastAsia="Times New Roman" w:hAnsi="Times New Roman"/>
          <w:sz w:val="14"/>
          <w:szCs w:val="14"/>
          <w:color w:val="auto"/>
        </w:rPr>
        <w:t xml:space="preserv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 making, executive orders, court decisions or other changes in the law, or in how such laws, once enacted, would be interpreted and enforced.</w:t>
      </w:r>
    </w:p>
    <w:p>
      <w:pPr>
        <w:spacing w:after="0" w:line="16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4"/>
          <w:szCs w:val="14"/>
          <w:b w:val="1"/>
          <w:bCs w:val="1"/>
          <w:color w:val="auto"/>
        </w:rPr>
        <w:t>.</w:t>
      </w:r>
    </w:p>
    <w:p>
      <w:pPr>
        <w:spacing w:after="0" w:line="19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experiences seasonality, which may cause fluctuations in our revenue and results of operations.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business experiences moderate seasonality in revenue with a slightly higher proportion of revenue during the second half of the year as compared to the first half. Given that the majority of our clients contract with us for a January 1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4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seasonality of our business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4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To date, we have derived a substantial majority of our revenue from sales of our fertility benefits and Progyny Rx solutions. As we operate in an evolving industry and new market, our long-term results of operations and continued growth will depend on our ability to successfully develop and market new solutions and services to our clients. If our existing clients and members do not value and/or are not willing to adopt such new solutions or services, it could adversely affect our business, financial condition and results of operations. If we are unable to accurately predict clients’ or members’ preferences, if the market in which we operate changes, including in response to government regulation, or if we are unable to modify our solutions and services on a timely basis, we may lose clients. Our results of operations would also suffer if our innovations are not responsive to the needs of our members, appropriately timed with market opportunity or effectively brought to market.</w:t>
      </w:r>
    </w:p>
    <w:p>
      <w:pPr>
        <w:spacing w:after="0" w:line="32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adapt and respond effectively to the changing medical landscape, changing laws, regulations or government actions or enforcement priorities, or changing client needs, requirements or preferences, our offerings may become less competitive.</w:t>
      </w:r>
    </w:p>
    <w:p>
      <w:pPr>
        <w:spacing w:after="0" w:line="13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The market in which we compete is subject to a changing medical landscape and changing laws, regulations and government actions and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and enhance our brand, our ability to expand our client base will be impaired, and our business, financial condition and results of operations may suffer.</w:t>
      </w:r>
    </w:p>
    <w:p>
      <w:pPr>
        <w:spacing w:after="0" w:line="19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retain members of our management team or other key employees or fail to attract additional qualified personnel, our business and future growth may be negatively impacted.</w:t>
      </w:r>
    </w:p>
    <w:p>
      <w:pPr>
        <w:spacing w:after="0" w:line="202"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Our success and future growth depend, in part, on the continued services of our management team and other key employees as well as our ability to continue to identify, attract, and retain additional highly-qualified personnel. Competition for talent is intense, and many of the companies with which we compete for talent have greater resources than we do. There is no guarantee that we will be able to attract such personnel on terms that are favorable to us or at all. In addition, our management team and other key employees are employed on an at-will basis, which means that these personnel could terminate their employment with us at any time. If we fail to retain one or more members of our management team or other key employees, or fail to attract and retain new personnel, our business and future growth may be negatively impacted.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litigation against us could be costly and time-consuming to defend and could harm our business, financial condition and results of operations.</w:t>
      </w:r>
    </w:p>
    <w:p>
      <w:pPr>
        <w:spacing w:after="0" w:line="20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 insured could result in unanticipated costs, including negative publicity, regardless of whether the allegations are valid or we are ultimately liable, which could damage our reputation and have a material adverse impact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credit risk from our members</w:t>
      </w:r>
      <w:r>
        <w:rPr>
          <w:rFonts w:ascii="Times New Roman" w:cs="Times New Roman" w:eastAsia="Times New Roman" w:hAnsi="Times New Roman"/>
          <w:sz w:val="14"/>
          <w:szCs w:val="14"/>
          <w:i w:val="1"/>
          <w:iCs w:val="1"/>
          <w:color w:val="auto"/>
        </w:rPr>
        <w:t>.</w:t>
      </w:r>
    </w:p>
    <w:p>
      <w:pPr>
        <w:spacing w:after="0" w:line="1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We collect co-payments, co-insurance and deductibles directly from our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with government entities is subject to a number of challenges and risks.</w:t>
      </w:r>
    </w:p>
    <w:p>
      <w:pPr>
        <w:spacing w:after="0" w:line="191"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 revised certification. Government demand and payment for our offerings are dependent on many factors beyond our control, including general economic conditions, public sector budgetary constraints and funding authorizations, and general political priorities, with funding reductions or delays adversely affecting public sector demand for our offerings.</w:t>
      </w:r>
    </w:p>
    <w:p>
      <w:pPr>
        <w:spacing w:after="0" w:line="17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enforce our intellectual property rights could impair our ability to protect our proprietary technology and our brand.</w:t>
      </w:r>
    </w:p>
    <w:p>
      <w:pPr>
        <w:spacing w:after="0" w:line="18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color w:val="auto"/>
        </w:rPr>
        <w:t>Our success depends in part on our ability to protect our brand, trade secrets and confidential information, including unpatented know-how, technology and other proprietary information, and maintaining, defending and enforcing our intellectual property rights. We rely on our agreements with our clients, non-disclosure and confidentiality agreements with employees and third parties, and our trademarks, trade secrets, and copyrights to protect our intellectual property rights. However, any of these parties may breach such agreements and disclose our confidential or proprietary information, and we may not be able to obtain adequate remedies for such breaches. In addition, we may not be able to detect or prevent the unauthorized use of such information or take appropriate and timely steps to protect and enforce our intellectual property rights.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dilution or other violations of our intellectual property. Any litigation and any infringement, misappropriation, dilution or other violations of our intellectual property could hinder our ability to market and sell our solutions, and our business, financial condition and results of operations could be adversely affected.</w:t>
      </w:r>
    </w:p>
    <w:p>
      <w:pPr>
        <w:spacing w:after="0" w:line="17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 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a third-party's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from their normal responsibilities.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Moreover, although we take measures to ensure that our employees do not use the confidential or proprietary information or know-how of others in their work for us, we may be subject to claims that we or our employees have used or disclosed intellectual property, including trade secrets or other confidential or proprietary information, of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5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Furthermore, we currently own registered trademarks.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need to continue to build name recognition with potential partners or clients in our markets of interest.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utilize a portion of our net operating loss carryforwards, which could adversely affect our profitability.</w:t>
      </w:r>
    </w:p>
    <w:p>
      <w:pPr>
        <w:spacing w:after="0" w:line="202"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affect the use of our net operating loss carryforwards or other tax attributes existing at the time of the ownership change, which could adversely affect our profitability.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our effective tax rate or tax liabilities may have an adverse effect on our results of operations.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effective tax rate could be impacted due to several factors, including, but not limited to:</w:t>
      </w:r>
    </w:p>
    <w:p>
      <w:pPr>
        <w:spacing w:after="0" w:line="188"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relative amounts of income before taxes in the various jurisdictions in which we operate that have differing statutory tax rates;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hanging="260"/>
        <w:spacing w:after="0" w:line="231"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tax laws, tax treaties, or regulations or the interpretation of them (such as the One Big Beautiful Bill Act, which, among other changes, makes permanent the immediate expensing of certain domestic research and development costs and 100% bonus depreciation for eligible property);</w:t>
      </w:r>
    </w:p>
    <w:p>
      <w:pPr>
        <w:spacing w:after="0" w:line="176" w:lineRule="exact"/>
        <w:rPr>
          <w:rFonts w:ascii="Arial" w:cs="Arial" w:eastAsia="Arial" w:hAnsi="Arial"/>
          <w:sz w:val="17"/>
          <w:szCs w:val="17"/>
          <w:color w:val="auto"/>
        </w:rPr>
      </w:pPr>
    </w:p>
    <w:p>
      <w:pPr>
        <w:ind w:left="520" w:hanging="260"/>
        <w:spacing w:after="0" w:line="231"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the outcome of future tax audits, examinations, or administrative appeals;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limitations or adverse findings regarding our ability to do business in some jurisdictions; and</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discrete impact tax items, including items resulting from the amount and timing of equity exercises and our stock price.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of these factors could have an adverse effect on our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U.S. state tax authorities may assert that we have a state nexus and seek to impose state and local taxes, which could adversely affect our results of operations.</w:t>
      </w:r>
    </w:p>
    <w:p>
      <w:pPr>
        <w:spacing w:after="0" w:line="20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currently file tax returns in certain states. There is a risk that certain state tax authorities, where we do not currently file a tax return, could assert that we are liable for state and local taxes based on income or gross receipts allocable to such states. States are becoming increasingly aggressive in asserting a nexus for state tax purposes. We could be subject to state and local taxation, including penalties and interest attributable to prior periods, if a state tax authority where we do not currently file a state tax return successfully asserts that our activities give rise to a taxable nexus. Such tax assessments, penalties and interest may adversely affect our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reported financial results may be adversely affected by changes in accounting principles generally accepted in the United States.</w:t>
      </w:r>
    </w:p>
    <w:p>
      <w:pPr>
        <w:spacing w:after="0" w:line="19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Accounting principles generally accepted in the United States are subject to interpretation by the Financial Accounting Standards Board, or FASB, the SEC and various bodies formed to promulgate and interpret appropriate accounting principles. A change in accounting principles or interpretations, including the adoption of new or revised accounting principles, may require us to make changes to our systems, processes and controls,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 See Note 2 – Summary of Significant Accounting Policies included in the notes to the consolidated financial statements of this Annual Report on Form 10-K for additional information on recently issued but not yet adopted accounting standards.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our results of operations could be adversely affected.</w:t>
      </w:r>
    </w:p>
    <w:p>
      <w:pPr>
        <w:spacing w:after="0" w:line="20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Annual Report on Form 10-K.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of this Annual Report on Form 10-K.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Relationships with Third Parties</w:t>
      </w:r>
    </w:p>
    <w:p>
      <w:pPr>
        <w:spacing w:after="0" w:line="16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3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Our success is dependent upon our continued ability to maintain a selective Center of Excellence, our proprietary, credentialed network of high-quality fertility specialists. Fertility specialists and our other network providers could refuse to continue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contractual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in a profitable manner. If we are not successful in maintaining our relationships with top fertility specialists, they may refuse to renew their contracts with us, and potential competitors may be effective in onboarding these or other high-quality fertility specialists to create a similar high-quality network. Any of these events could have a material adverse effect on our operations and the provision of services to our members.</w:t>
      </w:r>
    </w:p>
    <w:p>
      <w:pPr>
        <w:spacing w:after="0" w:line="17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beyond our control, such as legal and regulatory changes, including changes in government enforcement priorities, impacting providers or consolidation activity among hospitals, physician groups and healthcare providers. In addition, in some markets and geographic areas,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as well as the competitive landscape. Such organizations or groups of healthcare providers may compete directly with us, which could force us to incur costs to change our business operations, adversely impact our relationships with our providers, or affect how we price our products and estimate our costs, all of which could adversely affect our results of operations, financial position, and cash flows.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6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From time to time, our network providers may assert, or threaten to assert, claims seeking to terminate our contractual arrangements. If enough provider agreements are terminated, such terminations could adversely impact the adequacy of our network to service our members and adversely impact our ability to market our solutions.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61"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The perceived value of our solutions and our reputation may be negatively impacted if the services provided by one or more of our fertility specialists or another network healthcare provider are not satisfactory to our members, including as a result of provider error, which could result in litigation. For example, if a provider within our network experiences an issue with its cryopreservation techniques or releases sensitive member information, it could result in us incurring substantial additional expenses, expose us to public scrutiny, adversely affect our brand and reputation, expose us to litigation and/or regulatory action, and otherwise make our operations vulnerable. In addition, if a fertility specialist provides services that result in less than favorable outcomes, this could cause us to fail to meet our contractually guaranteed performance metrics, and we could be obligated to provide the affected client with a fee reduction. The failure to maintain our selective network of high-quality fertility specialists and other healthcare providers, or the failure of such providers to meet and exceed our members’ expectations, may result in a loss of or inability to grow or maintain our client base,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growth depends in part on the success of our strategic relationships with, and monitoring of, third parties, including channel partners and vendors, as well as insurance carriers.</w:t>
      </w:r>
    </w:p>
    <w:p>
      <w:pPr>
        <w:spacing w:after="0" w:line="19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In order to grow our business, we anticipate that we will continue to depend on our relationships with third parties, including channel partners, vendors and insurance carriers, among others. As the fertility industry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 In addition, our arrangements with such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efficient pharmacy distribution network or if there is a disruption to our network of specialty pharmacies or their supply chains or business economics, our business, financial condition and results of operations could suffer.</w:t>
      </w:r>
    </w:p>
    <w:p>
      <w:pPr>
        <w:spacing w:after="0" w:line="13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 timely delivery of fertility medication is essential for fertility treatments. If medication is delivered late or becomes unavailable, it may result in postponement of a member’s treatment cycle and member dissatisfaction with our solutions. We believe that our ability to continue to maintain and grow the adoption of Progyny Rx by our clients is highly dependent on our success in maintaining an efficient pharmacy distribution network and our on-time delivery record. The specialty pharmacies in our network could refuse to contract with us, demand higher drug pricing or take other actions in response to industry actions that could result in higher medical costs or less attractive services for our members, thereby limiting our commercial opportunities.</w:t>
      </w:r>
    </w:p>
    <w:p>
      <w:pPr>
        <w:spacing w:after="0" w:line="15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In addition, specialty pharmacies could face supply chain issues or regulatory delays impacting the availability or distribution of certain fertility medication requiring drug substitutions that could result in higher medical costs or negatively impact our revenues, rebates and results of operations. We do not control the pricing strategies or supply chains of our specialty pharmacy partners, each of which may be impacted by general economic considerations, including inflation and other independent considerations and drivers beyond our control, and each of which has the ability to set or impact market price for different prescription medications. We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5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We maintain contractual relationships with select pharmacy program partners, which provide us access to limited distribution specialty pharmaceutical rebates for drugs we purchase. While we have contractual relationships with such pharmacy program partners, they in turn often negotiate complex, multi-national and multi-party pricing structures with other industry participants, and we have no control over the policies and strategies utilized in negotiating these pricing structures. Such structures may set or significantly impact market prices for prescription drugs that we purchase and the associated rebates for such drugs. Pharmacy program partners generally direct medication pricing by setting medication list prices and offering rebates and/or discounts for their medications. Various market considerations, such as the number of competitor medications, the availability of fertility medications and alternative treatment options, negotiated rates among industry participants, cost to import, and distribution of materials and finished products, 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shortages of drugs provided by such manufacturers, the termination or material alteration of our contractual relationships, or our failure to renew such contracts on favorable terms could also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marketing efforts depend on our ability to maintain our relationships with benefits consultants and receive positive references from our existing clients, channel partners and benefits consultants.</w:t>
      </w:r>
    </w:p>
    <w:p>
      <w:pPr>
        <w:spacing w:after="0" w:line="1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benefits consultants, our marketing efforts, business and profitability would be adversely impacted.</w:t>
      </w:r>
    </w:p>
    <w:p>
      <w:pPr>
        <w:spacing w:after="0" w:line="1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Our marketing efforts also depend significantly on our ability to call on our current clients, channel partners and benefits consultants to provide positive references to new, potential clients. Given our limited number of long-term clients, the loss or dissatisfaction of any client, channel partnership or benefit consulting relationship could substantially harm our brand and reputation, inhibit the adoption of our offerings and impair our ability to attract new clients and retain existing clients. Any of these consequences could have an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Legal and Regulatory Requirements</w:t>
      </w:r>
    </w:p>
    <w:p>
      <w:pPr>
        <w:spacing w:after="0" w:line="18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operate in a highly regulated industry and must comply with a significant number of new and evolving legal and regulatory requirements, as well as complex judicial mandates, which could have an adverse impact on our business.</w:t>
      </w:r>
    </w:p>
    <w:p>
      <w:pPr>
        <w:spacing w:after="0" w:line="13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We have structured our operations to comply with all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changes in law or future determinations by a court or agency that our corporate structure, solutions or services violate, or cause our clients or network partners to violate, applicable laws, regulations or other requirements could subject us or our clients to significant administrative, civil or criminal penalties. Such changes may also impact our ability to offer our products in the same manner to our clients, which may require us to change, reduce, or terminate portions of our business, disqualify us from serving clients in certain states or clients that do business with government entities, or to refund some or all of our service fees or otherwise compensate our clients.</w:t>
      </w:r>
    </w:p>
    <w:p>
      <w:pPr>
        <w:spacing w:after="0" w:line="161"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As we continue to execute on our growth strategy, we may be subject to new laws, regulations, and other requirements. We announced that we anticipate offering our fertility solution to large group fully insured employers, which will subject us to additional laws, regulations and other requirements. We expect to devote a significant amount of management time and resources related to ensuring regulatory compliance in connection this new offering, and such compliance costs will be ongoing and may increase in the future. We are unable to predict how new legislation, regulation, judicial action or executive action will ultimately impact the healthcare industry at large or our business and our relationships with existing and future clients, insurance carriers, and healthcare providers in particular. We also cannot predict the timing or impact of any future rule making, court decisions or other changes in law. If we are unable to comply with new laws and regulations or provide adequate assistance to our clients who may be subject to such laws or regulations, or if such changes impact our current business model and operations, we may be exposed to litigation or other government action and our business, financial condition and results of operations may be adversely impacted.</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In addition, failure to comply with laws, regulations or other requirements could adversely affect demand for our solutions and force us to expend significant capital, research and development and other resources to address such failure. Even an unsuccessful challenge by regulatory, judicial and other authorities or parties could be expensive and time-consuming; could result in loss of business, exposure to negative publicity, and injury to our reputation; and could adversely affect our ability to retain and attract clients. If we fail to comply with applicable laws, regulations and other requirements, including, but not limited to the following, our business, financial condition and results of operations could be adversely affected and require significant investment to address, which may be costly. For more information on regulations affecting our business, see “Business—Government Regulation” in Part I, Item 1. Business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Changes in State and Federal Laws Related to Reproductive Rights and Fertility Benefits</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State and federal legislation has been adopted or proposed that would impact our business operations, products, and solutions. In the absence of overarching federal law, states are increasingly proposing or adopting laws that directly or indirectly impact our operations. We cannot predict which laws will ultimately be adopted, and whether, and to what extent, such laws will impact our ability to maintain our current operations. Such laws could have a material adverse effect on our business and results of operations. In addition, a patchwork of state laws and mandates could impact our ability to offer a uniform and streamlined benefit across states, which could reduce efficiency across our business operations and adversely impact our financial performance and our ability to grow in such states.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Licensing Requirements</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Many states have licensure or registration requirements for entities acting as a TPA or PBM. We are licensed, are exempt from licensure or registration, or believe that we are otherwise authorized in the states where we provide TPA and PBM services. These licenses require us to comply with the rules and regulations of the governmental bodies that issued such licenses, including maintaining certain solvency or bond requirements. Our failure to comply with such rules and regulations could result in significant administrative penalties, including monetary penalties and corrective action plans, the suspension of a license, or the loss of a license, all of which could negatively impact our business.</w:t>
      </w:r>
    </w:p>
    <w:p>
      <w:pPr>
        <w:spacing w:after="0" w:line="17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Certain states also impose licensing requirements on entities that provide utilization review services. We are licensed, are exempt from licensure or registration, or believe that we are otherwise authorized in the states where we provide utilization review services. However, we are unable to predict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help manage our compliance, and paying additional regulatory fees or penalties, which could adversely affect our results of operations. We may need to cease operations until we are able to obtain appropriate licensure, which may adversely affect our revenue for a period of time that we cannot estimate.</w:t>
      </w:r>
    </w:p>
    <w:p>
      <w:pPr>
        <w:spacing w:after="0" w:line="17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In addition, we employ PCAs to support and guide our members. Our PCAs do not provide any licensed healthcare services, and in turn, are not licensed by any regulatory body to provide such services. We otherwise do not employ individuals to provide any healthcare services requiring licensure. If a professional board in any state determines that the services provided by our PCAs require a license, we may need to conduct additional training and credentialing, replace personnel, obtain additional insurance, pay increased salaries, and suspend PCA services while our personnel obtain the necessary licensure, which may adversely affect our results of operations, our relationships with our clients and members, and cause us to be in breach of our contractual arrangements.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HIPAA Privacy and Security Requirements</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When acting as a “Business Associate” under HIPAA, to the extent permitted by applicable privacy regulations and our contractual arrangements with our clients, we are permitted to use and disclose protected health information to perform our services and for other limited purposes, but other uses and disclosures, such as marketing communications, require written authorization from the member or must meet an exception specified under HIPAA. If we, or any of our downstream Business Associates, are unable to properly protect the privacy and security of protected health information entrusted to us, we could be in breach of contractual arrangements with our clients and be subject to investigation by the OCR. In the event the OCR finds that we have failed to comply with applicable HIPAA privacy and security standards, we could face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In addition, OCR performs compliance audits of Covered Entities and Business Associates in order to proactively enforce the HIPAA privacy and security standards. The OCR has become an increasingly active regulator and has signaled its intention to continue this trend. The OCR has the discretion to impose penalties and may require companies to enter into resolution agreements and corrective action plans, which impose ongoing compliance requirements. The OCR enforcement activity, or a third-party audit related to a HIPAA incident regarding us or a downstream Business Associate, can result in financial liability and reputational harm, and responses to such enforcement activity can consume significant internal resources. In addition to enforcement by the OCR, state attorneys general are authorized to bring civil actions under either HIPAA or relevant state laws seeking either injunctions or damages in response to violations that threaten the privacy of state residents’ identifiable health information. Although we have implemented and maintain policies, processes and compliance program infrastructure to assist us in complying with HIPAA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may require us to make costly system purchases and/or modifications or otherwise divert significant resources to HIPAA compliance initiatives from time to time.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Data Privacy and Cybersecurity Requirements</w:t>
      </w:r>
    </w:p>
    <w:p>
      <w:pPr>
        <w:spacing w:after="0" w:line="19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In addition to HIPAA, numerous other federal and state laws, rules, regulations and standards govern the collection, dissemination, use, handling, transfer, processing, access to and confidentiality of personal information, some of which may be applicable to our business. Certain federal and state laws protect types of personal information that may be viewed as particularly sensitive. In many cases, state laws are more restrictive than, and not preempted by, HIPAA, and may allow personal rights of action with respect to data privacy or cybersecurity breaches, as well as fines. State laws are contributing to increased enforcement activity and may also be subject to interpretation by various courts and other governmental authorities. The CCPA gives California residents certain rights to access and delete their personal information, opt out of certain personal information sharing, including certain sensitive personal information, and receive detailed information about how their personal information is used. The CCPA provides for civil penalties for violations, as well as a private right of action for data breaches, which has increased the likelihood and risks associated with data breach litigation. Additional investment in compliance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and could lead to additional liability risks.</w:t>
      </w:r>
    </w:p>
    <w:p>
      <w:pPr>
        <w:spacing w:after="0" w:line="16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Certain of our solutions and services involve the transmission and storage of client and member data in various jurisdictions, which subjects the operation of those solutions and services to data privacy or data protection laws, rules and regulations in those jurisdictions. There can be no assurance that such requirements will not change or that we will not otherwise be subject to legal or regulatory actions. These laws, rules and regulations are rapidly evolving and changing and could have an adverse impact on our operations.</w:t>
      </w:r>
    </w:p>
    <w:p>
      <w:pPr>
        <w:spacing w:after="0" w:line="15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These laws, rules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rules and regulations. An adverse outcome under any such investigation or audit could result in fines, penalties, other liability, adverse publicity or a loss of reputation, and adversely affect our business. Moreover, if these laws, rules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scope of operations.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Data Protection and Breaches</w:t>
      </w:r>
    </w:p>
    <w:p>
      <w:pPr>
        <w:spacing w:after="0" w:line="202"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In recent years, there have been a number of well-publicized data breaches involving the improper dissemination of personal information of individuals both within and outside of the healthcare industry. Laws in all 50 states require businesses to provide notice to individuals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Under HIPAA, Covered Entities must report breaches of unsecured protected health information to affected individuals without unreasonable delay, not to exceed 60 days following discovery of the breach by a Covered Entity or its agents. Notification also must be made to the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that the information has been compromised consistent with requirements enumerated in HIPAA.</w:t>
      </w:r>
    </w:p>
    <w:p>
      <w:pPr>
        <w:spacing w:after="0" w:line="17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Despite our security management efforts with respect to physical and technical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or processing functions), are vulnerable to, and from time to time may experience, data breaches of confidential or proprietary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cybersecurity measures, some of which are managed by third-party vendors, or the cybersecurity measures of third parties with whom we work, including our service providers or vendors, are breached or fail, it is possible that unauthorized or illegal access to or acquisition, disclosure, use or processing of personally identifiable information, confidential information, or other sensitive client, member, or employee data, including HIPAA-regulated protected health information, may occur. A cybersecurity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6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If our cybersecurity measures, or those of the third parties with whom we work, including our service providers or vendors, were to be breached or fail, our reputation could be severely damaged, adversely affecting client or investor confidence. As a result, clients may curtail their use of, or stop using our solutions, and our business may suffer. We could be subject to litigation, damages for breach of contract, penalties and regulatory actions for violations of HIPAA and other laws or regulations applicable to data privacy and data protection, as well as incur significant costs for remediation. In addition, any potential cybersecurity breach could result in increased costs associated with liability for stolen assets or information, repairing system damage that may have been caused by such breach,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providing coverage for certain cybersecurity and privacy related damages and claim expenses, we may not carry insurance or maintain coverage sufficient to compensate for all liability, and such insurance may not be available for renewal on acceptable terms or at all. However, in any event, insurance coverage will not address the reputational damage that could result from a security breach.</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Consumer Protection Laws</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Consumer protection laws require us to publish statements to users of our services that describe how we handle personal information and choices consumers may have about the way we handle personal information. If the information we publish is considered untrue, we may be subject to claims of unfair or deceptive trade practices, which could lead to significant liabilities and consequences, including, costs of defending against litigation or settling claims and loss of existing and future clients.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ERISA Regulation</w:t>
      </w:r>
    </w:p>
    <w:p>
      <w:pPr>
        <w:spacing w:after="0" w:line="1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ERISA regulates certain aspects of employee health plans, including both insured and self-funded health plans sponsored by our clients. In addition, as part of our agreements with a number of our clients, we also offer PBM services through Progyny Rx. We believe that the conduct of our business vis-à-vis our clients’ plans is not of a fiduciary nature, and, therefore, we are not subject in general to the fiduciary obligations imposed by ERISA. However, there can be no assurance that the DOL, the agency that enforces ERISA, will not in the future assert that the fiduciary obligations imposed by ERISA apply to certain aspects of our operations or courts will not reach such a ruling in private ERISA litigation.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ERISA’s prohibitions on certain forms of remuneration made to, or received by, health plan service providers or other persons are broadly written, and their application to particular cases is uncertain. ERISA plans are subject to certain rules, published by the DOL, including reporting requirements for direct and indirect compensation received by health plan service providers. If the DOL or the courts interpret these requirements in a manner that is inconsistent with our business operations, we could be subject to civil or criminal liability.</w:t>
      </w:r>
    </w:p>
    <w:p>
      <w:pPr>
        <w:spacing w:after="0" w:line="15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Separately, although ERISA generally preempts state laws that would otherwise apply to ERISA plans, recent Supreme Court rulings continue to clarify ERISA preemption as it relates to PBMs. If the interpretation of ERISA preemption is further narrowed in the future, our contractual obligations with our self-insured clients would likely require us to comply more broadly with state laws applicable to health insurance that do not currently apply to us. This may adversely impact our ability to standardize our products, solutions, and services across states.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State Corporate Practice and Fee-Splitting Prohibitions</w:t>
      </w:r>
    </w:p>
    <w:p>
      <w:pPr>
        <w:spacing w:after="0" w:line="191"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These laws generally prohibit non-physician entities from practicing medicine, exercising control over physicians or engaging in certain practices, such as fee-splitting, with physicians. We have structured our operations and contracts with our network providers to comply with such laws. For example, our provider agreements explicitly recognize that providers retain sole authority for medical decision making. If a state’s corporate practice of medicine or fee-splitting laws are interpreted in a manner that is inconsistent with our contractual arrangements with our network providers, we could be required to restructure or terminate our contractual relationships with our network providers to comply with such laws; could be subject to disciplinary action, penalties, damages, and fines; and could experience a loss of revenue, any of which could have a material and adverse effect on our business, results of operations, and financial condition. In addition, this may discourage physicians from participating in our network of providers as these state laws often impose penalties on physicians, in their individual capacity, for aiding the corporate practice of medicine or unlawful fee-splitting.</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Communication</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Communications with our members increasingly may be subject to and restricted by laws and regulations governing communications via telephone, fax, text, and email. We use email and social media platforms as marketing tools. For example, we maintain corporate social media accounts. As laws and regulations, including FTC enforcement, rapidly evolve to govern the use of these platforms and devices, the failure by us, our employees or third parties acting at our direction to abide by applicable laws and regulations in connection with the use of these platforms and devices could adversely impact our business, financial condition and results of operations or subject us to fines or other penalties.</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part of the broader healthcare industry and subject to increasing scrutiny, disclosure requirements and regulation within our business, including with respect to Progyny Rx’s PBM operations, which may adversely affect our business, financial condition and results of operations.</w:t>
      </w:r>
    </w:p>
    <w:p>
      <w:pPr>
        <w:spacing w:after="0" w:line="13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be unclear. Because our clients are subject to various legal and regulatory requirements, we may have obligations to comply with additional legal and regulatory requirements as a result of our arrangements with our clients, even if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Federal and state efforts to reform or change aspects of the healthcare industry or to change or create additional legal and regulatory requirements could impact our operations, the use of our solutions and services, and our ability to market new solutions and services, or could create unexpected liabilities for us.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PBM operations and business models are highly regulated and subject to frequently changing laws, regulations, government enforcement priorities, negative publicity, industry standards and other requirements. Recently, there have been a number of reform efforts focused on PBM regulation, program pricing, and transparency, from both federal and state legislatures and agencies, including, but not limited to, disclosure, receipt and retention of rebates and other payments received from pharmaceutical manufacturers or pharmacy program partners, rules governing contractual provisions between PBMs and their contracted payers and/or pharmacies, and registration or licensing of PBMs. If adopted, these proposals could affect our business by further restricting PBM practices critical to maintaining current levels of profitability or could impact our ability to meet future financial forecasts. For example, on February 3, 2026, the Consolidated Appropriations Act of 2026 was signed into law and includes PBM reforms that would, among other things, require PBMs to disclose information on their costs, fees and rebates; require 100% of the rebates to be passed on to consumers; and impose other disclosure, reporting and audit requirements on PBMs. In July 2024, the FTC released its interim staff report on PBMs and the impact of PBM rebates and fees on patients and payers. In September 2024, the FTC filed actions against certain PBMs related to their rebate practices.</w:t>
      </w:r>
    </w:p>
    <w:p>
      <w:pPr>
        <w:spacing w:after="0" w:line="17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 xml:space="preserve">The Supreme Court’s decision in </w:t>
      </w:r>
      <w:r>
        <w:rPr>
          <w:rFonts w:ascii="Times New Roman" w:cs="Times New Roman" w:eastAsia="Times New Roman" w:hAnsi="Times New Roman"/>
          <w:sz w:val="14"/>
          <w:szCs w:val="14"/>
          <w:i w:val="1"/>
          <w:iCs w:val="1"/>
          <w:color w:val="auto"/>
        </w:rPr>
        <w:t>Rutledge v. Pharm. Care Mgmt. Ass’n</w:t>
      </w:r>
      <w:r>
        <w:rPr>
          <w:rFonts w:ascii="Times New Roman" w:cs="Times New Roman" w:eastAsia="Times New Roman" w:hAnsi="Times New Roman"/>
          <w:sz w:val="14"/>
          <w:szCs w:val="14"/>
          <w:color w:val="auto"/>
        </w:rPr>
        <w:t xml:space="preserve"> in December 2020 held that an Arkansas state law requiring PBMs to reimburse pharmacies at a price equal to or greater than the price pharmacies pay in purchasing medications from a wholesaler was not preempted by ERISA. The Supreme Court’s ruling in </w:t>
      </w:r>
      <w:r>
        <w:rPr>
          <w:rFonts w:ascii="Times New Roman" w:cs="Times New Roman" w:eastAsia="Times New Roman" w:hAnsi="Times New Roman"/>
          <w:sz w:val="14"/>
          <w:szCs w:val="14"/>
          <w:i w:val="1"/>
          <w:iCs w:val="1"/>
          <w:color w:val="auto"/>
        </w:rPr>
        <w:t>Rutledge</w:t>
      </w:r>
      <w:r>
        <w:rPr>
          <w:rFonts w:ascii="Times New Roman" w:cs="Times New Roman" w:eastAsia="Times New Roman" w:hAnsi="Times New Roman"/>
          <w:sz w:val="14"/>
          <w:szCs w:val="14"/>
          <w:color w:val="auto"/>
        </w:rPr>
        <w:t xml:space="preserve"> and other recent rulings solidify the legality of state-level legislation regulating PBMs. New legislation aimed at controlling prescription drug costs and providing pricing transparency and regulatory oversight of PBMs has been enacted. At least 33 states have adopted some form of oversight legislation. In certain states, PBMs are required to file transparency reports or otherwise disclose contractual arrangements with health plans or health insurance issuers and regulators have begun to conduct audits of PBM operations.</w:t>
      </w:r>
    </w:p>
    <w:p>
      <w:pPr>
        <w:spacing w:after="0" w:line="1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In addition, certain quasi-regulatory organizations, including the National Association of Boards of Pharmacy and the National Association of Insurance Commissioners, have issued model regulations or may propose future model regulations related to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 third-party payor, including private insurers, self-insured employers and patients on a cash basis, and may be applicable to us.</w:t>
      </w:r>
    </w:p>
    <w:p>
      <w:pPr>
        <w:spacing w:after="0" w:line="16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Accordingly, our business operations and our results of operations could be materially and adversely affected by legislative, regulatory and public policy changes at the federal or state level, increased government involvement in drug reimbursement and pricing, and/or increased regulation of PBMs, including Progyny Rx. Such legal and regulatory changes may adversely affect our ability to conduct business on commercially reasonable terms in states where PBM legislation is in effect and our ability to standardize Progyny Rx PBM products and services across states. In addition, failure to comply with these laws or regulations could result in material fines and sanctions and could have a material adverse effect on our results of operations and cash flows.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4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Pursuant to Section 404 of the Sarbanes-Oxley Act (“Section 404”), we are required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Our existing management team has and will continue to devote a substantial amount of time to these compliance initiatives, and we may need to hire additional accounting and financial personnel with appropriate public company experience to assist us in ongoing compliance with these requirements. Moreover, these rules and regulations have increased, and will continue to increase, our legal and financial reporting compliance costs and will make some activities more time consuming and costly.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During the evaluation and testing process of our internal control, if we identify one or more material weaknesses in our internal control over financial reporting, we would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of financial reporting, which we determined was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4"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While we operate primarily in the United States, we remain subject to the U.S. Foreign Corrupt Practices Act, U.S. domestic anti-bribery laws, and other anti-corruption and anti-money laundering laws in the countries in which we conduct activities. We may engage with business partners and third-party intermediaries to market our services and to obtain the necessary permits, licenses, and other regulatory approvals for us. In addition, we or our third-party intermediaries may have direct or indirect interactions with officials and employees of government agencies or state-owned or affiliated entities. We can be held liable for the corrupt or other illegal activities of such third-party intermediaries as well as our employees, representatives, contractors, partners and agents, even if we do not explicitly authorize such activities.</w:t>
      </w:r>
    </w:p>
    <w:p>
      <w:pPr>
        <w:spacing w:after="0" w:line="16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potential civil or criminal proceeding, our business, financial condition and results of operations could be harmed. In addition, responding to any action will likely result in a significant diversion of management’s attention and resources and significant defense costs and other professional fees, which could also adversely affect our business, financial condition and results of operations.</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Changing rules and regulations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22"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In addition to the changing rules and regulations related to environmental, social and governance, or ESG, matters imposed by governmental and self-regulatory organizations, companies across all industries are facing increasing scrutiny related to their ESG practices and reporting. Our stakeholders may disagree with our ESG policies and goals or, conversely, believe that these policies and goals are insufficient. This may lead to a decrease in demand for our products and services or damage to our reputation. We may also incur additional costs and require additional resources as we evolve our strategy, practices and related disclosures with respect to these matters. The changing rules, regulations and stakeholder expectations with respect to these matters have resulted in, and are likely to continue to result in, increased general and administrative expenses and increased management time and attention aimed at complying with such rules and regulations and meeting such expectations.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related to ESG matters in our SEC filings or in other public disclosures. These initiatives and goals could be difficult and expensive to implement, the technologies needed to implement them may not be cost effective and may not advance at a sufficient pace, and we could be criticized for the accuracy, adequacy or completeness of the disclosure. In addition, statements about our ESG-related initiatives and goals, and progress against those goals, may be based on standards for measuring progress that are still developing and have not been harmonized, internal controls and processes that continue to evolve and assumptions that are subject to change in the future. We could be criticized for the scope or nature of such initiatives or goals or for any revisions to these goals. If our ESG-related data, processes and reporting are incomplete or inaccurate, our reputation, business, financial performance and growth could be adversely affected. In addition, in recent years, “anti-ESG” sentiment has gained momentum across the U.S., with several states, Congress, and most recently, the new U.S. presidential administration proposing or enacting “anti-ESG” policies, legislation, or initiatives or issuing related legal opinions, as well as executive actions in response to ESG-related initiatives in the private sector. Such anti-ESG-related policies, legislation, initiatives, litigation, legal opinions, and scrutiny could result in additional compliance obligations, becoming the subject of investigations and enforcement actions, or sustaining reputational harm.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experience volatility, and the value of our common stock may decline.</w:t>
      </w:r>
    </w:p>
    <w:p>
      <w:pPr>
        <w:spacing w:after="0" w:line="1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market price of our common stock may be highly volatile and may fluctuate or decline substantially as a result of this and a variety of factors, some of which are beyond our control, including, but not limited to:</w:t>
      </w:r>
    </w:p>
    <w:p>
      <w:pPr>
        <w:spacing w:after="0" w:line="155"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high volume of direct sales into the market by large investors;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stock repurchases by us;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actual or anticipated fluctuations in our financial condition or results of operations;</w:t>
      </w:r>
    </w:p>
    <w:p>
      <w:pPr>
        <w:spacing w:after="0" w:line="187" w:lineRule="exact"/>
        <w:rPr>
          <w:rFonts w:ascii="Times New Roman" w:cs="Times New Roman" w:eastAsia="Times New Roman" w:hAnsi="Times New Roman"/>
          <w:sz w:val="17"/>
          <w:szCs w:val="17"/>
          <w:color w:val="auto"/>
        </w:rPr>
      </w:pPr>
    </w:p>
    <w:p>
      <w:pPr>
        <w:ind w:left="520" w:hanging="260"/>
        <w:spacing w:after="0" w:line="231" w:lineRule="auto"/>
        <w:tabs>
          <w:tab w:leader="none" w:pos="516"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publications of research or other reports about us or our industry, including those that may contain inaccurate or misleading information, financial estimates about us, or changes in recommendations or withdrawal of research coverage by securities analysts;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pricing of our solutions and services;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our projected operating and financial results;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general economic, industry, political and market conditions;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laws or regulations applicable to our products and solutions;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announcements by us or our competitors of significant business developments, acquisitions, or new offerings;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significant data breaches affecting our company, provider clinics, third-party vendors or pharmacy network partners;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our involvement in litigation or threats of litigation against us;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future sales of our common stock by us or our stockholders;</w:t>
      </w:r>
    </w:p>
    <w:p>
      <w:pPr>
        <w:spacing w:after="0" w:line="166" w:lineRule="exact"/>
        <w:rPr>
          <w:rFonts w:ascii="Arial" w:cs="Arial" w:eastAsia="Arial" w:hAnsi="Arial"/>
          <w:sz w:val="17"/>
          <w:szCs w:val="17"/>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purchases of our common stock by management;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senior management or key personnel;</w:t>
      </w:r>
    </w:p>
    <w:p>
      <w:pPr>
        <w:spacing w:after="0" w:line="18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the trading volume of our common stock;</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war, incidents of terrorism, or responses to these events; and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anticipated future size and growth rate of our market.</w:t>
      </w:r>
    </w:p>
    <w:p>
      <w:pPr>
        <w:spacing w:after="0" w:line="17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our common stock may not be sustained.</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fund continuing operations through the sale of additional equity securities and may impair our ability to make strategic investments, including acquiring other companies or investing in technologies, using our equity as consideration.</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experienced and may in the future experience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3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Our results of operations have in the past, and may in the future, fluctuate due to a variety of factors, many of which are beyond our control. As a result, our past results may not be indicative of our future performance. In addition to the other risks described herein, factors that may affect our results of operations include the following:</w:t>
      </w:r>
    </w:p>
    <w:p>
      <w:pPr>
        <w:spacing w:after="0" w:line="155"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fluctuations in demand for, or pricing of, our solutions;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level and mix of utilization of our solutions by members;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retain existing clients and attract new clients;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client expansion rates;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clients’ budgets and in the timing of their budget cycles and purchasing decisions;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control costs, including our operating expenses and healthcare costs;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the amount and timing of payment for operating expenses, particularly sales and marketing expenses;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the amount and timing of non-cash expenses, including stock-based compensation expense, goodwill impairments and other non-cash charges;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the amount and timing of costs associated with recruiting, training and integrating new employees and retaining and motivating existing employees;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general economic conditions, as well as economic conditions specifically affecting industries in which our clients operate;</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the impact of new accounting pronouncements;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competitive dynamics of our market, including consolidation among competitors or clients; and</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significant cybersecurity breaches of, technical difficulties with, or interruptions to, the delivery and use of our solutions and services.</w:t>
      </w:r>
    </w:p>
    <w:p>
      <w:pPr>
        <w:spacing w:after="0" w:line="17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in the public market, including in connection with financings, acquisitions, our equity incentive plan or otherwise, could cause the market price of our common stock to decline.</w:t>
      </w:r>
    </w:p>
    <w:p>
      <w:pPr>
        <w:spacing w:after="0" w:line="1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In addition, as of December 31, 2025, there were an aggregate of 18,984,966 and 3,778,964 shares of our common stock subject to outstanding options and unvested restricted stock units, respectively. 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3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expect to issue additional capital stock in the future, which will result in dilution to all other stockholders. We expect to continue to grant equity awards to our employees, directors and consultants under our equity incentive plans. We may also raise capital through equity financings in the future. As part of our growth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33"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The market price and trading volume of our common stock is heavily influenced by analysts’ interpretation of our financial information and other disclosures. We do not have control over these analysts. If securities analysts or industry analysts cease coverage of us, our stock price would be negatively affected. If securities or industry analysts do not publish research or reports about our business, downgrade our common stock, or publish negative reports about our business, then our stock price would likely decline, and the trading volume of our common stock could decrease. We have experienced and may in the future experience analyst coverage reduction due to analysts leaving firms, changing firms or going on temporary leaves of absences. A reduction in analyst coverage, even if temporary, could lead to volatility in our stock price.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 and, as a result, your ability to receive a return on your investment will depend on appreciation in the price of our common stock.</w:t>
      </w:r>
    </w:p>
    <w:p>
      <w:pPr>
        <w:spacing w:after="0" w:line="19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5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and second amended and restated bylaws may have the effect of delaying or preventing a change of control or changes in our management. Our amended and restated certificate of incorporation and second amended and restated bylaws include provisions that:</w:t>
      </w:r>
    </w:p>
    <w:p>
      <w:pPr>
        <w:spacing w:after="0" w:line="156" w:lineRule="exact"/>
        <w:rPr>
          <w:sz w:val="20"/>
          <w:szCs w:val="20"/>
          <w:color w:val="auto"/>
        </w:rPr>
      </w:pPr>
    </w:p>
    <w:p>
      <w:pPr>
        <w:ind w:left="520" w:hanging="260"/>
        <w:spacing w:after="0" w:line="231" w:lineRule="auto"/>
        <w:tabs>
          <w:tab w:leader="none" w:pos="516"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authorize our Board of Directors to issue, without further action by stockholders, shares of undesignated preferred stock with terms, rights, and preferences determined by our Board of Directors and which may be senior to our common stock;</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require that any action to be taken by our stockholders be effected at a duly called annual or special meeting and not by written consent;</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specify that special meetings of our stockholders can be called only by our Board of Directors, the chairperson of our Board of Directors, or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establish an advance notice procedure for stockholder proposals to be brought before an annual meeting, including proposed nominations of persons for election to our Board of Directors;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establish that our Board of Directors is divided into three classes, with each class serving three-year staggered terms;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prohibit cumulative voting in the election of directors;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provide that our directors may be removed for cause only upon the vote of at least 66 and 2/3% of our outstanding shares of voting stock;</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provide that vacancies on our Board of Directors may be filled only by a majority of directors then in office, even though less than a quorum; and</w:t>
      </w:r>
    </w:p>
    <w:p>
      <w:pPr>
        <w:spacing w:after="0" w:line="187" w:lineRule="exact"/>
        <w:rPr>
          <w:rFonts w:ascii="Arial" w:cs="Arial" w:eastAsia="Arial" w:hAnsi="Arial"/>
          <w:sz w:val="17"/>
          <w:szCs w:val="17"/>
          <w:color w:val="auto"/>
        </w:rPr>
      </w:pPr>
    </w:p>
    <w:p>
      <w:pPr>
        <w:ind w:left="520" w:hanging="260"/>
        <w:spacing w:after="0" w:line="231" w:lineRule="auto"/>
        <w:tabs>
          <w:tab w:leader="none" w:pos="516"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require the approval of our Board of Directors or the holders of at least 66 and 2/3% of our outstanding shares of voting stock to amend our second amended and restated bylaws and certain provisions of our amended and restated certificate of incorporation.</w:t>
      </w:r>
    </w:p>
    <w:p>
      <w:pPr>
        <w:spacing w:after="0" w:line="166"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These provisions may frustrate or prevent any attempts by our stockholders to replace or remove our current management by making it more difficult for stockholders to replace members of our Board of Directors, which is responsible for appointing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 or other change of control transaction.</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state courts in the State of Delaware or, if no state court located 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other employees.</w:t>
      </w:r>
    </w:p>
    <w:p>
      <w:pPr>
        <w:spacing w:after="0" w:line="16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second amended and restated bylaws; (4) any action or proceeding to interpret, apply, enforce or determine the validity of our amended and restated certificate of incorporation or our second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6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 exclusive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result in significant additional costs. Furthermore, if a court were to find the exclusive forum provisions contained in our amended and restated certificate of incorporation to be inapplicable or unenforceable in an action, we may also incur costs associated with resolving such action in other jurisdictions.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3"/>
          <w:szCs w:val="13"/>
          <w:b w:val="1"/>
          <w:bCs w:val="1"/>
          <w:color w:val="auto"/>
        </w:rPr>
        <w:t>UNRESOLVED STAFF COMMENTS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1C.</w:t>
        <w:tab/>
        <w:t>CYBERSECURITY</w:t>
      </w:r>
    </w:p>
    <w:p>
      <w:pPr>
        <w:spacing w:after="0" w:line="15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At Progyny, cybersecurity risk management is an integral part of our broader risk management system and processes. Our cybersecurity risk management program incorporates industry-standard frameworks, policies and practices designed to protect the security of our technology infrastructure and sensitive information.</w:t>
      </w:r>
    </w:p>
    <w:p>
      <w:pPr>
        <w:spacing w:after="0" w:line="14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Our cybersecurity risk management program provides a framework for handling cybersecurity threats and incidents, including receiving notification of threats and incidents associated with the use of services provided by business associates. This framework includes steps for assessing the severity of a cybersecurity threat, identifying the source of a cybersecurity threat, including whether the cybersecurity threat is associated with a third-party service provider, and implementing cybersecurity countermeasures and mitigation strategies. In addition, it provides steps for our cybersecurity team to report to management and our Board of Directors on information security and cybersecurity matters, including material cybersecurity threats and incidents.</w:t>
      </w:r>
    </w:p>
    <w:p>
      <w:pPr>
        <w:spacing w:after="0" w:line="16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4"/>
          <w:szCs w:val="14"/>
          <w:color w:val="auto"/>
        </w:rPr>
        <w:t>We have established and test our disaster recovery plan, and we protect against business interruption by backing up our major systems. Our cybersecurity team engages third-party security experts for risk assessments and system enhancements, including a third-party security consultant that conducts regular network security reviews, scans and audits. In addition, we have implemented various preventive measures, such as protections designed to safeguard against cyberattacks, including employee training, multifactor authentication, firewalls and virus detection software, periodic scans of our environment for any vulnerabilities and penetration testing.</w:t>
      </w:r>
    </w:p>
    <w:p>
      <w:pPr>
        <w:spacing w:after="0" w:line="165"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Our Board of Directors has overall oversight responsibility for our risk management and has delegated cybersecurity risk management oversight to the Audit Committee. The Audit Committee is responsible for ensuring that management has processes in place that are designed to identify and evaluate cybersecurity risks to which we are exposed and has implemented processes and programs to manage cybersecurity risks and mitigate cybersecurity incidents. The Audit Committee reports material cybersecurity risks to our full Board of Directors. Management is responsible for identifying, considering and assessing material cybersecurity risks on an ongoing basis, establishing processes to ensure that such potential cybersecurity risk exposures are monitored, implementing appropriate mitigation measures and maintaining our cybersecurity program. Our cybersecurity program is overseen by our Chief Information Security Officer, who receives reports from our cybersecurity team and monitors the prevention, detection, mitigation, and remediation of cybersecurity incidents. Our Chief Information Security Officer has over 15 years of technology leadership experience and is supported by a cybersecurity team comprised of experienced cybersecurity professionals with many years of experience and who maintain relevant industry certifications, such as the Certified Information Systems Security Professional, and participate in the Health Information Sharing and Analysis Center to stay apprised of healthcare-specific threats. Management, including our Chief Information Security Officer and cybersecurity team, regularly update the Audit Committee on our cybersecurity program, material cybersecurity risks and mitigation strategies and provide cybersecurity reports at least annually that cover, among other topics, third-party assessments of our cybersecurity program, developments in the cybersecurity landscape and updates to our cybersecurity program and mitigation strategies.</w:t>
      </w:r>
    </w:p>
    <w:p>
      <w:pPr>
        <w:spacing w:after="0" w:line="16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“Risk Factors—If our information technology systems, or those of the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 in this Annual Report on Form 10-K.</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tab/>
        <w:t>PROPERTIES</w:t>
      </w:r>
    </w:p>
    <w:p>
      <w:pPr>
        <w:spacing w:after="0" w:line="17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corporate headquarters is located at 1359 Broadway, New York, New York 10018, under a sublease that commenced in September 2019 and expires in May 2029. In February 2023, we entered into a lease, which expires in April 2036, for additional space in the same location and also for continued occupancy of our current space after the current sublease expires. We use our headquarters for administration, sales and marketing and client support. For additional information, please refer to Part II, Item 8 “Financial Statements and Supplementary Data — Note 7 — Leases”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tab/>
        <w:t>LEGAL PROCEEDINGS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Part II, Item 8 “Financial Statements and Supplementary Data — Note 15 — Commitments and Contingencies — Arbitration/Litigation.”</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9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8" w:lineRule="exact"/>
        <w:rPr>
          <w:sz w:val="20"/>
          <w:szCs w:val="20"/>
          <w:color w:val="auto"/>
        </w:rPr>
      </w:pPr>
    </w:p>
    <w:p>
      <w:pPr>
        <w:ind w:right="1060"/>
        <w:spacing w:after="0" w:line="499" w:lineRule="auto"/>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“PGNY”.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17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January 31, 2026, there were approximately 43 stockholders of record of our common stock. Because many of our shares of common stock are held in “street name” by brokers and other institutions on behalf of stockholders, we are unable to estimate the total number of stockholders represented by these record 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have never declared or paid cash dividends on our capital stock. We intend to retain any future earnings and do not expect to pay cash dividends in the foreseeable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Settlement of Equity Awards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restricted stock units are subject to vesting and the underlying shares of common stock are issued when the restricted stock units vest.</w:t>
      </w:r>
    </w:p>
    <w:p>
      <w:pPr>
        <w:spacing w:after="0" w:line="17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the fourth quarter of 2025, we withheld shares through net settlements (where the award holder receives the net of the shares vested, after surrendering a portion of the shares back to the Company for tax withholding) for certain restricted stock units that vested.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Repurchase Program</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November 5, 2025, the Company announced the November 2025 share repurchase program (the “November 2025 share repurchase program”) of up to $200 million of shares of common stock. Repurchases under the November 2025 share repurchase program may be made in the form of open market repurchases, including through plans complying with Rule 10b5-1 under the Exchange Act, depending on stock price, market conditions, and other factors, as determined by the Company. There can be no assurance as to the total number of shares that will be repurchased by the Company.</w:t>
      </w:r>
    </w:p>
    <w:p>
      <w:pPr>
        <w:spacing w:after="0" w:line="14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a summary of shares surrendered back to the Company for tax withholding on restricted stock units that vested under our equity incentive plans and shares purchased as part of publicly announced programs during the three months ended December 31, 2025:</w:t>
      </w:r>
    </w:p>
    <w:p>
      <w:pPr>
        <w:sectPr>
          <w:pgSz w:w="11900" w:h="16838" w:orient="portrait"/>
          <w:cols w:equalWidth="0" w:num="1">
            <w:col w:w="11280"/>
          </w:cols>
          <w:pgMar w:left="300" w:top="295" w:right="319" w:bottom="1440" w:gutter="0" w:footer="0" w:header="0"/>
        </w:sect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040" w:type="dxa"/>
            <w:vAlign w:val="bottom"/>
          </w:tcPr>
          <w:p>
            <w:pPr>
              <w:spacing w:after="0"/>
              <w:rPr>
                <w:sz w:val="10"/>
                <w:szCs w:val="10"/>
                <w:color w:val="auto"/>
              </w:rPr>
            </w:pP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86"/>
        </w:trPr>
        <w:tc>
          <w:tcPr>
            <w:tcW w:w="5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 xml:space="preserve">Repurchased </w:t>
            </w:r>
            <w:r>
              <w:rPr>
                <w:rFonts w:ascii="Times New Roman" w:cs="Times New Roman" w:eastAsia="Times New Roman" w:hAnsi="Times New Roman"/>
                <w:sz w:val="14"/>
                <w:szCs w:val="14"/>
                <w:b w:val="1"/>
                <w:bCs w:val="1"/>
                <w:color w:val="auto"/>
                <w:vertAlign w:val="superscript"/>
              </w:rPr>
              <w:t>(1)</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r>
      <w:tr>
        <w:trPr>
          <w:trHeight w:val="18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October 1, 2025 through October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90,179</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r>
      <w:tr>
        <w:trPr>
          <w:trHeight w:val="202"/>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November 1, 2025 through November 30,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1,690,302</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w:t>
            </w:r>
          </w:p>
        </w:tc>
      </w:tr>
      <w:tr>
        <w:trPr>
          <w:trHeight w:val="207"/>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December 1, 2025 through December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1,845,164</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r>
      <w:tr>
        <w:trPr>
          <w:trHeight w:val="19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Total shares repurchased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3,625,645</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161530" cy="128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-288925</wp:posOffset>
            </wp:positionV>
            <wp:extent cx="7161530" cy="128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9" w:lineRule="exact"/>
        <w:rPr>
          <w:sz w:val="20"/>
          <w:szCs w:val="20"/>
          <w:color w:val="auto"/>
        </w:rPr>
      </w:pPr>
    </w:p>
    <w:p>
      <w:pPr>
        <w:ind w:left="100" w:hanging="95"/>
        <w:spacing w:after="0"/>
        <w:tabs>
          <w:tab w:leader="none" w:pos="100" w:val="left"/>
        </w:tabs>
        <w:numPr>
          <w:ilvl w:val="0"/>
          <w:numId w:val="20"/>
        </w:numPr>
        <w:rPr>
          <w:rFonts w:ascii="Times New Roman" w:cs="Times New Roman" w:eastAsia="Times New Roman" w:hAnsi="Times New Roman"/>
          <w:sz w:val="5"/>
          <w:szCs w:val="5"/>
          <w:color w:val="auto"/>
        </w:rPr>
      </w:pPr>
      <w:r>
        <w:rPr>
          <w:rFonts w:ascii="Times New Roman" w:cs="Times New Roman" w:eastAsia="Times New Roman" w:hAnsi="Times New Roman"/>
          <w:sz w:val="14"/>
          <w:szCs w:val="14"/>
          <w:color w:val="auto"/>
        </w:rPr>
        <w:t>Includes share repurchases and shares withheld on net settlements of restricted stock units that vested under our equity incentive plans.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560" w:type="dxa"/>
            <w:vAlign w:val="bottom"/>
            <w:gridSpan w:val="2"/>
          </w:tcPr>
          <w:p>
            <w:pPr>
              <w:jc w:val="center"/>
              <w:ind w:left="53"/>
              <w:spacing w:after="0"/>
              <w:rPr>
                <w:sz w:val="20"/>
                <w:szCs w:val="20"/>
                <w:color w:val="auto"/>
              </w:rPr>
            </w:pPr>
            <w:r>
              <w:rPr>
                <w:rFonts w:ascii="Times New Roman" w:cs="Times New Roman" w:eastAsia="Times New Roman" w:hAnsi="Times New Roman"/>
                <w:sz w:val="11"/>
                <w:szCs w:val="11"/>
                <w:b w:val="1"/>
                <w:bCs w:val="1"/>
                <w:color w:val="auto"/>
              </w:rPr>
              <w:t>Maximum Dollar Amount of</w:t>
            </w:r>
          </w:p>
        </w:tc>
      </w:tr>
      <w:tr>
        <w:trPr>
          <w:trHeight w:val="127"/>
        </w:trPr>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Purchased as Part of Publicly</w:t>
            </w:r>
          </w:p>
        </w:tc>
        <w:tc>
          <w:tcPr>
            <w:tcW w:w="200" w:type="dxa"/>
            <w:vAlign w:val="bottom"/>
          </w:tcPr>
          <w:p>
            <w:pPr>
              <w:spacing w:after="0"/>
              <w:rPr>
                <w:sz w:val="11"/>
                <w:szCs w:val="11"/>
                <w:color w:val="auto"/>
              </w:rPr>
            </w:pPr>
          </w:p>
        </w:tc>
        <w:tc>
          <w:tcPr>
            <w:tcW w:w="1360" w:type="dxa"/>
            <w:vAlign w:val="bottom"/>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rPr>
              <w:t>Shares That Are Yet To Be</w:t>
            </w:r>
          </w:p>
        </w:tc>
      </w:tr>
      <w:tr>
        <w:trPr>
          <w:trHeight w:val="127"/>
        </w:trPr>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Announced Plans or</w:t>
            </w:r>
          </w:p>
        </w:tc>
        <w:tc>
          <w:tcPr>
            <w:tcW w:w="200" w:type="dxa"/>
            <w:vAlign w:val="bottom"/>
          </w:tcPr>
          <w:p>
            <w:pPr>
              <w:spacing w:after="0"/>
              <w:rPr>
                <w:sz w:val="11"/>
                <w:szCs w:val="11"/>
                <w:color w:val="auto"/>
              </w:rPr>
            </w:pPr>
          </w:p>
        </w:tc>
        <w:tc>
          <w:tcPr>
            <w:tcW w:w="1360" w:type="dxa"/>
            <w:vAlign w:val="bottom"/>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rPr>
              <w:t>Purchased Under the</w:t>
            </w:r>
          </w:p>
        </w:tc>
      </w:tr>
      <w:tr>
        <w:trPr>
          <w:trHeight w:val="149"/>
        </w:trPr>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Programs</w:t>
            </w:r>
          </w:p>
        </w:tc>
        <w:tc>
          <w:tcPr>
            <w:tcW w:w="200" w:type="dxa"/>
            <w:vAlign w:val="bottom"/>
          </w:tcPr>
          <w:p>
            <w:pPr>
              <w:spacing w:after="0"/>
              <w:rPr>
                <w:sz w:val="12"/>
                <w:szCs w:val="12"/>
                <w:color w:val="auto"/>
              </w:rPr>
            </w:pPr>
          </w:p>
        </w:tc>
        <w:tc>
          <w:tcPr>
            <w:tcW w:w="1360" w:type="dxa"/>
            <w:vAlign w:val="bottom"/>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rPr>
              <w:t>Program</w:t>
            </w:r>
          </w:p>
        </w:tc>
      </w:tr>
      <w:tr>
        <w:trPr>
          <w:trHeight w:val="220"/>
        </w:trPr>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1,588,366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160,302,964</w:t>
            </w:r>
          </w:p>
        </w:tc>
      </w:tr>
      <w:tr>
        <w:trPr>
          <w:trHeight w:val="207"/>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1,713,230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116,440,036</w:t>
            </w:r>
          </w:p>
        </w:tc>
      </w:tr>
      <w:tr>
        <w:trPr>
          <w:trHeight w:val="192"/>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3,301,596</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409" w:lineRule="exact"/>
        <w:rPr>
          <w:sz w:val="20"/>
          <w:szCs w:val="20"/>
          <w:color w:val="auto"/>
        </w:rPr>
      </w:pPr>
    </w:p>
    <w:p>
      <w:pPr>
        <w:sectPr>
          <w:pgSz w:w="11900" w:h="16838" w:orient="portrait"/>
          <w:cols w:equalWidth="0" w:num="2">
            <w:col w:w="8100" w:space="120"/>
            <w:col w:w="3060"/>
          </w:cols>
          <w:pgMar w:left="300" w:top="29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59"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Progyny, Inc. under the Securities Act or the Exchange Act.</w:t>
      </w:r>
    </w:p>
    <w:p>
      <w:pPr>
        <w:spacing w:after="0" w:line="15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graph set forth below compares cumulative total return on our common stock for the last five fiscal years through the fiscal year ended December 31, 2025, with that of the (i) S&amp;P Health Care (Sector) and (ii) the Nasdaq Composite Index. Each index assumes an initial investment of $100 in each and, assumes the reinvestment of any dividends, based on closing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88265</wp:posOffset>
            </wp:positionV>
            <wp:extent cx="4130040" cy="256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3004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6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1"/>
                <w:szCs w:val="11"/>
                <w:b w:val="1"/>
                <w:bCs w:val="1"/>
                <w:color w:val="auto"/>
              </w:rPr>
              <w:t>Cumulative Total Returns</w:t>
            </w:r>
          </w:p>
        </w:tc>
        <w:tc>
          <w:tcPr>
            <w:tcW w:w="1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59"/>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Company/Index</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12/31/2020</w:t>
            </w:r>
          </w:p>
        </w:tc>
        <w:tc>
          <w:tcPr>
            <w:tcW w:w="24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12/31/2021</w:t>
            </w:r>
          </w:p>
        </w:tc>
        <w:tc>
          <w:tcPr>
            <w:tcW w:w="24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12/31/2022</w:t>
            </w:r>
          </w:p>
        </w:tc>
        <w:tc>
          <w:tcPr>
            <w:tcW w:w="24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12/31/2023</w:t>
            </w:r>
          </w:p>
        </w:tc>
        <w:tc>
          <w:tcPr>
            <w:tcW w:w="24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12/31/2024</w:t>
            </w:r>
          </w:p>
        </w:tc>
        <w:tc>
          <w:tcPr>
            <w:tcW w:w="24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12/31/2025</w:t>
            </w:r>
          </w:p>
        </w:tc>
      </w:tr>
      <w:tr>
        <w:trPr>
          <w:trHeight w:val="151"/>
        </w:trPr>
        <w:tc>
          <w:tcPr>
            <w:tcW w:w="2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Progyny, Inc.</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$100.00</w:t>
            </w:r>
          </w:p>
        </w:tc>
        <w:tc>
          <w:tcPr>
            <w:tcW w:w="240" w:type="dxa"/>
            <w:vAlign w:val="bottom"/>
          </w:tcPr>
          <w:p>
            <w:pPr>
              <w:spacing w:after="0"/>
              <w:rPr>
                <w:sz w:val="13"/>
                <w:szCs w:val="13"/>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$121.00</w:t>
            </w:r>
          </w:p>
        </w:tc>
        <w:tc>
          <w:tcPr>
            <w:tcW w:w="240" w:type="dxa"/>
            <w:vAlign w:val="bottom"/>
          </w:tcPr>
          <w:p>
            <w:pPr>
              <w:spacing w:after="0"/>
              <w:rPr>
                <w:sz w:val="13"/>
                <w:szCs w:val="13"/>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$73.48</w:t>
            </w:r>
          </w:p>
        </w:tc>
        <w:tc>
          <w:tcPr>
            <w:tcW w:w="240" w:type="dxa"/>
            <w:vAlign w:val="bottom"/>
          </w:tcPr>
          <w:p>
            <w:pPr>
              <w:spacing w:after="0"/>
              <w:rPr>
                <w:sz w:val="13"/>
                <w:szCs w:val="13"/>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$87.71</w:t>
            </w:r>
          </w:p>
        </w:tc>
        <w:tc>
          <w:tcPr>
            <w:tcW w:w="240" w:type="dxa"/>
            <w:vAlign w:val="bottom"/>
          </w:tcPr>
          <w:p>
            <w:pPr>
              <w:spacing w:after="0"/>
              <w:rPr>
                <w:sz w:val="13"/>
                <w:szCs w:val="13"/>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$40.69</w:t>
            </w:r>
          </w:p>
        </w:tc>
        <w:tc>
          <w:tcPr>
            <w:tcW w:w="240" w:type="dxa"/>
            <w:vAlign w:val="bottom"/>
          </w:tcPr>
          <w:p>
            <w:pPr>
              <w:spacing w:after="0"/>
              <w:rPr>
                <w:sz w:val="13"/>
                <w:szCs w:val="13"/>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$60.58</w:t>
            </w:r>
          </w:p>
        </w:tc>
      </w:tr>
      <w:tr>
        <w:trPr>
          <w:trHeight w:val="17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S&amp;P 500 Health Care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$100.00</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$124.65</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$119.75</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$120.12</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$121.20</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$136.40</w:t>
            </w:r>
          </w:p>
        </w:tc>
      </w:tr>
      <w:tr>
        <w:trPr>
          <w:trHeight w:val="151"/>
        </w:trPr>
        <w:tc>
          <w:tcPr>
            <w:tcW w:w="2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NASDAQ Composite</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$100.00</w:t>
            </w:r>
          </w:p>
        </w:tc>
        <w:tc>
          <w:tcPr>
            <w:tcW w:w="2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$122.14</w:t>
            </w:r>
          </w:p>
        </w:tc>
        <w:tc>
          <w:tcPr>
            <w:tcW w:w="2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$81.21</w:t>
            </w:r>
          </w:p>
        </w:tc>
        <w:tc>
          <w:tcPr>
            <w:tcW w:w="2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$116.47</w:t>
            </w:r>
          </w:p>
        </w:tc>
        <w:tc>
          <w:tcPr>
            <w:tcW w:w="2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$149.83</w:t>
            </w:r>
          </w:p>
        </w:tc>
        <w:tc>
          <w:tcPr>
            <w:tcW w:w="2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$180.33</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6.</w:t>
        <w:tab/>
        <w:t>[RESERVED]</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179" w:lineRule="exact"/>
        <w:rPr>
          <w:sz w:val="20"/>
          <w:szCs w:val="20"/>
          <w:color w:val="auto"/>
        </w:rPr>
      </w:pPr>
    </w:p>
    <w:p>
      <w:pPr>
        <w:jc w:val="both"/>
        <w:ind w:firstLine="509"/>
        <w:spacing w:after="0" w:line="246"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The following discussion and analysis of our financial condition and results of operations should be read in conjunction with our consolidated financial statements and the related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Part I, Item 1A. “Risk Factors” of this Annual Report on Form 10-K. A discussion of the year ended December 31, 2024 as compared to the year ended December 31, 2023 has been reported previously in our Annual Report on Form 10-K for the year ended December 31, 2024, </w:t>
      </w:r>
      <w:hyperlink r:id="rId67">
        <w:r>
          <w:rPr>
            <w:rFonts w:ascii="Times New Roman" w:cs="Times New Roman" w:eastAsia="Times New Roman" w:hAnsi="Times New Roman"/>
            <w:sz w:val="14"/>
            <w:szCs w:val="14"/>
            <w:i w:val="1"/>
            <w:iCs w:val="1"/>
            <w:color w:val="auto"/>
          </w:rPr>
          <w:t>which was filed with the SEC on March 3, 2025 (File No. 001-39100) under the heading “</w:t>
        </w:r>
        <w:r>
          <w:rPr>
            <w:rFonts w:ascii="Times New Roman" w:cs="Times New Roman" w:eastAsia="Times New Roman" w:hAnsi="Times New Roman"/>
            <w:sz w:val="14"/>
            <w:szCs w:val="14"/>
            <w:i w:val="1"/>
            <w:iCs w:val="1"/>
            <w:u w:val="single" w:color="auto"/>
            <w:color w:val="0000FF"/>
          </w:rPr>
          <w:t>Management's Discussion and Analysis of Financial Condition and Results of Operations - Comparison of</w:t>
        </w:r>
      </w:hyperlink>
    </w:p>
    <w:p>
      <w:pPr>
        <w:spacing w:after="0" w:line="2" w:lineRule="exact"/>
        <w:rPr>
          <w:sz w:val="20"/>
          <w:szCs w:val="20"/>
          <w:color w:val="auto"/>
        </w:rPr>
      </w:pPr>
    </w:p>
    <w:p>
      <w:pPr>
        <w:spacing w:after="0"/>
        <w:rPr>
          <w:rFonts w:ascii="Times New Roman" w:cs="Times New Roman" w:eastAsia="Times New Roman" w:hAnsi="Times New Roman"/>
          <w:sz w:val="14"/>
          <w:szCs w:val="14"/>
          <w:i w:val="1"/>
          <w:iCs w:val="1"/>
          <w:color w:val="0000FF"/>
        </w:rPr>
      </w:pPr>
      <w:hyperlink r:id="rId67">
        <w:r>
          <w:rPr>
            <w:rFonts w:ascii="Times New Roman" w:cs="Times New Roman" w:eastAsia="Times New Roman" w:hAnsi="Times New Roman"/>
            <w:sz w:val="14"/>
            <w:szCs w:val="14"/>
            <w:i w:val="1"/>
            <w:iCs w:val="1"/>
            <w:u w:val="single" w:color="auto"/>
            <w:color w:val="0000FF"/>
          </w:rPr>
          <w:t>Years Ended December 31, 2024 and 2023.</w:t>
        </w:r>
        <w:r>
          <w:rPr>
            <w:rFonts w:ascii="Times New Roman" w:cs="Times New Roman" w:eastAsia="Times New Roman" w:hAnsi="Times New Roman"/>
            <w:sz w:val="14"/>
            <w:szCs w:val="14"/>
            <w:color w:val="000000"/>
          </w:rPr>
          <w:t>”</w:t>
        </w:r>
      </w:hyperlink>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17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are a benefits management company specializing in fertility, family building, and women's health benefits solutions primarily in the United States. For further information on our business and strategy, see Part I, Item 1. "Business" of this Annual Report on Form 10-K.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Model</w:t>
      </w:r>
    </w:p>
    <w:p>
      <w:pPr>
        <w:spacing w:after="0" w:line="15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4"/>
          <w:szCs w:val="14"/>
          <w:b w:val="1"/>
          <w:bCs w:val="1"/>
          <w:i w:val="1"/>
          <w:iCs w:val="1"/>
          <w:color w:val="auto"/>
        </w:rPr>
        <w:t>Fertility Benefits Solution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fertility benefits solution includes providing members with access to effective and cost-efficient fertility treatments through our Smart Cycle plan design.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preimplantation genetic testing, in the case of in vitro fertilization, or IVF).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Progyny Care Advocates, or PCAs, can choose their preferred provider clinics within our network and utilize the specific Smart Cycle treatment bundles necessary for the treatment pathway they determine throughout their fertility journey.</w:t>
      </w:r>
    </w:p>
    <w:p>
      <w:pPr>
        <w:spacing w:after="0" w:line="17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spacing w:after="0" w:line="16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Pharmacy Benefits Solution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Progyny Rx can only be purchased by clients that purchase our fertility benefits solution. Progyny Rx provides our members with access to the medications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3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760" w:hanging="246"/>
        <w:spacing w:after="0" w:line="250" w:lineRule="auto"/>
        <w:tabs>
          <w:tab w:leader="none" w:pos="756"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Utilization Component. </w:t>
      </w:r>
      <w:r>
        <w:rPr>
          <w:rFonts w:ascii="Times New Roman" w:cs="Times New Roman" w:eastAsia="Times New Roman" w:hAnsi="Times New Roman"/>
          <w:sz w:val="14"/>
          <w:szCs w:val="14"/>
          <w:color w:val="auto"/>
        </w:rPr>
        <w:t>Clients pay us for the fertility benefits and Progyny Rx solutions utilized by their employees. With respect to the fertility benefits solution, we bill clients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48" w:lineRule="exact"/>
        <w:rPr>
          <w:rFonts w:ascii="Times New Roman" w:cs="Times New Roman" w:eastAsia="Times New Roman" w:hAnsi="Times New Roman"/>
          <w:sz w:val="14"/>
          <w:szCs w:val="14"/>
          <w:b w:val="1"/>
          <w:bCs w:val="1"/>
          <w:color w:val="auto"/>
        </w:rPr>
      </w:pPr>
    </w:p>
    <w:p>
      <w:pPr>
        <w:jc w:val="both"/>
        <w:ind w:left="760" w:hanging="246"/>
        <w:spacing w:after="0" w:line="255" w:lineRule="auto"/>
        <w:tabs>
          <w:tab w:leader="none" w:pos="756"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Population-Based Component. </w:t>
      </w:r>
      <w:r>
        <w:rPr>
          <w:rFonts w:ascii="Times New Roman" w:cs="Times New Roman" w:eastAsia="Times New Roman" w:hAnsi="Times New Roman"/>
          <w:sz w:val="14"/>
          <w:szCs w:val="14"/>
          <w:color w:val="auto"/>
        </w:rPr>
        <w:t>Clients who purchase our fertility benefits solution also typically pay us a per employee per month fee, or PEPM fee, which is population-based. This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allows us to provide members with access to our PCAs for fertility and family building education and guidance and other digital tools to all of our members, regardless of whether they ultimately pursue fertility treatment. PEPM fees represented 1% of our total revenue for the years ended December 31, 2025 and 2024, respectively.</w:t>
      </w:r>
    </w:p>
    <w:p>
      <w:pPr>
        <w:spacing w:after="0" w:line="147"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Our revenue in a given year is determined by the utilization, including rate of consumption and mix, of our fertility benefits and Progyny Rx solutions by our members as well as the number of members enrolled in our clients’ benefits plans. Each year, we contract with new clients for our fertility benefits and Progyny Rx solutions. Given that the majority of our clients contract with us for a January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 Similarly, for existing clients, any changes in plan designs are typically elected by the end of October so that clients can inform their employees of the benefits during the open enrollment period ahead of a January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plan year start.</w:t>
      </w:r>
    </w:p>
    <w:p>
      <w:pPr>
        <w:spacing w:after="0" w:line="23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We continue to expand our women's health and family building solutions to include pregnancy and postpartum, menopause and midlife, benefit and leave navigation, and parent and child wellbeing solutions. While these offerings represent strategic areas of investment, they were not a significant portion of our revenue for the years ended December 31, 2025 and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Operational and Business Metrics</w:t>
      </w:r>
    </w:p>
    <w:p>
      <w:pPr>
        <w:spacing w:after="0" w:line="18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22"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Member and Client Base. </w:t>
      </w:r>
      <w:r>
        <w:rPr>
          <w:rFonts w:ascii="Times New Roman" w:cs="Times New Roman" w:eastAsia="Times New Roman" w:hAnsi="Times New Roman"/>
          <w:sz w:val="14"/>
          <w:szCs w:val="14"/>
          <w:color w:val="auto"/>
        </w:rPr>
        <w:t>Our addressable market is primarily large self-insured employers, as well as labor populations under the Labor Management Relations Act of 1947 (also known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Taft-Hartley Act) and federal government populations. There are approximately 9,000 employers in the United States who have a minimum of 1,000 employees, who together with Taft-Hartley labor populations and federal government populations, represents approximately 106 million potential covered lives in total. Our current member base of approximately 7.2 million covered lives under contract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December 31, 2025 and 2024, we served 555 and 473 clients, representing 6,689,000 and 6,472,000 members,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60"/>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175"/>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173"/>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60"/>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Client Tier (Members)</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Clients</w:t>
            </w: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Members</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1"/>
                <w:szCs w:val="11"/>
                <w:b w:val="1"/>
                <w:bCs w:val="1"/>
                <w:color w:val="auto"/>
              </w:rPr>
              <w:t>Clients</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Members</w:t>
            </w:r>
          </w:p>
        </w:tc>
      </w:tr>
      <w:tr>
        <w:trPr>
          <w:trHeight w:val="20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2,500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261,000</w:t>
            </w: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2,501 - 10,000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1,379,000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1,151,000</w:t>
            </w:r>
          </w:p>
        </w:tc>
      </w:tr>
      <w:tr>
        <w:trPr>
          <w:trHeight w:val="20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10,001 - 50,000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1,935,000</w:t>
            </w:r>
          </w:p>
        </w:tc>
      </w:tr>
      <w:tr>
        <w:trPr>
          <w:trHeight w:val="196"/>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50,000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2,861,000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3,125,000</w:t>
            </w:r>
          </w:p>
        </w:tc>
      </w:tr>
      <w:tr>
        <w:trPr>
          <w:trHeight w:val="19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555</w:t>
            </w:r>
          </w:p>
        </w:tc>
        <w:tc>
          <w:tcPr>
            <w:tcW w:w="10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6,689,000</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473</w:t>
            </w:r>
          </w:p>
        </w:tc>
        <w:tc>
          <w:tcPr>
            <w:tcW w:w="10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6,472,000</w:t>
            </w:r>
          </w:p>
        </w:tc>
      </w:tr>
    </w:tbl>
    <w:p>
      <w:pPr>
        <w:spacing w:after="0" w:line="227"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Benefits Utilization. </w:t>
      </w:r>
      <w:r>
        <w:rPr>
          <w:rFonts w:ascii="Times New Roman" w:cs="Times New Roman" w:eastAsia="Times New Roman" w:hAnsi="Times New Roman"/>
          <w:sz w:val="14"/>
          <w:szCs w:val="14"/>
          <w:color w:val="auto"/>
        </w:rPr>
        <w:t>A key driver of our revenue is the number of members we serve and the rate at which they utilize their fertility benefits. As our client base has grown, our membership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has grown from approximately 110,000 members in 2016 when we launched our fertility benefits solution to 6.7 million members as of December 31, 2025.</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highlights the number of ART cycles performed for Progyny members and the member utilization rates for each of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80" w:type="dxa"/>
            <w:vAlign w:val="bottom"/>
            <w:gridSpan w:val="3"/>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3"/>
          </w:tcPr>
          <w:p>
            <w:pPr>
              <w:jc w:val="center"/>
              <w:ind w:left="935"/>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020" w:type="dxa"/>
            <w:vAlign w:val="bottom"/>
          </w:tcPr>
          <w:p>
            <w:pPr>
              <w:spacing w:after="0"/>
              <w:rPr>
                <w:sz w:val="11"/>
                <w:szCs w:val="11"/>
                <w:color w:val="auto"/>
              </w:rPr>
            </w:pPr>
          </w:p>
        </w:tc>
      </w:tr>
      <w:tr>
        <w:trPr>
          <w:trHeight w:val="158"/>
        </w:trPr>
        <w:tc>
          <w:tcPr>
            <w:tcW w:w="50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center"/>
              <w:ind w:right="22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gridSpan w:val="3"/>
          </w:tcPr>
          <w:p>
            <w:pPr>
              <w:jc w:val="center"/>
              <w:ind w:left="95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r>
      <w:tr>
        <w:trPr>
          <w:trHeight w:val="160"/>
        </w:trPr>
        <w:tc>
          <w:tcPr>
            <w:tcW w:w="50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594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Assisted Reproductive Treatment (ART) Cycles</w:t>
            </w:r>
            <w:r>
              <w:rPr>
                <w:rFonts w:ascii="Times New Roman" w:cs="Times New Roman" w:eastAsia="Times New Roman" w:hAnsi="Times New Roman"/>
                <w:sz w:val="18"/>
                <w:szCs w:val="18"/>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15,839</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61,114</w:t>
            </w:r>
          </w:p>
        </w:tc>
      </w:tr>
      <w:tr>
        <w:trPr>
          <w:trHeight w:val="19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Utilization - All Members</w:t>
            </w:r>
            <w:r>
              <w:rPr>
                <w:rFonts w:ascii="Times New Roman" w:cs="Times New Roman" w:eastAsia="Times New Roman" w:hAnsi="Times New Roman"/>
                <w:sz w:val="6"/>
                <w:szCs w:val="6"/>
                <w:color w:val="auto"/>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07"/>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Utilization - Female Only</w:t>
            </w:r>
            <w:r>
              <w:rPr>
                <w:rFonts w:ascii="Times New Roman" w:cs="Times New Roman" w:eastAsia="Times New Roman" w:hAnsi="Times New Roman"/>
                <w:sz w:val="6"/>
                <w:szCs w:val="6"/>
                <w:color w:val="auto"/>
              </w:rPr>
              <w:t>(2)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91"/>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Members</w:t>
            </w:r>
            <w:r>
              <w:rPr>
                <w:rFonts w:ascii="Times New Roman" w:cs="Times New Roman" w:eastAsia="Times New Roman" w:hAnsi="Times New Roman"/>
                <w:sz w:val="6"/>
                <w:szCs w:val="6"/>
                <w:color w:val="auto"/>
              </w:rPr>
              <w:t>(3)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6,707,000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6,471,000</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6,719,000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6,404,000</w:t>
            </w:r>
          </w:p>
        </w:tc>
      </w:tr>
    </w:tbl>
    <w:p>
      <w:pPr>
        <w:spacing w:after="0" w:line="230" w:lineRule="exact"/>
        <w:rPr>
          <w:sz w:val="20"/>
          <w:szCs w:val="20"/>
          <w:color w:val="auto"/>
        </w:rPr>
      </w:pPr>
    </w:p>
    <w:p>
      <w:pPr>
        <w:ind w:left="260" w:hanging="255"/>
        <w:spacing w:after="0" w:line="230" w:lineRule="auto"/>
        <w:tabs>
          <w:tab w:leader="none" w:pos="25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the number of ART cycles performed, including IVF with a fresh embryo transfer, IVF freeze all cycles/embryo banking, frozen embryo transfers and egg freezing. Includes ART cycles performed in the first half of 2025 under the extended transition of care agreement with the large client who did not renew its service agreement.</w:t>
      </w:r>
    </w:p>
    <w:p>
      <w:pPr>
        <w:spacing w:after="0" w:line="146" w:lineRule="exact"/>
        <w:rPr>
          <w:rFonts w:ascii="Times New Roman" w:cs="Times New Roman" w:eastAsia="Times New Roman" w:hAnsi="Times New Roman"/>
          <w:sz w:val="18"/>
          <w:szCs w:val="18"/>
          <w:color w:val="auto"/>
          <w:vertAlign w:val="superscript"/>
        </w:rPr>
      </w:pPr>
    </w:p>
    <w:p>
      <w:pPr>
        <w:jc w:val="both"/>
        <w:ind w:left="260" w:hanging="255"/>
        <w:spacing w:after="0" w:line="236" w:lineRule="auto"/>
        <w:tabs>
          <w:tab w:leader="none" w:pos="25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the member utilization rate for all fertility and family building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r>
        <w:rPr>
          <w:rFonts w:ascii="Arial" w:cs="Arial" w:eastAsia="Arial" w:hAnsi="Arial"/>
          <w:sz w:val="16"/>
          <w:szCs w:val="16"/>
          <w:color w:val="auto"/>
        </w:rPr>
        <w:t>.</w:t>
      </w:r>
      <w:r>
        <w:rPr>
          <w:rFonts w:ascii="Times New Roman" w:cs="Times New Roman" w:eastAsia="Times New Roman" w:hAnsi="Times New Roman"/>
          <w:sz w:val="14"/>
          <w:szCs w:val="14"/>
          <w:color w:val="auto"/>
        </w:rPr>
        <w:t xml:space="preserve"> Utilization for 2025 excludes activity under the extended transition of care agreement that ended June 30, 2025 with the large client who did not renew its service agreement, as only members meeting certain criteria were eligible to use the benefit.</w:t>
      </w:r>
    </w:p>
    <w:p>
      <w:pPr>
        <w:spacing w:after="0" w:line="158" w:lineRule="exact"/>
        <w:rPr>
          <w:rFonts w:ascii="Times New Roman" w:cs="Times New Roman" w:eastAsia="Times New Roman" w:hAnsi="Times New Roman"/>
          <w:sz w:val="18"/>
          <w:szCs w:val="18"/>
          <w:color w:val="auto"/>
          <w:vertAlign w:val="superscript"/>
        </w:rPr>
      </w:pPr>
    </w:p>
    <w:p>
      <w:pPr>
        <w:ind w:left="260" w:hanging="255"/>
        <w:spacing w:after="0" w:line="223" w:lineRule="auto"/>
        <w:tabs>
          <w:tab w:leader="none" w:pos="25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approximately 300,000 members from a single client who are not reflected in utilization as a result of the client's chosen benefit design. 2025 excludes the limited number of members who were eligible to use the benefit under the extended transition of care agreement that ended June 30, 2025 with the large client who did not renew its service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Revenue includes fertility benefits solution revenue, pharmacy benefits solution revenue and PEPM fees.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Fertility Benefits Solution Revenue</w:t>
      </w:r>
    </w:p>
    <w:p>
      <w:pPr>
        <w:spacing w:after="0" w:line="17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Pharmacy Benefits Solution Revenue</w:t>
      </w:r>
    </w:p>
    <w:p>
      <w:pPr>
        <w:spacing w:after="0" w:line="18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(or rebates),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Per Employee Per Month (PEPM) Fee</w:t>
      </w:r>
    </w:p>
    <w:p>
      <w:pPr>
        <w:spacing w:after="0" w:line="1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cost of services has three primary components: (1) fertility benefits services; (2) pharmacy benefits services; and (3) vendor rebates.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Fertility Benefits Services</w:t>
      </w:r>
    </w:p>
    <w:p>
      <w:pPr>
        <w:spacing w:after="0" w:line="1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Pharmacy Benefits Services</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Vendor Rebates</w:t>
      </w:r>
    </w:p>
    <w:p>
      <w:pPr>
        <w:spacing w:after="0" w:line="17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70"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operating expenses consist of sales and marketing and general and administrative expenses.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Sales and Marketing Expense</w:t>
      </w:r>
    </w:p>
    <w:p>
      <w:pPr>
        <w:spacing w:after="0" w:line="1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as well as research and development activities. These expenses also include third-party consulting services, facilities costs, and bad debt expense. We anticipate that we will incur additional general and administrative expenses on an ongoing basis to support the growth of our business.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Net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and other income, net includes interest income and expense as well as investment income and losses.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are subject to income taxes in the United States and in certain foreign jurisdictions.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substantially all the net deferred tax assets are realizable.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Results of Operations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and as a percentage of revenue for those periods:</w:t>
      </w:r>
    </w:p>
    <w:p>
      <w:pPr>
        <w:spacing w:after="0" w:line="216"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0"/>
        </w:trPr>
        <w:tc>
          <w:tcPr>
            <w:tcW w:w="8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3"/>
                <w:szCs w:val="13"/>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1,288,661</w:t>
            </w:r>
          </w:p>
        </w:tc>
        <w:tc>
          <w:tcPr>
            <w:tcW w:w="100" w:type="dxa"/>
            <w:vAlign w:val="bottom"/>
          </w:tcPr>
          <w:p>
            <w:pPr>
              <w:spacing w:after="0"/>
              <w:rPr>
                <w:sz w:val="17"/>
                <w:szCs w:val="17"/>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1,167,221</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services</w:t>
            </w:r>
            <w:r>
              <w:rPr>
                <w:rFonts w:ascii="Times New Roman" w:cs="Times New Roman" w:eastAsia="Times New Roman" w:hAnsi="Times New Roman"/>
                <w:sz w:val="18"/>
                <w:szCs w:val="18"/>
                <w:color w:val="auto"/>
                <w:vertAlign w:val="superscript"/>
              </w:rPr>
              <w:t>(1)</w:t>
            </w:r>
          </w:p>
        </w:tc>
        <w:tc>
          <w:tcPr>
            <w:tcW w:w="8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984,177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913,858</w:t>
            </w: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304,484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253,363</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2"/>
        </w:trPr>
        <w:tc>
          <w:tcPr>
            <w:tcW w:w="8220" w:type="dxa"/>
            <w:vAlign w:val="bottom"/>
          </w:tcPr>
          <w:p>
            <w:pPr>
              <w:ind w:left="100"/>
              <w:spacing w:after="0" w:line="201"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8"/>
                <w:szCs w:val="18"/>
                <w:color w:val="auto"/>
                <w:vertAlign w:val="superscript"/>
              </w:rPr>
              <w:t>(1)</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63,948</w:t>
            </w:r>
          </w:p>
        </w:tc>
      </w:tr>
      <w:tr>
        <w:trPr>
          <w:trHeight w:val="202"/>
        </w:trPr>
        <w:tc>
          <w:tcPr>
            <w:tcW w:w="822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8"/>
                <w:szCs w:val="18"/>
                <w:color w:val="auto"/>
                <w:vertAlign w:val="superscript"/>
              </w:rPr>
              <w:t>(1)</w:t>
            </w:r>
          </w:p>
        </w:tc>
        <w:tc>
          <w:tcPr>
            <w:tcW w:w="8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147,094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121,960</w:t>
            </w:r>
          </w:p>
        </w:tc>
      </w:tr>
      <w:tr>
        <w:trPr>
          <w:trHeight w:val="187"/>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219,207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185,908</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85,277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67,455</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15,747</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95,432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83,202</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36,912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28,866</w:t>
            </w: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8220" w:type="dxa"/>
            <w:vAlign w:val="bottom"/>
          </w:tcPr>
          <w:p>
            <w:pPr>
              <w:ind w:left="20"/>
              <w:spacing w:after="0" w:line="164"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(2)</w:t>
            </w: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222,092</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198,760</w:t>
            </w:r>
          </w:p>
        </w:tc>
      </w:tr>
      <w:tr>
        <w:trPr>
          <w:trHeight w:val="20"/>
        </w:trPr>
        <w:tc>
          <w:tcPr>
            <w:tcW w:w="8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40" w:hanging="235"/>
        <w:spacing w:after="0"/>
        <w:tabs>
          <w:tab w:leader="none" w:pos="24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stock-based compensation expense as follows:</w:t>
      </w:r>
    </w:p>
    <w:p>
      <w:pPr>
        <w:spacing w:after="0" w:line="193"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36,799</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30,490</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65,833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60,841</w:t>
            </w:r>
          </w:p>
        </w:tc>
      </w:tr>
      <w:tr>
        <w:trPr>
          <w:trHeight w:val="192"/>
        </w:trPr>
        <w:tc>
          <w:tcPr>
            <w:tcW w:w="822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Total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131,867</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128,130</w:t>
            </w: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left="260" w:hanging="255"/>
        <w:spacing w:after="0" w:line="232" w:lineRule="auto"/>
        <w:tabs>
          <w:tab w:leader="none" w:pos="250"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Adjusted EBITDA is a non-GAAP financial measure that we define as net income, adjusted to exclude depreciation and amortization, stock-based compensation expense, interest and other income, net, and provision for income taxes. See “Management’s Discussion and Analysis of Financial Condition and Result of Operations – Non-GAAP Financial Measure – Adjusted EBITDA" below for a reconciliation of Adjusted EBITDA to net income, the most directly comparable measure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 as a percentage of revenue:</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96"/>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r>
      <w:tr>
        <w:trPr>
          <w:trHeight w:val="192"/>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07"/>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96"/>
        </w:trPr>
        <w:tc>
          <w:tcPr>
            <w:tcW w:w="9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2"/>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92"/>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98"/>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8"/>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1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4"/>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20"/>
        </w:trPr>
        <w:tc>
          <w:tcPr>
            <w:tcW w:w="8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Note: percentages shown in the table may not foot due to rounding.</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 – Adjusted EBITDA</w:t>
      </w:r>
    </w:p>
    <w:p>
      <w:pPr>
        <w:spacing w:after="0" w:line="170"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52"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interest and other income,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14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We calculate Adjusted EBITDA as net income, adjusted to exclude depreciation and amortization, stock-based compensation expense, interest and other income, net, and provision for income taxes. The following table presents a reconciliation of Adjusted EBITDA to net income, the most directly comparable financial measure stated in accordance with U.S. GAAP, for each of the periods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92"/>
        </w:trPr>
        <w:tc>
          <w:tcPr>
            <w:tcW w:w="6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12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58,520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54,336</w:t>
            </w:r>
          </w:p>
        </w:tc>
        <w:tc>
          <w:tcPr>
            <w:tcW w:w="0" w:type="dxa"/>
            <w:vAlign w:val="bottom"/>
          </w:tcPr>
          <w:p>
            <w:pPr>
              <w:spacing w:after="0"/>
              <w:rPr>
                <w:sz w:val="1"/>
                <w:szCs w:val="1"/>
                <w:color w:val="auto"/>
              </w:rPr>
            </w:pPr>
          </w:p>
        </w:tc>
      </w:tr>
      <w:tr>
        <w:trPr>
          <w:trHeight w:val="196"/>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0" w:type="dxa"/>
            <w:vAlign w:val="bottom"/>
          </w:tcPr>
          <w:p>
            <w:pPr>
              <w:spacing w:after="0"/>
              <w:rPr>
                <w:sz w:val="1"/>
                <w:szCs w:val="1"/>
                <w:color w:val="auto"/>
              </w:rPr>
            </w:pPr>
          </w:p>
        </w:tc>
      </w:tr>
      <w:tr>
        <w:trPr>
          <w:trHeight w:val="202"/>
        </w:trPr>
        <w:tc>
          <w:tcPr>
            <w:tcW w:w="656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131,867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128,130</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(10,155)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(15,747)</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36,912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28,866</w:t>
            </w:r>
          </w:p>
        </w:tc>
        <w:tc>
          <w:tcPr>
            <w:tcW w:w="0" w:type="dxa"/>
            <w:vAlign w:val="bottom"/>
          </w:tcPr>
          <w:p>
            <w:pPr>
              <w:spacing w:after="0"/>
              <w:rPr>
                <w:sz w:val="1"/>
                <w:szCs w:val="1"/>
                <w:color w:val="auto"/>
              </w:rPr>
            </w:pPr>
          </w:p>
        </w:tc>
      </w:tr>
      <w:tr>
        <w:trPr>
          <w:trHeight w:val="21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12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222,092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198,760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Comparison of Years Ended December 31, 2025 and 2024</w:t>
            </w: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5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560" w:type="dxa"/>
            <w:vAlign w:val="bottom"/>
          </w:tcPr>
          <w:p>
            <w:pPr>
              <w:spacing w:after="0"/>
              <w:rPr>
                <w:sz w:val="24"/>
                <w:szCs w:val="24"/>
                <w:color w:val="auto"/>
              </w:rPr>
            </w:pPr>
          </w:p>
        </w:tc>
        <w:tc>
          <w:tcPr>
            <w:tcW w:w="2120" w:type="dxa"/>
            <w:vAlign w:val="bottom"/>
            <w:gridSpan w:val="4"/>
          </w:tcPr>
          <w:p>
            <w:pPr>
              <w:jc w:val="center"/>
              <w:ind w:left="817"/>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560" w:type="dxa"/>
            <w:vAlign w:val="bottom"/>
          </w:tcPr>
          <w:p>
            <w:pPr>
              <w:spacing w:after="0"/>
              <w:rPr>
                <w:sz w:val="13"/>
                <w:szCs w:val="13"/>
                <w:color w:val="auto"/>
              </w:rPr>
            </w:pPr>
          </w:p>
        </w:tc>
        <w:tc>
          <w:tcPr>
            <w:tcW w:w="2120" w:type="dxa"/>
            <w:vAlign w:val="bottom"/>
            <w:tcBorders>
              <w:bottom w:val="single" w:sz="8" w:color="auto"/>
            </w:tcBorders>
            <w:gridSpan w:val="4"/>
          </w:tcPr>
          <w:p>
            <w:pPr>
              <w:jc w:val="center"/>
              <w:ind w:left="83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560" w:type="dxa"/>
            <w:vAlign w:val="bottom"/>
          </w:tcPr>
          <w:p>
            <w:pPr>
              <w:spacing w:after="0"/>
              <w:rPr>
                <w:sz w:val="13"/>
                <w:szCs w:val="13"/>
                <w:color w:val="auto"/>
              </w:rPr>
            </w:pPr>
          </w:p>
        </w:tc>
        <w:tc>
          <w:tcPr>
            <w:tcW w:w="14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92"/>
        </w:trPr>
        <w:tc>
          <w:tcPr>
            <w:tcW w:w="6560" w:type="dxa"/>
            <w:vAlign w:val="bottom"/>
          </w:tcPr>
          <w:p>
            <w:pPr>
              <w:spacing w:after="0"/>
              <w:rPr>
                <w:sz w:val="16"/>
                <w:szCs w:val="16"/>
                <w:color w:val="auto"/>
              </w:rPr>
            </w:pPr>
          </w:p>
        </w:tc>
        <w:tc>
          <w:tcPr>
            <w:tcW w:w="2120" w:type="dxa"/>
            <w:vAlign w:val="bottom"/>
            <w:gridSpan w:val="4"/>
          </w:tcPr>
          <w:p>
            <w:pPr>
              <w:jc w:val="center"/>
              <w:ind w:left="837"/>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$1,167,221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Revenue increased by $121.4 million, or 10%, for the year ended December 31, 2025 compared to the year ended December 31, 2024. This increase is primarily due to a $101.3 million, or 14% increase, in revenue from our fertility benefits solution and a $20.1 million or 5% increase in revenue from our Progyny Rx solution. The increase in revenue from our fertility benefits solution and Progyny Rx solution were primarily due to the increase in the number of clients and covered lives.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8"/>
        </w:trPr>
        <w:tc>
          <w:tcPr>
            <w:tcW w:w="65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6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92"/>
        </w:trPr>
        <w:tc>
          <w:tcPr>
            <w:tcW w:w="6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1"/>
        </w:trPr>
        <w:tc>
          <w:tcPr>
            <w:tcW w:w="7420" w:type="dxa"/>
            <w:vAlign w:val="bottom"/>
            <w:gridSpan w:val="2"/>
            <w:shd w:val="clear" w:color="auto" w:fill="CCEEFF"/>
          </w:tcPr>
          <w:p>
            <w:pPr>
              <w:jc w:val="right"/>
              <w:ind w:right="6443"/>
              <w:spacing w:after="0"/>
              <w:rPr>
                <w:sz w:val="20"/>
                <w:szCs w:val="20"/>
                <w:color w:val="auto"/>
              </w:rPr>
            </w:pPr>
            <w:r>
              <w:rPr>
                <w:rFonts w:ascii="Times New Roman" w:cs="Times New Roman" w:eastAsia="Times New Roman" w:hAnsi="Times New Roman"/>
                <w:sz w:val="14"/>
                <w:szCs w:val="14"/>
                <w:color w:val="auto"/>
              </w:rPr>
              <w:t>Cost of services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$984,177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$913,858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22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Cost of services increased by $70.3 million, or 8%, for the year ended December 31, 2025 compared to the year ended December 31, 2024 primarily due to an increase in medical treatment and pharmacy prescription costs associated with fertility treatments delivered. This increase in cost of services was also attributable to an increase in personnel-related costs as higher costs attributable to incremental head count were partially offset by a decrease in stock-based compensation expense of $1.5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380" w:type="dxa"/>
            <w:vAlign w:val="bottom"/>
          </w:tcPr>
          <w:p>
            <w:pPr>
              <w:spacing w:after="0"/>
              <w:rPr>
                <w:sz w:val="11"/>
                <w:szCs w:val="11"/>
                <w:color w:val="auto"/>
              </w:rPr>
            </w:pPr>
          </w:p>
        </w:tc>
        <w:tc>
          <w:tcPr>
            <w:tcW w:w="2240" w:type="dxa"/>
            <w:vAlign w:val="bottom"/>
            <w:gridSpan w:val="3"/>
          </w:tcPr>
          <w:p>
            <w:pPr>
              <w:jc w:val="center"/>
              <w:ind w:left="899"/>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58"/>
        </w:trPr>
        <w:tc>
          <w:tcPr>
            <w:tcW w:w="6380" w:type="dxa"/>
            <w:vAlign w:val="bottom"/>
          </w:tcPr>
          <w:p>
            <w:pPr>
              <w:spacing w:after="0"/>
              <w:rPr>
                <w:sz w:val="13"/>
                <w:szCs w:val="13"/>
                <w:color w:val="auto"/>
              </w:rPr>
            </w:pPr>
          </w:p>
        </w:tc>
        <w:tc>
          <w:tcPr>
            <w:tcW w:w="2240" w:type="dxa"/>
            <w:vAlign w:val="bottom"/>
            <w:tcBorders>
              <w:bottom w:val="single" w:sz="8" w:color="auto"/>
            </w:tcBorders>
            <w:gridSpan w:val="3"/>
          </w:tcPr>
          <w:p>
            <w:pPr>
              <w:jc w:val="center"/>
              <w:ind w:left="91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6380" w:type="dxa"/>
            <w:vAlign w:val="bottom"/>
          </w:tcPr>
          <w:p>
            <w:pPr>
              <w:spacing w:after="0"/>
              <w:rPr>
                <w:sz w:val="13"/>
                <w:szCs w:val="13"/>
                <w:color w:val="auto"/>
              </w:rPr>
            </w:pPr>
          </w:p>
        </w:tc>
        <w:tc>
          <w:tcPr>
            <w:tcW w:w="15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92"/>
        </w:trPr>
        <w:tc>
          <w:tcPr>
            <w:tcW w:w="6380" w:type="dxa"/>
            <w:vAlign w:val="bottom"/>
          </w:tcPr>
          <w:p>
            <w:pPr>
              <w:spacing w:after="0"/>
              <w:rPr>
                <w:sz w:val="16"/>
                <w:szCs w:val="16"/>
                <w:color w:val="auto"/>
              </w:rPr>
            </w:pPr>
          </w:p>
        </w:tc>
        <w:tc>
          <w:tcPr>
            <w:tcW w:w="2240" w:type="dxa"/>
            <w:vAlign w:val="bottom"/>
            <w:gridSpan w:val="3"/>
          </w:tcPr>
          <w:p>
            <w:pPr>
              <w:jc w:val="center"/>
              <w:ind w:left="939"/>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$304,484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$253,363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1"/>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Gross profit increased by $51.1 million, or 20%, for the year ended December 31, 2025 compared to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Gross margin increased 190 basis points for the year ended December 31, 2025 compared to the year ended December 31, 2024, primarily due to ongoing efficiencies realized in the delivery of our care management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Sales and Marketing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8"/>
        </w:trPr>
        <w:tc>
          <w:tcPr>
            <w:tcW w:w="65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60" w:type="dxa"/>
            <w:vAlign w:val="bottom"/>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92"/>
        </w:trPr>
        <w:tc>
          <w:tcPr>
            <w:tcW w:w="6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1"/>
        </w:trPr>
        <w:tc>
          <w:tcPr>
            <w:tcW w:w="7460" w:type="dxa"/>
            <w:vAlign w:val="bottom"/>
            <w:gridSpan w:val="2"/>
            <w:shd w:val="clear" w:color="auto" w:fill="CCEEFF"/>
          </w:tcPr>
          <w:p>
            <w:pPr>
              <w:jc w:val="right"/>
              <w:ind w:right="6243"/>
              <w:spacing w:after="0"/>
              <w:rPr>
                <w:sz w:val="20"/>
                <w:szCs w:val="20"/>
                <w:color w:val="auto"/>
              </w:rPr>
            </w:pPr>
            <w:r>
              <w:rPr>
                <w:rFonts w:ascii="Times New Roman" w:cs="Times New Roman" w:eastAsia="Times New Roman" w:hAnsi="Times New Roman"/>
                <w:sz w:val="14"/>
                <w:szCs w:val="14"/>
                <w:color w:val="auto"/>
              </w:rPr>
              <w:t>Sales and marketing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bl>
    <w:p>
      <w:pPr>
        <w:spacing w:after="0" w:line="22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Sales and marketing expense increased by $8.2 million, or 13%, for the year ended December 31, 2025 compared to the year ended December 31, 2024. This increase was due to a $5.8 million increase in personnel-related costs attributable to incremental head count which included an increase in stock-based compensation expense of $0.2 million, and a $2.4 million increase in other related sales and marketing expenses.</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8"/>
        </w:trPr>
        <w:tc>
          <w:tcPr>
            <w:tcW w:w="65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6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92"/>
        </w:trPr>
        <w:tc>
          <w:tcPr>
            <w:tcW w:w="6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1"/>
        </w:trPr>
        <w:tc>
          <w:tcPr>
            <w:tcW w:w="7420" w:type="dxa"/>
            <w:vAlign w:val="bottom"/>
            <w:gridSpan w:val="2"/>
            <w:shd w:val="clear" w:color="auto" w:fill="CCEEFF"/>
          </w:tcPr>
          <w:p>
            <w:pPr>
              <w:jc w:val="right"/>
              <w:ind w:right="5803"/>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$147,094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$121,960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229"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General and administrative expense increased by $25.1 million, or 21%, for the year ended December 31, 2025 compared to the year ended December 31, 2024. This increase was due to a $16.5 million increase in personnel-related costs, which included an increase of $5.0 million in stock-based compensation expense, attributable to incremental head count and executive severance costs, a $4.1 million increase in bad debt expense driven by our revenue growth, and a $4.5 million net increase in other related general and administrative expenses. Stock-based compensation expense included $7.7 million of executive severance costs in the year ended December 31, 2025 mainly attributable to the accelerated vesting of awards upon the termination of an executive in December 2025. Other related general and administrative expense also included a benefit of $2.1 million in the year ended December 31, 2025 related to employee retention credit refunds.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58"/>
        </w:trPr>
        <w:tc>
          <w:tcPr>
            <w:tcW w:w="65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60"/>
        </w:trPr>
        <w:tc>
          <w:tcPr>
            <w:tcW w:w="6500" w:type="dxa"/>
            <w:vAlign w:val="bottom"/>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92"/>
        </w:trPr>
        <w:tc>
          <w:tcPr>
            <w:tcW w:w="6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1"/>
        </w:trPr>
        <w:tc>
          <w:tcPr>
            <w:tcW w:w="7420" w:type="dxa"/>
            <w:vAlign w:val="bottom"/>
            <w:gridSpan w:val="2"/>
            <w:shd w:val="clear" w:color="auto" w:fill="CCEEFF"/>
          </w:tcPr>
          <w:p>
            <w:pPr>
              <w:jc w:val="right"/>
              <w:ind w:right="5663"/>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$15,747</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bl>
    <w:p>
      <w:pPr>
        <w:spacing w:after="0" w:line="22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Interest and other income, net decreased by $5.6 million or 36%, for the year ended December 31, 2025 compared to the year ended December 31, 2024, as higher interest income was more than offset by a decrease in investment income and an increase in interest expense.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8"/>
        </w:trPr>
        <w:tc>
          <w:tcPr>
            <w:tcW w:w="65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60" w:type="dxa"/>
            <w:vAlign w:val="bottom"/>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92"/>
        </w:trPr>
        <w:tc>
          <w:tcPr>
            <w:tcW w:w="6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28,866</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bl>
    <w:p>
      <w:pPr>
        <w:spacing w:after="0" w:line="22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2025, we recorded a provision for income taxes of $36.9 million, as compared to $28.9 million for the year ended December 31, 2024, primarily due to a higher operating profit and a decrease in tax benefits for equity compensation in the current year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14"/>
          <w:szCs w:val="14"/>
          <w:color w:val="auto"/>
        </w:rPr>
        <w:t>As of December 31, 2025, we had $112.2 million of cash and cash equivalents and $197.9 million of marketable securities. We have financed our operations primarily through cash generated from the sales of our solutions.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5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July 1, 2025, we entered into a revolving credit facility (the “Facility”) pursuant to a Credit Agreement (the “Credit Agreement”) with the lenders and issuing banks, party thereto and JPMorgan Chase Bank, N.A., as administrative agent, collateral agent, and swing line lender. The Credit Agreement makes available a maximum aggregate amount of $200 million, subject to customary borrowing conditions, until its maturity on July 1, 2030. We are in compliance with all financial covenants under the Credit Agreement as of December 31, 2025. As of the date of this filing, no amounts were drawn under the Facility. Refer to Note 9 to the Consolidated Financial Statements included in this Annual Report on Form 10-K for additional information.</w:t>
      </w:r>
    </w:p>
    <w:p>
      <w:pPr>
        <w:spacing w:after="0" w:line="14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We believe that our existing cash and cash equivalents, including the proceeds from our marketable securities, cash flow from operations, and the availability of funds under the Facility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amount of capital investment necessary to support our benefits offerings and growth strategy, the expansion of our sales and marketing activities and the continuing market adoption of our solutions. In addition, we may enter into arrangements to acquire or invest in complementary businesses, products, and technologies.</w:t>
      </w:r>
    </w:p>
    <w:p>
      <w:pPr>
        <w:spacing w:after="0" w:line="15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We may, in the future,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cash flows from operations for the periods presented:</w:t>
      </w:r>
    </w:p>
    <w:p>
      <w:pPr>
        <w:spacing w:after="0" w:line="206"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2"/>
        </w:trPr>
        <w:tc>
          <w:tcPr>
            <w:tcW w:w="8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6"/>
                <w:szCs w:val="16"/>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179,105</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195,792</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(99,362)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(309,880)</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3"/>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7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Net cash provided by operating activities was $210.2 million for the year ended December 31, 2025, primarily consisting of net income of $58.5 million adjusted for certain items, which includes $131.9 million of stock-based compensation expense, $20.5 million of bad debt expense, $8.1 million of deferred tax benefit, $4.9 million of depreciation and amortization expense, $0.9 million of net accretion of discounts on marketable securities, $0.4 million of non-cash interest expense, and $0.1 million of loss on disposal of property and equipment. Changes in operating assets and liabilities resulted in cash provided by operating activities from an increase in accounts payable of $28.8 million and accrued expenses and other current liabilities of $0.4 million, that was partially offset by cash used in operating activities from an increase in prepaid expenses and other current assets of $11.9 million, other noncurrent assets and liabilities of $9.3 million, and accounts receivable of $5.1 million. These changes were a result of the impact of revenue growth and our operating results as well as the timing of cash collections and payments to third parties, including $55.5 million of cash paid for income taxes, net of refunds for the year ended December 31, 2025.</w:t>
      </w:r>
    </w:p>
    <w:p>
      <w:pPr>
        <w:spacing w:after="0" w:line="151"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Net cash provided by operating activities was $179.1 million for the year ended December 31, 2024, primarily consisting of net income of $54.3 million adjusted for certain non-cash items, which included $128.1 million of stock-based compensation expense, $16.4 million of bad debt expense, $10.5 million of deferred tax benefit, $3.2 million of depreciation and amortization, $2.1 million of net accretion of discounts on marketable securities, and $1.4 million loss on disposal of property and equipment. Changes in operating assets and liabilities resulted in cash used in operating activities from a decrease in accounts payable of $30.3 million, and an increase in accounts receivable of $9.9 million, partially offset by cash provided by operating activities from increases in accrued expenses and other current liabilities of $9.9 million and other noncurrent assets and liabilities of $0.4 million, and a decrease in prepaid expenses and other current assets of $18.0 million. These changes are a result of the impact of revenue growth and our operating results as well as the timing of cash collections and payments to third parties, including $40.4 million of cash paid for income taxes, net of refunds for the year ended December 31, 2024.</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Net cash used in investing activities was $159.0 million for the year ended December 31, 2025, which primarily consisted of net investment in marketable securities of $131.3 million, and $9.3 million used in a business acquisition, net of cash acquired. For the year ended December 31, 2024, net cash provided by investing activities was $195.8 million, which primarily consisted of net sales in marketable securities of $206.5 million, partially offset by $5.3 million used in a business acquisition, net of cash acquired. The remainder of the activity for the years ended December 31, 2025 and 2024, respectively, consisted of purchases of computers, software, including capitalized software development costs, and furniture and fixtures. Our capital investments, including investments in technology and the development of software, are expected to increase over the next 12 months as we continue to invest in our benefits offerings and growth strategy.</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7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Net cash used in financing activities was $99.4 million for the year ended December 31, 2025, consisting of $81.7 million of repurchases of common stock under the November 2025 share repurchase program, inclusive of $0.1 million in trading fees, payments of $15.8 million for employee taxes related to the net settlement of equity awards, and $3.1 million of issuance costs related to the Facility, partially offset by $1.1 million in proceeds from contributions to our employee stock purchase plan and $0.1 million in proceeds from stock option exercises.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Net cash used in financing activities was $309.9 million for the year ended December 31, 2024, consisting of $300.3 million of repurchases of common stock under the 2024 share repurchase program, inclusive of $0.4 million in trading fees and payments of $12.0 million for employee taxes related to the net settlement of equity awards, partially offset by $1.1 million in proceeds from stock option exercises and $1.3 million in proceeds from contributions to our employee stock purchase plan.</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Programs</w:t>
      </w:r>
    </w:p>
    <w:p>
      <w:pPr>
        <w:spacing w:after="0" w:line="15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In February 2024, our Board of Directors authorized a share repurchase program of up to $100 million in shares of common stock. In May 2024, our Board of Directors authorized an additional share repurchase program of up to $100 million in shares of common stock. In August 2024, our Board of Directors authorized an additional share repurchase program of up to $100 million in shares of common stock. As of the year ended December 31, 2024, the share repurchase programs were completed, and no amounts remained available for repurchase under the program.</w:t>
      </w:r>
    </w:p>
    <w:p>
      <w:pPr>
        <w:spacing w:after="0" w:line="13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4"/>
          <w:szCs w:val="14"/>
          <w:color w:val="auto"/>
        </w:rPr>
        <w:t>In November 2025, our Board of Directors authorized a share repurchase program of up to $200 million in shares of common stock (the “November 2025 share repurchase program”). Repurchases under the November 2025 share repurchase program may be made in the form of open market repurchases, including through plans complying with Rule 10b5-1 under the Exchange Act, depending on stock price, market conditions, and other factors, as determined by the Company. There can be no assurance as to the total number of shares that will be repurchased by the Company under the November 2025 share repurchase program.</w:t>
      </w:r>
    </w:p>
    <w:p>
      <w:pPr>
        <w:spacing w:after="0" w:line="15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During the year ended December 31, 2025, we repurchased a total of 3,301,596 shares of common stock under the November 2025 share repurchase program at an average price per share of $25.31 and a total cost of $83.6 million, inclusive of $0.1 million in trading fees. In addition, we recognized $0.5 million of excise taxes related to the share repurchases. As of the date of this filing, we have repurchased a total of 6,530,363 shares of common stock under the November 2025 share repurchase program for a total cost of $159.4 million.</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Lease Commitments</w:t>
      </w:r>
    </w:p>
    <w:p>
      <w:pPr>
        <w:spacing w:after="0" w:line="17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3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In February 2022, we entered into a lease agreement for leases commencing in February 2023 and March 2025 for additional space in our corporate offices in New York, New York, consisting of a 24,099 square foot office and a 21,262 square foot office, respectively. The lease agreement also provides for continued occupancy of the 25,212 square foot office after the expiration of the current sublease. For the 24,099 square foot office, we pay the base rent of approximately $1.4 million per year through the end of the fifth year and approximately $1.5 million per year thereafter through the April 2036, the expiration date. For the 21,262 square foot office, we will pay the base rent of approximately $1.3 million per year starting in April 2026 through the end of the fifth year and approximately $1.4 million per year thereafter through April 2036, the expiration date. For our current 25,212 square foot office, we will pay the base rent of approximately $1.6 million per year beginning in June 2029, which is the lease commencement date, through April 2036, the expiration date.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Our consolidated financial statements and accompanying notes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3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3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For additional information about our significant accounting policies and estimates, see Note 1 – Business and Basis of Presentation and Note 2 - Summary of Significant Accounting Policies in the notes to the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Accrued Receivable and Accrued Claims Payable</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Fertility benefits solution revenue is recognized based on the negotiated price with our clients and includes the portion to be paid directly by the member. Revenue is recognized when Smart Cycle services are completed for a member, which includes estimates of accrued receivables. We estimate accrued receivables based on historical experience for those fertility benefit services provided but for which a claim has not been received from the provider clinic, which includes assumptions regarding the lag between the authorization date and service date as well as estimates for changes and cancellations of services. We include accrued receivables within accounts receivable on our consolidated balance sheet. As of December 31, 2025 and 2024, accrued receivables were $54.9 million and $45.6 million, respectively.</w:t>
      </w:r>
    </w:p>
    <w:p>
      <w:pPr>
        <w:spacing w:after="0" w:line="13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At the same time, we estimate cost of services and accrued claims payables based on the amount to be paid to the provider clinic and expected gross margin on fertility benefit services. Accrued claims payable of $30.0 million and $32.1 million as of December 31, 2025 and 2024, respectively, are included within accrued expenses and other current liabilities in the consolidated balance sheets.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estimates are adjusted to actual at the time of billing and these adjustments have historically not been material.</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We recognize stock-based compensation expense based on the fair value of stock-based awards granted to employees and directors on the date of grant. We estimate the fair value of each stock-based award on the measurement date using either the Black-Scholes option-pricing model for stock options and stock purchased under the employee stock purchase plan on the closing market price of our common stock for restricted stock units, including those with performance-based vesting conditions.</w:t>
      </w:r>
    </w:p>
    <w:p>
      <w:pPr>
        <w:spacing w:after="0" w:line="14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The Black-Scholes option-pricing model requires the input of subjective assumptions, including (1) the expected stock price volatility, (2) the expected term of the award, (3) the risk-free interest rate and (4) expected dividends. Due to the lack of historical and implied volatility data of our common stock, the expected stock price volatility is estimated based on the historical volatilities of the daily closing prices of a specified group of companies in our industry for a period equal to the expected term of the option. We selected companies with comparable characteristics to our Company, including enterprise value, risk profiles and position within the industry, that have historical stock price information sufficient to meet the expected term of the stock option. The expected term of the award represents the period of time that options granted are expected to be outstanding and is calculated utilizing the simplified method, which is the mid-point between the vesting date and end of the contractual term for each option. The risk-free interest rate is based on the yield of zero-coupon U.S. Treasury securities for the period that is consistent with the expected term of the stock option. The dividend yield is assumed to be none as we have not paid dividends, nor do we anticipate paying dividends. The weighted-average estimated fair value of stock option awards granted in the year ended December 31, 2025 was $11.72. Changes in these inputs could result in a significant change in the fair value of stock options.</w:t>
      </w:r>
    </w:p>
    <w:p>
      <w:pPr>
        <w:spacing w:after="0" w:line="200" w:lineRule="exact"/>
        <w:rPr>
          <w:sz w:val="20"/>
          <w:szCs w:val="20"/>
          <w:color w:val="auto"/>
        </w:rPr>
      </w:pPr>
    </w:p>
    <w:p>
      <w:pPr>
        <w:spacing w:after="0" w:line="3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assumptions were used to calculate the fair value of stock options granted to employees:</w:t>
      </w:r>
    </w:p>
    <w:p>
      <w:pPr>
        <w:spacing w:after="0" w:line="21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600" w:type="dxa"/>
            <w:vAlign w:val="bottom"/>
            <w:tcBorders>
              <w:top w:val="single" w:sz="8" w:color="auto"/>
              <w:bottom w:val="single" w:sz="8" w:color="auto"/>
            </w:tcBorders>
            <w:gridSpan w:val="2"/>
          </w:tcPr>
          <w:p>
            <w:pPr>
              <w:jc w:val="right"/>
              <w:ind w:right="60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1580" w:type="dxa"/>
            <w:vAlign w:val="bottom"/>
            <w:tcBorders>
              <w:top w:val="single" w:sz="8" w:color="auto"/>
              <w:bottom w:val="single" w:sz="8" w:color="auto"/>
            </w:tcBorders>
            <w:gridSpan w:val="2"/>
          </w:tcPr>
          <w:p>
            <w:pPr>
              <w:jc w:val="right"/>
              <w:ind w:right="60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- 54.7%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- 55.0%</w:t>
            </w:r>
          </w:p>
        </w:tc>
      </w:tr>
      <w:tr>
        <w:trPr>
          <w:trHeight w:val="196"/>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5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- 6.25</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- 6.11</w:t>
            </w:r>
          </w:p>
        </w:tc>
      </w:tr>
      <w:tr>
        <w:trPr>
          <w:trHeight w:val="207"/>
        </w:trPr>
        <w:tc>
          <w:tcPr>
            <w:tcW w:w="35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free interest rate</w:t>
            </w:r>
          </w:p>
        </w:tc>
        <w:tc>
          <w:tcPr>
            <w:tcW w:w="5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- 4.6%</w:t>
            </w: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4500" w:type="dxa"/>
            <w:vAlign w:val="bottom"/>
          </w:tcPr>
          <w:p>
            <w:pPr>
              <w:spacing w:after="0"/>
              <w:rPr>
                <w:sz w:val="16"/>
                <w:szCs w:val="16"/>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891"/>
        </w:trPr>
        <w:tc>
          <w:tcPr>
            <w:tcW w:w="3500" w:type="dxa"/>
            <w:vAlign w:val="bottom"/>
          </w:tcPr>
          <w:p>
            <w:pPr>
              <w:spacing w:after="0"/>
              <w:rPr>
                <w:sz w:val="24"/>
                <w:szCs w:val="24"/>
                <w:color w:val="auto"/>
              </w:rPr>
            </w:pPr>
          </w:p>
        </w:tc>
        <w:tc>
          <w:tcPr>
            <w:tcW w:w="4500" w:type="dxa"/>
            <w:vAlign w:val="bottom"/>
          </w:tcPr>
          <w:p>
            <w:pPr>
              <w:jc w:val="right"/>
              <w:ind w:right="2209"/>
              <w:spacing w:after="0"/>
              <w:rPr>
                <w:sz w:val="20"/>
                <w:szCs w:val="20"/>
                <w:color w:val="auto"/>
              </w:rPr>
            </w:pPr>
            <w:r>
              <w:rPr>
                <w:rFonts w:ascii="Times New Roman" w:cs="Times New Roman" w:eastAsia="Times New Roman" w:hAnsi="Times New Roman"/>
                <w:sz w:val="14"/>
                <w:szCs w:val="14"/>
                <w:color w:val="auto"/>
              </w:rPr>
              <w:t>59</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6"/>
        </w:trPr>
        <w:tc>
          <w:tcPr>
            <w:tcW w:w="3500" w:type="dxa"/>
            <w:vAlign w:val="bottom"/>
            <w:tcBorders>
              <w:bottom w:val="single" w:sz="8" w:color="9A9A9A"/>
            </w:tcBorders>
          </w:tcPr>
          <w:p>
            <w:pPr>
              <w:spacing w:after="0"/>
              <w:rPr>
                <w:sz w:val="6"/>
                <w:szCs w:val="6"/>
                <w:color w:val="auto"/>
              </w:rPr>
            </w:pPr>
          </w:p>
        </w:tc>
        <w:tc>
          <w:tcPr>
            <w:tcW w:w="45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Our outstanding stock-based awards as of December 31, 2025 are subject to service-based or performance-based vesting. We recognize compensation expense for service-based awards over the vesting period of the award on a straight-line basis. Compensation expense related to awards with performance-based vesting conditions is recognized over the requisite service period when achievement of the performance condition is considered probable. Forfeitures and cancellations of awards are recognized as they occur. For the years ended December 31, 2025 and 2024, stock-based compensation expense was $131.9 million and $128.1 million, respectively. As of December 31, 2025, we had $52.3 million and $77.8 million of unrecognized compensation costs related to unvested options and restricted stock units, respectively, which are expected to be expensed and vest over a weighted-average remaining period of approximately 1.9 years and 2.5 years, respectively.</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account for income taxes in accordance with FASB ASC Topic 740, Income Taxes, or “ASC 740”. Deferred income taxes are recorded for the expected tax consequences of temporary differences between the tax basis of assets and liabilities for financial reporting purposes and amounts recognized for income tax purposes. We periodically review the recoverability of deferred tax assets recorded on the consolidated balance sheet and provide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3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As of each reporting date, management considers new evidence, both positive and negative, that could affect its view of the future realization of deferred tax assets. Significant judgment is required in determining any valuation allowance recorded against deferred tax assets. In assessing the need for a valuation allowance, we consider all available evidence for each jurisdiction including past operating results, estimates of future taxable income and the feasibility of ongoing tax planning strategies. In the event we change our determination as to the amount of deferred tax assets that can be realized, we will adjust our valuation allowance with a corresponding impact to income tax expense in the period in which such determination is made. We believe there is sufficient positive evidence to conclude that it is more likely than not, that substantially all the net deferred tax assets were realizable as of December 31, 2025.</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amount of deferred tax provided is calculated using tax rates enacted at the balance sheet date. The impact of tax law changes is recognized in periods when the change is enacted.</w:t>
      </w:r>
    </w:p>
    <w:p>
      <w:pPr>
        <w:spacing w:after="0" w:line="16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and 2024, we had $93.0 million and $84.9 million of net deferred tax assets, respectively. There was a valuation allowance of $3.1 million and $1.8 million as of December 31, 2025 and 2024, respectively.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18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rate risk is highly sensitive due to many factors, including U.S. monetary and tax policies, U.S. and international economic factors and other factors beyond our control.</w:t>
      </w:r>
    </w:p>
    <w:p>
      <w:pPr>
        <w:spacing w:after="0" w:line="1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At December 31, 2025, we had cash and cash equivalents of $112.2 million and marketable securities of $197.9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 change in interest rates would not result in a material impact on our consolidated financial statements.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Inflation Rate Risk</w:t>
      </w:r>
    </w:p>
    <w:p>
      <w:pPr>
        <w:spacing w:after="0" w:line="1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3"/>
          <w:szCs w:val="13"/>
          <w:b w:val="1"/>
          <w:bCs w:val="1"/>
          <w:color w:val="auto"/>
        </w:rPr>
        <w:t>FINANCIAL STATEMENTS AND SUPPLEMENTARY DATA</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r>
      <w:tr>
        <w:trPr>
          <w:trHeight w:val="342"/>
        </w:trPr>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100" w:type="dxa"/>
            <w:vAlign w:val="bottom"/>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30"/>
        </w:trPr>
        <w:tc>
          <w:tcPr>
            <w:tcW w:w="1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51"/>
        </w:trPr>
        <w:tc>
          <w:tcPr>
            <w:tcW w:w="43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42)</w:t>
            </w:r>
          </w:p>
        </w:tc>
        <w:tc>
          <w:tcPr>
            <w:tcW w:w="6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62</w:t>
            </w:r>
          </w:p>
        </w:tc>
        <w:tc>
          <w:tcPr>
            <w:tcW w:w="20" w:type="dxa"/>
            <w:vAlign w:val="bottom"/>
          </w:tcPr>
          <w:p>
            <w:pPr>
              <w:spacing w:after="0"/>
              <w:rPr>
                <w:sz w:val="24"/>
                <w:szCs w:val="24"/>
                <w:color w:val="auto"/>
              </w:rPr>
            </w:pPr>
          </w:p>
        </w:tc>
      </w:tr>
      <w:tr>
        <w:trPr>
          <w:trHeight w:val="234"/>
        </w:trPr>
        <w:tc>
          <w:tcPr>
            <w:tcW w:w="3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auto"/>
              </w:rPr>
              <w:t>Financial Statements:</w:t>
            </w:r>
          </w:p>
        </w:tc>
        <w:tc>
          <w:tcPr>
            <w:tcW w:w="980" w:type="dxa"/>
            <w:vAlign w:val="bottom"/>
            <w:gridSpan w:val="2"/>
          </w:tcPr>
          <w:p>
            <w:pPr>
              <w:spacing w:after="0"/>
              <w:rPr>
                <w:sz w:val="20"/>
                <w:szCs w:val="20"/>
                <w:color w:val="auto"/>
              </w:rPr>
            </w:pPr>
          </w:p>
        </w:tc>
        <w:tc>
          <w:tcPr>
            <w:tcW w:w="5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43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6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64</w:t>
            </w:r>
          </w:p>
        </w:tc>
        <w:tc>
          <w:tcPr>
            <w:tcW w:w="20" w:type="dxa"/>
            <w:vAlign w:val="bottom"/>
          </w:tcPr>
          <w:p>
            <w:pPr>
              <w:spacing w:after="0"/>
              <w:rPr>
                <w:sz w:val="16"/>
                <w:szCs w:val="16"/>
                <w:color w:val="auto"/>
              </w:rPr>
            </w:pP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2080" w:type="dxa"/>
            <w:vAlign w:val="bottom"/>
            <w:gridSpan w:val="6"/>
          </w:tcPr>
          <w:p>
            <w:pPr>
              <w:spacing w:after="0"/>
              <w:rPr>
                <w:sz w:val="17"/>
                <w:szCs w:val="17"/>
                <w:color w:val="auto"/>
              </w:rPr>
            </w:pPr>
          </w:p>
        </w:tc>
        <w:tc>
          <w:tcPr>
            <w:tcW w:w="6780" w:type="dxa"/>
            <w:vAlign w:val="bottom"/>
            <w:gridSpan w:val="2"/>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65</w:t>
            </w:r>
          </w:p>
        </w:tc>
        <w:tc>
          <w:tcPr>
            <w:tcW w:w="20" w:type="dxa"/>
            <w:vAlign w:val="bottom"/>
          </w:tcPr>
          <w:p>
            <w:pPr>
              <w:spacing w:after="0"/>
              <w:rPr>
                <w:sz w:val="17"/>
                <w:szCs w:val="17"/>
                <w:color w:val="auto"/>
              </w:rPr>
            </w:pPr>
          </w:p>
        </w:tc>
      </w:tr>
      <w:tr>
        <w:trPr>
          <w:trHeight w:val="203"/>
        </w:trPr>
        <w:tc>
          <w:tcPr>
            <w:tcW w:w="43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Comprehensive Income</w:t>
            </w:r>
          </w:p>
        </w:tc>
        <w:tc>
          <w:tcPr>
            <w:tcW w:w="6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66</w:t>
            </w:r>
          </w:p>
        </w:tc>
        <w:tc>
          <w:tcPr>
            <w:tcW w:w="20" w:type="dxa"/>
            <w:vAlign w:val="bottom"/>
          </w:tcPr>
          <w:p>
            <w:pPr>
              <w:spacing w:after="0"/>
              <w:rPr>
                <w:sz w:val="17"/>
                <w:szCs w:val="17"/>
                <w:color w:val="auto"/>
              </w:rPr>
            </w:pP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3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Changes in Stockholders’ Equity</w:t>
            </w:r>
          </w:p>
        </w:tc>
        <w:tc>
          <w:tcPr>
            <w:tcW w:w="840" w:type="dxa"/>
            <w:vAlign w:val="bottom"/>
          </w:tcPr>
          <w:p>
            <w:pPr>
              <w:spacing w:after="0"/>
              <w:rPr>
                <w:sz w:val="17"/>
                <w:szCs w:val="17"/>
                <w:color w:val="auto"/>
              </w:rPr>
            </w:pPr>
          </w:p>
        </w:tc>
        <w:tc>
          <w:tcPr>
            <w:tcW w:w="6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67</w:t>
            </w:r>
          </w:p>
        </w:tc>
        <w:tc>
          <w:tcPr>
            <w:tcW w:w="20" w:type="dxa"/>
            <w:vAlign w:val="bottom"/>
          </w:tcPr>
          <w:p>
            <w:pPr>
              <w:spacing w:after="0"/>
              <w:rPr>
                <w:sz w:val="17"/>
                <w:szCs w:val="17"/>
                <w:color w:val="auto"/>
              </w:rPr>
            </w:pPr>
          </w:p>
        </w:tc>
      </w:tr>
      <w:tr>
        <w:trPr>
          <w:trHeight w:val="203"/>
        </w:trPr>
        <w:tc>
          <w:tcPr>
            <w:tcW w:w="2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2040" w:type="dxa"/>
            <w:vAlign w:val="bottom"/>
            <w:gridSpan w:val="5"/>
          </w:tcPr>
          <w:p>
            <w:pPr>
              <w:spacing w:after="0"/>
              <w:rPr>
                <w:sz w:val="17"/>
                <w:szCs w:val="17"/>
                <w:color w:val="auto"/>
              </w:rPr>
            </w:pPr>
          </w:p>
        </w:tc>
        <w:tc>
          <w:tcPr>
            <w:tcW w:w="6780" w:type="dxa"/>
            <w:vAlign w:val="bottom"/>
            <w:gridSpan w:val="2"/>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68</w:t>
            </w:r>
          </w:p>
        </w:tc>
        <w:tc>
          <w:tcPr>
            <w:tcW w:w="20" w:type="dxa"/>
            <w:vAlign w:val="bottom"/>
          </w:tcPr>
          <w:p>
            <w:pPr>
              <w:spacing w:after="0"/>
              <w:rPr>
                <w:sz w:val="17"/>
                <w:szCs w:val="17"/>
                <w:color w:val="auto"/>
              </w:rPr>
            </w:pPr>
          </w:p>
        </w:tc>
      </w:tr>
      <w:tr>
        <w:trPr>
          <w:trHeight w:val="203"/>
        </w:trPr>
        <w:tc>
          <w:tcPr>
            <w:tcW w:w="2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1820" w:type="dxa"/>
            <w:vAlign w:val="bottom"/>
            <w:gridSpan w:val="4"/>
          </w:tcPr>
          <w:p>
            <w:pPr>
              <w:spacing w:after="0"/>
              <w:rPr>
                <w:sz w:val="17"/>
                <w:szCs w:val="17"/>
                <w:color w:val="auto"/>
              </w:rPr>
            </w:pPr>
          </w:p>
        </w:tc>
        <w:tc>
          <w:tcPr>
            <w:tcW w:w="6780" w:type="dxa"/>
            <w:vAlign w:val="bottom"/>
            <w:gridSpan w:val="2"/>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69</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Progyny,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Progyny, Inc. (the Company) as of December 31, 2025 and 2024, the related consolidated statements of operations, comprehensive income,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28"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2025, based on criteria established in Internal Control</w:t>
      </w:r>
      <w:r>
        <w:rPr>
          <w:rFonts w:ascii="Arial" w:cs="Arial" w:eastAsia="Arial" w:hAnsi="Arial"/>
          <w:sz w:val="14"/>
          <w:szCs w:val="14"/>
          <w:color w:val="auto"/>
        </w:rPr>
        <w:t>—</w:t>
      </w:r>
      <w:r>
        <w:rPr>
          <w:rFonts w:ascii="Times New Roman" w:cs="Times New Roman" w:eastAsia="Times New Roman" w:hAnsi="Times New Roman"/>
          <w:sz w:val="14"/>
          <w:szCs w:val="14"/>
          <w:color w:val="auto"/>
        </w:rPr>
        <w:t>Integrated Framework issued by the Committee of Sponsoring Organizations of the Treadway Commission (2013 framework), and our report dated February 27, 2026 expressed an unqualified opinion thereon.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i w:val="1"/>
          <w:iCs w:val="1"/>
          <w:color w:val="auto"/>
        </w:rPr>
        <w:t>Accrued Receivables and Accrued Claims Payable</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32" w:lineRule="exact"/>
        <w:rPr>
          <w:sz w:val="20"/>
          <w:szCs w:val="20"/>
          <w:color w:val="auto"/>
        </w:rPr>
      </w:pPr>
    </w:p>
    <w:p>
      <w:pPr>
        <w:jc w:val="both"/>
        <w:ind w:left="2200"/>
        <w:spacing w:after="0" w:line="225" w:lineRule="auto"/>
        <w:rPr>
          <w:sz w:val="20"/>
          <w:szCs w:val="20"/>
          <w:color w:val="auto"/>
        </w:rPr>
      </w:pPr>
      <w:r>
        <w:rPr>
          <w:rFonts w:ascii="Times New Roman" w:cs="Times New Roman" w:eastAsia="Times New Roman" w:hAnsi="Times New Roman"/>
          <w:sz w:val="14"/>
          <w:szCs w:val="14"/>
          <w:color w:val="auto"/>
        </w:rPr>
        <w:t>As of December 31, 2025, accrued receivables and accrued claims payable were $54.9 million and $30.0 million, respectively. As discussed in Note 2 to the consolidated financial statements, the Company estimates accrued receivables for those fertility benefit services provided but for which a claim has not been</w:t>
      </w:r>
    </w:p>
    <w:p>
      <w:pPr>
        <w:spacing w:after="0" w:line="1" w:lineRule="exact"/>
        <w:rPr>
          <w:sz w:val="20"/>
          <w:szCs w:val="20"/>
          <w:color w:val="auto"/>
        </w:rPr>
      </w:pPr>
    </w:p>
    <w:p>
      <w:pPr>
        <w:jc w:val="both"/>
        <w:ind w:left="2200" w:right="20"/>
        <w:spacing w:after="0"/>
        <w:rPr>
          <w:sz w:val="20"/>
          <w:szCs w:val="20"/>
          <w:color w:val="auto"/>
        </w:rPr>
      </w:pPr>
      <w:r>
        <w:rPr>
          <w:rFonts w:ascii="Times New Roman" w:cs="Times New Roman" w:eastAsia="Times New Roman" w:hAnsi="Times New Roman"/>
          <w:sz w:val="14"/>
          <w:szCs w:val="14"/>
          <w:color w:val="auto"/>
        </w:rPr>
        <w:t>received from the provider clinic based on historical claims experience. The estimated cost of the related services and accrued claims payable are determined based upon the amount to be paid to the provider clinic and the expected gross margin on each related fertility benefit service estimated to have been provided.</w:t>
      </w:r>
    </w:p>
    <w:p>
      <w:pPr>
        <w:spacing w:after="0" w:line="171" w:lineRule="exact"/>
        <w:rPr>
          <w:sz w:val="20"/>
          <w:szCs w:val="20"/>
          <w:color w:val="auto"/>
        </w:rPr>
      </w:pPr>
    </w:p>
    <w:p>
      <w:pPr>
        <w:jc w:val="both"/>
        <w:ind w:left="2200" w:right="20"/>
        <w:spacing w:after="0" w:line="225" w:lineRule="auto"/>
        <w:rPr>
          <w:sz w:val="20"/>
          <w:szCs w:val="20"/>
          <w:color w:val="auto"/>
        </w:rPr>
      </w:pPr>
      <w:r>
        <w:rPr>
          <w:rFonts w:ascii="Times New Roman" w:cs="Times New Roman" w:eastAsia="Times New Roman" w:hAnsi="Times New Roman"/>
          <w:sz w:val="14"/>
          <w:szCs w:val="14"/>
          <w:color w:val="auto"/>
        </w:rPr>
        <w:t>Auditing the Company’s estimates of accrued receivables and the related accrued claims payable was complex and required significant judgment as the estimates were sensitive to changes in the significant assumptions, including management’s assumptions regarding the lag between authorization date and</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service date, service changes and cancellations.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How We Addressed the Matter in Our </w:t>
      </w:r>
      <w:r>
        <w:rPr>
          <w:rFonts w:ascii="Times New Roman" w:cs="Times New Roman" w:eastAsia="Times New Roman" w:hAnsi="Times New Roman"/>
          <w:sz w:val="14"/>
          <w:szCs w:val="14"/>
          <w:color w:val="auto"/>
        </w:rPr>
        <w:t>We obtained an understanding, evaluated the design, and tested the operating effectiveness of the controls over the Company’s process to estimate accrued</w:t>
      </w:r>
    </w:p>
    <w:p>
      <w:pPr>
        <w:sectPr>
          <w:pgSz w:w="11900" w:h="16838" w:orient="portrait"/>
          <w:cols w:equalWidth="0" w:num="1">
            <w:col w:w="11180"/>
          </w:cols>
          <w:pgMar w:left="300" w:top="295" w:right="41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Audit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4"/>
          <w:szCs w:val="14"/>
          <w:color w:val="auto"/>
        </w:rPr>
        <w:t>receivables and the associated claims payable. For example, we tested controls over management’s review of the methodology, significant assumptions and the underlying data used to determine these estimates.</w:t>
      </w:r>
    </w:p>
    <w:p>
      <w:pPr>
        <w:spacing w:after="0" w:line="40" w:lineRule="exact"/>
        <w:rPr>
          <w:sz w:val="20"/>
          <w:szCs w:val="20"/>
          <w:color w:val="auto"/>
        </w:rPr>
      </w:pPr>
    </w:p>
    <w:p>
      <w:pPr>
        <w:sectPr>
          <w:pgSz w:w="11900" w:h="16838" w:orient="portrait"/>
          <w:cols w:equalWidth="0" w:num="2">
            <w:col w:w="1480" w:space="720"/>
            <w:col w:w="8980"/>
          </w:cols>
          <w:pgMar w:left="300" w:top="295" w:right="419" w:bottom="1440" w:gutter="0" w:footer="0" w:header="0"/>
          <w:type w:val="continuous"/>
        </w:sectPr>
      </w:pPr>
    </w:p>
    <w:p>
      <w:pPr>
        <w:ind w:left="2200" w:right="20"/>
        <w:spacing w:after="0" w:line="225" w:lineRule="auto"/>
        <w:rPr>
          <w:sz w:val="20"/>
          <w:szCs w:val="20"/>
          <w:color w:val="auto"/>
        </w:rPr>
      </w:pPr>
      <w:r>
        <w:rPr>
          <w:rFonts w:ascii="Times New Roman" w:cs="Times New Roman" w:eastAsia="Times New Roman" w:hAnsi="Times New Roman"/>
          <w:sz w:val="14"/>
          <w:szCs w:val="14"/>
          <w:color w:val="auto"/>
        </w:rPr>
        <w:t>To test the accrued receivables and the related claims payable, our audit procedures included, among others, assessing the methodology, evaluating the significant assumptions described above and testing the completeness and accuracy of the underlying data used in the Company’s analysis. For example, we</w:t>
      </w:r>
    </w:p>
    <w:p>
      <w:pPr>
        <w:spacing w:after="0" w:line="1" w:lineRule="exact"/>
        <w:rPr>
          <w:sz w:val="20"/>
          <w:szCs w:val="20"/>
          <w:color w:val="auto"/>
        </w:rPr>
      </w:pPr>
    </w:p>
    <w:p>
      <w:pPr>
        <w:jc w:val="both"/>
        <w:ind w:left="2200" w:right="20"/>
        <w:spacing w:after="0" w:line="210" w:lineRule="auto"/>
        <w:rPr>
          <w:sz w:val="20"/>
          <w:szCs w:val="20"/>
          <w:color w:val="auto"/>
        </w:rPr>
      </w:pPr>
      <w:r>
        <w:rPr>
          <w:rFonts w:ascii="Times New Roman" w:cs="Times New Roman" w:eastAsia="Times New Roman" w:hAnsi="Times New Roman"/>
          <w:sz w:val="14"/>
          <w:szCs w:val="14"/>
          <w:color w:val="auto"/>
        </w:rPr>
        <w:t>tested the Company’s assumptions of the lag between the authorization date and service date, service changes and cancellations based on historical claims data, historical gross margin per service and tested the clerical accuracy of management’s analysis. Additionally, we evaluated the historical accuracy of management’s estimate by testing management’s retrospective review analysis that compared the prior period’s estimated accrued receivables and accrued</w:t>
      </w:r>
    </w:p>
    <w:p>
      <w:pPr>
        <w:spacing w:after="0" w:line="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claims payable to actual billing and claims data.</w:t>
      </w:r>
    </w:p>
    <w:p>
      <w:pPr>
        <w:sectPr>
          <w:pgSz w:w="11900" w:h="16838" w:orient="portrait"/>
          <w:cols w:equalWidth="0" w:num="1">
            <w:col w:w="11180"/>
          </w:cols>
          <w:pgMar w:left="300" w:top="29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/s/Ernst &amp; Young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295" w:right="41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162,314</w:t>
            </w:r>
          </w:p>
        </w:tc>
      </w:tr>
      <w:tr>
        <w:trPr>
          <w:trHeight w:val="196"/>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Marketable securities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197,858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65,640</w:t>
            </w:r>
          </w:p>
        </w:tc>
      </w:tr>
      <w:tr>
        <w:trPr>
          <w:trHeight w:val="207"/>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 net of $55,659 and $56,355 of allowances at December 31, 2025 and 2024, respectively</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220,287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235,324</w:t>
            </w:r>
          </w:p>
        </w:tc>
      </w:tr>
      <w:tr>
        <w:trPr>
          <w:trHeight w:val="196"/>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21,392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9,443</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551,775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472,721</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12,383</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17,251</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15,534</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84,933</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w:t>
            </w:r>
          </w:p>
        </w:tc>
      </w:tr>
      <w:tr>
        <w:trPr>
          <w:trHeight w:val="19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742,435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607,102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95,097</w:t>
            </w:r>
          </w:p>
        </w:tc>
      </w:tr>
      <w:tr>
        <w:trPr>
          <w:trHeight w:val="196"/>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78,320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73,530</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202,391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168,627</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lease noncurrent liabilities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16,413</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226,391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185,040</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4"/>
                <w:szCs w:val="14"/>
                <w:i w:val="1"/>
                <w:iCs w:val="1"/>
                <w:color w:val="auto"/>
              </w:rPr>
              <w:t>(Note 15)</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49"/>
        </w:trPr>
        <w:tc>
          <w:tcPr>
            <w:tcW w:w="8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$0.0001 par value; 1,000,000,000 shares authorized; at December 31, 2025 and 2024, respectively; 99,049,485 and</w:t>
            </w:r>
          </w:p>
        </w:tc>
        <w:tc>
          <w:tcPr>
            <w:tcW w:w="8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r>
      <w:tr>
        <w:trPr>
          <w:trHeight w:val="180"/>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97,692,891 shares issued; 83,365,696 and 85,310,698 outstanding at December 31, 2025 and 2024, respectively</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700,785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581,596</w:t>
            </w:r>
          </w:p>
        </w:tc>
      </w:tr>
      <w:tr>
        <w:trPr>
          <w:trHeight w:val="196"/>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 at cost, $0.0001 par value; 16,299,769 and 12,998,173 shares at December 31, 2025 and 2024, respectively</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(388,075)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(303,889)</w:t>
            </w:r>
          </w:p>
        </w:tc>
      </w:tr>
      <w:tr>
        <w:trPr>
          <w:trHeight w:val="207"/>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earnings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144,307</w:t>
            </w:r>
          </w:p>
        </w:tc>
      </w:tr>
      <w:tr>
        <w:trPr>
          <w:trHeight w:val="196"/>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8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516,044</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422,062</w:t>
            </w:r>
          </w:p>
        </w:tc>
      </w:tr>
      <w:tr>
        <w:trPr>
          <w:trHeight w:val="19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8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742,435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607,102</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8"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6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1,288,661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1,167,221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1,088,598</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984,177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913,858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849,799</w:t>
            </w:r>
          </w:p>
        </w:tc>
        <w:tc>
          <w:tcPr>
            <w:tcW w:w="0" w:type="dxa"/>
            <w:vAlign w:val="bottom"/>
          </w:tcPr>
          <w:p>
            <w:pPr>
              <w:spacing w:after="0"/>
              <w:rPr>
                <w:sz w:val="1"/>
                <w:szCs w:val="1"/>
                <w:color w:val="auto"/>
              </w:rPr>
            </w:pPr>
          </w:p>
        </w:tc>
      </w:tr>
      <w:tr>
        <w:trPr>
          <w:trHeight w:val="19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304,484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253,363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238,799</w:t>
            </w:r>
          </w:p>
        </w:tc>
        <w:tc>
          <w:tcPr>
            <w:tcW w:w="0" w:type="dxa"/>
            <w:vAlign w:val="bottom"/>
          </w:tcPr>
          <w:p>
            <w:pPr>
              <w:spacing w:after="0"/>
              <w:rPr>
                <w:sz w:val="1"/>
                <w:szCs w:val="1"/>
                <w:color w:val="auto"/>
              </w:rPr>
            </w:pPr>
          </w:p>
        </w:tc>
      </w:tr>
      <w:tr>
        <w:trPr>
          <w:trHeight w:val="19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59,488</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147,094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121,960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117,127</w:t>
            </w:r>
          </w:p>
        </w:tc>
        <w:tc>
          <w:tcPr>
            <w:tcW w:w="0" w:type="dxa"/>
            <w:vAlign w:val="bottom"/>
          </w:tcPr>
          <w:p>
            <w:pPr>
              <w:spacing w:after="0"/>
              <w:rPr>
                <w:sz w:val="1"/>
                <w:szCs w:val="1"/>
                <w:color w:val="auto"/>
              </w:rPr>
            </w:pPr>
          </w:p>
        </w:tc>
      </w:tr>
      <w:tr>
        <w:trPr>
          <w:trHeight w:val="19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219,207</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185,908</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176,615</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85,277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67,455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62,184</w:t>
            </w: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8,507</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95,432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83,202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70,691</w:t>
            </w: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8,654</w:t>
            </w:r>
          </w:p>
        </w:tc>
        <w:tc>
          <w:tcPr>
            <w:tcW w:w="0" w:type="dxa"/>
            <w:vAlign w:val="bottom"/>
          </w:tcPr>
          <w:p>
            <w:pPr>
              <w:spacing w:after="0"/>
              <w:rPr>
                <w:sz w:val="1"/>
                <w:szCs w:val="1"/>
                <w:color w:val="auto"/>
              </w:rPr>
            </w:pPr>
          </w:p>
        </w:tc>
      </w:tr>
      <w:tr>
        <w:trPr>
          <w:trHeight w:val="198"/>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58,520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54,336</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62,037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per share:</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0" w:type="dxa"/>
            <w:vAlign w:val="bottom"/>
          </w:tcPr>
          <w:p>
            <w:pPr>
              <w:spacing w:after="0"/>
              <w:rPr>
                <w:sz w:val="1"/>
                <w:szCs w:val="1"/>
                <w:color w:val="auto"/>
              </w:rPr>
            </w:pPr>
          </w:p>
        </w:tc>
      </w:tr>
      <w:tr>
        <w:trPr>
          <w:trHeight w:val="232"/>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Weighted-average shares used in computing 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85,651,721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91,481,995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95,021,175</w:t>
            </w:r>
          </w:p>
        </w:tc>
        <w:tc>
          <w:tcPr>
            <w:tcW w:w="0" w:type="dxa"/>
            <w:vAlign w:val="bottom"/>
          </w:tcPr>
          <w:p>
            <w:pPr>
              <w:spacing w:after="0"/>
              <w:rPr>
                <w:sz w:val="1"/>
                <w:szCs w:val="1"/>
                <w:color w:val="auto"/>
              </w:rPr>
            </w:pPr>
          </w:p>
        </w:tc>
      </w:tr>
      <w:tr>
        <w:trPr>
          <w:trHeight w:val="192"/>
        </w:trPr>
        <w:tc>
          <w:tcPr>
            <w:tcW w:w="6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89,861,843</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95,448,357</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100,672,399</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8"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62,037</w:t>
            </w: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Unrealized gain on marketable securities before reclassifications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6,143</w:t>
            </w:r>
          </w:p>
        </w:tc>
      </w:tr>
      <w:tr>
        <w:trPr>
          <w:trHeight w:val="196"/>
        </w:trPr>
        <w:tc>
          <w:tcPr>
            <w:tcW w:w="6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Reclassification of gains on the sale of marketable securities into net income</w:t>
            </w:r>
          </w:p>
        </w:tc>
        <w:tc>
          <w:tcPr>
            <w:tcW w:w="9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(3,810)</w:t>
            </w:r>
          </w:p>
        </w:tc>
      </w:tr>
      <w:tr>
        <w:trPr>
          <w:trHeight w:val="198"/>
        </w:trPr>
        <w:tc>
          <w:tcPr>
            <w:tcW w:w="66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change on unrealized gains on marketable securities</w:t>
            </w: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w:t>
            </w:r>
          </w:p>
        </w:tc>
      </w:tr>
      <w:tr>
        <w:trPr>
          <w:trHeight w:val="196"/>
        </w:trPr>
        <w:tc>
          <w:tcPr>
            <w:tcW w:w="66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Foreign currency translation gain (loss)</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w:t>
            </w:r>
          </w:p>
        </w:tc>
      </w:tr>
      <w:tr>
        <w:trPr>
          <w:trHeight w:val="198"/>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58,979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51,556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64,355</w:t>
            </w:r>
          </w:p>
        </w:tc>
      </w:tr>
      <w:tr>
        <w:trPr>
          <w:trHeight w:val="20"/>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Equity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2100" w:type="dxa"/>
            <w:vAlign w:val="bottom"/>
            <w:gridSpan w:val="5"/>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80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rPr>
              <w:t>Additional Paid in</w:t>
            </w: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restart"/>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 Income</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800" w:type="dxa"/>
            <w:vAlign w:val="bottom"/>
          </w:tcPr>
          <w:p>
            <w:pPr>
              <w:spacing w:after="0"/>
              <w:rPr>
                <w:sz w:val="15"/>
                <w:szCs w:val="15"/>
                <w:color w:val="auto"/>
              </w:rPr>
            </w:pP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Earnings</w:t>
            </w:r>
          </w:p>
        </w:tc>
        <w:tc>
          <w:tcPr>
            <w:tcW w:w="10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93,301,156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349,533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27,934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376,968</w:t>
            </w:r>
          </w:p>
        </w:tc>
        <w:tc>
          <w:tcPr>
            <w:tcW w:w="0" w:type="dxa"/>
            <w:vAlign w:val="bottom"/>
          </w:tcPr>
          <w:p>
            <w:pPr>
              <w:spacing w:after="0"/>
              <w:rPr>
                <w:sz w:val="1"/>
                <w:szCs w:val="1"/>
                <w:color w:val="auto"/>
              </w:rPr>
            </w:pPr>
          </w:p>
        </w:tc>
      </w:tr>
      <w:tr>
        <w:trPr>
          <w:trHeight w:val="148"/>
        </w:trPr>
        <w:tc>
          <w:tcPr>
            <w:tcW w:w="280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Issuance of employee equity awards, net of shares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2,799,694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(11,102)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(11,102)</w:t>
            </w:r>
          </w:p>
        </w:tc>
        <w:tc>
          <w:tcPr>
            <w:tcW w:w="0" w:type="dxa"/>
            <w:vAlign w:val="bottom"/>
          </w:tcPr>
          <w:p>
            <w:pPr>
              <w:spacing w:after="0"/>
              <w:rPr>
                <w:sz w:val="1"/>
                <w:szCs w:val="1"/>
                <w:color w:val="auto"/>
              </w:rPr>
            </w:pPr>
          </w:p>
        </w:tc>
      </w:tr>
      <w:tr>
        <w:trPr>
          <w:trHeight w:val="173"/>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withheld</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123,208</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123,208</w:t>
            </w:r>
          </w:p>
        </w:tc>
        <w:tc>
          <w:tcPr>
            <w:tcW w:w="0" w:type="dxa"/>
            <w:vAlign w:val="bottom"/>
          </w:tcPr>
          <w:p>
            <w:pPr>
              <w:spacing w:after="0"/>
              <w:rPr>
                <w:sz w:val="1"/>
                <w:szCs w:val="1"/>
                <w:color w:val="auto"/>
              </w:rPr>
            </w:pPr>
          </w:p>
        </w:tc>
      </w:tr>
      <w:tr>
        <w:trPr>
          <w:trHeight w:val="167"/>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 exercise</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0" w:type="dxa"/>
            <w:vAlign w:val="bottom"/>
          </w:tcPr>
          <w:p>
            <w:pPr>
              <w:spacing w:after="0"/>
              <w:rPr>
                <w:sz w:val="1"/>
                <w:szCs w:val="1"/>
                <w:color w:val="auto"/>
              </w:rPr>
            </w:pPr>
          </w:p>
        </w:tc>
      </w:tr>
      <w:tr>
        <w:trPr>
          <w:trHeight w:val="167"/>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62,037</w:t>
            </w:r>
          </w:p>
        </w:tc>
        <w:tc>
          <w:tcPr>
            <w:tcW w:w="0" w:type="dxa"/>
            <w:vAlign w:val="bottom"/>
          </w:tcPr>
          <w:p>
            <w:pPr>
              <w:spacing w:after="0"/>
              <w:rPr>
                <w:sz w:val="1"/>
                <w:szCs w:val="1"/>
                <w:color w:val="auto"/>
              </w:rPr>
            </w:pPr>
          </w:p>
        </w:tc>
      </w:tr>
      <w:tr>
        <w:trPr>
          <w:trHeight w:val="24"/>
        </w:trPr>
        <w:tc>
          <w:tcPr>
            <w:tcW w:w="28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96,348,522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461,639</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89,971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2,819</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553,429</w:t>
            </w:r>
          </w:p>
        </w:tc>
        <w:tc>
          <w:tcPr>
            <w:tcW w:w="0" w:type="dxa"/>
            <w:vAlign w:val="bottom"/>
          </w:tcPr>
          <w:p>
            <w:pPr>
              <w:spacing w:after="0"/>
              <w:rPr>
                <w:sz w:val="1"/>
                <w:szCs w:val="1"/>
                <w:color w:val="auto"/>
              </w:rPr>
            </w:pPr>
          </w:p>
        </w:tc>
      </w:tr>
      <w:tr>
        <w:trPr>
          <w:trHeight w:val="148"/>
        </w:trPr>
        <w:tc>
          <w:tcPr>
            <w:tcW w:w="280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Issuance of employee equity awards, net of shares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1,064,502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(9,587)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1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(9,587)</w:t>
            </w:r>
          </w:p>
        </w:tc>
        <w:tc>
          <w:tcPr>
            <w:tcW w:w="0" w:type="dxa"/>
            <w:vAlign w:val="bottom"/>
          </w:tcPr>
          <w:p>
            <w:pPr>
              <w:spacing w:after="0"/>
              <w:rPr>
                <w:sz w:val="1"/>
                <w:szCs w:val="1"/>
                <w:color w:val="auto"/>
              </w:rPr>
            </w:pPr>
          </w:p>
        </w:tc>
      </w:tr>
      <w:tr>
        <w:trPr>
          <w:trHeight w:val="173"/>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withheld</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129,544</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129,544</w:t>
            </w:r>
          </w:p>
        </w:tc>
        <w:tc>
          <w:tcPr>
            <w:tcW w:w="0" w:type="dxa"/>
            <w:vAlign w:val="bottom"/>
          </w:tcPr>
          <w:p>
            <w:pPr>
              <w:spacing w:after="0"/>
              <w:rPr>
                <w:sz w:val="1"/>
                <w:szCs w:val="1"/>
                <w:color w:val="auto"/>
              </w:rPr>
            </w:pPr>
          </w:p>
        </w:tc>
      </w:tr>
      <w:tr>
        <w:trPr>
          <w:trHeight w:val="165"/>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(12,382,193)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(302,880)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(302,880)</w:t>
            </w: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Warrant exercise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279,867</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7"/>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54,336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54,336</w:t>
            </w:r>
          </w:p>
        </w:tc>
        <w:tc>
          <w:tcPr>
            <w:tcW w:w="0" w:type="dxa"/>
            <w:vAlign w:val="bottom"/>
          </w:tcPr>
          <w:p>
            <w:pPr>
              <w:spacing w:after="0"/>
              <w:rPr>
                <w:sz w:val="1"/>
                <w:szCs w:val="1"/>
                <w:color w:val="auto"/>
              </w:rPr>
            </w:pPr>
          </w:p>
        </w:tc>
      </w:tr>
      <w:tr>
        <w:trPr>
          <w:trHeight w:val="158"/>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85,310,698</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(303,889)</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581,596</w:t>
            </w:r>
          </w:p>
        </w:tc>
        <w:tc>
          <w:tcPr>
            <w:tcW w:w="100" w:type="dxa"/>
            <w:vAlign w:val="bottom"/>
          </w:tcPr>
          <w:p>
            <w:pPr>
              <w:spacing w:after="0"/>
              <w:rPr>
                <w:sz w:val="13"/>
                <w:szCs w:val="13"/>
                <w:color w:val="auto"/>
              </w:rPr>
            </w:pPr>
          </w:p>
        </w:tc>
        <w:tc>
          <w:tcPr>
            <w:tcW w:w="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144,307</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422,062</w:t>
            </w: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3"/>
                <w:szCs w:val="13"/>
                <w:color w:val="auto"/>
              </w:rPr>
              <w:t>Issuance of employee equity awards, net of shares</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1,356,594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(15,443)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(15,443)</w:t>
            </w:r>
          </w:p>
        </w:tc>
        <w:tc>
          <w:tcPr>
            <w:tcW w:w="0" w:type="dxa"/>
            <w:vAlign w:val="bottom"/>
          </w:tcPr>
          <w:p>
            <w:pPr>
              <w:spacing w:after="0"/>
              <w:rPr>
                <w:sz w:val="1"/>
                <w:szCs w:val="1"/>
                <w:color w:val="auto"/>
              </w:rPr>
            </w:pPr>
          </w:p>
        </w:tc>
      </w:tr>
      <w:tr>
        <w:trPr>
          <w:trHeight w:val="180"/>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withheld</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134,632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134,632</w:t>
            </w: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(3,301,596)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(84,186)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(84,186)</w:t>
            </w:r>
          </w:p>
        </w:tc>
        <w:tc>
          <w:tcPr>
            <w:tcW w:w="0" w:type="dxa"/>
            <w:vAlign w:val="bottom"/>
          </w:tcPr>
          <w:p>
            <w:pPr>
              <w:spacing w:after="0"/>
              <w:rPr>
                <w:sz w:val="1"/>
                <w:szCs w:val="1"/>
                <w:color w:val="auto"/>
              </w:rPr>
            </w:pPr>
          </w:p>
        </w:tc>
      </w:tr>
      <w:tr>
        <w:trPr>
          <w:trHeight w:val="165"/>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58,520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58,520</w:t>
            </w:r>
          </w:p>
        </w:tc>
        <w:tc>
          <w:tcPr>
            <w:tcW w:w="0" w:type="dxa"/>
            <w:vAlign w:val="bottom"/>
          </w:tcPr>
          <w:p>
            <w:pPr>
              <w:spacing w:after="0"/>
              <w:rPr>
                <w:sz w:val="1"/>
                <w:szCs w:val="1"/>
                <w:color w:val="auto"/>
              </w:rPr>
            </w:pPr>
          </w:p>
        </w:tc>
      </w:tr>
      <w:tr>
        <w:trPr>
          <w:trHeight w:val="179"/>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83,365,696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(388,075)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700,785</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202,827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498</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516,044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80"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0"/>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76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58,520</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54,336</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62,037</w:t>
            </w:r>
          </w:p>
        </w:tc>
      </w:tr>
      <w:tr>
        <w:trPr>
          <w:trHeight w:val="17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0"/>
        </w:trPr>
        <w:tc>
          <w:tcPr>
            <w:tcW w:w="7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tax (benefit) expense</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3,745</w:t>
            </w:r>
          </w:p>
        </w:tc>
      </w:tr>
      <w:tr>
        <w:trPr>
          <w:trHeight w:val="179"/>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Non-cash interest expense (income)</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60"/>
        </w:trPr>
        <w:tc>
          <w:tcPr>
            <w:tcW w:w="7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2,281</w:t>
            </w:r>
          </w:p>
        </w:tc>
      </w:tr>
      <w:tr>
        <w:trPr>
          <w:trHeight w:val="179"/>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Loss on disposal of property and equipment</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7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131,867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128,130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122,611</w:t>
            </w:r>
          </w:p>
        </w:tc>
      </w:tr>
      <w:tr>
        <w:trPr>
          <w:trHeight w:val="179"/>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Bad debt expense</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19,934</w:t>
            </w:r>
          </w:p>
        </w:tc>
      </w:tr>
      <w:tr>
        <w:trPr>
          <w:trHeight w:val="160"/>
        </w:trPr>
        <w:tc>
          <w:tcPr>
            <w:tcW w:w="7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accretion of discounts on marketable securities</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(4,328)</w:t>
            </w:r>
          </w:p>
        </w:tc>
      </w:tr>
      <w:tr>
        <w:trPr>
          <w:trHeight w:val="179"/>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Foreign currency exchange rate loss</w:t>
            </w:r>
          </w:p>
        </w:tc>
        <w:tc>
          <w:tcPr>
            <w:tcW w:w="7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92"/>
        </w:trPr>
        <w:tc>
          <w:tcPr>
            <w:tcW w:w="7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Accounts receivable</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(9,874)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(21,738)</w:t>
            </w:r>
          </w:p>
        </w:tc>
      </w:tr>
      <w:tr>
        <w:trPr>
          <w:trHeight w:val="160"/>
        </w:trPr>
        <w:tc>
          <w:tcPr>
            <w:tcW w:w="73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(22,930)</w:t>
            </w:r>
          </w:p>
        </w:tc>
      </w:tr>
      <w:tr>
        <w:trPr>
          <w:trHeight w:val="17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Accounts payable</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28,752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(30,268)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16,235</w:t>
            </w:r>
          </w:p>
        </w:tc>
      </w:tr>
      <w:tr>
        <w:trPr>
          <w:trHeight w:val="160"/>
        </w:trPr>
        <w:tc>
          <w:tcPr>
            <w:tcW w:w="73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10,361</w:t>
            </w:r>
          </w:p>
        </w:tc>
      </w:tr>
      <w:tr>
        <w:trPr>
          <w:trHeight w:val="17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noncurrent assets and liabilities</w:t>
            </w:r>
          </w:p>
        </w:tc>
        <w:tc>
          <w:tcPr>
            <w:tcW w:w="7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w:t>
            </w:r>
          </w:p>
        </w:tc>
      </w:tr>
      <w:tr>
        <w:trPr>
          <w:trHeight w:val="151"/>
        </w:trPr>
        <w:tc>
          <w:tcPr>
            <w:tcW w:w="73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210,192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179,105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188,814</w:t>
            </w:r>
          </w:p>
        </w:tc>
      </w:tr>
      <w:tr>
        <w:trPr>
          <w:trHeight w:val="126"/>
        </w:trPr>
        <w:tc>
          <w:tcPr>
            <w:tcW w:w="7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60"/>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 of property and equipment, net</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(3,644)</w:t>
            </w:r>
          </w:p>
        </w:tc>
      </w:tr>
      <w:tr>
        <w:trPr>
          <w:trHeight w:val="160"/>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marketable securities</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(354,964)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(170,339)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(429,694)</w:t>
            </w:r>
          </w:p>
        </w:tc>
      </w:tr>
      <w:tr>
        <w:trPr>
          <w:trHeight w:val="17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Sale of marketable securities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223,701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376,840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232,813</w:t>
            </w:r>
          </w:p>
        </w:tc>
      </w:tr>
      <w:tr>
        <w:trPr>
          <w:trHeight w:val="16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Acquisition of business, net of cash acquired</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(9,340)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(5,304)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7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Net cash (used in) provided by investing activities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(159,013)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195,792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(200,525)</w:t>
            </w:r>
          </w:p>
        </w:tc>
      </w:tr>
      <w:tr>
        <w:trPr>
          <w:trHeight w:val="117"/>
        </w:trPr>
        <w:tc>
          <w:tcPr>
            <w:tcW w:w="7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7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0"/>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(81,657)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(300,278)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4,850</w:t>
            </w:r>
          </w:p>
        </w:tc>
      </w:tr>
      <w:tr>
        <w:trPr>
          <w:trHeight w:val="160"/>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costs on credit facility</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 of employee taxes related to equity awards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(15,848)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(17,200)</w:t>
            </w:r>
          </w:p>
        </w:tc>
      </w:tr>
      <w:tr>
        <w:trPr>
          <w:trHeight w:val="16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Proceeds from contributions to employee stock purchase plan</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1,278</w:t>
            </w:r>
          </w:p>
        </w:tc>
      </w:tr>
      <w:tr>
        <w:trPr>
          <w:trHeight w:val="170"/>
        </w:trPr>
        <w:tc>
          <w:tcPr>
            <w:tcW w:w="7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(99,362)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(309,880)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(11,072)</w:t>
            </w:r>
          </w:p>
        </w:tc>
      </w:tr>
      <w:tr>
        <w:trPr>
          <w:trHeight w:val="16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 cash equivalents, and restricted cash</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7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(decrease) increase in cash, cash equivalents, and restricted cash</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(48,121)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(22,782)</w:t>
            </w:r>
          </w:p>
        </w:tc>
      </w:tr>
      <w:tr>
        <w:trPr>
          <w:trHeight w:val="16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year</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162,314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97,296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120,078</w:t>
            </w:r>
          </w:p>
        </w:tc>
      </w:tr>
      <w:tr>
        <w:trPr>
          <w:trHeight w:val="195"/>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end of year</w:t>
            </w:r>
          </w:p>
        </w:tc>
        <w:tc>
          <w:tcPr>
            <w:tcW w:w="76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114,193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162,314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97,296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17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76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112,238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162,314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97,296</w:t>
            </w:r>
          </w:p>
        </w:tc>
      </w:tr>
      <w:tr>
        <w:trPr>
          <w:trHeight w:val="160"/>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cash included within other noncurrent assets</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5"/>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76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114,193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162,314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97,296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60"/>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for income taxes, net of refunds received</w:t>
            </w:r>
          </w:p>
        </w:tc>
        <w:tc>
          <w:tcPr>
            <w:tcW w:w="76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55,490</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40,449</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6,181</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INVESTING AND FINANCING ACTIVITIES</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51"/>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Additions of property and equipment, net included in accounts payable and accrued expenses</w:t>
            </w:r>
          </w:p>
        </w:tc>
        <w:tc>
          <w:tcPr>
            <w:tcW w:w="76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79" w:lineRule="exact"/>
        <w:rPr>
          <w:sz w:val="20"/>
          <w:szCs w:val="20"/>
          <w:color w:val="auto"/>
        </w:rPr>
      </w:pPr>
    </w:p>
    <w:p>
      <w:pPr>
        <w:ind w:right="9060" w:firstLine="5"/>
        <w:spacing w:after="0" w:line="491" w:lineRule="auto"/>
        <w:tabs>
          <w:tab w:leader="none" w:pos="141"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and Basis of Presentation Description of Business</w:t>
      </w:r>
    </w:p>
    <w:p>
      <w:pPr>
        <w:spacing w:after="0" w:line="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Progyny, Inc. (together with its subsidiaries referred to as “Progyny” or the “Company”) was incorporated in the state of Delaware on April 3, 2008, and maintains its corporate headquarters in New York, NY.</w:t>
      </w:r>
    </w:p>
    <w:p>
      <w:pPr>
        <w:spacing w:after="0" w:line="114"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Progyny is a benefits management company specializing in fertility, family building and women's health benefits solutions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client success teams, and end-to-end comprehensive concierge member support provided by Progyny’s in-house staff of Progyny Care Advocates (“PCAs”) (collectively, the “care management services”).</w:t>
      </w:r>
    </w:p>
    <w:p>
      <w:pPr>
        <w:spacing w:after="0" w:line="15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Progyny Rx is the integrated pharmacy benefits solution that is available as an add-on service by the Company's members to the fertility benefits solution.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w:t>
      </w:r>
    </w:p>
    <w:p>
      <w:pPr>
        <w:spacing w:after="0" w:line="13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Company has recently expanded its offerings to include pregnancy and postpartum, menopause and midlife, benefit and leave navigation, and parent and child wellbeing solutions (collectively referred to as the "Other solutions"). The Other solutions are not material to the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7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those of the Company and its wholly owned subsidiaries. All intercompany balances and transactions have been eliminated in consolidation. The consolidated financial statements and accompanying notes were prepared in accordance with accounting principles generally accepted in the United States (“U.S. GAAP”).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70"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 and Marketable Securities</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Cash and cash equivalents are stated at fair value. The Company considers all highly liquid investments purchased with original maturities of three months or less at the time of purchase to be cash equivalents. Marketable securities, primarily consisting of U.S. Government and agency securities with original maturities greater than three months but less than one year when purchased, are classified as available-for-sale, and are stated at fair value. Unrealized gains and losses on marketable securities are excluded from earnings and reported as a component of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7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applies the following five-step model to recognize revenue from contracts with clients:</w:t>
      </w:r>
    </w:p>
    <w:p>
      <w:pPr>
        <w:spacing w:after="0" w:line="178" w:lineRule="exact"/>
        <w:rPr>
          <w:sz w:val="20"/>
          <w:szCs w:val="20"/>
          <w:color w:val="auto"/>
        </w:rPr>
      </w:pPr>
    </w:p>
    <w:p>
      <w:pPr>
        <w:ind w:left="760" w:hanging="246"/>
        <w:spacing w:after="0"/>
        <w:tabs>
          <w:tab w:leader="none" w:pos="76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color w:val="auto"/>
        </w:rPr>
        <w:t>Identification of the contract, or contracts, with a client;</w:t>
      </w:r>
    </w:p>
    <w:p>
      <w:pPr>
        <w:spacing w:after="0" w:line="175" w:lineRule="exact"/>
        <w:rPr>
          <w:rFonts w:ascii="Times New Roman" w:cs="Times New Roman" w:eastAsia="Times New Roman" w:hAnsi="Times New Roman"/>
          <w:sz w:val="17"/>
          <w:szCs w:val="17"/>
          <w:b w:val="1"/>
          <w:bCs w:val="1"/>
          <w:color w:val="auto"/>
        </w:rPr>
      </w:pPr>
    </w:p>
    <w:p>
      <w:pPr>
        <w:ind w:left="760" w:hanging="246"/>
        <w:spacing w:after="0"/>
        <w:tabs>
          <w:tab w:leader="none" w:pos="76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color w:val="auto"/>
        </w:rPr>
        <w:t>Identification of the performance obligations in the contract;</w:t>
      </w:r>
    </w:p>
    <w:p>
      <w:pPr>
        <w:spacing w:after="0" w:line="165" w:lineRule="exact"/>
        <w:rPr>
          <w:rFonts w:ascii="Times New Roman" w:cs="Times New Roman" w:eastAsia="Times New Roman" w:hAnsi="Times New Roman"/>
          <w:sz w:val="17"/>
          <w:szCs w:val="17"/>
          <w:b w:val="1"/>
          <w:bCs w:val="1"/>
          <w:color w:val="auto"/>
        </w:rPr>
      </w:pPr>
    </w:p>
    <w:p>
      <w:pPr>
        <w:ind w:left="760" w:hanging="246"/>
        <w:spacing w:after="0"/>
        <w:tabs>
          <w:tab w:leader="none" w:pos="76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color w:val="auto"/>
        </w:rPr>
        <w:t>Determination of the transaction price;</w:t>
      </w:r>
    </w:p>
    <w:p>
      <w:pPr>
        <w:spacing w:after="0" w:line="165" w:lineRule="exact"/>
        <w:rPr>
          <w:rFonts w:ascii="Times New Roman" w:cs="Times New Roman" w:eastAsia="Times New Roman" w:hAnsi="Times New Roman"/>
          <w:sz w:val="17"/>
          <w:szCs w:val="17"/>
          <w:b w:val="1"/>
          <w:bCs w:val="1"/>
          <w:color w:val="auto"/>
        </w:rPr>
      </w:pPr>
    </w:p>
    <w:p>
      <w:pPr>
        <w:ind w:left="760" w:hanging="246"/>
        <w:spacing w:after="0"/>
        <w:tabs>
          <w:tab w:leader="none" w:pos="76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color w:val="auto"/>
        </w:rPr>
        <w:t>Allocation of the transaction price to the performance obligations in the contract; and</w:t>
      </w:r>
    </w:p>
    <w:p>
      <w:pPr>
        <w:spacing w:after="0" w:line="175" w:lineRule="exact"/>
        <w:rPr>
          <w:rFonts w:ascii="Times New Roman" w:cs="Times New Roman" w:eastAsia="Times New Roman" w:hAnsi="Times New Roman"/>
          <w:sz w:val="17"/>
          <w:szCs w:val="17"/>
          <w:b w:val="1"/>
          <w:bCs w:val="1"/>
          <w:color w:val="auto"/>
        </w:rPr>
      </w:pPr>
    </w:p>
    <w:p>
      <w:pPr>
        <w:ind w:left="760" w:hanging="246"/>
        <w:spacing w:after="0"/>
        <w:tabs>
          <w:tab w:leader="none" w:pos="76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4"/>
          <w:szCs w:val="14"/>
          <w:color w:val="auto"/>
        </w:rPr>
        <w:t>Recognition of revenue when, or as, a performance obligation is satisfied.</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Progyny’s contracts typically have a stated term of three years and include contractual termination options after the first year, allowing the client to terminate the contract with 30 to 90 days’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notice.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Fertility Benefits Solution Revenue</w:t>
      </w:r>
    </w:p>
    <w:p>
      <w:pPr>
        <w:spacing w:after="0" w:line="17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33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68"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Progyny’s contracts include the following sources of consideration, which are all variable: a per employee per month ("PEPM") administration fee (in most, but not all contracts) and a fixed rate per Smart Cycle. The PEPM administration fee is estimated using the expected value method and is allocated between the fertility benefits solution and the pharmacy benefits solution based on standalone selling price, estimated using an expected cost-plus margin method. The fixed rate per Smart Cycle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fertility benefits services provided. As a result, the fixed rate per Smart Cycle is included in the transaction price for the fertility benefits solution. Progyny’s contracts also include potential service level agreement refunds related to outcome-based service metrics. These service level refunds, which are determined based on results of a full plan year, if met, are based on a percentage of the PEPM fee paid by clients. In addition, certain client contracts include service level agreement refunds related to financial metrics for a full plan year. The Company estimates the variable consideration for service level agreement refunds using the expected value method and recognizes the amounts allocated to the fertility benefits solution ratably over the contract term. Progyny’s estimates of service level agreement refunds have not historically resulted in significant adjustments to the transaction price. There is no constraint on variable consideration within Progyny's fertility benefits contracts.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The Company recognizes revenue for its fertility benefit solution in the period in which the Smart Cycle services are provided to the member. The services provided in a reporting period are based on actual claims received from the provider clinic and an estimate of services provided but for which a claim has not been received at the end of the reporting period, which we refer to as accrued receivables, and is discussed in further detail below.</w:t>
      </w:r>
    </w:p>
    <w:p>
      <w:pPr>
        <w:spacing w:after="0" w:line="15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35"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Pharmacy Benefits Solution Revenue</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5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4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Progyny’s contracts include the following sources of consideration, all of which are variable: a PEPM administration fee (in most, but not all contracts) and a fixed fee per fertility drug. As described above, the PEPM administration fee and estimated refunds related to service level agreements are allocated to the pharmacy benefits solution and recognized ratably over the contract term. The fixed fee per fertility drug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 There is no constraint on variable consideration within Progyny's pharmacy benefits contracts.</w:t>
      </w:r>
    </w:p>
    <w:p>
      <w:pPr>
        <w:spacing w:after="0" w:line="16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56"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December 31, 2025 and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Receivables and Accrued Claims Payable</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4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As of December 31, 2025 and 2024, accrued receivables were $54.9 million and $45.6 million, respectively. Accrued receivables are included within accounts receivable in the consolidated balance sheet.</w:t>
      </w:r>
    </w:p>
    <w:p>
      <w:pPr>
        <w:spacing w:after="0" w:line="12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Accrued claims payable of $30.0 million and $32.1 million as of December 31, 2025 and 2024, respectively, are included within accrued expenses and other current liabilities in the consolidated balance sheet. Claims payable are generally paid within 30 days based on contractual terms.</w:t>
      </w:r>
    </w:p>
    <w:p>
      <w:pPr>
        <w:spacing w:after="0" w:line="11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As of December 31, 2025 and December 31, 2024, unbilled receivables, which represent claims received and approved but unbilled at the end of the reporting period, were $33.9 million and $47.0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Doubtful Accounts</w:t>
      </w:r>
    </w:p>
    <w:p>
      <w:pPr>
        <w:spacing w:after="0" w:line="17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of losses, current economic conditions, and reasonable and supportable forecasts of future economic conditions in order to develop loss rates for each of its receivable pools. An allowance for credit losses is applied at the time the asset is recognized, including to current or not yet due amounts, based on the Company’s estimated loss rates which consider the migration of receivables from current to aged and collection rates associated with receivables that are delinquent. Expected credit losses are recorded as general and administrative expenses in the consolidated statements of operations. The Company records write-offs, as a deduction from the allowance for doubtful accounts, in the period in which its receivables are deemed uncollectible, which is when all efforts of collection have been exhausted or it is no longer pursuing collection of the receivable, and can take up to several years from the initial billing based on the nature of the Company’s receivables, which consist of a high volume of low dollar balances, particularly on the member receivable pool. The following table provides a summary of the activity in this allowance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Years Ended December 31, 2025, 2024 and 2023</w:t>
            </w: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r>
        <w:trPr>
          <w:trHeight w:val="129"/>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320" w:type="dxa"/>
            <w:vAlign w:val="bottom"/>
          </w:tcPr>
          <w:p>
            <w:pPr>
              <w:spacing w:after="0"/>
              <w:rPr>
                <w:sz w:val="11"/>
                <w:szCs w:val="11"/>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Charged</w:t>
            </w:r>
          </w:p>
        </w:tc>
        <w:tc>
          <w:tcPr>
            <w:tcW w:w="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tcPr>
          <w:p>
            <w:pPr>
              <w:jc w:val="center"/>
              <w:ind w:right="316"/>
              <w:spacing w:after="0"/>
              <w:rPr>
                <w:sz w:val="20"/>
                <w:szCs w:val="20"/>
                <w:color w:val="auto"/>
              </w:rPr>
            </w:pPr>
            <w:r>
              <w:rPr>
                <w:rFonts w:ascii="Times New Roman" w:cs="Times New Roman" w:eastAsia="Times New Roman" w:hAnsi="Times New Roman"/>
                <w:sz w:val="11"/>
                <w:szCs w:val="11"/>
                <w:b w:val="1"/>
                <w:bCs w:val="1"/>
                <w:color w:val="auto"/>
              </w:rPr>
              <w:t>Balance</w:t>
            </w:r>
          </w:p>
        </w:tc>
      </w:tr>
      <w:tr>
        <w:trPr>
          <w:trHeight w:val="138"/>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Beginning</w:t>
            </w:r>
          </w:p>
        </w:tc>
        <w:tc>
          <w:tcPr>
            <w:tcW w:w="320" w:type="dxa"/>
            <w:vAlign w:val="bottom"/>
          </w:tcPr>
          <w:p>
            <w:pPr>
              <w:spacing w:after="0"/>
              <w:rPr>
                <w:sz w:val="11"/>
                <w:szCs w:val="11"/>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to Costs</w:t>
            </w:r>
          </w:p>
        </w:tc>
        <w:tc>
          <w:tcPr>
            <w:tcW w:w="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tcPr>
          <w:p>
            <w:pPr>
              <w:jc w:val="center"/>
              <w:ind w:right="296"/>
              <w:spacing w:after="0"/>
              <w:rPr>
                <w:sz w:val="20"/>
                <w:szCs w:val="20"/>
                <w:color w:val="auto"/>
              </w:rPr>
            </w:pPr>
            <w:r>
              <w:rPr>
                <w:rFonts w:ascii="Times New Roman" w:cs="Times New Roman" w:eastAsia="Times New Roman" w:hAnsi="Times New Roman"/>
                <w:sz w:val="11"/>
                <w:szCs w:val="11"/>
                <w:b w:val="1"/>
                <w:bCs w:val="1"/>
                <w:color w:val="auto"/>
              </w:rPr>
              <w:t>at End</w:t>
            </w:r>
          </w:p>
        </w:tc>
      </w:tr>
      <w:tr>
        <w:trPr>
          <w:trHeight w:val="158"/>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1"/>
                <w:szCs w:val="11"/>
                <w:b w:val="1"/>
                <w:bCs w:val="1"/>
                <w:color w:val="auto"/>
              </w:rPr>
              <w:t>of Period</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1"/>
                <w:szCs w:val="11"/>
                <w:b w:val="1"/>
                <w:bCs w:val="1"/>
                <w:color w:val="auto"/>
              </w:rPr>
              <w:t>and Expenses</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Write-offs</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1"/>
                <w:szCs w:val="11"/>
                <w:b w:val="1"/>
                <w:bCs w:val="1"/>
                <w:color w:val="auto"/>
              </w:rPr>
              <w:t>of Period</w:t>
            </w:r>
          </w:p>
        </w:tc>
      </w:tr>
      <w:tr>
        <w:trPr>
          <w:trHeight w:val="20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55,659</w:t>
            </w:r>
          </w:p>
        </w:tc>
      </w:tr>
      <w:tr>
        <w:trPr>
          <w:trHeight w:val="212"/>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6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6"/>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46,636</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16,396</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(6,677)</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56,355</w:t>
            </w:r>
          </w:p>
        </w:tc>
      </w:tr>
      <w:tr>
        <w:trPr>
          <w:trHeight w:val="218"/>
        </w:trPr>
        <w:tc>
          <w:tcPr>
            <w:tcW w:w="3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6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r>
      <w:tr>
        <w:trPr>
          <w:trHeight w:val="20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46,636</w:t>
            </w:r>
          </w:p>
        </w:tc>
      </w:tr>
      <w:tr>
        <w:trPr>
          <w:trHeight w:val="891"/>
        </w:trPr>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
        </w:trPr>
        <w:tc>
          <w:tcPr>
            <w:tcW w:w="38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Fertility Benefits Services</w:t>
      </w:r>
    </w:p>
    <w:p>
      <w:pPr>
        <w:spacing w:after="0" w:line="1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Pharmacy Benefits Services</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4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Vendor Rebates</w:t>
      </w:r>
    </w:p>
    <w:p>
      <w:pPr>
        <w:spacing w:after="0" w:line="181"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Vendor rebates are included within accounts receivable in the consolidated balance sheet. The effect of adjustments resulting from the reconciliation of rebates recognized to the amounts billed and collected has not been material to the Company’s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Research and development costs consist primarily of personnel and related expenses, including salaries, bonuses, benefits, and stock-based compensation expense for employees engaged in research and development activities as well as third-party vendor costs. All such costs are expensed as incurred and are included within general and administrative expense in the consolidated statement of operations. The Company focuses its research and development efforts on activities related to the design, development, testing and enhancement of its product offerings and technology platforms. For the year ended December 31, 2025, research and development expense was $9.5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of Credit Risk and Off-Balance-Sheet Risk</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consists primarily of cash and cash equivalents, marketable securities, and accounts receivable.</w:t>
      </w:r>
    </w:p>
    <w:p>
      <w:pPr>
        <w:spacing w:after="0" w:line="16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Company invests its cash and cash equivalents and marketable securities with highly rated financial institutions and management believes that the financial risks associated with its cash equivalents are minimal.</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Substantially all of the Company’s cash is maintained with two financial institutions with high credit standings. Such deposits may exceed federally insured limits.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 Company regularly reviews the outstanding accounts receivable balances and makes estimates of the lifetime expected credit losses based upon consideration of factors such as the age of the receivable balance, historical experience, current economic conditions, and reasonable and supportable forecasts of future economic conditions. In addition, the Company periodically evaluates the financial condition of its clients and other parties to manage credit risk related to accounts receivable. As of December 31, 2025 and 2024, one vendor accounted for 27% and 24%, respectively, of total receivables.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1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Property and equipment consists of computer equipment, machinery and equipment, furniture and fixtures, leasehold improvements, and capitalized software development costs. The assets are stated at cost less accumulated depreciation. Depreciation is calculated using the straight-line method based on estimated useful lives and in the case of leasehold improvements, the shorter of the useful life or the remaining term of the lease (see Note 5) is used.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Intangible Assets</w:t>
      </w:r>
    </w:p>
    <w:p>
      <w:pPr>
        <w:spacing w:after="0" w:line="17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Goodwill represents the excess of the consideration transferred over the fair value of the assets acquired and liabilities assumed in a business combination. Other intangible assets consist of trademarks, physician network, and the websites acquired in the Fertility Authority acquisition. Goodwill is carried at the initial acquisition date fair value less any impairment. Other intangible assets are recorded at fair value at the date of acquisition, less accumulated amortization. Amortization is calculated using the straight-line method based on estimated useful lives.</w:t>
      </w:r>
    </w:p>
    <w:p>
      <w:pPr>
        <w:spacing w:after="0" w:line="12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4"/>
          <w:szCs w:val="14"/>
          <w:color w:val="auto"/>
        </w:rPr>
        <w:t>Goodwill is reviewed for impairment annually as of October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of each year or when an interim triggering event has occurred indicating potential impairment. Events or changes in circumstances which could trigger an impairment review, which are assessed at the reporting unit level, include significant changes in the manner of the Company’s use of the acquired assets or the strategy for the Company’s overall business, significant negative industry or economic trends, significant underperformance relative to historical or projected future results of operations, a significant adverse change in the business climate, an adverse action or assessment by a regulator, unanticipated competition or a loss of key personnel. The Company has the option to first assess qualitative factors to determine whether the existence of events or circumstances leads to a determination that it is more likely than not that the fair value of the reporting unit is less than its carrying amount. If, after assessing the totality of events or circumstances, an entity determines it is not more likely than not that the fair value of the reporting unit is less than its carrying amount, then additional impairment testing is not required. However, if an entity concludes otherwise, then it is required to perform the first of a two-step impairment test.</w:t>
      </w:r>
    </w:p>
    <w:p>
      <w:pPr>
        <w:spacing w:after="0" w:line="15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The first step involves comparing the estimated fair value of the reporting unit with its respective book value, including goodwill. If the estimated fair value exceeds book value, goodwill is considered not to be impaired and no additional steps are necessary. If the carrying amount of goodwill exceeds the implied fair value of the goodwill, an impairment loss is recognized in an amount equal to the excess.</w:t>
      </w:r>
    </w:p>
    <w:p>
      <w:pPr>
        <w:spacing w:after="0" w:line="13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The Company tests for goodwill impairment for each reporting unit, which is at the operating segment or one level below the operating segment. This analysis requires us to make a series of assumptions to (1) evaluate whether any impairment exists and (2) measure the amount of impairment. There was no impairment of goodwill or intangible assets for the years ended December 31, 2025, 2024, and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Long-Lived Assets</w:t>
      </w:r>
    </w:p>
    <w:p>
      <w:pPr>
        <w:spacing w:after="0" w:line="18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Long-lived assets are reviewed for impairment whenever events or changes in circumstances indicate that the carrying amount of such assets or asset groups may not be recoverable. In such instances, the recoverability of assets to be held and used is measured first by a comparison of the carrying amount of an asset group to future undiscounted net cash flows expected to be generated by the assets. If such assets are considered to be impaired, an impairment loss would be recognized if the carrying amount of the asset exceeds the fair value of the asset or asset group. The fair value is determined based on valuation techniques such as a comparison to fair values of similar assets or using a discounted cash flow analysis. The Company recorded a $0.1 million and $1.4 million loss on disposal of property and equipment for the years ended December 31, 2025 and 2024, respectively. There were no other significant impairments recorded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9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The Company determines if an arrangement is a lease at inception. Operating leases are included in operating lease right-of-use assets, accrued expenses and other current liabilities, and operating lease noncurrent liabilities on the consolidated balance sheets. The Company elects to account for each separate lease and non-lease component as a single lease component. As of December 31, 2025 and 2024, the Company has no financing lease arrangements.</w:t>
      </w:r>
    </w:p>
    <w:p>
      <w:pPr>
        <w:spacing w:after="0" w:line="13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4"/>
          <w:szCs w:val="14"/>
          <w:color w:val="auto"/>
        </w:rPr>
        <w:t>In accordance with ASC 842, the Company records a right-of-use asset (“ROU”) and lease liability in connection with its operating leases. Operating lease ROU assets and operating lease liabilities are recognized based on the present value of the future minimum lease payments over the lease term at commencement date. To determine the present value of lease payments, the Company utilizes the rate implicit in the lease, if available. If the rate implicit in the lease is not readily determinable, the Company uses its secured incremental borrowing rate to determine the present value of the lease payments. The determination of the Company’s incremental borrowing rate requires judgment and is primarily based on publicly available information for companies within the same industry and with similar credit profiles. The rate is then adjusted for the lease term and other specific terms included in the Company’s lease arrangements. The incremental borrowing rate is subsequently reassessed upon a modification to the lease arrangement. The operating lease ROU asset also includes any lease payments made prior to the commencement date and excludes lease incentives and initial direct costs incurred. ROU assets are subsequently assessed for impairment in accordance with the Company’s accounting policy for long-lived assets.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1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 xml:space="preserve">The Company accounts for stock-based compensation awards in accordance with FASB ASC Topic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xml:space="preserve"> (ASC 718). ASC 718 requires all stock-based payments, including restricted stock units and grants of stock options, to be recognized in the consolidated statements of operations based on their respective fair values. The fair value of the Company’s restricted stock units has been determined utilizing the closing market price of the Company’s common stock on the date of the grant, including those with performance-based vesting conditions.</w:t>
      </w:r>
    </w:p>
    <w:p>
      <w:pPr>
        <w:spacing w:after="0" w:line="13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The fair value of the Company’s stock options and stock purchased under the employee stock purchase plan has been determined using the Black-Scholes option-pricing model, which requires the input of subjective assumptions, including (i) the expected stock price volatility, (ii) the expected term of the award, (iii) the risk-free interest rate and (iv) expected dividends. Due to the lack of historical and implied volatility data of the Company’s common stock, the expected stock price volatility has been estimated based on the historical volatilities of the daily closing prices of a specified group of companies in Progyny’s industry for a period equal to the expected term of the option. Progyny selected companies with comparable characteristics to the Company, including enterprise value, risk profiles and position within the industry, that have historical stock price information sufficient to meet the expected term of the stock options. The expected term of the options granted represents the period of time that options granted are expected to be outstanding and is calculated using the simplified method, which is the mid-point between the vesting date and the end of the contractual term for each option. For non-employee service-based awards, the expected term is estimated based on the remaining contractual term of such awards. The risk-free interest rate is based on the yield of zero-coupon, U.S. Treasury securities for the period that is consistent with the expected term of the stock option. The Company has not paid, and does not anticipate paying, cash dividends on its shares of common stock; therefore, the expected dividend yield is zero.</w:t>
      </w:r>
    </w:p>
    <w:p>
      <w:pPr>
        <w:spacing w:after="0" w:line="14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The Company’s stock-based awards are subject to service-based or performance-based vesting conditions. The Company recognizes compensation expense for service-based awards over the vesting period of the award on a straight-line basis. Compensation expense related to awards with performance-based vesting conditions is recognized over the requisite service period when achievement of the performance condition is considered probable.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 Company accounts for income taxes in accordance with FASB ASC Topic 740, Income Taxes (“ASC 740”). Deferred income taxes are recorded for the expected tax consequences of temporary differences between the tax basis of assets and liabilities for financial reporting purposes and amounts recognized for income tax purposes. The Company periodically reviews the recoverability of deferred tax assets recorded in the consolidated balance sheets and provides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Significant judgment is required in determining any valuation allowance recorded against deferred tax assets. In assessing the need for a valuation allowance, the Company considers all available evidence for each jurisdiction including past operating results, estimates of future taxable income and the feasibility of ongoing tax planning strategies. In the event the Company changes its determination as to the amount of deferred tax assets that can be realized, the Company will adjust its valuation allowance with a corresponding impact to income tax expense in the period in which such determination is made.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amount of deferred tax provided is calculated using tax rates enacted at the balance sheet date. The impact of tax law changes is recognized in periods when the change is enacted.</w:t>
      </w:r>
    </w:p>
    <w:p>
      <w:pPr>
        <w:spacing w:after="0" w:line="1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A two-step approach is applied pursuant to ASC 740 in the recognition and measurement of uncertain tax positions taken or expected to be taken in a tax return. The first step is to determine if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w:t>
      </w:r>
    </w:p>
    <w:p>
      <w:pPr>
        <w:spacing w:after="0" w:line="14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Company’s policy is to recognize interest and penalty expenses associated with uncertain tax positions, if any, as a component of income tax expense in the consolidated statements of operations and comprehensive income.</w:t>
      </w:r>
    </w:p>
    <w:p>
      <w:pPr>
        <w:spacing w:after="0" w:line="12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Global Intangible Low-Taxed Income (“GILTI”) is described as the excess of a U.S. Shareholder's total net foreign income over a deemed return on tangible assets. The Company's policy is to recognize GILTI, if any, as a component of income tax expense in the consolidated statements of operations and comprehensive income during the period the tax arises.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 and Fair Value Measurements</w:t>
      </w:r>
    </w:p>
    <w:p>
      <w:pPr>
        <w:spacing w:after="0" w:line="17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determines the fair value of financial assets and liabilities using the fair value hierarchy established in the accounting standards. The hierarchy describes three levels of inputs that may be used to measure fair value, as follows: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 Quoted prices in active markets for identical assets and liabilities.</w:t>
      </w:r>
    </w:p>
    <w:p>
      <w:pPr>
        <w:spacing w:after="0" w:line="168" w:lineRule="exact"/>
        <w:rPr>
          <w:sz w:val="20"/>
          <w:szCs w:val="20"/>
          <w:color w:val="auto"/>
        </w:rPr>
      </w:pPr>
    </w:p>
    <w:p>
      <w:pPr>
        <w:ind w:left="1100" w:hanging="589"/>
        <w:spacing w:after="0" w:line="287" w:lineRule="auto"/>
        <w:rPr>
          <w:sz w:val="20"/>
          <w:szCs w:val="20"/>
          <w:color w:val="auto"/>
        </w:rPr>
      </w:pPr>
      <w:r>
        <w:rPr>
          <w:rFonts w:ascii="Times New Roman" w:cs="Times New Roman" w:eastAsia="Times New Roman" w:hAnsi="Times New Roman"/>
          <w:sz w:val="14"/>
          <w:szCs w:val="14"/>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 Unobservable inputs that are supported by little or no market activity and that are significant to the fair value of the assets or liabilities.</w:t>
      </w:r>
    </w:p>
    <w:p>
      <w:pPr>
        <w:spacing w:after="0" w:line="16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Assets and liabilities measured at fair value are classified in their entirety based on the lowest level of input that is significant to the fair value measurements. The Company's assessment of the significance of a particular input to the fair value measurement in its entirety requires management to make judgments and consider factors specific to the asset or liability. The carrying amounts of certain of the Company's financial instruments, including cash equivalents, marketable securities, accounts receivable and accounts payable approximate fair value due to their short maturities.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per Share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Basic net income per share is calculated by dividing the net income by the weighted-average number of shares of common stock outstanding for the period.</w:t>
      </w:r>
    </w:p>
    <w:p>
      <w:pPr>
        <w:spacing w:after="0" w:line="1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shares issuable under the employee stock purchase program and common stock warrants using the treasury stock method. In periods when the Company has incurred a net loss, diluted net loss per share is the same as basic net loss per share because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15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The standard is intended to enhance the transparency and decision usefulness of income tax disclosures primarily through changes to the rate reconciliation and income taxes paid information. The Company adopted this standard prospectively in the annual</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period beginning January 1, 2025. The adoption of this standard did not have a material impact on the Company's consolidated financial statements. Refer to Note 14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Income Taxes for the inclusion of the new disclosures required.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Pronouncements Issued but Not Yet Adopted</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 (Subtopic 220-40): Disaggregation of</w:t>
      </w:r>
    </w:p>
    <w:p>
      <w:pPr>
        <w:spacing w:after="0" w:line="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i w:val="1"/>
          <w:iCs w:val="1"/>
          <w:color w:val="auto"/>
        </w:rPr>
        <w:t>Income Statement Expenses</w:t>
      </w:r>
      <w:r>
        <w:rPr>
          <w:rFonts w:ascii="Times New Roman" w:cs="Times New Roman" w:eastAsia="Times New Roman" w:hAnsi="Times New Roman"/>
          <w:sz w:val="14"/>
          <w:szCs w:val="14"/>
          <w:color w:val="auto"/>
        </w:rPr>
        <w:t>. The standard is intended to provide enhanced transparency into the nature of expenses and requires more detailed information on specific expense categories (purchases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inventory, employee compensation, depreciation, and intangible asset amortization) included in certain expense captions presented on the face of the income statement. The new standard will be effective for the Company for the fiscal year beginning January 1, 2027, and for interim periods within the fiscal year beginning January 1, 2028. Early adoption is permitted. The amendments may be applied either 1) prospectively to financial statements issued for reporting periods after the effective date of this ASU or 2) retrospectively to all periods presented in the financial statements. The Company is currently evaluating the impact of the new standard including the impact on its disclosures.</w:t>
      </w:r>
    </w:p>
    <w:p>
      <w:pPr>
        <w:spacing w:after="0" w:line="14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July 2025, the FASB issued ASU 2025-05, </w:t>
      </w:r>
      <w:r>
        <w:rPr>
          <w:rFonts w:ascii="Times New Roman" w:cs="Times New Roman" w:eastAsia="Times New Roman" w:hAnsi="Times New Roman"/>
          <w:sz w:val="14"/>
          <w:szCs w:val="14"/>
          <w:i w:val="1"/>
          <w:iCs w:val="1"/>
          <w:color w:val="auto"/>
        </w:rPr>
        <w:t>Financial Instruments - Credit Losses (Topic 326) - Measurement of Credit Losses for Accounts Receivable and Contract Assets.</w:t>
      </w:r>
      <w:r>
        <w:rPr>
          <w:rFonts w:ascii="Times New Roman" w:cs="Times New Roman" w:eastAsia="Times New Roman" w:hAnsi="Times New Roman"/>
          <w:sz w:val="14"/>
          <w:szCs w:val="14"/>
          <w:color w:val="auto"/>
        </w:rPr>
        <w:t xml:space="preserve"> The amendment in ASU 2025-05 provides entities with a practical expedient to simplify the estimation of expected credit losses by assuming that the current conditions as of the balance sheet date will not change for the remaining life of the asset. The new standard will be effective for the Company for the fiscal year, including interim periods, beginning January 1, 2026. Early adoption is permitted and this amendment is applied prospectively. The Company is currently evaluating the impact of the new standard on its consolidated financial statements.</w:t>
      </w:r>
    </w:p>
    <w:p>
      <w:pPr>
        <w:spacing w:after="0" w:line="13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Intangibles—Goodwill and Other—Internal-Use Software (Subtopic 350-40):</w:t>
      </w:r>
      <w:r>
        <w:rPr>
          <w:rFonts w:ascii="Times New Roman" w:cs="Times New Roman" w:eastAsia="Times New Roman" w:hAnsi="Times New Roman"/>
          <w:sz w:val="14"/>
          <w:szCs w:val="14"/>
          <w:color w:val="auto"/>
        </w:rPr>
        <w:t xml:space="preserve"> Targeted Improvements to the Accounting for Internal-Use Software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amendments in this update are intended to improve the operability of the guidance by removing all references to software development project stages so that the guidance is neutral to different software development methods, including methods that entities may use to develop software in the future. The amendments in this update will be effective for the Company for the fiscal year, including interim periods, beginning January 1, 2028. Early adoption is permitted. The Company is currently evaluating the impact of the new standard on its consolidated financial statements.</w:t>
      </w:r>
    </w:p>
    <w:p>
      <w:pPr>
        <w:spacing w:after="0" w:line="1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 (Topic 270):</w:t>
      </w:r>
      <w:r>
        <w:rPr>
          <w:rFonts w:ascii="Times New Roman" w:cs="Times New Roman" w:eastAsia="Times New Roman" w:hAnsi="Times New Roman"/>
          <w:sz w:val="14"/>
          <w:szCs w:val="14"/>
          <w:color w:val="auto"/>
        </w:rPr>
        <w:t xml:space="preserve"> Narrow-Scope Improvements, which provides clarity on the current interim reporting requirements by improving the navigability of the required interim disclosures, clarifying when that guidance is applicable, and applying Topic 270 to disclose events since the end of the last annual reporting period that have a material impact on the entity. The amendment will be effective for the Company for the fiscal year, including interim periods, beginning January 1, 2028. Early adoption is permitted. The Company is currently evaluating the impact of the new standard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Revenue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Disaggregated revenue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disaggregates revenue by service (in thousands):</w:t>
      </w:r>
    </w:p>
    <w:p>
      <w:pPr>
        <w:spacing w:after="0" w:line="20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9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2"/>
        </w:trPr>
        <w:tc>
          <w:tcPr>
            <w:tcW w:w="664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Fertility benefit services revenue </w:t>
            </w:r>
            <w:r>
              <w:rPr>
                <w:rFonts w:ascii="Times New Roman" w:cs="Times New Roman" w:eastAsia="Times New Roman" w:hAnsi="Times New Roman"/>
                <w:sz w:val="18"/>
                <w:szCs w:val="18"/>
                <w:color w:val="auto"/>
                <w:vertAlign w:val="superscript"/>
              </w:rPr>
              <w:t>(1)</w:t>
            </w: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830,929</w:t>
            </w:r>
          </w:p>
        </w:tc>
        <w:tc>
          <w:tcPr>
            <w:tcW w:w="100" w:type="dxa"/>
            <w:vAlign w:val="bottom"/>
          </w:tcPr>
          <w:p>
            <w:pPr>
              <w:spacing w:after="0"/>
              <w:rPr>
                <w:sz w:val="17"/>
                <w:szCs w:val="17"/>
                <w:color w:val="auto"/>
              </w:rPr>
            </w:pP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729,551</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676,295</w:t>
            </w:r>
          </w:p>
        </w:tc>
      </w:tr>
      <w:tr>
        <w:trPr>
          <w:trHeight w:val="19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Pharmacy benefit services revenue</w:t>
            </w:r>
          </w:p>
        </w:tc>
        <w:tc>
          <w:tcPr>
            <w:tcW w:w="8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457,732</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437,670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412,303</w:t>
            </w:r>
          </w:p>
        </w:tc>
      </w:tr>
      <w:tr>
        <w:trPr>
          <w:trHeight w:val="198"/>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revenue</w:t>
            </w:r>
          </w:p>
        </w:tc>
        <w:tc>
          <w:tcPr>
            <w:tcW w:w="8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1,288,661</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1,167,221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1,088,598</w:t>
            </w: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revenue from the Other solutions, which is not significant in any of the periods presented.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 of Major Clients</w:t>
      </w:r>
    </w:p>
    <w:p>
      <w:pPr>
        <w:spacing w:after="0" w:line="17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2025, no client accounted for more than 10% of total revenue. For the year ended December 31, 2024 and December 31, 2023, one client represented 12% and 13% of total revenue,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Fair Value of Financial Instruments</w:t>
      </w:r>
    </w:p>
    <w:p>
      <w:pPr>
        <w:spacing w:after="0" w:line="170"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As of December 31, 2025 and 2024, the Company had $112.5 million and $167.7 million, respectively, in financial assets held in money market accounts and $197.9 million and $65.6 million, respectively, held in marketable securities, including U.S. treasury bills. The Company measured these assets at fair value and all were classified as Level 1 in the fair value hierarchy. The Company classified these assets as Level 1 because the values of these assets are determined using unadjusted quoted prices in active markets for identical assets. For the years ended December 31, 2025, 2024, and 2023, interest income on cash, cash equivalents, restricted cash, and marketable securities, including the accretion of discounts on investments, was $10.4 million, $12.4 million, and $3.3 million, respectively.</w:t>
      </w:r>
    </w:p>
    <w:p>
      <w:pPr>
        <w:spacing w:after="0" w:line="15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During the year ended December 31, 2025, the Company had no gross realized gains related to marketable securities included within earnings. The gross realized gains included within earnings for the years ended December 31, 2024 and 2023 were $10.0 million and $5.2 million, respectively. There were no related gross realized losses included within earnings for these periods.</w:t>
      </w:r>
    </w:p>
    <w:p>
      <w:pPr>
        <w:spacing w:after="0" w:line="12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The Company reclassified no net unrealized holding gains out of other comprehensive income and into earnings for the year ended December 31, 2025. The reclassified net unrealized holdings gains out of other comprehensive income and into earnings for the years ended December 31, 2024, and 2023 were $7.3 million, and $3.8 million, respectively. These amounts were reclassified into interest and other income, net in the consolidated statement of operations.</w:t>
      </w:r>
    </w:p>
    <w:p>
      <w:pPr>
        <w:spacing w:after="0" w:line="13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total net gains for marketable securities recorded into other comprehensive income, before reclassifications into earnings, for the years ended December 31, 2025, 2024, and 2023, was $0.1 million, $4.5 million, and $6.1 million, respectively. The amortized cost of these securities approximates fair value.</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years ended December 31, 2025, 2024, and 2023, the Company did not maintain any assets or liabilities classified as Level 2 or Level 3 in the fair value hierarchy.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Property and Equipment, Net</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Property and equipment consist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40" w:type="dxa"/>
            <w:vAlign w:val="bottom"/>
          </w:tcPr>
          <w:p>
            <w:pPr>
              <w:spacing w:after="0"/>
              <w:rPr>
                <w:sz w:val="11"/>
                <w:szCs w:val="11"/>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360" w:type="dxa"/>
            <w:vAlign w:val="bottom"/>
          </w:tcPr>
          <w:p>
            <w:pPr>
              <w:spacing w:after="0"/>
              <w:rPr>
                <w:sz w:val="11"/>
                <w:szCs w:val="11"/>
                <w:color w:val="auto"/>
              </w:rPr>
            </w:pPr>
          </w:p>
        </w:tc>
        <w:tc>
          <w:tcPr>
            <w:tcW w:w="1680" w:type="dxa"/>
            <w:vAlign w:val="bottom"/>
            <w:gridSpan w:val="3"/>
            <w:vMerge w:val="restart"/>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640" w:type="dxa"/>
            <w:vAlign w:val="bottom"/>
          </w:tcPr>
          <w:p>
            <w:pPr>
              <w:spacing w:after="0"/>
              <w:rPr>
                <w:sz w:val="9"/>
                <w:szCs w:val="9"/>
                <w:color w:val="auto"/>
              </w:rPr>
            </w:pPr>
          </w:p>
        </w:tc>
        <w:tc>
          <w:tcPr>
            <w:tcW w:w="1580" w:type="dxa"/>
            <w:vAlign w:val="bottom"/>
            <w:gridSpan w:val="2"/>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Useful Life</w:t>
            </w:r>
          </w:p>
        </w:tc>
        <w:tc>
          <w:tcPr>
            <w:tcW w:w="3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3"/>
            <w:vMerge w:val="continue"/>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64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(in years)</w:t>
            </w:r>
          </w:p>
        </w:tc>
        <w:tc>
          <w:tcPr>
            <w:tcW w:w="360" w:type="dxa"/>
            <w:vAlign w:val="bottom"/>
          </w:tcPr>
          <w:p>
            <w:pPr>
              <w:spacing w:after="0"/>
              <w:rPr>
                <w:sz w:val="13"/>
                <w:szCs w:val="13"/>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2"/>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Computers and hardware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0" w:type="dxa"/>
            <w:vAlign w:val="bottom"/>
          </w:tcPr>
          <w:p>
            <w:pPr>
              <w:spacing w:after="0"/>
              <w:rPr>
                <w:sz w:val="1"/>
                <w:szCs w:val="1"/>
                <w:color w:val="auto"/>
              </w:rPr>
            </w:pPr>
          </w:p>
        </w:tc>
      </w:tr>
      <w:tr>
        <w:trPr>
          <w:trHeight w:val="20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5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lease term</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software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11,442</w:t>
            </w:r>
          </w:p>
        </w:tc>
        <w:tc>
          <w:tcPr>
            <w:tcW w:w="0" w:type="dxa"/>
            <w:vAlign w:val="bottom"/>
          </w:tcPr>
          <w:p>
            <w:pPr>
              <w:spacing w:after="0"/>
              <w:rPr>
                <w:sz w:val="1"/>
                <w:szCs w:val="1"/>
                <w:color w:val="auto"/>
              </w:rPr>
            </w:pPr>
          </w:p>
        </w:tc>
      </w:tr>
      <w:tr>
        <w:trPr>
          <w:trHeight w:val="192"/>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42,271</w:t>
            </w:r>
          </w:p>
        </w:tc>
        <w:tc>
          <w:tcPr>
            <w:tcW w:w="10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20,751</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(8,368)</w:t>
            </w:r>
          </w:p>
        </w:tc>
        <w:tc>
          <w:tcPr>
            <w:tcW w:w="0" w:type="dxa"/>
            <w:vAlign w:val="bottom"/>
          </w:tcPr>
          <w:p>
            <w:pPr>
              <w:spacing w:after="0"/>
              <w:rPr>
                <w:sz w:val="1"/>
                <w:szCs w:val="1"/>
                <w:color w:val="auto"/>
              </w:rPr>
            </w:pPr>
          </w:p>
        </w:tc>
      </w:tr>
      <w:tr>
        <w:trPr>
          <w:trHeight w:val="198"/>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29,927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Depreciation expense was approximately $4.1 million, $3.1 million and $2.2 million for the years ended December 31, 2025, 2024 and 2023, respectively.</w:t>
      </w:r>
    </w:p>
    <w:p>
      <w:pPr>
        <w:spacing w:after="0" w:line="17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During the years ended December 31, 2025, 2024, and 2023, the Company capitalized $2.8 million, $1.4 million, and $0.6 million, respectively, in stock-based compensation related to the development of internal-use software.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Intangible Assets, Net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Intangible assets consist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40" w:type="dxa"/>
            <w:vAlign w:val="bottom"/>
          </w:tcPr>
          <w:p>
            <w:pPr>
              <w:spacing w:after="0"/>
              <w:rPr>
                <w:sz w:val="11"/>
                <w:szCs w:val="11"/>
                <w:color w:val="auto"/>
              </w:rPr>
            </w:pPr>
          </w:p>
        </w:tc>
        <w:tc>
          <w:tcPr>
            <w:tcW w:w="116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3"/>
            <w:vMerge w:val="restart"/>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640" w:type="dxa"/>
            <w:vAlign w:val="bottom"/>
          </w:tcPr>
          <w:p>
            <w:pPr>
              <w:spacing w:after="0"/>
              <w:rPr>
                <w:sz w:val="9"/>
                <w:szCs w:val="9"/>
                <w:color w:val="auto"/>
              </w:rPr>
            </w:pPr>
          </w:p>
        </w:tc>
        <w:tc>
          <w:tcPr>
            <w:tcW w:w="1160" w:type="dxa"/>
            <w:vAlign w:val="bottom"/>
          </w:tcPr>
          <w:p>
            <w:pPr>
              <w:ind w:left="480"/>
              <w:spacing w:after="0" w:line="95" w:lineRule="exact"/>
              <w:rPr>
                <w:sz w:val="20"/>
                <w:szCs w:val="20"/>
                <w:color w:val="auto"/>
              </w:rPr>
            </w:pPr>
            <w:r>
              <w:rPr>
                <w:rFonts w:ascii="Times New Roman" w:cs="Times New Roman" w:eastAsia="Times New Roman" w:hAnsi="Times New Roman"/>
                <w:sz w:val="10"/>
                <w:szCs w:val="10"/>
                <w:b w:val="1"/>
                <w:bCs w:val="1"/>
                <w:color w:val="auto"/>
              </w:rPr>
              <w:t>Useful Life</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3"/>
            <w:vMerge w:val="continue"/>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6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2"/>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96"/>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Physician Network</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207"/>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Website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96"/>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Databases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207"/>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Customers</w:t>
            </w:r>
          </w:p>
        </w:tc>
        <w:tc>
          <w:tcPr>
            <w:tcW w:w="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8"/>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gross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10,906</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(9,603)</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Amortization expense was $0.8 million, $0.1 million, and $0.1 million for the years ended December 31, 2025, 2024 and 2023, respectively.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2025, the future amortization expense of other intangible assets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5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20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20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5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5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6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0" w:type="dxa"/>
            <w:vAlign w:val="bottom"/>
          </w:tcPr>
          <w:p>
            <w:pPr>
              <w:spacing w:after="0"/>
              <w:rPr>
                <w:sz w:val="1"/>
                <w:szCs w:val="1"/>
                <w:color w:val="auto"/>
              </w:rPr>
            </w:pPr>
          </w:p>
        </w:tc>
      </w:tr>
      <w:tr>
        <w:trPr>
          <w:trHeight w:val="198"/>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640" w:type="dxa"/>
            <w:vAlign w:val="bottom"/>
            <w:vMerge w:val="restart"/>
          </w:tcPr>
          <w:p>
            <w:pPr>
              <w:jc w:val="right"/>
              <w:ind w:right="3409"/>
              <w:spacing w:after="0"/>
              <w:rPr>
                <w:sz w:val="20"/>
                <w:szCs w:val="20"/>
                <w:color w:val="auto"/>
              </w:rPr>
            </w:pPr>
            <w:r>
              <w:rPr>
                <w:rFonts w:ascii="Times New Roman" w:cs="Times New Roman" w:eastAsia="Times New Roman" w:hAnsi="Times New Roman"/>
                <w:sz w:val="14"/>
                <w:szCs w:val="14"/>
                <w:color w:val="auto"/>
              </w:rPr>
              <w:t>79</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356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560" w:type="dxa"/>
            <w:vAlign w:val="bottom"/>
            <w:tcBorders>
              <w:bottom w:val="single" w:sz="8" w:color="9A9A9A"/>
            </w:tcBorders>
          </w:tcPr>
          <w:p>
            <w:pPr>
              <w:spacing w:after="0"/>
              <w:rPr>
                <w:sz w:val="6"/>
                <w:szCs w:val="6"/>
                <w:color w:val="auto"/>
              </w:rPr>
            </w:pPr>
          </w:p>
        </w:tc>
        <w:tc>
          <w:tcPr>
            <w:tcW w:w="56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Leases</w:t>
      </w:r>
    </w:p>
    <w:p>
      <w:pPr>
        <w:spacing w:after="0" w:line="202"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4"/>
          <w:szCs w:val="14"/>
          <w:color w:val="auto"/>
        </w:rPr>
        <w:t>In September 2019, the Company’s sublease agreement for a 25,212 square foot office in its corporate headquarters in New York, NY commenced and is scheduled to expire in May 2029. Pursuant to the sublease, the Company is obligated to pay the base rent of approximately $1.3 million per annum through the end of the fifth lease year and approximately $1.4 million per annum thereafter through the expiration date.</w:t>
      </w:r>
    </w:p>
    <w:p>
      <w:pPr>
        <w:spacing w:after="0" w:line="13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February 2023, the Company's lease agreement for the additional 24,099 square foot office in its corporate offices (entered into in February 2022) commenced in New York, NY and expires in April 2036. Pursuant to the lease, the Company is obligated to pay the base rent of approximately $1.4 million per annum through the end of the fifth lease year and approximately $1.5 million per annum thereafter through the expiration date.</w:t>
      </w:r>
    </w:p>
    <w:p>
      <w:pPr>
        <w:spacing w:after="0" w:line="136"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4"/>
          <w:szCs w:val="14"/>
          <w:color w:val="auto"/>
        </w:rPr>
        <w:t>In March 2025, the Company's lease agreement for the additional 21,262 square foot office in its corporate offices (entered into in February 2022) commenced in New York, NY and expires in April 2036. In accordance with ASC 842, the Company recorded a right-of-use asset and a lease liability of $10.1 million and $10.0 million, respectively. Pursuant to the lease, the Company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obligated to pay the base rent of approximately $1.3 million per annum through the end of the fifth lease year and approximately $1.4 million per annum thereafter through the expiration date.</w:t>
      </w:r>
    </w:p>
    <w:p>
      <w:pPr>
        <w:spacing w:after="0" w:line="17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Company recognizes lease expense on a straight-line basis over the lease term. Lease expense for the Company’s operating leases was $3.9 million for the year ended December 31, 2025. For the years ended December 31, 2024 and 2023, lease expense was $2.7 million and $2.4 million, respectively.</w:t>
      </w:r>
    </w:p>
    <w:p>
      <w:pPr>
        <w:spacing w:after="0" w:line="12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Cash outflows from operating activities attributable to the operating leases for the years ended December 31, 2025 was $3.1 million. For the years ended December 31, 2024 and 2023, cash outflows toward operating leases were $2.3 million and $1.3 million, respectively.</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Information related to the Company’s leases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5880" w:type="dxa"/>
            <w:vAlign w:val="bottom"/>
            <w:gridSpan w:val="2"/>
          </w:tcPr>
          <w:p>
            <w:pPr>
              <w:ind w:left="2320"/>
              <w:spacing w:after="0"/>
              <w:rPr>
                <w:sz w:val="20"/>
                <w:szCs w:val="20"/>
                <w:color w:val="auto"/>
              </w:rPr>
            </w:pPr>
            <w:r>
              <w:rPr>
                <w:rFonts w:ascii="Times New Roman" w:cs="Times New Roman" w:eastAsia="Times New Roman" w:hAnsi="Times New Roman"/>
                <w:sz w:val="11"/>
                <w:szCs w:val="11"/>
                <w:b w:val="1"/>
                <w:bCs w:val="1"/>
                <w:color w:val="auto"/>
              </w:rPr>
              <w:t>Balance Sheet Location</w:t>
            </w:r>
          </w:p>
        </w:tc>
        <w:tc>
          <w:tcPr>
            <w:tcW w:w="2160" w:type="dxa"/>
            <w:vAlign w:val="bottom"/>
          </w:tcPr>
          <w:p>
            <w:pPr>
              <w:ind w:left="62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5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spacing w:after="0"/>
              <w:rPr>
                <w:sz w:val="13"/>
                <w:szCs w:val="13"/>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50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24,990</w:t>
            </w:r>
          </w:p>
        </w:tc>
      </w:tr>
      <w:tr>
        <w:trPr>
          <w:trHeight w:val="20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liabilities</w:t>
            </w: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50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w:t>
            </w: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noncurrent liabilities</w:t>
            </w:r>
          </w:p>
        </w:tc>
        <w:tc>
          <w:tcPr>
            <w:tcW w:w="250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24,000</w:t>
            </w:r>
          </w:p>
        </w:tc>
      </w:tr>
      <w:tr>
        <w:trPr>
          <w:trHeight w:val="218"/>
        </w:trPr>
        <w:tc>
          <w:tcPr>
            <w:tcW w:w="32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60"/>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42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1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operating lease</w:t>
            </w:r>
          </w:p>
        </w:tc>
        <w:tc>
          <w:tcPr>
            <w:tcW w:w="4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years</w:t>
            </w:r>
          </w:p>
        </w:tc>
      </w:tr>
      <w:tr>
        <w:trPr>
          <w:trHeight w:val="19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 operating lease</w:t>
            </w:r>
          </w:p>
        </w:tc>
        <w:tc>
          <w:tcPr>
            <w:tcW w:w="42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Future minimum facility lease payments as of December 31, 2025,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2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9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1"/>
                <w:szCs w:val="11"/>
                <w:b w:val="1"/>
                <w:bCs w:val="1"/>
                <w:color w:val="auto"/>
              </w:rPr>
              <w:t>Operating Lease Payments as of December 31, 2025</w:t>
            </w: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3,909</w:t>
            </w: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15,604</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3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34,606</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3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27,726</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operating lease liabilities</w:t>
            </w:r>
          </w:p>
        </w:tc>
        <w:tc>
          <w:tcPr>
            <w:tcW w:w="2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noncurrent liabilities</w:t>
            </w:r>
          </w:p>
        </w:tc>
        <w:tc>
          <w:tcPr>
            <w:tcW w:w="3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929"/>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41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180" w:type="dxa"/>
            <w:vAlign w:val="bottom"/>
            <w:tcBorders>
              <w:bottom w:val="single" w:sz="8" w:color="9A9A9A"/>
            </w:tcBorders>
          </w:tcPr>
          <w:p>
            <w:pPr>
              <w:spacing w:after="0"/>
              <w:rPr>
                <w:sz w:val="6"/>
                <w:szCs w:val="6"/>
                <w:color w:val="auto"/>
              </w:rPr>
            </w:pPr>
          </w:p>
        </w:tc>
        <w:tc>
          <w:tcPr>
            <w:tcW w:w="2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39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February 2022 Lease Agreement</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As noted above, the Company commenced its lease for the 24,099 square foot and 21,262 square foot offices in its corporate offices in New York, NY in February 2023 and March 2025, respectively, pursuant to a lease agreement entered into by the Company in February 2022. The lease agreement also provides for continued occupancy of the 25,212 square foot office after the expiration of the current sublease. For the current 25,212 square foot office, the Company is obligated to pay the base rent of approximately $1.6 million per year beginning in June 2029, which is the lease commencement, through April 2036, the expiration date.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Accrued Expenses and Other Current Liabilities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claims payable</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32,121</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14,572</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commission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current liabilities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14,634</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5,299</w:t>
            </w:r>
          </w:p>
        </w:tc>
      </w:tr>
      <w:tr>
        <w:trPr>
          <w:trHeight w:val="19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78,320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73,530</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Debt</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July 1, 2025, the Company entered into a revolving credit facility (the “Facility”) pursuant to a Credit Agreement (the “Credit Agreement”) with the lenders and issuing banks, party thereto and JPMorgan Chase Bank, N.A., as administrative agent, collateral agent, and swingline lender. The Credit Agreement makes available to the Company a maximum aggregate amount of $200 million, subject to customary borrowing conditions, until maturity on July 1, 2030. Interest on the borrowings under the Credit Agreement accrues, at a variable rate, based on, at the Company’s option (i) adjusted Secured Overnight Financing Rate, or (ii) the alternate base rate, plus, in each case, an applicable margin. The applicable margin is determined by reference to the Company’s total leverage ratio, as specified in the Credit Agreement. Interest is payable on each Interest Payment Date, as specified in the Credit Agreement. Borrowings under the Credit Agreement may be repaid or reborrowed at any time.</w:t>
      </w:r>
    </w:p>
    <w:p>
      <w:pPr>
        <w:spacing w:after="0" w:line="14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Credit Agreement contains customary events of default, representations and warranties and covenants, including, among other things, covenants that restrict or limit the ability of the Company to incur certain additional indebtedness; create liens; engage in mergers or consolidations; make certain payments or distributions in respect of junior and unsecured indebtedness, dividends or equity interest; make certain investments; dispose of certain assets; engage in sale and lease-back transactions; engage in certain affiliate transactions; make certain modifications to the terms of junior and unsecured indebtedness, as well as negative pledge provisions, subject to customary exceptions, and customary financial covenants, including a total leverage ratio covenant and an interest coverage ratio covenant. The Company was in compliance with all financial covenants under the Credit Agreement as of December 31, 2025.</w:t>
      </w:r>
    </w:p>
    <w:p>
      <w:pPr>
        <w:spacing w:after="0" w:line="14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capitalized issuance costs of $3.1 million related to the Facility, which are included within prepaid and other current assets and other noncurrent assets in the consolidated balance sheet and are amortized over the life of the Credit Agreement. For the year ended December 31, 2025, interest expense, including amortization of issuance costs, was $0.4 million. As of the date of this filing, no amounts were drawn under the Facility.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Acquisitions</w:t>
      </w:r>
    </w:p>
    <w:p>
      <w:pPr>
        <w:spacing w:after="0" w:line="17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January 8, 2025, the Company completed its acquisition of Benefit Bump LLC, a comprehensive parental leave benefits navigation program for new and growing families. The acquisition enhances the Company's existing offerings, extending its ability to further serve the needs of families on their journey from pregnancy to early childhood and beyond. The transaction was for a purchase price of $10.5 million, including $2.5 million held in escrow for standard indemnifications and the satisfaction of certain conditions. The transaction was accounted for using the acquisition method resulting in tangible and intangible assets acquired and liabilities assumed,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pacing w:after="0" w:line="14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June 17, 2024, the Company completed its acquisition of Apryl GmbH, a Berlin-based fertility benefits platform, to expand its global offering. The transaction was for a purchase price of €5.1 million, or $5.5 million, net of cash acquired, based on the exchange rate on the acquisition closing date, and was accounted for using the acquisition method. As a result, tangible and intangible assets acquired and liabilities assumed were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pacing w:after="0" w:line="141" w:lineRule="exact"/>
        <w:rPr>
          <w:sz w:val="20"/>
          <w:szCs w:val="20"/>
          <w:color w:val="auto"/>
        </w:rPr>
      </w:pPr>
    </w:p>
    <w:p>
      <w:pPr>
        <w:ind w:right="9800" w:firstLine="5"/>
        <w:spacing w:after="0" w:line="499" w:lineRule="auto"/>
        <w:tabs>
          <w:tab w:leader="none" w:pos="204"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 Common Stock</w:t>
      </w:r>
    </w:p>
    <w:p>
      <w:pPr>
        <w:spacing w:after="0" w:line="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holders of common stock are entitled to one vote for each share held of record on all matters submitted to a vote of the stockholders. The common stock confers upon its holders the right to receive dividends out of any assets legally available, when and as declared by the Board of Directors.</w:t>
      </w:r>
    </w:p>
    <w:p>
      <w:pPr>
        <w:spacing w:after="0" w:line="1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had 16,299,769 shares of treasury stock as of December 31, 2025. There were 12,998,173 and 615,980 shares of treasury stock shares for the years ended December 31, 2024 and 2023,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 Programs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February 2024, the Company's Board of Directors authorized a share repurchase program of up to $100 million in shares of common stock (the “February Share Repurchase Program”). In May 2024, the Company's Board of Directors authorized an additional share repurchase program of up to $100 million in shares of common stock (the “May Share Repurchase Program”). In August 2024, the Company's Board of Directors authorized an additional share repurchase program of up to $100 million in shares of common stock (the “August Share Repurchase Program,” and together with the February Share Repurchase Program and the May Share Repurchase Program, the "2024 Share Repurchase Programs"). As of the year ended December 31, 2024, the 2024 Share Repurchase Programs were completed, and no amounts remained available for repurchase under the programs.</w:t>
      </w:r>
    </w:p>
    <w:p>
      <w:pPr>
        <w:spacing w:after="0" w:line="14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the Company repurchased a total of 12,382,193 shares of common stock under the 2024 Share Repurchase Programs at an average price of $24.22 and a total cost of $300.3 million, inclusive of $0.4 million in trading fees. In addition, the Company recognized $2.6 million of excise taxes related to the share repurchases.</w:t>
      </w:r>
    </w:p>
    <w:p>
      <w:pPr>
        <w:spacing w:after="0" w:line="12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November 2025, the Company’s Board of Directors authorized a share repurchase program of up to $200 million in shares of common stock (the “November 2025 share repurchase program”). Repurchases under the November 2025 share repurchase program may be made in the form of open market repurchases, including through plans complying with Rule 10b5-1 under the Exchange Act, depending on stock price, market conditions, and other factors, as determined by the Company. There can be no assurance as to the number of shares to be repurchased by the Company under the November 2025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2025, the Company repurchased a total of 3,301,596 shares of common stock under the November 2025 share repurchase program at an average price per share of $25.31 and a total cost of $83.6 million, inclusive of $0.1 million in trading fees. In addition, the Company recognized $0.5 million of excise taxes related to the share repurchases. As of the year ended December 31, 2025, $116.4 million remained available for purchases under the November 2025 share repurchase program. As of the date of this filing, the Company repurchased a total of 6,530,363 shares of common stock under the November 2025 share repurchase program for a total cost of $159.4 million.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Warrants</w:t>
      </w:r>
    </w:p>
    <w:p>
      <w:pPr>
        <w:spacing w:after="0" w:line="17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connection with the IPO on October 25, 2019, all outstanding convertible preferred warrants were converted to common stock warrants. As of December 31, 2025 and 2024, the Company had no outstanding common stock warrants.</w:t>
      </w:r>
    </w:p>
    <w:p>
      <w:pPr>
        <w:spacing w:after="0" w:line="11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2024, 305,595 common stock warrants were exercised for 279,867 shares of common stock at a weighted-average exercise price of $1.73. The Company did not recognize compensation expense relating to the common stock warrants for the years ended December 31, 2025, 2024 and 2023 as they were all fully vested.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Incentive Plan</w:t>
      </w:r>
    </w:p>
    <w:p>
      <w:pPr>
        <w:spacing w:after="0" w:line="17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In October 2019, the Company’s Board of Directors and stockholders adopted and approved the 2019 Equity Incentive Plan, as amended (the “2019 Plan”), as the successor to the Company’s 2017 Equity Incentive Plan, as amended (the “2017 Plan”). No further grants were made under the 2017 Plan from the date that the 2019 Plan became effective. Initially, the maximum number of shares issuable under the 2019 Plan will not exceed 19,198,875 shares of common stock, which is the sum of 1) 2,640,031 new shares and 2) an additional number of shares not to exceed 16,558,844 consisting of (a) shares that remained available for the issuance of awards under the 2017 Plan immediately prior to the effective date of the 2019 Plan and (b) shares of common stock subject to outstanding stock options or other stock awards granted under the 2017 Plan that, on or after the date the 2019 Plan became effective, terminate, expire or are cancelled prior to exercise or settlement; are forfeited or repurchased because of the failure to vest; or are reacquired or withheld (or not issued) to satisfy a tax withholding obligation or the purchase or exercise price, if any, as such shares become available from time to time.</w:t>
      </w:r>
    </w:p>
    <w:p>
      <w:pPr>
        <w:spacing w:after="0" w:line="14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Under the Company’s 2017 Plan and consistent with the Company's prior 2008 Equity Incentive Plan, options and other stock awards to purchase shares of common stock may be granted to employees, directors, and consultants. Incentive stock options are granted to employees and non-statutory stock options are granted to consultants and directors at an exercise price not less than 100% of the fair value (as determined by the Board of Directors) of the Company’s common stock on the date of grant. The exercise price of options granted to stockholders who hold 10% or more of the Company’s common stock on the option grant date shall not be less than 110% of the fair value of the Company’s common stock on the date of grant for both incentive and non-qualified stock option grants. These options generally vest over four years and expire ten years from the date of grant. Stock option grants may be exercisable upon grant, and any unvested shares purchased are subject to repurchase. There were no unvested shares subject to repurchase as of December 31, 2025 and 2024.</w:t>
      </w:r>
    </w:p>
    <w:p>
      <w:pPr>
        <w:spacing w:after="0" w:line="14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As of December 31, 2025 and 2024, 5,217,804 and 3,602,455 shares of common stock, respectively, remained available for future grants under the 2019 Plan. Under the 2019 Plan, subject to any adjustments necessary to implement any capitalization adjustments, an annual increase to the number of shares issuable is automatically added on January 1 of each year for a period of ten years commencing on January 1, 2020 and ending on (and including) January 1, 2029, in an amount equal to 4% of the total number of shares of common stock outstanding on December 31 of the preceding year or such smaller amount as determined by the Company's Board of Directors.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7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Stock options are exercisable based on the terms and conditions outlined in the applicable award agreement. Stock options generally vest over four years and typically expire ten years from the date of grant. A summary of the Company’s stock option activity for the year ended December 31, 2025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Weighted-Average Remaining</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58"/>
        </w:trPr>
        <w:tc>
          <w:tcPr>
            <w:tcW w:w="5060" w:type="dxa"/>
            <w:vAlign w:val="bottom"/>
          </w:tcPr>
          <w:p>
            <w:pPr>
              <w:spacing w:after="0"/>
              <w:rPr>
                <w:sz w:val="13"/>
                <w:szCs w:val="13"/>
                <w:color w:val="auto"/>
              </w:rPr>
            </w:pPr>
          </w:p>
        </w:tc>
        <w:tc>
          <w:tcPr>
            <w:tcW w:w="148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0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Price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Contractual Life (Years)</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r>
      <w:tr>
        <w:trPr>
          <w:trHeight w:val="160"/>
        </w:trPr>
        <w:tc>
          <w:tcPr>
            <w:tcW w:w="50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1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18,619,906</w:t>
            </w:r>
          </w:p>
        </w:tc>
        <w:tc>
          <w:tcPr>
            <w:tcW w:w="10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54,193</w:t>
            </w:r>
          </w:p>
        </w:tc>
      </w:tr>
      <w:tr>
        <w:trPr>
          <w:trHeight w:val="196"/>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1,761,138</w:t>
            </w:r>
          </w:p>
        </w:tc>
        <w:tc>
          <w:tcPr>
            <w:tcW w:w="1080" w:type="dxa"/>
            <w:vAlign w:val="bottom"/>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(265,477)</w:t>
            </w:r>
          </w:p>
        </w:tc>
        <w:tc>
          <w:tcPr>
            <w:tcW w:w="10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6"/>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(464,705)</w:t>
            </w:r>
          </w:p>
        </w:tc>
        <w:tc>
          <w:tcPr>
            <w:tcW w:w="1080" w:type="dxa"/>
            <w:vAlign w:val="bottom"/>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(665,896)</w:t>
            </w:r>
          </w:p>
        </w:tc>
        <w:tc>
          <w:tcPr>
            <w:tcW w:w="10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8"/>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18,984,966</w:t>
            </w:r>
          </w:p>
        </w:tc>
        <w:tc>
          <w:tcPr>
            <w:tcW w:w="1080" w:type="dxa"/>
            <w:vAlign w:val="bottom"/>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93,952</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73"/>
        </w:trPr>
        <w:tc>
          <w:tcPr>
            <w:tcW w:w="50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02"/>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11,939,099</w:t>
            </w:r>
          </w:p>
        </w:tc>
        <w:tc>
          <w:tcPr>
            <w:tcW w:w="1080" w:type="dxa"/>
            <w:vAlign w:val="bottom"/>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53,294</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73"/>
        </w:trPr>
        <w:tc>
          <w:tcPr>
            <w:tcW w:w="50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02"/>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14,649,963</w:t>
            </w:r>
          </w:p>
        </w:tc>
        <w:tc>
          <w:tcPr>
            <w:tcW w:w="1080" w:type="dxa"/>
            <w:vAlign w:val="bottom"/>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83,289</w:t>
            </w:r>
          </w:p>
        </w:tc>
      </w:tr>
      <w:tr>
        <w:trPr>
          <w:trHeight w:val="20"/>
        </w:trPr>
        <w:tc>
          <w:tcPr>
            <w:tcW w:w="5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total intrinsic value of options exercised was $4.3 million, $13.7 million, and $79.7 million for the years ended December 31, 2025, 2024, and 2023, respectively.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weighted-average grant date fair value of options granted was $11.72, $16.60, and $19.10 in the years ended December 31, 2025, 2024, and 2023, respectively.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total grant date fair value of options vested was $335.2 million, $202.4 million, and $134.1 million as of December 31, 2025, 2024, and 2023, respectively.</w:t>
      </w:r>
    </w:p>
    <w:p>
      <w:pPr>
        <w:spacing w:after="0" w:line="179"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The total unrecognized compensation cost related to unvested options was approximately $52.3 million at December 31, 2025. The weighted-average remaining recognition period is approximately 1.9 years.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Certain assumptions used in the option-pricing model for options granted to employees, directors, and non-employees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60"/>
        </w:trPr>
        <w:tc>
          <w:tcPr>
            <w:tcW w:w="3500" w:type="dxa"/>
            <w:vAlign w:val="bottom"/>
            <w:tcBorders>
              <w:bottom w:val="single" w:sz="8" w:color="CCEEFF"/>
            </w:tcBorders>
          </w:tcPr>
          <w:p>
            <w:pPr>
              <w:spacing w:after="0"/>
              <w:rPr>
                <w:sz w:val="13"/>
                <w:szCs w:val="13"/>
                <w:color w:val="auto"/>
              </w:rPr>
            </w:pPr>
          </w:p>
        </w:tc>
        <w:tc>
          <w:tcPr>
            <w:tcW w:w="282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gridSpan w:val="2"/>
          </w:tcPr>
          <w:p>
            <w:pPr>
              <w:jc w:val="right"/>
              <w:ind w:right="60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gridSpan w:val="2"/>
          </w:tcPr>
          <w:p>
            <w:pPr>
              <w:jc w:val="right"/>
              <w:ind w:right="60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gridSpan w:val="2"/>
          </w:tcPr>
          <w:p>
            <w:pPr>
              <w:jc w:val="right"/>
              <w:ind w:right="609"/>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- 6.25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- 6.11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- 6.11</w:t>
            </w:r>
          </w:p>
        </w:tc>
      </w:tr>
      <w:tr>
        <w:trPr>
          <w:trHeight w:val="196"/>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- 4.5%</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- 4.6%</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- 4.8%</w:t>
            </w:r>
          </w:p>
        </w:tc>
      </w:tr>
      <w:tr>
        <w:trPr>
          <w:trHeight w:val="20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- 54.7%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- 55.0%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- 54.0%</w:t>
            </w: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rate</w:t>
            </w:r>
          </w:p>
        </w:tc>
        <w:tc>
          <w:tcPr>
            <w:tcW w:w="2820" w:type="dxa"/>
            <w:vAlign w:val="bottom"/>
          </w:tcPr>
          <w:p>
            <w:pPr>
              <w:spacing w:after="0"/>
              <w:rPr>
                <w:sz w:val="16"/>
                <w:szCs w:val="16"/>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721"/>
        </w:trPr>
        <w:tc>
          <w:tcPr>
            <w:tcW w:w="3500" w:type="dxa"/>
            <w:vAlign w:val="bottom"/>
          </w:tcPr>
          <w:p>
            <w:pPr>
              <w:spacing w:after="0"/>
              <w:rPr>
                <w:sz w:val="24"/>
                <w:szCs w:val="24"/>
                <w:color w:val="auto"/>
              </w:rPr>
            </w:pPr>
          </w:p>
        </w:tc>
        <w:tc>
          <w:tcPr>
            <w:tcW w:w="28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84</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6"/>
        </w:trPr>
        <w:tc>
          <w:tcPr>
            <w:tcW w:w="3500" w:type="dxa"/>
            <w:vAlign w:val="bottom"/>
            <w:tcBorders>
              <w:bottom w:val="single" w:sz="8" w:color="9A9A9A"/>
            </w:tcBorders>
          </w:tcPr>
          <w:p>
            <w:pPr>
              <w:spacing w:after="0"/>
              <w:rPr>
                <w:sz w:val="6"/>
                <w:szCs w:val="6"/>
                <w:color w:val="auto"/>
              </w:rPr>
            </w:pPr>
          </w:p>
        </w:tc>
        <w:tc>
          <w:tcPr>
            <w:tcW w:w="28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Restricted stock units are subject to service-based or performance-based vesting conditions. Restricted stock units vest based on the terms outlined in the applicable award agreement, which, for service-based awards, is generally over a period of 4 years. Performance-based awards vest upon attainment of the applicable performance targets, including various levels of revenue and adjusted EBITDA. If the performance or service-based vesting conditions are not met, the awards will be forfeited. Stock-based compensation expense for the performance-based awards is recognized only to the extent a performance target is probable to be achieved, which is reassessed by the Company each reporting period.</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the Company’s restricted stock unit activity, including those with performance-based vesting conditions,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Weighted-Average</w:t>
            </w:r>
          </w:p>
        </w:tc>
      </w:tr>
      <w:tr>
        <w:trPr>
          <w:trHeight w:val="127"/>
        </w:trPr>
        <w:tc>
          <w:tcPr>
            <w:tcW w:w="8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Grant Date</w:t>
            </w:r>
          </w:p>
        </w:tc>
      </w:tr>
      <w:tr>
        <w:trPr>
          <w:trHeight w:val="158"/>
        </w:trPr>
        <w:tc>
          <w:tcPr>
            <w:tcW w:w="8220" w:type="dxa"/>
            <w:vAlign w:val="bottom"/>
          </w:tcPr>
          <w:p>
            <w:pPr>
              <w:spacing w:after="0"/>
              <w:rPr>
                <w:sz w:val="13"/>
                <w:szCs w:val="13"/>
                <w:color w:val="auto"/>
              </w:rPr>
            </w:pPr>
          </w:p>
        </w:tc>
        <w:tc>
          <w:tcPr>
            <w:tcW w:w="1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202"/>
        </w:trPr>
        <w:tc>
          <w:tcPr>
            <w:tcW w:w="8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3,920,377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w:t>
            </w:r>
          </w:p>
        </w:tc>
      </w:tr>
      <w:tr>
        <w:trPr>
          <w:trHeight w:val="196"/>
        </w:trPr>
        <w:tc>
          <w:tcPr>
            <w:tcW w:w="8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2,094,395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r>
      <w:tr>
        <w:trPr>
          <w:trHeight w:val="207"/>
        </w:trPr>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(1,853,768)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w:t>
            </w:r>
          </w:p>
        </w:tc>
      </w:tr>
      <w:tr>
        <w:trPr>
          <w:trHeight w:val="196"/>
        </w:trPr>
        <w:tc>
          <w:tcPr>
            <w:tcW w:w="8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(382,040)</w:t>
            </w:r>
          </w:p>
        </w:tc>
        <w:tc>
          <w:tcPr>
            <w:tcW w:w="2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30.63</w:t>
            </w: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3,778,964</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total intrinsic value of restricted stock units vested was $42.5 million, $27.6 million, and $33.0 million for the years ended December 31, 2025, 2024, and 2023, respectively.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weighted-average grant date fair value of restricted stock units granted was $21.83, $25.05, and $35.02 for the years ended December 31, 2025, 2024, and 2023, respectively.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total grant date fair value of restricted stock units vested was $65.6 million, $43.4 million and $45.5 million for the years ended December 31, 2025, 2024, and 2023, respectively.</w:t>
      </w:r>
    </w:p>
    <w:p>
      <w:pPr>
        <w:spacing w:after="0" w:line="17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total unrecognized compensation cost related to unvested restricted stock units was approximately $77.8 million at December 31, 2025. The weighted-average remaining recognition period is approximately 2.5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181"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4"/>
          <w:szCs w:val="14"/>
          <w:color w:val="auto"/>
        </w:rPr>
        <w:t>In October 2019, the Board of Directors and stockholders also adopted and approved the 2019 Employee Stock Purchase Plan (the “ESPP”). Following the IPO, the ESPP authorized the issuance of 1,700,000 shares of common stock to purchase rights granted to the Company’s employees. Subject to the ESPP, the maximum number of shares of common stock that may be issued under the Plan will not exceed 1,700,000 shares, plus the number of shares that are automatically added on January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of each year, in an amount equal to the lesser of 1% of the total number of shares of capital stock outstanding on December 31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of the preceding calendar year, and 2,500,000 shares of common stock, or such smaller amount as determined by the Company's Board of Directors. As of December 31, 2025 and December 31, 2024, 5,902,603 and 5,111,514 shares of common stock remained available to be issued under the ESPP,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The following table summarizes the purchases that were made for each purchase period of the ESPP in the years ending December 31, 2025, 2024, and 2023 (in thousands, except for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60" w:type="dxa"/>
            <w:vAlign w:val="bottom"/>
          </w:tcPr>
          <w:p>
            <w:pPr>
              <w:ind w:left="2640"/>
              <w:spacing w:after="0"/>
              <w:rPr>
                <w:sz w:val="20"/>
                <w:szCs w:val="20"/>
                <w:color w:val="auto"/>
              </w:rPr>
            </w:pPr>
            <w:r>
              <w:rPr>
                <w:rFonts w:ascii="Times New Roman" w:cs="Times New Roman" w:eastAsia="Times New Roman" w:hAnsi="Times New Roman"/>
                <w:sz w:val="11"/>
                <w:szCs w:val="11"/>
                <w:b w:val="1"/>
                <w:bCs w:val="1"/>
                <w:color w:val="auto"/>
              </w:rPr>
              <w:t>Purchase Period</w:t>
            </w:r>
          </w:p>
        </w:tc>
        <w:tc>
          <w:tcPr>
            <w:tcW w:w="340" w:type="dxa"/>
            <w:vAlign w:val="bottom"/>
          </w:tcPr>
          <w:p>
            <w:pPr>
              <w:spacing w:after="0"/>
              <w:rPr>
                <w:sz w:val="13"/>
                <w:szCs w:val="13"/>
                <w:color w:val="auto"/>
              </w:rPr>
            </w:pPr>
          </w:p>
        </w:tc>
        <w:tc>
          <w:tcPr>
            <w:tcW w:w="22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Proceeds used for purchase</w:t>
            </w:r>
          </w:p>
        </w:tc>
        <w:tc>
          <w:tcPr>
            <w:tcW w:w="2520" w:type="dxa"/>
            <w:vAlign w:val="bottom"/>
          </w:tcPr>
          <w:p>
            <w:pPr>
              <w:jc w:val="right"/>
              <w:ind w:right="751"/>
              <w:spacing w:after="0"/>
              <w:rPr>
                <w:sz w:val="20"/>
                <w:szCs w:val="20"/>
                <w:color w:val="auto"/>
              </w:rPr>
            </w:pPr>
            <w:r>
              <w:rPr>
                <w:rFonts w:ascii="Times New Roman" w:cs="Times New Roman" w:eastAsia="Times New Roman" w:hAnsi="Times New Roman"/>
                <w:sz w:val="11"/>
                <w:szCs w:val="11"/>
                <w:b w:val="1"/>
                <w:bCs w:val="1"/>
                <w:color w:val="auto"/>
              </w:rPr>
              <w:t>Shares purchased</w:t>
            </w:r>
          </w:p>
        </w:tc>
      </w:tr>
      <w:tr>
        <w:trPr>
          <w:trHeight w:val="20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1, 2022 to January 31, 2023</w:t>
            </w: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27,492</w:t>
            </w:r>
          </w:p>
        </w:tc>
      </w:tr>
      <w:tr>
        <w:trPr>
          <w:trHeight w:val="201"/>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 2023 to July 31, 2023</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Pr>
          <w:p>
            <w:pPr>
              <w:spacing w:after="0"/>
              <w:rPr>
                <w:sz w:val="17"/>
                <w:szCs w:val="17"/>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17,642</w:t>
            </w:r>
          </w:p>
        </w:tc>
      </w:tr>
      <w:tr>
        <w:trPr>
          <w:trHeight w:val="20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1, 2023 to January 31, 2024</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24,387</w:t>
            </w:r>
          </w:p>
        </w:tc>
      </w:tr>
      <w:tr>
        <w:trPr>
          <w:trHeight w:val="201"/>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 2024 to July 31, 2024</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7"/>
                <w:szCs w:val="17"/>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21,848</w:t>
            </w:r>
          </w:p>
        </w:tc>
      </w:tr>
      <w:tr>
        <w:trPr>
          <w:trHeight w:val="20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1, 2024 to January 31, 2025</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35,701</w:t>
            </w:r>
          </w:p>
        </w:tc>
      </w:tr>
      <w:tr>
        <w:trPr>
          <w:trHeight w:val="201"/>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 2025 to July 31, 2025</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Pr>
          <w:p>
            <w:pPr>
              <w:spacing w:after="0"/>
              <w:rPr>
                <w:sz w:val="17"/>
                <w:szCs w:val="17"/>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26,316</w:t>
            </w:r>
          </w:p>
        </w:tc>
      </w:tr>
    </w:tbl>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next purchase period commenced on August 1, 2025 and ended on January 31, 2026.</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 which was included in the statements of operations as follows (in thousands):</w:t>
      </w:r>
    </w:p>
    <w:p>
      <w:pPr>
        <w:spacing w:after="0" w:line="4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34,490</w:t>
            </w: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27,015</w:t>
            </w: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65,833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61,106</w:t>
            </w:r>
          </w:p>
        </w:tc>
      </w:tr>
      <w:tr>
        <w:trPr>
          <w:trHeight w:val="198"/>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131,867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128,130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122,611</w:t>
            </w: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Accumulated other comprehensive income consisted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Unrealized gains on</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Unrealized gains on</w:t>
            </w:r>
          </w:p>
        </w:tc>
        <w:tc>
          <w:tcPr>
            <w:tcW w:w="80" w:type="dxa"/>
            <w:vAlign w:val="bottom"/>
          </w:tcPr>
          <w:p>
            <w:pPr>
              <w:spacing w:after="0"/>
              <w:rPr>
                <w:sz w:val="11"/>
                <w:szCs w:val="11"/>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Unrealized gains on</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marketable</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marketable</w:t>
            </w:r>
          </w:p>
        </w:tc>
        <w:tc>
          <w:tcPr>
            <w:tcW w:w="80" w:type="dxa"/>
            <w:vAlign w:val="bottom"/>
          </w:tcPr>
          <w:p>
            <w:pPr>
              <w:spacing w:after="0"/>
              <w:rPr>
                <w:sz w:val="11"/>
                <w:szCs w:val="11"/>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marketable</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securities</w:t>
            </w: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6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8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240" w:type="dxa"/>
            <w:vAlign w:val="bottom"/>
          </w:tcPr>
          <w:p>
            <w:pPr>
              <w:spacing w:after="0"/>
              <w:rPr>
                <w:sz w:val="13"/>
                <w:szCs w:val="13"/>
                <w:color w:val="auto"/>
              </w:rPr>
            </w:pPr>
          </w:p>
        </w:tc>
        <w:tc>
          <w:tcPr>
            <w:tcW w:w="72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80"/>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38"/>
        </w:trPr>
        <w:tc>
          <w:tcPr>
            <w:tcW w:w="20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comprehensive income</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line="191" w:lineRule="exact"/>
              <w:rPr>
                <w:sz w:val="20"/>
                <w:szCs w:val="20"/>
                <w:color w:val="auto"/>
              </w:rPr>
            </w:pPr>
            <w:r>
              <w:rPr>
                <w:rFonts w:ascii="Times New Roman" w:cs="Times New Roman" w:eastAsia="Times New Roman" w:hAnsi="Times New Roman"/>
                <w:sz w:val="14"/>
                <w:szCs w:val="14"/>
                <w:color w:val="auto"/>
              </w:rPr>
              <w:t>before reclassifications, net of tax</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Amounts reclassified from</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accumulated other comprehensive</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0" w:type="dxa"/>
            <w:vAlign w:val="bottom"/>
          </w:tcPr>
          <w:p>
            <w:pPr>
              <w:spacing w:after="0"/>
              <w:rPr>
                <w:sz w:val="1"/>
                <w:szCs w:val="1"/>
                <w:color w:val="auto"/>
              </w:rPr>
            </w:pPr>
          </w:p>
        </w:tc>
      </w:tr>
      <w:tr>
        <w:trPr>
          <w:trHeight w:val="187"/>
        </w:trPr>
        <w:tc>
          <w:tcPr>
            <w:tcW w:w="20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4"/>
                <w:szCs w:val="14"/>
                <w:color w:val="auto"/>
              </w:rPr>
              <w:t>income, net of tax</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08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color w:val="auto"/>
              </w:rPr>
              <w:t>Net current period other</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0" w:type="dxa"/>
            <w:vAlign w:val="bottom"/>
          </w:tcPr>
          <w:p>
            <w:pPr>
              <w:spacing w:after="0"/>
              <w:rPr>
                <w:sz w:val="1"/>
                <w:szCs w:val="1"/>
                <w:color w:val="auto"/>
              </w:rPr>
            </w:pPr>
          </w:p>
        </w:tc>
      </w:tr>
      <w:tr>
        <w:trPr>
          <w:trHeight w:val="217"/>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firstLine="5"/>
        <w:spacing w:after="0" w:line="266" w:lineRule="auto"/>
        <w:tabs>
          <w:tab w:leader="none" w:pos="159"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unrealized gains of $0.2 million, net of tax of $0.1 million for the year ended December 31, 2025, unrealized gains of $6.2 million, net of tax of $1.7 million for the year ended December 31, 2024, and unrealized gains of $8.6 million, net of tax of $2.5 million for the year ended December 31, 2023.</w:t>
      </w:r>
    </w:p>
    <w:p>
      <w:pPr>
        <w:ind w:left="140" w:hanging="135"/>
        <w:spacing w:after="0"/>
        <w:tabs>
          <w:tab w:leader="none" w:pos="140" w:val="left"/>
        </w:tabs>
        <w:numPr>
          <w:ilvl w:val="0"/>
          <w:numId w:val="2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effects on net income of amounts reclassified from accumulated other comprehensive income were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Details about Accumulated Other Comprehensive Income Component</w:t>
            </w:r>
          </w:p>
        </w:tc>
        <w:tc>
          <w:tcPr>
            <w:tcW w:w="26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3980" w:type="dxa"/>
            <w:vAlign w:val="bottom"/>
            <w:gridSpan w:val="2"/>
          </w:tcPr>
          <w:p>
            <w:pPr>
              <w:ind w:left="860"/>
              <w:spacing w:after="0"/>
              <w:rPr>
                <w:sz w:val="20"/>
                <w:szCs w:val="20"/>
                <w:color w:val="auto"/>
              </w:rPr>
            </w:pPr>
            <w:r>
              <w:rPr>
                <w:rFonts w:ascii="Times New Roman" w:cs="Times New Roman" w:eastAsia="Times New Roman" w:hAnsi="Times New Roman"/>
                <w:sz w:val="11"/>
                <w:szCs w:val="11"/>
                <w:b w:val="1"/>
                <w:bCs w:val="1"/>
                <w:color w:val="auto"/>
              </w:rPr>
              <w:t>Affected Line Item in Statement of Operations</w:t>
            </w:r>
          </w:p>
        </w:tc>
      </w:tr>
      <w:tr>
        <w:trPr>
          <w:trHeight w:val="180"/>
        </w:trPr>
        <w:tc>
          <w:tcPr>
            <w:tcW w:w="36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Gains on marketable securities</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9,982</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80" w:type="dxa"/>
            <w:vAlign w:val="bottom"/>
            <w:tcBorders>
              <w:top w:val="single" w:sz="8" w:color="CCEEFF"/>
            </w:tcBorders>
            <w:shd w:val="clear" w:color="auto" w:fill="CCEEFF"/>
          </w:tcPr>
          <w:p>
            <w:pPr>
              <w:spacing w:after="0"/>
              <w:rPr>
                <w:sz w:val="15"/>
                <w:szCs w:val="15"/>
                <w:color w:val="auto"/>
              </w:rPr>
            </w:pPr>
          </w:p>
        </w:tc>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20" w:type="dxa"/>
            <w:vAlign w:val="bottom"/>
          </w:tcPr>
          <w:p>
            <w:pPr>
              <w:spacing w:after="0"/>
              <w:rPr>
                <w:sz w:val="15"/>
                <w:szCs w:val="15"/>
                <w:color w:val="auto"/>
              </w:rPr>
            </w:pPr>
          </w:p>
        </w:tc>
      </w:tr>
      <w:tr>
        <w:trPr>
          <w:trHeight w:val="180"/>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8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0" w:type="dxa"/>
            <w:vAlign w:val="bottom"/>
          </w:tcPr>
          <w:p>
            <w:pPr>
              <w:spacing w:after="0"/>
              <w:rPr>
                <w:sz w:val="15"/>
                <w:szCs w:val="15"/>
                <w:color w:val="auto"/>
              </w:rPr>
            </w:pPr>
          </w:p>
        </w:tc>
      </w:tr>
      <w:tr>
        <w:trPr>
          <w:trHeight w:val="180"/>
        </w:trPr>
        <w:tc>
          <w:tcPr>
            <w:tcW w:w="3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80" w:type="dxa"/>
            <w:vAlign w:val="bottom"/>
            <w:shd w:val="clear" w:color="auto" w:fill="CCEEFF"/>
          </w:tcPr>
          <w:p>
            <w:pPr>
              <w:spacing w:after="0"/>
              <w:rPr>
                <w:sz w:val="15"/>
                <w:szCs w:val="15"/>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0" w:type="dxa"/>
            <w:vAlign w:val="bottom"/>
          </w:tcPr>
          <w:p>
            <w:pPr>
              <w:spacing w:after="0"/>
              <w:rPr>
                <w:sz w:val="15"/>
                <w:szCs w:val="15"/>
                <w:color w:val="auto"/>
              </w:rPr>
            </w:pPr>
          </w:p>
        </w:tc>
      </w:tr>
      <w:tr>
        <w:trPr>
          <w:trHeight w:val="192"/>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7,311</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80" w:type="dxa"/>
            <w:vAlign w:val="bottom"/>
          </w:tcPr>
          <w:p>
            <w:pPr>
              <w:spacing w:after="0"/>
              <w:rPr>
                <w:sz w:val="16"/>
                <w:szCs w:val="16"/>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2"/>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
        </w:trPr>
        <w:tc>
          <w:tcPr>
            <w:tcW w:w="36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9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Net Income Per Share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reconciliation of net income and the number of shares in the calculation of basic and diluted net income per share is as follows (in thousands, except share and per share amounts):</w:t>
      </w:r>
    </w:p>
    <w:p>
      <w:pPr>
        <w:spacing w:after="0" w:line="216"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9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net income per common share:</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62,037</w:t>
            </w:r>
          </w:p>
        </w:tc>
      </w:tr>
      <w:tr>
        <w:trPr>
          <w:trHeight w:val="212"/>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Weighted-average shares used in computing basic net income per share</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85,651,721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91,481,995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95,021,175</w:t>
            </w:r>
          </w:p>
        </w:tc>
      </w:tr>
      <w:tr>
        <w:trPr>
          <w:trHeight w:val="223"/>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net income per share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net income per common share: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62,037</w:t>
            </w:r>
          </w:p>
        </w:tc>
      </w:tr>
      <w:tr>
        <w:trPr>
          <w:trHeight w:val="212"/>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Weighted-average shares used in computing basic net income per share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85,651,721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91,481,995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95,021,175</w:t>
            </w:r>
          </w:p>
        </w:tc>
      </w:tr>
      <w:tr>
        <w:trPr>
          <w:trHeight w:val="207"/>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6"/>
        </w:trPr>
        <w:tc>
          <w:tcPr>
            <w:tcW w:w="6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3,173,427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3,499,412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4,813,004</w:t>
            </w:r>
          </w:p>
        </w:tc>
      </w:tr>
      <w:tr>
        <w:trPr>
          <w:trHeight w:val="207"/>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Shares issuable under ESPP</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196"/>
        </w:trPr>
        <w:tc>
          <w:tcPr>
            <w:tcW w:w="6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36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458,537</w:t>
            </w:r>
          </w:p>
        </w:tc>
      </w:tr>
      <w:tr>
        <w:trPr>
          <w:trHeight w:val="207"/>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Restricted stock units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1,036,635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280,105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378,879</w:t>
            </w:r>
          </w:p>
        </w:tc>
      </w:tr>
      <w:tr>
        <w:trPr>
          <w:trHeight w:val="181"/>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effect of dilutive securities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4,210,122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3,966,362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5,651,224</w:t>
            </w:r>
          </w:p>
        </w:tc>
      </w:tr>
      <w:tr>
        <w:trPr>
          <w:trHeight w:val="187"/>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shares used in computing diluted net income per share</w:t>
            </w: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89,861,843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95,448,357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100,672,399</w:t>
            </w:r>
          </w:p>
        </w:tc>
      </w:tr>
      <w:tr>
        <w:trPr>
          <w:trHeight w:val="198"/>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net income per share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0.62</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weighted-average outstanding shares of potentially dilutive securities were excluded from the computation of diluted net income per share for the periods presented because including them would have been antidilutive:</w:t>
      </w:r>
    </w:p>
    <w:p>
      <w:pPr>
        <w:spacing w:after="0" w:line="15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Borders>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14,928,938</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13,868,635</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11,901,773</w:t>
            </w: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issuable under ESPP</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4,022</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1,136,803</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2,118,102</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1,111,634</w:t>
            </w:r>
          </w:p>
        </w:tc>
      </w:tr>
      <w:tr>
        <w:trPr>
          <w:trHeight w:val="198"/>
        </w:trPr>
        <w:tc>
          <w:tcPr>
            <w:tcW w:w="6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potential dilutive shares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16,068,254</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15,990,759</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13,014,326</w:t>
            </w:r>
          </w:p>
        </w:tc>
      </w:tr>
      <w:tr>
        <w:trPr>
          <w:trHeight w:val="20"/>
        </w:trPr>
        <w:tc>
          <w:tcPr>
            <w:tcW w:w="6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401(k) Plan</w:t>
      </w:r>
    </w:p>
    <w:p>
      <w:pPr>
        <w:spacing w:after="0" w:line="17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Company sponsors a 401(k) defined contribution plan covering all employees and began employer contributions in 2018. The Company incurred expenses related to employer contributions of $2.3 million, $1.8 million, and $1.4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Income Taxes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income before income taxes were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79"/>
        </w:trPr>
        <w:tc>
          <w:tcPr>
            <w:tcW w:w="66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100,601</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9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(5,169)</w:t>
            </w: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95,432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4"/>
                <w:szCs w:val="14"/>
                <w:color w:val="auto"/>
              </w:rPr>
              <w:t>The provision for income taxes is composed of the following (in thousands):</w:t>
            </w:r>
          </w:p>
        </w:tc>
        <w:tc>
          <w:tcPr>
            <w:tcW w:w="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66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6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32,652</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 and local</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11,980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w w:val="95"/>
              </w:rPr>
              <w:t>2,598</w:t>
            </w:r>
          </w:p>
        </w:tc>
        <w:tc>
          <w:tcPr>
            <w:tcW w:w="0" w:type="dxa"/>
            <w:vAlign w:val="bottom"/>
          </w:tcPr>
          <w:p>
            <w:pPr>
              <w:spacing w:after="0"/>
              <w:rPr>
                <w:sz w:val="1"/>
                <w:szCs w:val="1"/>
                <w:color w:val="auto"/>
              </w:rPr>
            </w:pPr>
          </w:p>
        </w:tc>
      </w:tr>
      <w:tr>
        <w:trPr>
          <w:trHeight w:val="192"/>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current provision for income taxes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39,322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5"/>
              </w:rPr>
              <w:t>4,909</w:t>
            </w:r>
          </w:p>
        </w:tc>
        <w:tc>
          <w:tcPr>
            <w:tcW w:w="0" w:type="dxa"/>
            <w:vAlign w:val="bottom"/>
          </w:tcPr>
          <w:p>
            <w:pPr>
              <w:spacing w:after="0"/>
              <w:rPr>
                <w:sz w:val="1"/>
                <w:szCs w:val="1"/>
                <w:color w:val="auto"/>
              </w:rPr>
            </w:pPr>
          </w:p>
        </w:tc>
      </w:tr>
      <w:tr>
        <w:trPr>
          <w:trHeight w:val="20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 and local</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w w:val="98"/>
              </w:rPr>
              <w:t>(688)</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deferred (benefit) provision for income taxes</w:t>
            </w: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(10,456)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reconciliation of the U.S. federal statutory income tax rate to the Company’s effective tax rate after the adoption of ASU No. 2023-09 is as follows (in thousands, except for percentages):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gridSpan w:val="3"/>
          </w:tcPr>
          <w:p>
            <w:pPr>
              <w:jc w:val="center"/>
              <w:ind w:left="11"/>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240" w:type="dxa"/>
            <w:vAlign w:val="bottom"/>
          </w:tcPr>
          <w:p>
            <w:pPr>
              <w:spacing w:after="0"/>
              <w:rPr>
                <w:sz w:val="12"/>
                <w:szCs w:val="12"/>
                <w:color w:val="auto"/>
              </w:rPr>
            </w:pPr>
          </w:p>
        </w:tc>
      </w:tr>
      <w:tr>
        <w:trPr>
          <w:trHeight w:val="179"/>
        </w:trPr>
        <w:tc>
          <w:tcPr>
            <w:tcW w:w="76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11"/>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240" w:type="dxa"/>
            <w:vAlign w:val="bottom"/>
            <w:tcBorders>
              <w:bottom w:val="single" w:sz="8" w:color="auto"/>
            </w:tcBorders>
          </w:tcPr>
          <w:p>
            <w:pPr>
              <w:spacing w:after="0"/>
              <w:rPr>
                <w:sz w:val="15"/>
                <w:szCs w:val="15"/>
                <w:color w:val="auto"/>
              </w:rPr>
            </w:pPr>
          </w:p>
        </w:tc>
      </w:tr>
      <w:tr>
        <w:trPr>
          <w:trHeight w:val="160"/>
        </w:trPr>
        <w:tc>
          <w:tcPr>
            <w:tcW w:w="76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20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statutory income tax rate</w:t>
            </w:r>
          </w:p>
        </w:tc>
        <w:tc>
          <w:tcPr>
            <w:tcW w:w="116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20,041</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202"/>
        </w:trPr>
        <w:tc>
          <w:tcPr>
            <w:tcW w:w="760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State and local income tax, net of federal income tax effect</w:t>
            </w:r>
            <w:r>
              <w:rPr>
                <w:rFonts w:ascii="Times New Roman" w:cs="Times New Roman" w:eastAsia="Times New Roman" w:hAnsi="Times New Roman"/>
                <w:sz w:val="18"/>
                <w:szCs w:val="18"/>
                <w:color w:val="auto"/>
                <w:vertAlign w:val="superscript"/>
              </w:rPr>
              <w:t>(1)</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8,565</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center"/>
              <w:ind w:left="670"/>
              <w:spacing w:after="0"/>
              <w:rPr>
                <w:sz w:val="20"/>
                <w:szCs w:val="20"/>
                <w:color w:val="auto"/>
              </w:rPr>
            </w:pPr>
            <w:r>
              <w:rPr>
                <w:rFonts w:ascii="Times New Roman" w:cs="Times New Roman" w:eastAsia="Times New Roman" w:hAnsi="Times New Roman"/>
                <w:sz w:val="14"/>
                <w:szCs w:val="14"/>
                <w:color w:val="auto"/>
              </w:rPr>
              <w:t>9.0</w:t>
            </w:r>
          </w:p>
        </w:tc>
      </w:tr>
      <w:tr>
        <w:trPr>
          <w:trHeight w:val="20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effects</w:t>
            </w: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6"/>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Germany</w:t>
            </w: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7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center"/>
              <w:ind w:left="630"/>
              <w:spacing w:after="0"/>
              <w:rPr>
                <w:sz w:val="20"/>
                <w:szCs w:val="20"/>
                <w:color w:val="auto"/>
              </w:rPr>
            </w:pPr>
            <w:r>
              <w:rPr>
                <w:rFonts w:ascii="Times New Roman" w:cs="Times New Roman" w:eastAsia="Times New Roman" w:hAnsi="Times New Roman"/>
                <w:sz w:val="14"/>
                <w:szCs w:val="14"/>
                <w:color w:val="auto"/>
                <w:w w:val="96"/>
              </w:rPr>
              <w:t>(0.5)</w:t>
            </w:r>
          </w:p>
        </w:tc>
      </w:tr>
      <w:tr>
        <w:trPr>
          <w:trHeight w:val="207"/>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foreign jurisdictions</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4"/>
                <w:szCs w:val="14"/>
                <w:color w:val="auto"/>
                <w:w w:val="96"/>
              </w:rPr>
              <w:t>(0.2)</w:t>
            </w:r>
          </w:p>
        </w:tc>
      </w:tr>
      <w:tr>
        <w:trPr>
          <w:trHeight w:val="196"/>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4"/>
                <w:szCs w:val="14"/>
                <w:color w:val="auto"/>
                <w:w w:val="96"/>
              </w:rPr>
              <w:t>(2.2)</w:t>
            </w:r>
          </w:p>
        </w:tc>
      </w:tr>
      <w:tr>
        <w:trPr>
          <w:trHeight w:val="196"/>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payment awards</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4"/>
                <w:szCs w:val="14"/>
                <w:color w:val="auto"/>
              </w:rPr>
              <w:t>6.1</w:t>
            </w:r>
          </w:p>
        </w:tc>
      </w:tr>
      <w:tr>
        <w:trPr>
          <w:trHeight w:val="196"/>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Executive compensation</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4,022</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center"/>
              <w:ind w:left="670"/>
              <w:spacing w:after="0"/>
              <w:rPr>
                <w:sz w:val="20"/>
                <w:szCs w:val="20"/>
                <w:color w:val="auto"/>
              </w:rPr>
            </w:pPr>
            <w:r>
              <w:rPr>
                <w:rFonts w:ascii="Times New Roman" w:cs="Times New Roman" w:eastAsia="Times New Roman" w:hAnsi="Times New Roman"/>
                <w:sz w:val="14"/>
                <w:szCs w:val="14"/>
                <w:color w:val="auto"/>
              </w:rPr>
              <w:t>4.2</w:t>
            </w:r>
          </w:p>
        </w:tc>
      </w:tr>
      <w:tr>
        <w:trPr>
          <w:trHeight w:val="20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unrecognized tax benefits</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4"/>
                <w:szCs w:val="14"/>
                <w:color w:val="auto"/>
              </w:rPr>
              <w:t>0.3</w:t>
            </w:r>
          </w:p>
        </w:tc>
      </w:tr>
      <w:tr>
        <w:trPr>
          <w:trHeight w:val="19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adjustments</w:t>
            </w: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4"/>
                <w:szCs w:val="14"/>
                <w:color w:val="auto"/>
                <w:w w:val="96"/>
              </w:rPr>
              <w:t>(0.6)</w:t>
            </w:r>
          </w:p>
        </w:tc>
      </w:tr>
      <w:tr>
        <w:trPr>
          <w:trHeight w:val="22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160" w:type="dxa"/>
            <w:vAlign w:val="bottom"/>
            <w:tcBorders>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36,912</w:t>
            </w: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120" w:hanging="115"/>
        <w:spacing w:after="0"/>
        <w:tabs>
          <w:tab w:leader="none" w:pos="12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rPr>
        <w:t>State taxes in New York and California made up the majority (greater than 50 percent) of the tax effect in this category.</w:t>
      </w:r>
    </w:p>
    <w:p>
      <w:pPr>
        <w:spacing w:after="0" w:line="200" w:lineRule="exact"/>
        <w:rPr>
          <w:rFonts w:ascii="Times New Roman" w:cs="Times New Roman" w:eastAsia="Times New Roman" w:hAnsi="Times New Roman"/>
          <w:sz w:val="7"/>
          <w:szCs w:val="7"/>
          <w:color w:val="auto"/>
        </w:rPr>
      </w:pPr>
    </w:p>
    <w:p>
      <w:pPr>
        <w:spacing w:after="0" w:line="200" w:lineRule="exact"/>
        <w:rPr>
          <w:rFonts w:ascii="Times New Roman" w:cs="Times New Roman" w:eastAsia="Times New Roman" w:hAnsi="Times New Roman"/>
          <w:sz w:val="7"/>
          <w:szCs w:val="7"/>
          <w:color w:val="auto"/>
        </w:rPr>
      </w:pPr>
    </w:p>
    <w:p>
      <w:pPr>
        <w:spacing w:after="0" w:line="266" w:lineRule="exact"/>
        <w:rPr>
          <w:rFonts w:ascii="Times New Roman" w:cs="Times New Roman" w:eastAsia="Times New Roman" w:hAnsi="Times New Roman"/>
          <w:sz w:val="7"/>
          <w:szCs w:val="7"/>
          <w:color w:val="auto"/>
        </w:rPr>
      </w:pPr>
    </w:p>
    <w:p>
      <w:pPr>
        <w:ind w:left="5580"/>
        <w:spacing w:after="0"/>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On July 4, 2025, the One Big Beautiful Bill Act (the “OBBBA”) was signed into law. The OBBBA includes various changes to U.S. federal income tax law, including extensions of several expiring provisions from the Tax Cuts and Jobs Act of 2017. The OBBBA has multiple effective dates, with certain provisions effective in 2025. The OBBBA did not have a material impact on the Company’s effective tax rate for the year ended December 31, 2025. The Company will continue to evaluate the impact of the new legislation on its consolidated financial statements as additional guidance is issued.</w:t>
      </w:r>
    </w:p>
    <w:p>
      <w:pPr>
        <w:spacing w:after="0" w:line="15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previously disclosed for the years ended December 31, 2024 and 2023, a reconciliation of the U.S. federal statutory income tax rate to the Company’s effective tax rate prior to the adoption of ASU No. 2023-09 is as follows (in percentages):</w:t>
      </w:r>
    </w:p>
    <w:p>
      <w:pPr>
        <w:spacing w:after="0" w:line="173"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at statutory rate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6"/>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w:t>
            </w:r>
          </w:p>
        </w:tc>
      </w:tr>
      <w:tr>
        <w:trPr>
          <w:trHeight w:val="20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(18)</w:t>
            </w:r>
          </w:p>
        </w:tc>
      </w:tr>
      <w:tr>
        <w:trPr>
          <w:trHeight w:val="196"/>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Section 162(m) compensation limitation</w:t>
            </w: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w:t>
            </w:r>
          </w:p>
        </w:tc>
      </w:tr>
      <w:tr>
        <w:trPr>
          <w:trHeight w:val="20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w:t>
            </w:r>
          </w:p>
        </w:tc>
      </w:tr>
      <w:tr>
        <w:trPr>
          <w:trHeight w:val="198"/>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
        </w:trPr>
        <w:tc>
          <w:tcPr>
            <w:tcW w:w="80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the Company’s deferred tax assets and liabilities are as follows (in thousands):</w:t>
      </w:r>
    </w:p>
    <w:p>
      <w:pPr>
        <w:spacing w:after="0" w:line="20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90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5,577</w:t>
            </w:r>
          </w:p>
        </w:tc>
      </w:tr>
      <w:tr>
        <w:trPr>
          <w:trHeight w:val="207"/>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 capitalization</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w:t>
            </w:r>
          </w:p>
        </w:tc>
      </w:tr>
      <w:tr>
        <w:trPr>
          <w:trHeight w:val="196"/>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60,738</w:t>
            </w:r>
          </w:p>
        </w:tc>
      </w:tr>
      <w:tr>
        <w:trPr>
          <w:trHeight w:val="207"/>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Accruals and reserves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18,354</w:t>
            </w:r>
          </w:p>
        </w:tc>
      </w:tr>
      <w:tr>
        <w:trPr>
          <w:trHeight w:val="196"/>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w:t>
            </w:r>
          </w:p>
        </w:tc>
      </w:tr>
      <w:tr>
        <w:trPr>
          <w:trHeight w:val="20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92"/>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103,619</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91,761</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r>
      <w:tr>
        <w:trPr>
          <w:trHeight w:val="19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 after valuation allowance</w:t>
            </w:r>
          </w:p>
        </w:tc>
        <w:tc>
          <w:tcPr>
            <w:tcW w:w="90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100,498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89,982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90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207"/>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w:t>
            </w:r>
          </w:p>
        </w:tc>
      </w:tr>
      <w:tr>
        <w:trPr>
          <w:trHeight w:val="196"/>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(5,049)</w:t>
            </w: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93,013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84,933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4"/>
          <w:szCs w:val="14"/>
          <w:color w:val="auto"/>
        </w:rPr>
        <w:t>Assessing the realizability of deferred tax assets requires determination of whether it is more-likely-than-not that some portion or all the deferred tax assets will not be realized. In assessing the need for a valuation allowance, the Company considers all available positive and negative evidence, including future reversals of existing taxable temporary differences, projected future taxable income, loss carry back and tax-planning strategies. The valuation allowance increased by $1.3 million during the year ended December 31, 2025. As of December 31, 2025, management believes there is sufficient positive evidence to conclude that it is more likely than not that substantially all the net deferred tax assets were realizable.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As of December 31, 2025, the Company has U.S. federal net operating loss carryforwards of $1.1 million which expire in the year 2030 and U.S. state net operating loss carryforwards of $51.3 million, which will begin to expire in the year 2038. In addition, the Company has foreign net operating loss carryforwards of $10.9 million, which will begin to expire in the year 2041. Utilization of the U.S. federal net operating loss carryforwards may be subject to an annual limitation due to ownership changes, as provided by Section 382 of the Internal Revenue Code. Such annual limitation could result in the expiration of net operating losses before their utilization.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reconciliation of the beginning and ending amount of unrecognized tax benefits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60"/>
        </w:trPr>
        <w:tc>
          <w:tcPr>
            <w:tcW w:w="70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the beginning of the year</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96"/>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based upon tax positions related to the current year</w:t>
            </w:r>
          </w:p>
        </w:tc>
        <w:tc>
          <w:tcPr>
            <w:tcW w:w="940" w:type="dxa"/>
            <w:vAlign w:val="bottom"/>
          </w:tcPr>
          <w:p>
            <w:pPr>
              <w:spacing w:after="0"/>
              <w:rPr>
                <w:sz w:val="17"/>
                <w:szCs w:val="17"/>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Reductions based upon tax positions related to the prior year</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the end of the year</w:t>
            </w:r>
          </w:p>
        </w:tc>
        <w:tc>
          <w:tcPr>
            <w:tcW w:w="94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20"/>
        </w:trPr>
        <w:tc>
          <w:tcPr>
            <w:tcW w:w="7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For the years ended December 31, 2025, 2024, and 2023, the total amount of unrecognized tax benefits that, if recognized, would affect the effective tax rate is $0.8 million, $0.6 million, and $0.4 million, in the aggregate, respectively. The Company classifies interest and penalties related to unrecognized tax benefits as components of the provision for income taxes. As of December 31, 2025, 2024, and 2023, the Company had no significant accrued interest or penalties related to unrecognized tax benefits and no amounts have been recognized in the Company’s consolidated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of operations. The Company does not anticipate any material change in its unrecognized tax benefits over the next twelve months.</w:t>
      </w:r>
    </w:p>
    <w:p>
      <w:pPr>
        <w:spacing w:after="0" w:line="185"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The Company files income tax returns in the U.S. for federal and state and local jurisdictions, as well as in certain foreign jurisdictions, with varying statutes of limitations. The Company is no longer subject to U.S. federal, state and local, or non-U.S. income tax examinations by tax authorities for years prior to 2020. However, to the extent the Company generated net operating losses or tax credits in closed tax years, future use of the net operating losses or tax credit carryforward balances would be subject to examination within the relevant statute of limitations for the year in which utilized.</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Cash paid for income taxes, net of refunds received,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40" w:type="dxa"/>
            <w:vAlign w:val="bottom"/>
          </w:tcPr>
          <w:p>
            <w:pPr>
              <w:jc w:val="right"/>
              <w:ind w:right="873"/>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79"/>
        </w:trPr>
        <w:tc>
          <w:tcPr>
            <w:tcW w:w="88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8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40,530</w:t>
            </w:r>
          </w:p>
        </w:tc>
      </w:tr>
      <w:tr>
        <w:trPr>
          <w:trHeight w:val="180"/>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4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80"/>
        </w:trPr>
        <w:tc>
          <w:tcPr>
            <w:tcW w:w="8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California</w:t>
            </w:r>
          </w:p>
        </w:tc>
        <w:tc>
          <w:tcPr>
            <w:tcW w:w="42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r>
      <w:tr>
        <w:trPr>
          <w:trHeight w:val="180"/>
        </w:trPr>
        <w:tc>
          <w:tcPr>
            <w:tcW w:w="8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New York</w:t>
            </w:r>
          </w:p>
        </w:tc>
        <w:tc>
          <w:tcPr>
            <w:tcW w:w="42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w:t>
            </w:r>
          </w:p>
        </w:tc>
      </w:tr>
      <w:tr>
        <w:trPr>
          <w:trHeight w:val="180"/>
        </w:trPr>
        <w:tc>
          <w:tcPr>
            <w:tcW w:w="8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states</w:t>
            </w:r>
          </w:p>
        </w:tc>
        <w:tc>
          <w:tcPr>
            <w:tcW w:w="42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9,140</w:t>
            </w:r>
          </w:p>
        </w:tc>
      </w:tr>
      <w:tr>
        <w:trPr>
          <w:trHeight w:val="192"/>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paid for income taxes, net of refunds received</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55,490</w:t>
            </w:r>
          </w:p>
        </w:tc>
      </w:tr>
      <w:tr>
        <w:trPr>
          <w:trHeight w:val="20"/>
        </w:trPr>
        <w:tc>
          <w:tcPr>
            <w:tcW w:w="8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9060" w:firstLine="5"/>
        <w:spacing w:after="0" w:line="499" w:lineRule="auto"/>
        <w:tabs>
          <w:tab w:leader="none" w:pos="212"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Arbitration/Litigation</w:t>
      </w:r>
    </w:p>
    <w:p>
      <w:pPr>
        <w:spacing w:after="0" w:line="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2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Indemnifications</w:t>
      </w:r>
    </w:p>
    <w:p>
      <w:pPr>
        <w:spacing w:after="0" w:line="18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The Company indemnifies each of its officers and directors for certain events or occurrences, subject to certain limits, while the officer or director is or was serving at the Company’s request in such capacity, as permitted under Delaware law and in accordance with its certificate of incorporation and bylaws. The term of the indemnification period lasts as long as an officer or a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Segment Reporting</w:t>
      </w:r>
    </w:p>
    <w:p>
      <w:pPr>
        <w:spacing w:after="0" w:line="19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Progyny is a benefits management company specializing in fertility, family building and women's health benefits solutions. Substantially, all of the Company's revenues and assets are attributable to the United States.</w:t>
      </w:r>
    </w:p>
    <w:p>
      <w:pPr>
        <w:spacing w:after="0" w:line="11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chief operating decision maker (“CODM”) is the Chief Executive Officer. The Company determined it has one operating segment and one reportable segment, as the CODM manages the business and evaluates performance at the consolidated level.</w:t>
      </w:r>
    </w:p>
    <w:p>
      <w:pPr>
        <w:spacing w:after="0" w:line="15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The CODM uses net income to allocate resources (including personnel, technology, and capital resources) for the single segment to make decisions regarding the annual budget, ongoing operations, and strategic investments to drive the Company's strategy and mission.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r>
      <w:tr>
        <w:trPr>
          <w:trHeight w:val="160"/>
        </w:trPr>
        <w:tc>
          <w:tcPr>
            <w:tcW w:w="360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107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36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(1)</w:t>
            </w:r>
          </w:p>
        </w:tc>
        <w:tc>
          <w:tcPr>
            <w:tcW w:w="1640" w:type="dxa"/>
            <w:vAlign w:val="bottom"/>
            <w:shd w:val="clear" w:color="auto" w:fill="CCEEFF"/>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1,288,661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1,167,221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1,088,598</w:t>
            </w:r>
          </w:p>
        </w:tc>
      </w:tr>
      <w:tr>
        <w:trPr>
          <w:trHeight w:val="19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7"/>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1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984,177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913,858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849,799</w:t>
            </w:r>
          </w:p>
        </w:tc>
      </w:tr>
      <w:tr>
        <w:trPr>
          <w:trHeight w:val="196"/>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1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63,948</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59,488</w:t>
            </w:r>
          </w:p>
        </w:tc>
      </w:tr>
      <w:tr>
        <w:trPr>
          <w:trHeight w:val="207"/>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121,960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117,127</w:t>
            </w:r>
          </w:p>
        </w:tc>
      </w:tr>
      <w:tr>
        <w:trPr>
          <w:trHeight w:val="196"/>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1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(8,507)</w:t>
            </w:r>
          </w:p>
        </w:tc>
      </w:tr>
      <w:tr>
        <w:trPr>
          <w:trHeight w:val="202"/>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28,866</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8,654</w:t>
            </w:r>
          </w:p>
        </w:tc>
      </w:tr>
      <w:tr>
        <w:trPr>
          <w:trHeight w:val="198"/>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640" w:type="dxa"/>
            <w:vAlign w:val="bottom"/>
            <w:tcBorders>
              <w:bottom w:val="single" w:sz="8" w:color="auto"/>
            </w:tcBorders>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58,520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54,336</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62,037</w:t>
            </w:r>
          </w:p>
        </w:tc>
      </w:tr>
      <w:tr>
        <w:trPr>
          <w:trHeight w:val="20"/>
        </w:trPr>
        <w:tc>
          <w:tcPr>
            <w:tcW w:w="3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20" w:hanging="115"/>
        <w:spacing w:after="0"/>
        <w:tabs>
          <w:tab w:leader="none" w:pos="12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Refer to footnote 3, for disaggregated revenue by service.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740" w:type="dxa"/>
            <w:vAlign w:val="bottom"/>
            <w:tcBorders>
              <w:bottom w:val="single" w:sz="8" w:color="auto"/>
            </w:tcBorders>
          </w:tcPr>
          <w:p>
            <w:pPr>
              <w:spacing w:after="0"/>
              <w:rPr>
                <w:sz w:val="13"/>
                <w:szCs w:val="13"/>
                <w:color w:val="auto"/>
              </w:rPr>
            </w:pPr>
          </w:p>
        </w:tc>
      </w:tr>
      <w:tr>
        <w:trPr>
          <w:trHeight w:val="160"/>
        </w:trPr>
        <w:tc>
          <w:tcPr>
            <w:tcW w:w="36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742,435</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Unaudited Quarterly Results of Operations Data</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 following table sets forth the unaudited quarterly consolidated results of operations for each of the quarterly periods in the years ended December 31, 2025 and 2024. The unaudited quarterly results of operations have been prepared on the same basis as the audited consolidated financial statements, and we believe they reflect all normal recurring adjustments necessary for the fair statement of the Company’s results of operations for these periods. This information should be read in conjunction with the consolidated financial statements and related notes included elsewhere in this Annual Report. The Company’s historical operating data may not be indicative of the Company’s future performance.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gridSpan w:val="5"/>
          </w:tcPr>
          <w:p>
            <w:pPr>
              <w:ind w:left="3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0"/>
                <w:szCs w:val="10"/>
                <w:b w:val="1"/>
                <w:bCs w:val="1"/>
                <w:color w:val="auto"/>
              </w:rPr>
              <w:t>Mar. 31,</w:t>
            </w:r>
          </w:p>
        </w:tc>
        <w:tc>
          <w:tcPr>
            <w:tcW w:w="200" w:type="dxa"/>
            <w:vAlign w:val="bottom"/>
          </w:tcPr>
          <w:p>
            <w:pPr>
              <w:spacing w:after="0"/>
              <w:rPr>
                <w:sz w:val="8"/>
                <w:szCs w:val="8"/>
                <w:color w:val="auto"/>
              </w:rPr>
            </w:pPr>
          </w:p>
        </w:tc>
        <w:tc>
          <w:tcPr>
            <w:tcW w:w="86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0"/>
                <w:szCs w:val="10"/>
                <w:b w:val="1"/>
                <w:bCs w:val="1"/>
                <w:color w:val="auto"/>
              </w:rPr>
              <w:t>Jun. 30,</w:t>
            </w:r>
          </w:p>
        </w:tc>
        <w:tc>
          <w:tcPr>
            <w:tcW w:w="200" w:type="dxa"/>
            <w:vAlign w:val="bottom"/>
          </w:tcPr>
          <w:p>
            <w:pPr>
              <w:spacing w:after="0"/>
              <w:rPr>
                <w:sz w:val="8"/>
                <w:szCs w:val="8"/>
                <w:color w:val="auto"/>
              </w:rPr>
            </w:pPr>
          </w:p>
        </w:tc>
        <w:tc>
          <w:tcPr>
            <w:tcW w:w="88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0"/>
                <w:szCs w:val="10"/>
                <w:b w:val="1"/>
                <w:bCs w:val="1"/>
                <w:color w:val="auto"/>
              </w:rPr>
              <w:t>Sep. 30,</w:t>
            </w:r>
          </w:p>
        </w:tc>
        <w:tc>
          <w:tcPr>
            <w:tcW w:w="200" w:type="dxa"/>
            <w:vAlign w:val="bottom"/>
          </w:tcPr>
          <w:p>
            <w:pPr>
              <w:spacing w:after="0"/>
              <w:rPr>
                <w:sz w:val="8"/>
                <w:szCs w:val="8"/>
                <w:color w:val="auto"/>
              </w:rPr>
            </w:pPr>
          </w:p>
        </w:tc>
        <w:tc>
          <w:tcPr>
            <w:tcW w:w="88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0"/>
                <w:szCs w:val="10"/>
                <w:b w:val="1"/>
                <w:bCs w:val="1"/>
                <w:color w:val="auto"/>
              </w:rPr>
              <w:t>Dec. 31,</w:t>
            </w:r>
          </w:p>
        </w:tc>
        <w:tc>
          <w:tcPr>
            <w:tcW w:w="280" w:type="dxa"/>
            <w:vAlign w:val="bottom"/>
          </w:tcPr>
          <w:p>
            <w:pPr>
              <w:spacing w:after="0"/>
              <w:rPr>
                <w:sz w:val="8"/>
                <w:szCs w:val="8"/>
                <w:color w:val="auto"/>
              </w:rPr>
            </w:pPr>
          </w:p>
        </w:tc>
        <w:tc>
          <w:tcPr>
            <w:tcW w:w="7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b w:val="1"/>
                <w:bCs w:val="1"/>
                <w:color w:val="auto"/>
              </w:rPr>
              <w:t>Mar. 31,</w:t>
            </w:r>
          </w:p>
        </w:tc>
        <w:tc>
          <w:tcPr>
            <w:tcW w:w="200" w:type="dxa"/>
            <w:vAlign w:val="bottom"/>
          </w:tcPr>
          <w:p>
            <w:pPr>
              <w:spacing w:after="0"/>
              <w:rPr>
                <w:sz w:val="8"/>
                <w:szCs w:val="8"/>
                <w:color w:val="auto"/>
              </w:rPr>
            </w:pPr>
          </w:p>
        </w:tc>
        <w:tc>
          <w:tcPr>
            <w:tcW w:w="88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0"/>
                <w:szCs w:val="10"/>
                <w:b w:val="1"/>
                <w:bCs w:val="1"/>
                <w:color w:val="auto"/>
              </w:rPr>
              <w:t>Jun. 30,</w:t>
            </w:r>
          </w:p>
        </w:tc>
        <w:tc>
          <w:tcPr>
            <w:tcW w:w="180" w:type="dxa"/>
            <w:vAlign w:val="bottom"/>
          </w:tcPr>
          <w:p>
            <w:pPr>
              <w:spacing w:after="0"/>
              <w:rPr>
                <w:sz w:val="8"/>
                <w:szCs w:val="8"/>
                <w:color w:val="auto"/>
              </w:rPr>
            </w:pPr>
          </w:p>
        </w:tc>
        <w:tc>
          <w:tcPr>
            <w:tcW w:w="88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0"/>
                <w:szCs w:val="10"/>
                <w:b w:val="1"/>
                <w:bCs w:val="1"/>
                <w:color w:val="auto"/>
              </w:rPr>
              <w:t>Sep. 30,</w:t>
            </w:r>
          </w:p>
        </w:tc>
        <w:tc>
          <w:tcPr>
            <w:tcW w:w="200" w:type="dxa"/>
            <w:vAlign w:val="bottom"/>
          </w:tcPr>
          <w:p>
            <w:pPr>
              <w:spacing w:after="0"/>
              <w:rPr>
                <w:sz w:val="8"/>
                <w:szCs w:val="8"/>
                <w:color w:val="auto"/>
              </w:rPr>
            </w:pPr>
          </w:p>
        </w:tc>
        <w:tc>
          <w:tcPr>
            <w:tcW w:w="780" w:type="dxa"/>
            <w:vAlign w:val="bottom"/>
          </w:tcPr>
          <w:p>
            <w:pPr>
              <w:jc w:val="right"/>
              <w:ind w:right="284"/>
              <w:spacing w:after="0" w:line="103" w:lineRule="exact"/>
              <w:rPr>
                <w:sz w:val="20"/>
                <w:szCs w:val="20"/>
                <w:color w:val="auto"/>
              </w:rPr>
            </w:pPr>
            <w:r>
              <w:rPr>
                <w:rFonts w:ascii="Times New Roman" w:cs="Times New Roman" w:eastAsia="Times New Roman" w:hAnsi="Times New Roman"/>
                <w:sz w:val="10"/>
                <w:szCs w:val="10"/>
                <w:b w:val="1"/>
                <w:bCs w:val="1"/>
                <w:color w:val="auto"/>
              </w:rPr>
              <w:t>Dec. 31,</w:t>
            </w: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2025</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278,078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304,087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286,625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298,431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324,038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332,874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313,346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318,403</w:t>
            </w:r>
          </w:p>
        </w:tc>
        <w:tc>
          <w:tcPr>
            <w:tcW w:w="0" w:type="dxa"/>
            <w:vAlign w:val="bottom"/>
          </w:tcPr>
          <w:p>
            <w:pPr>
              <w:spacing w:after="0"/>
              <w:rPr>
                <w:sz w:val="1"/>
                <w:szCs w:val="1"/>
                <w:color w:val="auto"/>
              </w:rPr>
            </w:pPr>
          </w:p>
        </w:tc>
      </w:tr>
      <w:tr>
        <w:trPr>
          <w:trHeight w:val="160"/>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Cost of services</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215,672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235,806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227,381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234,999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248,243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253,901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240,511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241,522</w:t>
            </w: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62,406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63,432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75,795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78,973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76,881</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Sales and marketing</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17,935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17,987</w:t>
            </w:r>
          </w:p>
        </w:tc>
        <w:tc>
          <w:tcPr>
            <w:tcW w:w="0" w:type="dxa"/>
            <w:vAlign w:val="bottom"/>
          </w:tcPr>
          <w:p>
            <w:pPr>
              <w:spacing w:after="0"/>
              <w:rPr>
                <w:sz w:val="1"/>
                <w:szCs w:val="1"/>
                <w:color w:val="auto"/>
              </w:rPr>
            </w:pPr>
          </w:p>
        </w:tc>
      </w:tr>
      <w:tr>
        <w:trPr>
          <w:trHeight w:val="160"/>
        </w:trPr>
        <w:tc>
          <w:tcPr>
            <w:tcW w:w="2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28,429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31,173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30,329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32,029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33,839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36,210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33,373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43,672</w:t>
            </w: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43,883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47,594</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46,786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47,645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51,625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54,615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51,308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61,659</w:t>
            </w:r>
          </w:p>
        </w:tc>
        <w:tc>
          <w:tcPr>
            <w:tcW w:w="0" w:type="dxa"/>
            <w:vAlign w:val="bottom"/>
          </w:tcPr>
          <w:p>
            <w:pPr>
              <w:spacing w:after="0"/>
              <w:rPr>
                <w:sz w:val="1"/>
                <w:szCs w:val="1"/>
                <w:color w:val="auto"/>
              </w:rPr>
            </w:pPr>
          </w:p>
        </w:tc>
      </w:tr>
      <w:tr>
        <w:trPr>
          <w:trHeight w:val="151"/>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from operations</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20,687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24,358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15,222</w:t>
            </w:r>
          </w:p>
        </w:tc>
        <w:tc>
          <w:tcPr>
            <w:tcW w:w="0" w:type="dxa"/>
            <w:vAlign w:val="bottom"/>
          </w:tcPr>
          <w:p>
            <w:pPr>
              <w:spacing w:after="0"/>
              <w:rPr>
                <w:sz w:val="1"/>
                <w:szCs w:val="1"/>
                <w:color w:val="auto"/>
              </w:rPr>
            </w:pPr>
          </w:p>
        </w:tc>
      </w:tr>
      <w:tr>
        <w:trPr>
          <w:trHeight w:val="17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and other income, net</w:t>
            </w: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3,992</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2,437</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2,632</w:t>
            </w:r>
          </w:p>
        </w:tc>
        <w:tc>
          <w:tcPr>
            <w:tcW w:w="0" w:type="dxa"/>
            <w:vAlign w:val="bottom"/>
          </w:tcPr>
          <w:p>
            <w:pPr>
              <w:spacing w:after="0"/>
              <w:rPr>
                <w:sz w:val="1"/>
                <w:szCs w:val="1"/>
                <w:color w:val="auto"/>
              </w:rPr>
            </w:pPr>
          </w:p>
        </w:tc>
      </w:tr>
      <w:tr>
        <w:trPr>
          <w:trHeight w:val="151"/>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22,515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17,962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17,658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27,077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23,964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17,854</w:t>
            </w: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5,617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8,582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11,478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9,965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10,100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5,369</w:t>
            </w:r>
          </w:p>
        </w:tc>
        <w:tc>
          <w:tcPr>
            <w:tcW w:w="0" w:type="dxa"/>
            <w:vAlign w:val="bottom"/>
          </w:tcPr>
          <w:p>
            <w:pPr>
              <w:spacing w:after="0"/>
              <w:rPr>
                <w:sz w:val="1"/>
                <w:szCs w:val="1"/>
                <w:color w:val="auto"/>
              </w:rPr>
            </w:pPr>
          </w:p>
        </w:tc>
      </w:tr>
      <w:tr>
        <w:trPr>
          <w:trHeight w:val="170"/>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16,898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16,485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10,421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10,532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15,059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17,112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13,864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12,485</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per share:</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Basic</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0.18</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0.18</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0.12</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0.12</w:t>
            </w:r>
          </w:p>
        </w:tc>
        <w:tc>
          <w:tcPr>
            <w:tcW w:w="10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0.18</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0" w:type="dxa"/>
            <w:vAlign w:val="bottom"/>
          </w:tcPr>
          <w:p>
            <w:pPr>
              <w:spacing w:after="0"/>
              <w:rPr>
                <w:sz w:val="1"/>
                <w:szCs w:val="1"/>
                <w:color w:val="auto"/>
              </w:rPr>
            </w:pPr>
          </w:p>
        </w:tc>
      </w:tr>
      <w:tr>
        <w:trPr>
          <w:trHeight w:val="204"/>
        </w:trPr>
        <w:tc>
          <w:tcPr>
            <w:tcW w:w="2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Diluted</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line="113" w:lineRule="exact"/>
              <w:rPr>
                <w:sz w:val="20"/>
                <w:szCs w:val="20"/>
                <w:color w:val="auto"/>
              </w:rPr>
            </w:pPr>
            <w:r>
              <w:rPr>
                <w:rFonts w:ascii="Times New Roman" w:cs="Times New Roman" w:eastAsia="Times New Roman" w:hAnsi="Times New Roman"/>
                <w:sz w:val="11"/>
                <w:szCs w:val="11"/>
                <w:color w:val="auto"/>
              </w:rPr>
              <w:t>Weighted-average shares used in computing net income per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8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Basic</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96,484,657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93,868,409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90,067,675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85,809,325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85,499,153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85,766,254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86,017,342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85,232,403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Diluted</w:t>
            </w: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101,052,933</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97,839,576</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93,821,812</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88,914,595</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89,307,934</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89,638,677</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90,226,278</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89,464,571</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w:t>
        <w:tab/>
        <w:t>CHANGES IN AND DISAGREEMENTS WITH ACCOUNTANTS ON ACCOUNTING AND FINANCIAL DISCLOSURE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9A.</w:t>
        <w:tab/>
        <w:t>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5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as of the end of the period covered by this Annual Report on Form 10-K,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December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17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that term is defined in Rule 13a-15(f) and 15d-15(f) under the Exchange Act). 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principal executive officer and principal financial officer, our management assessed the effectiveness of our internal control over financial reporting as of December 31, 2025 based on the criteria set forth in Internal Control—Integrated Framework issued by the Committee of Sponsoring Organizations of the Treadway Commission (2013 framework). Based on its assessment, our management concluded that our internal control over financial reporting was effective as of December 31, 2025.</w:t>
      </w:r>
    </w:p>
    <w:p>
      <w:pPr>
        <w:spacing w:after="0" w:line="14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In accordance with guidance issued by the SEC, companies are permitted to exclude acquisitions from their final assessment of internal control over financial reporting for the first fiscal year in which the acquisition occurred. Our management's evaluation of internal control over financial reporting excluded BenefitBump LLC, which we acquired on January 8, 2025. BenefitBump represented less than 1% of our total revenues and total assets for fiscal year ended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Attestation Report of the Independent Registered Public Accounting Firm</w:t>
      </w:r>
    </w:p>
    <w:p>
      <w:pPr>
        <w:spacing w:after="0" w:line="170" w:lineRule="exact"/>
        <w:rPr>
          <w:sz w:val="20"/>
          <w:szCs w:val="20"/>
          <w:color w:val="auto"/>
        </w:rPr>
      </w:pPr>
    </w:p>
    <w:p>
      <w:pPr>
        <w:jc w:val="both"/>
        <w:ind w:firstLine="530"/>
        <w:spacing w:after="0" w:line="271" w:lineRule="auto"/>
        <w:rPr>
          <w:sz w:val="20"/>
          <w:szCs w:val="20"/>
          <w:color w:val="auto"/>
        </w:rPr>
      </w:pPr>
      <w:r>
        <w:rPr>
          <w:rFonts w:ascii="Times New Roman" w:cs="Times New Roman" w:eastAsia="Times New Roman" w:hAnsi="Times New Roman"/>
          <w:sz w:val="14"/>
          <w:szCs w:val="14"/>
          <w:color w:val="auto"/>
        </w:rPr>
        <w:t>Ernst &amp; Young LLP, an independent registered public accounting firm, has audited the consolidated financial statements included in this Annual Report on Form 10-K and has issued an attestation report on our internal control over financial reporting, which is included in this Item 9A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70" w:lineRule="exact"/>
        <w:rPr>
          <w:sz w:val="20"/>
          <w:szCs w:val="20"/>
          <w:color w:val="auto"/>
        </w:rPr>
      </w:pPr>
    </w:p>
    <w:p>
      <w:pPr>
        <w:jc w:val="both"/>
        <w:ind w:firstLine="530"/>
        <w:spacing w:after="0" w:line="271"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that term is defined in Rules 13a-15(f) and 15d-15(f) under the Exchange Act) that occurred during the quarter ended December 31, 2025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Progyny,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7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We have audited Progyny, Inc.’s internal control over financial reporting as of December 31, 2025, based on criteria established in Internal Control—Integrated Framework issued by the Committee of Sponsoring Organizations of the Treadway Commission (2013 framework) (the COSO criteria). In our opinion, Progyny, Inc. (the Company) maintained, in all material respects, effective internal control over financial reporting as of December 31, 2025, based on the COSO criteria.</w:t>
      </w:r>
    </w:p>
    <w:p>
      <w:pPr>
        <w:spacing w:after="0" w:line="12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As indicated in the accompanying Management’s Annual Report on Internal Control Over Financial Reporting, management’s assessment of and conclusion on the effectiveness of internal control over financial reporting did not include the internal controls of BenefitBump LLC, which is included in the 2025 consolidated financial statements of the Company and constituted less than 1% of total assets and revenue as of and for the year ended December 31, 2025, respectively. Our audit of internal control over financial reporting of the Company also did not include an evaluation of the internal control over financial reporting of BenefitBump LLC.</w:t>
      </w:r>
    </w:p>
    <w:p>
      <w:pPr>
        <w:spacing w:after="0" w:line="17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changes in stockholders’ equity and cash flows for each of the three years in the period ended December 31, 2025 and the related notes, and our report dated February 27, 2026 expressed an unqualified opinion thereon.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7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2026</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170" w:lineRule="exact"/>
        <w:rPr>
          <w:sz w:val="20"/>
          <w:szCs w:val="20"/>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178" w:lineRule="exact"/>
        <w:rPr>
          <w:rFonts w:ascii="Times New Roman" w:cs="Times New Roman" w:eastAsia="Times New Roman" w:hAnsi="Times New Roman"/>
          <w:sz w:val="14"/>
          <w:szCs w:val="14"/>
          <w:color w:val="auto"/>
        </w:rPr>
      </w:pPr>
    </w:p>
    <w:p>
      <w:pPr>
        <w:jc w:val="both"/>
        <w:ind w:left="760" w:hanging="246"/>
        <w:spacing w:after="0" w:line="270" w:lineRule="auto"/>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19, 2025, Melissa Cummings, our Chief Operating Officer, adopted a trading plan that is intended to satisfy the conditions under Rule 10b5-1(c) of the Exchange Act. Ms. Cummings' trading plan is for the sale of up to 24,062 shares of the Company's common stock in amounts and prices determined in accordance with a formula set forth in the plan. The plan terminates on the earlier of the date all shares under the plan are sold or March 31, 2027.</w:t>
      </w:r>
    </w:p>
    <w:p>
      <w:pPr>
        <w:spacing w:after="0" w:line="1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1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The Company has an insider trading policy governing the purchase, sale and other dispositions of the Company's securities that applies to all of the Company's directors, officers, employees and other covered persons, as well as the Company itself. The Company believes that its insider trading policy is reasonably designed to promote compliance with insider trading laws, rules and regulations and applicable Nasdaq listing standards. A copy of the Company's insider trading policy is filed as Exhibit 19.1 to this Annual Report on Form 10-K.</w:t>
      </w:r>
    </w:p>
    <w:p>
      <w:pPr>
        <w:spacing w:after="0" w:line="14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 other information required by this item will be included under the headings “Proposal 1—Election of Directors,” “Information about Director Nominees and Current Directors,” “Information about the Board of Directors and Corporate Governance,” “Executive Officers,” and, if applicable, “Delinquent Section 16(a) Reports” in our definitive proxy statement relating to the 2026 Annual Meeting of Stockholders to be filed with the SEC within 120 days of the fiscal year ended December 31, 2025, which we refer to as our 2026 Proxy Statement, and such required information is hereby incorporated by reference into this Annual Report on Form 10-K.</w:t>
      </w:r>
    </w:p>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11.</w:t>
        <w:tab/>
        <w:t>EXECUTIVE COMPENSATION</w:t>
      </w:r>
    </w:p>
    <w:p>
      <w:pPr>
        <w:spacing w:after="0" w:line="17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under the headings “Executive Compensation,” “Director Compensation,” and “Information about the Board of Directors and Corporate Governance” in our 2026 Proxy Statement and is hereby incorporated by reference into this Annual Report on Form 10-K.</w:t>
      </w:r>
    </w:p>
    <w:p>
      <w:pPr>
        <w:spacing w:after="0" w:line="11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17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under the headings “Equity Compensation Plan Information” and “Security Ownership of Certain Beneficial Owners and Management” in our 2026 Proxy Statement and is hereby incorporated by reference into this Annual Report on Form 10 K.</w:t>
      </w:r>
    </w:p>
    <w:p>
      <w:pPr>
        <w:spacing w:after="0" w:line="11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TRANSACTIONS, AND DIRECTOR INDEPENDENCE</w:t>
      </w:r>
    </w:p>
    <w:p>
      <w:pPr>
        <w:spacing w:after="0" w:line="17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under the headings “Transactions with Related Persons” and “Information about the Board of Directors and Corporate Governance” in our 2026 Proxy Statement and is hereby incorporated by reference into this Annual Report on Form 10-K.</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14.</w:t>
        <w:tab/>
        <w:t>PRINCIPAL ACCOUNTANT FEES AND SERVICES</w:t>
      </w:r>
    </w:p>
    <w:p>
      <w:pPr>
        <w:spacing w:after="0" w:line="17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under the headings “Principal Accountant Fees and Services” and “Pre-Approval Policies and Procedures” in our 2026 Proxy Statement and is hereby incorporated by reference into this Annual Report on Form 10-K.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15.</w:t>
        <w:tab/>
        <w:t>EXHIBITS, AND FINANCIAL STATEMENT SCHEDULES.</w:t>
      </w:r>
    </w:p>
    <w:p>
      <w:pPr>
        <w:spacing w:after="0" w:line="179" w:lineRule="exact"/>
        <w:rPr>
          <w:sz w:val="20"/>
          <w:szCs w:val="20"/>
          <w:color w:val="auto"/>
        </w:rPr>
      </w:pPr>
    </w:p>
    <w:p>
      <w:pPr>
        <w:ind w:left="520" w:right="8460" w:hanging="515"/>
        <w:spacing w:after="0" w:line="491" w:lineRule="auto"/>
        <w:tabs>
          <w:tab w:leader="none" w:pos="515"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filed as part of this report: 1. List of Financial Statements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financial statements are included in Item 8 “Financial Statements and Supplementary Data”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1080"/>
              <w:spacing w:after="0"/>
              <w:rPr>
                <w:sz w:val="20"/>
                <w:szCs w:val="20"/>
                <w:color w:val="auto"/>
              </w:rPr>
            </w:pPr>
            <w:r>
              <w:rPr>
                <w:rFonts w:ascii="Times New Roman" w:cs="Times New Roman" w:eastAsia="Times New Roman" w:hAnsi="Times New Roman"/>
                <w:sz w:val="14"/>
                <w:szCs w:val="14"/>
                <w:color w:val="auto"/>
                <w:w w:val="95"/>
              </w:rPr>
              <w:t>Page</w:t>
            </w:r>
          </w:p>
        </w:tc>
      </w:tr>
      <w:tr>
        <w:trPr>
          <w:trHeight w:val="191"/>
        </w:trPr>
        <w:tc>
          <w:tcPr>
            <w:tcW w:w="20" w:type="dxa"/>
            <w:vAlign w:val="bottom"/>
          </w:tcPr>
          <w:p>
            <w:pPr>
              <w:spacing w:after="0"/>
              <w:rPr>
                <w:sz w:val="16"/>
                <w:szCs w:val="16"/>
                <w:color w:val="auto"/>
              </w:rPr>
            </w:pPr>
          </w:p>
        </w:tc>
        <w:tc>
          <w:tcPr>
            <w:tcW w:w="45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0000FF"/>
                <w:w w:val="85"/>
              </w:rPr>
              <w:t>62</w:t>
            </w: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3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auto"/>
              </w:rPr>
              <w:t>Financial Statements:</w:t>
            </w: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Consolidated Balance Sheets</w:t>
            </w:r>
          </w:p>
        </w:tc>
        <w:tc>
          <w:tcPr>
            <w:tcW w:w="2740" w:type="dxa"/>
            <w:vAlign w:val="bottom"/>
            <w:gridSpan w:val="12"/>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71"/>
              </w:rPr>
              <w:t>64</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0000FF"/>
                <w:w w:val="85"/>
              </w:rPr>
              <w:t>65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0000FF"/>
                <w:w w:val="85"/>
              </w:rPr>
              <w:t>66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w w:val="99"/>
              </w:rPr>
              <w:t>Consolidated Statements of Changes in Stockholders’ Equity</w:t>
            </w:r>
          </w:p>
        </w:tc>
        <w:tc>
          <w:tcPr>
            <w:tcW w:w="9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1200"/>
              <w:spacing w:after="0"/>
              <w:rPr>
                <w:sz w:val="20"/>
                <w:szCs w:val="20"/>
                <w:color w:val="auto"/>
              </w:rPr>
            </w:pPr>
            <w:r>
              <w:rPr>
                <w:rFonts w:ascii="Times New Roman" w:cs="Times New Roman" w:eastAsia="Times New Roman" w:hAnsi="Times New Roman"/>
                <w:sz w:val="14"/>
                <w:szCs w:val="14"/>
                <w:color w:val="0000FF"/>
                <w:w w:val="99"/>
              </w:rPr>
              <w:t>67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9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0000FF"/>
                <w:w w:val="85"/>
              </w:rPr>
              <w:t>68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0000FF"/>
                <w:w w:val="85"/>
              </w:rPr>
              <w:t>69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16"/>
          </w:tcPr>
          <w:p>
            <w:pPr>
              <w:ind w:left="380"/>
              <w:spacing w:after="0"/>
              <w:rPr>
                <w:sz w:val="20"/>
                <w:szCs w:val="20"/>
                <w:color w:val="auto"/>
              </w:rPr>
            </w:pPr>
            <w:r>
              <w:rPr>
                <w:rFonts w:ascii="Times New Roman" w:cs="Times New Roman" w:eastAsia="Times New Roman" w:hAnsi="Times New Roman"/>
                <w:sz w:val="14"/>
                <w:szCs w:val="14"/>
                <w:b w:val="1"/>
                <w:bCs w:val="1"/>
                <w:color w:val="auto"/>
              </w:rPr>
              <w:t>2. List of Financial Statement Schedules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5"/>
          </w:tcPr>
          <w:p>
            <w:pPr>
              <w:ind w:left="380"/>
              <w:spacing w:after="0"/>
              <w:rPr>
                <w:sz w:val="20"/>
                <w:szCs w:val="20"/>
                <w:color w:val="auto"/>
              </w:rPr>
            </w:pPr>
            <w:r>
              <w:rPr>
                <w:rFonts w:ascii="Times New Roman" w:cs="Times New Roman" w:eastAsia="Times New Roman" w:hAnsi="Times New Roman"/>
                <w:sz w:val="14"/>
                <w:szCs w:val="14"/>
                <w:color w:val="auto"/>
              </w:rPr>
              <w:t>All schedules are omitted because they are not applicable, not required or the required information is shown in the consolidated financial statements or notes thereto.</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16"/>
          </w:tcPr>
          <w:p>
            <w:pPr>
              <w:ind w:left="380"/>
              <w:spacing w:after="0"/>
              <w:rPr>
                <w:sz w:val="20"/>
                <w:szCs w:val="20"/>
                <w:color w:val="auto"/>
              </w:rPr>
            </w:pPr>
            <w:r>
              <w:rPr>
                <w:rFonts w:ascii="Times New Roman" w:cs="Times New Roman" w:eastAsia="Times New Roman" w:hAnsi="Times New Roman"/>
                <w:sz w:val="14"/>
                <w:szCs w:val="14"/>
                <w:b w:val="1"/>
                <w:bCs w:val="1"/>
                <w:color w:val="auto"/>
              </w:rPr>
              <w:t>3. List of Exhibits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16"/>
          </w:tcPr>
          <w:p>
            <w:pPr>
              <w:ind w:left="380"/>
              <w:spacing w:after="0"/>
              <w:rPr>
                <w:sz w:val="20"/>
                <w:szCs w:val="20"/>
                <w:color w:val="auto"/>
              </w:rPr>
            </w:pPr>
            <w:r>
              <w:rPr>
                <w:rFonts w:ascii="Times New Roman" w:cs="Times New Roman" w:eastAsia="Times New Roman" w:hAnsi="Times New Roman"/>
                <w:sz w:val="14"/>
                <w:szCs w:val="14"/>
                <w:color w:val="auto"/>
              </w:rPr>
              <w:t>The exhibits to this report are listed below.</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Filed/Furnished</w:t>
            </w:r>
          </w:p>
        </w:tc>
      </w:tr>
      <w:tr>
        <w:trPr>
          <w:trHeight w:val="169"/>
        </w:trPr>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10"/>
          </w:tcPr>
          <w:p>
            <w:pPr>
              <w:ind w:left="2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00" w:type="dxa"/>
            <w:vAlign w:val="bottom"/>
          </w:tcPr>
          <w:p>
            <w:pPr>
              <w:spacing w:after="0"/>
              <w:rPr>
                <w:sz w:val="14"/>
                <w:szCs w:val="14"/>
                <w:color w:val="auto"/>
              </w:rPr>
            </w:pPr>
          </w:p>
        </w:tc>
        <w:tc>
          <w:tcPr>
            <w:tcW w:w="9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Form</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Date</w:t>
            </w:r>
          </w:p>
        </w:tc>
        <w:tc>
          <w:tcPr>
            <w:tcW w:w="10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r>
      <w:tr>
        <w:trPr>
          <w:trHeight w:val="159"/>
        </w:trPr>
        <w:tc>
          <w:tcPr>
            <w:tcW w:w="136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color w:val="auto"/>
              </w:rPr>
              <w:t>3.1</w:t>
            </w:r>
          </w:p>
        </w:tc>
        <w:tc>
          <w:tcPr>
            <w:tcW w:w="3160" w:type="dxa"/>
            <w:vAlign w:val="bottom"/>
            <w:gridSpan w:val="15"/>
          </w:tcPr>
          <w:p>
            <w:pPr>
              <w:spacing w:after="0" w:line="159" w:lineRule="exact"/>
              <w:rPr>
                <w:rFonts w:ascii="Times New Roman" w:cs="Times New Roman" w:eastAsia="Times New Roman" w:hAnsi="Times New Roman"/>
                <w:sz w:val="14"/>
                <w:szCs w:val="14"/>
                <w:color w:val="auto"/>
              </w:rPr>
            </w:pPr>
            <w:hyperlink r:id="rId125">
              <w:r>
                <w:rPr>
                  <w:rFonts w:ascii="Times New Roman" w:cs="Times New Roman" w:eastAsia="Times New Roman" w:hAnsi="Times New Roman"/>
                  <w:sz w:val="14"/>
                  <w:szCs w:val="14"/>
                  <w:color w:val="auto"/>
                </w:rPr>
                <w:t>Amended and Restated Certificate of Incorporation</w:t>
              </w:r>
            </w:hyperlink>
          </w:p>
        </w:tc>
        <w:tc>
          <w:tcPr>
            <w:tcW w:w="9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8-K</w:t>
            </w:r>
          </w:p>
        </w:tc>
        <w:tc>
          <w:tcPr>
            <w:tcW w:w="1880" w:type="dxa"/>
            <w:vAlign w:val="bottom"/>
            <w:gridSpan w:val="3"/>
          </w:tcPr>
          <w:p>
            <w:pPr>
              <w:ind w:left="420"/>
              <w:spacing w:after="0" w:line="159" w:lineRule="exact"/>
              <w:rPr>
                <w:sz w:val="20"/>
                <w:szCs w:val="20"/>
                <w:color w:val="auto"/>
              </w:rPr>
            </w:pPr>
            <w:r>
              <w:rPr>
                <w:rFonts w:ascii="Times New Roman" w:cs="Times New Roman" w:eastAsia="Times New Roman" w:hAnsi="Times New Roman"/>
                <w:sz w:val="14"/>
                <w:szCs w:val="14"/>
                <w:color w:val="auto"/>
              </w:rPr>
              <w:t>001-39100</w:t>
            </w:r>
          </w:p>
        </w:tc>
        <w:tc>
          <w:tcPr>
            <w:tcW w:w="100" w:type="dxa"/>
            <w:vAlign w:val="bottom"/>
          </w:tcPr>
          <w:p>
            <w:pPr>
              <w:spacing w:after="0"/>
              <w:rPr>
                <w:sz w:val="13"/>
                <w:szCs w:val="13"/>
                <w:color w:val="auto"/>
              </w:rPr>
            </w:pPr>
          </w:p>
        </w:tc>
        <w:tc>
          <w:tcPr>
            <w:tcW w:w="840" w:type="dxa"/>
            <w:vAlign w:val="bottom"/>
          </w:tcPr>
          <w:p>
            <w:pPr>
              <w:jc w:val="right"/>
              <w:ind w:right="571"/>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1480" w:type="dxa"/>
            <w:vAlign w:val="bottom"/>
          </w:tcPr>
          <w:p>
            <w:pPr>
              <w:jc w:val="right"/>
              <w:ind w:right="752"/>
              <w:spacing w:after="0" w:line="159" w:lineRule="exact"/>
              <w:rPr>
                <w:sz w:val="20"/>
                <w:szCs w:val="20"/>
                <w:color w:val="auto"/>
              </w:rPr>
            </w:pPr>
            <w:r>
              <w:rPr>
                <w:rFonts w:ascii="Times New Roman" w:cs="Times New Roman" w:eastAsia="Times New Roman" w:hAnsi="Times New Roman"/>
                <w:sz w:val="14"/>
                <w:szCs w:val="14"/>
                <w:color w:val="auto"/>
              </w:rPr>
              <w:t>10/31/2019</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0" w:type="dxa"/>
            <w:vAlign w:val="bottom"/>
            <w:tcBorders>
              <w:top w:val="single" w:sz="8" w:color="auto"/>
              <w:bottom w:val="single" w:sz="8" w:color="auto"/>
            </w:tcBorders>
            <w:gridSpan w:val="4"/>
          </w:tcPr>
          <w:p>
            <w:pPr>
              <w:spacing w:after="0" w:line="139" w:lineRule="exact"/>
              <w:rPr>
                <w:rFonts w:ascii="Times New Roman" w:cs="Times New Roman" w:eastAsia="Times New Roman" w:hAnsi="Times New Roman"/>
                <w:sz w:val="14"/>
                <w:szCs w:val="14"/>
                <w:color w:val="auto"/>
              </w:rPr>
            </w:pPr>
            <w:hyperlink r:id="rId125">
              <w:r>
                <w:rPr>
                  <w:rFonts w:ascii="Times New Roman" w:cs="Times New Roman" w:eastAsia="Times New Roman" w:hAnsi="Times New Roman"/>
                  <w:sz w:val="14"/>
                  <w:szCs w:val="14"/>
                  <w:color w:val="auto"/>
                </w:rPr>
                <w:t>of Progyny, Inc.</w:t>
              </w:r>
            </w:hyperlink>
          </w:p>
        </w:tc>
        <w:tc>
          <w:tcPr>
            <w:tcW w:w="1920" w:type="dxa"/>
            <w:vAlign w:val="bottom"/>
            <w:tcBorders>
              <w:top w:val="single" w:sz="8" w:color="auto"/>
            </w:tcBorders>
            <w:gridSpan w:val="8"/>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3160" w:type="dxa"/>
            <w:vAlign w:val="bottom"/>
            <w:gridSpan w:val="15"/>
          </w:tcPr>
          <w:p>
            <w:pPr>
              <w:spacing w:after="0"/>
              <w:rPr>
                <w:rFonts w:ascii="Times New Roman" w:cs="Times New Roman" w:eastAsia="Times New Roman" w:hAnsi="Times New Roman"/>
                <w:sz w:val="14"/>
                <w:szCs w:val="14"/>
                <w:color w:val="auto"/>
              </w:rPr>
            </w:pPr>
            <w:hyperlink r:id="rId126">
              <w:r>
                <w:rPr>
                  <w:rFonts w:ascii="Times New Roman" w:cs="Times New Roman" w:eastAsia="Times New Roman" w:hAnsi="Times New Roman"/>
                  <w:sz w:val="14"/>
                  <w:szCs w:val="14"/>
                  <w:color w:val="auto"/>
                </w:rPr>
                <w:t>Second Amended and Restated By-laws of Progyny,</w:t>
              </w:r>
            </w:hyperlink>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001-39100</w:t>
            </w:r>
          </w:p>
        </w:tc>
        <w:tc>
          <w:tcPr>
            <w:tcW w:w="100" w:type="dxa"/>
            <w:vAlign w:val="bottom"/>
          </w:tcPr>
          <w:p>
            <w:pPr>
              <w:spacing w:after="0"/>
              <w:rPr>
                <w:sz w:val="15"/>
                <w:szCs w:val="15"/>
                <w:color w:val="auto"/>
              </w:rPr>
            </w:pPr>
          </w:p>
        </w:tc>
        <w:tc>
          <w:tcPr>
            <w:tcW w:w="840" w:type="dxa"/>
            <w:vAlign w:val="bottom"/>
          </w:tcPr>
          <w:p>
            <w:pPr>
              <w:jc w:val="right"/>
              <w:ind w:right="571"/>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w w:val="97"/>
              </w:rPr>
              <w:t>11/12/2024</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18"/>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Borders>
              <w:bottom w:val="single" w:sz="8" w:color="auto"/>
            </w:tcBorders>
          </w:tcPr>
          <w:p>
            <w:pPr>
              <w:spacing w:after="0" w:line="118" w:lineRule="exact"/>
              <w:rPr>
                <w:rFonts w:ascii="Times New Roman" w:cs="Times New Roman" w:eastAsia="Times New Roman" w:hAnsi="Times New Roman"/>
                <w:sz w:val="13"/>
                <w:szCs w:val="13"/>
                <w:color w:val="auto"/>
                <w:highlight w:val="white"/>
              </w:rPr>
            </w:pPr>
            <w:hyperlink r:id="rId126">
              <w:r>
                <w:rPr>
                  <w:rFonts w:ascii="Times New Roman" w:cs="Times New Roman" w:eastAsia="Times New Roman" w:hAnsi="Times New Roman"/>
                  <w:sz w:val="13"/>
                  <w:szCs w:val="13"/>
                  <w:color w:val="auto"/>
                  <w:highlight w:val="white"/>
                </w:rPr>
                <w:t>Inc.</w:t>
              </w:r>
            </w:hyperlink>
          </w:p>
        </w:tc>
        <w:tc>
          <w:tcPr>
            <w:tcW w:w="20" w:type="dxa"/>
            <w:vAlign w:val="bottom"/>
          </w:tcPr>
          <w:p>
            <w:pPr>
              <w:spacing w:after="0"/>
              <w:rPr>
                <w:sz w:val="10"/>
                <w:szCs w:val="10"/>
                <w:color w:val="auto"/>
              </w:rPr>
            </w:pPr>
          </w:p>
        </w:tc>
        <w:tc>
          <w:tcPr>
            <w:tcW w:w="1400" w:type="dxa"/>
            <w:vAlign w:val="bottom"/>
            <w:tcBorders>
              <w:top w:val="single" w:sz="8" w:color="auto"/>
            </w:tcBorders>
            <w:gridSpan w:val="4"/>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gridSpan w:val="2"/>
          </w:tcPr>
          <w:p>
            <w:pPr>
              <w:spacing w:after="0"/>
              <w:rPr>
                <w:sz w:val="10"/>
                <w:szCs w:val="10"/>
                <w:color w:val="auto"/>
              </w:rPr>
            </w:pPr>
          </w:p>
        </w:tc>
        <w:tc>
          <w:tcPr>
            <w:tcW w:w="180" w:type="dxa"/>
            <w:vAlign w:val="bottom"/>
            <w:gridSpan w:val="2"/>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8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2060" w:type="dxa"/>
            <w:vAlign w:val="bottom"/>
            <w:tcBorders>
              <w:bottom w:val="single" w:sz="8" w:color="auto"/>
            </w:tcBorders>
            <w:gridSpan w:val="9"/>
          </w:tcPr>
          <w:p>
            <w:pPr>
              <w:spacing w:after="0"/>
              <w:rPr>
                <w:rFonts w:ascii="Times New Roman" w:cs="Times New Roman" w:eastAsia="Times New Roman" w:hAnsi="Times New Roman"/>
                <w:sz w:val="14"/>
                <w:szCs w:val="14"/>
                <w:color w:val="auto"/>
              </w:rPr>
            </w:pPr>
            <w:hyperlink r:id="rId127">
              <w:r>
                <w:rPr>
                  <w:rFonts w:ascii="Times New Roman" w:cs="Times New Roman" w:eastAsia="Times New Roman" w:hAnsi="Times New Roman"/>
                  <w:sz w:val="14"/>
                  <w:szCs w:val="14"/>
                  <w:color w:val="auto"/>
                </w:rPr>
                <w:t>Form of Common Stock Certificate.</w:t>
              </w:r>
            </w:hyperlink>
          </w:p>
        </w:tc>
        <w:tc>
          <w:tcPr>
            <w:tcW w:w="1100" w:type="dxa"/>
            <w:vAlign w:val="bottom"/>
            <w:gridSpan w:val="6"/>
          </w:tcPr>
          <w:p>
            <w:pPr>
              <w:spacing w:after="0"/>
              <w:rPr>
                <w:sz w:val="15"/>
                <w:szCs w:val="15"/>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333-233965</w:t>
            </w:r>
          </w:p>
        </w:tc>
        <w:tc>
          <w:tcPr>
            <w:tcW w:w="100" w:type="dxa"/>
            <w:vAlign w:val="bottom"/>
          </w:tcPr>
          <w:p>
            <w:pPr>
              <w:spacing w:after="0"/>
              <w:rPr>
                <w:sz w:val="15"/>
                <w:szCs w:val="15"/>
                <w:color w:val="auto"/>
              </w:rPr>
            </w:pPr>
          </w:p>
        </w:tc>
        <w:tc>
          <w:tcPr>
            <w:tcW w:w="840" w:type="dxa"/>
            <w:vAlign w:val="bottom"/>
          </w:tcPr>
          <w:p>
            <w:pPr>
              <w:jc w:val="right"/>
              <w:ind w:right="571"/>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rPr>
              <w:t>10/15/2019</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3160" w:type="dxa"/>
            <w:vAlign w:val="bottom"/>
            <w:gridSpan w:val="15"/>
          </w:tcPr>
          <w:p>
            <w:pPr>
              <w:spacing w:after="0"/>
              <w:rPr>
                <w:rFonts w:ascii="Times New Roman" w:cs="Times New Roman" w:eastAsia="Times New Roman" w:hAnsi="Times New Roman"/>
                <w:sz w:val="14"/>
                <w:szCs w:val="14"/>
                <w:color w:val="auto"/>
              </w:rPr>
            </w:pPr>
            <w:hyperlink r:id="rId128">
              <w:r>
                <w:rPr>
                  <w:rFonts w:ascii="Times New Roman" w:cs="Times New Roman" w:eastAsia="Times New Roman" w:hAnsi="Times New Roman"/>
                  <w:sz w:val="14"/>
                  <w:szCs w:val="14"/>
                  <w:color w:val="auto"/>
                </w:rPr>
                <w:t>Form of 2013 Preferred Stock Warrant.</w:t>
              </w:r>
            </w:hyperlink>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333-233965</w:t>
            </w:r>
          </w:p>
        </w:tc>
        <w:tc>
          <w:tcPr>
            <w:tcW w:w="100" w:type="dxa"/>
            <w:vAlign w:val="bottom"/>
          </w:tcPr>
          <w:p>
            <w:pPr>
              <w:spacing w:after="0"/>
              <w:rPr>
                <w:sz w:val="15"/>
                <w:szCs w:val="15"/>
                <w:color w:val="auto"/>
              </w:rPr>
            </w:pPr>
          </w:p>
        </w:tc>
        <w:tc>
          <w:tcPr>
            <w:tcW w:w="840" w:type="dxa"/>
            <w:vAlign w:val="bottom"/>
          </w:tcPr>
          <w:p>
            <w:pPr>
              <w:jc w:val="right"/>
              <w:ind w:right="571"/>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rPr>
              <w:t>10/15/2019</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gridSpan w:val="3"/>
          </w:tcPr>
          <w:p>
            <w:pPr>
              <w:spacing w:after="0" w:line="20" w:lineRule="exact"/>
              <w:rPr>
                <w:sz w:val="1"/>
                <w:szCs w:val="1"/>
                <w:color w:val="auto"/>
              </w:rPr>
            </w:pPr>
          </w:p>
        </w:tc>
        <w:tc>
          <w:tcPr>
            <w:tcW w:w="1640" w:type="dxa"/>
            <w:vAlign w:val="bottom"/>
            <w:gridSpan w:val="6"/>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3160" w:type="dxa"/>
            <w:vAlign w:val="bottom"/>
            <w:gridSpan w:val="15"/>
          </w:tcPr>
          <w:p>
            <w:pPr>
              <w:spacing w:after="0"/>
              <w:rPr>
                <w:rFonts w:ascii="Times New Roman" w:cs="Times New Roman" w:eastAsia="Times New Roman" w:hAnsi="Times New Roman"/>
                <w:sz w:val="14"/>
                <w:szCs w:val="14"/>
                <w:color w:val="auto"/>
              </w:rPr>
            </w:pPr>
            <w:hyperlink r:id="rId129">
              <w:r>
                <w:rPr>
                  <w:rFonts w:ascii="Times New Roman" w:cs="Times New Roman" w:eastAsia="Times New Roman" w:hAnsi="Times New Roman"/>
                  <w:sz w:val="14"/>
                  <w:szCs w:val="14"/>
                  <w:color w:val="auto"/>
                </w:rPr>
                <w:t>Form of 2014 Preferred Stock Warrant.</w:t>
              </w:r>
            </w:hyperlink>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333-233965</w:t>
            </w:r>
          </w:p>
        </w:tc>
        <w:tc>
          <w:tcPr>
            <w:tcW w:w="100" w:type="dxa"/>
            <w:vAlign w:val="bottom"/>
          </w:tcPr>
          <w:p>
            <w:pPr>
              <w:spacing w:after="0"/>
              <w:rPr>
                <w:sz w:val="15"/>
                <w:szCs w:val="15"/>
                <w:color w:val="auto"/>
              </w:rPr>
            </w:pPr>
          </w:p>
        </w:tc>
        <w:tc>
          <w:tcPr>
            <w:tcW w:w="840" w:type="dxa"/>
            <w:vAlign w:val="bottom"/>
          </w:tcPr>
          <w:p>
            <w:pPr>
              <w:jc w:val="right"/>
              <w:ind w:right="571"/>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rPr>
              <w:t>10/15/2019</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gridSpan w:val="3"/>
          </w:tcPr>
          <w:p>
            <w:pPr>
              <w:spacing w:after="0" w:line="20" w:lineRule="exact"/>
              <w:rPr>
                <w:sz w:val="1"/>
                <w:szCs w:val="1"/>
                <w:color w:val="auto"/>
              </w:rPr>
            </w:pPr>
          </w:p>
        </w:tc>
        <w:tc>
          <w:tcPr>
            <w:tcW w:w="1640" w:type="dxa"/>
            <w:vAlign w:val="bottom"/>
            <w:gridSpan w:val="6"/>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3160" w:type="dxa"/>
            <w:vAlign w:val="bottom"/>
            <w:gridSpan w:val="15"/>
          </w:tcPr>
          <w:p>
            <w:pPr>
              <w:spacing w:after="0"/>
              <w:rPr>
                <w:rFonts w:ascii="Times New Roman" w:cs="Times New Roman" w:eastAsia="Times New Roman" w:hAnsi="Times New Roman"/>
                <w:sz w:val="14"/>
                <w:szCs w:val="14"/>
                <w:color w:val="auto"/>
              </w:rPr>
            </w:pPr>
            <w:hyperlink r:id="rId130">
              <w:r>
                <w:rPr>
                  <w:rFonts w:ascii="Times New Roman" w:cs="Times New Roman" w:eastAsia="Times New Roman" w:hAnsi="Times New Roman"/>
                  <w:sz w:val="14"/>
                  <w:szCs w:val="14"/>
                  <w:color w:val="auto"/>
                </w:rPr>
                <w:t>Form of 2015 Preferred Stock Warrant.</w:t>
              </w:r>
            </w:hyperlink>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333-233965</w:t>
            </w:r>
          </w:p>
        </w:tc>
        <w:tc>
          <w:tcPr>
            <w:tcW w:w="100" w:type="dxa"/>
            <w:vAlign w:val="bottom"/>
          </w:tcPr>
          <w:p>
            <w:pPr>
              <w:spacing w:after="0"/>
              <w:rPr>
                <w:sz w:val="15"/>
                <w:szCs w:val="15"/>
                <w:color w:val="auto"/>
              </w:rPr>
            </w:pPr>
          </w:p>
        </w:tc>
        <w:tc>
          <w:tcPr>
            <w:tcW w:w="840" w:type="dxa"/>
            <w:vAlign w:val="bottom"/>
          </w:tcPr>
          <w:p>
            <w:pPr>
              <w:jc w:val="right"/>
              <w:ind w:right="571"/>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rPr>
              <w:t>10/15/2019</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gridSpan w:val="3"/>
          </w:tcPr>
          <w:p>
            <w:pPr>
              <w:spacing w:after="0" w:line="20" w:lineRule="exact"/>
              <w:rPr>
                <w:sz w:val="1"/>
                <w:szCs w:val="1"/>
                <w:color w:val="auto"/>
              </w:rPr>
            </w:pPr>
          </w:p>
        </w:tc>
        <w:tc>
          <w:tcPr>
            <w:tcW w:w="1640" w:type="dxa"/>
            <w:vAlign w:val="bottom"/>
            <w:gridSpan w:val="6"/>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3160" w:type="dxa"/>
            <w:vAlign w:val="bottom"/>
            <w:gridSpan w:val="15"/>
          </w:tcPr>
          <w:p>
            <w:pPr>
              <w:spacing w:after="0"/>
              <w:rPr>
                <w:rFonts w:ascii="Times New Roman" w:cs="Times New Roman" w:eastAsia="Times New Roman" w:hAnsi="Times New Roman"/>
                <w:sz w:val="14"/>
                <w:szCs w:val="14"/>
                <w:color w:val="auto"/>
              </w:rPr>
            </w:pPr>
            <w:hyperlink r:id="rId131">
              <w:r>
                <w:rPr>
                  <w:rFonts w:ascii="Times New Roman" w:cs="Times New Roman" w:eastAsia="Times New Roman" w:hAnsi="Times New Roman"/>
                  <w:sz w:val="14"/>
                  <w:szCs w:val="14"/>
                  <w:color w:val="auto"/>
                </w:rPr>
                <w:t>Warrant to Purchase Stock issued to Silicon Valley</w:t>
              </w:r>
            </w:hyperlink>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333-233965</w:t>
            </w:r>
          </w:p>
        </w:tc>
        <w:tc>
          <w:tcPr>
            <w:tcW w:w="100" w:type="dxa"/>
            <w:vAlign w:val="bottom"/>
          </w:tcPr>
          <w:p>
            <w:pPr>
              <w:spacing w:after="0"/>
              <w:rPr>
                <w:sz w:val="15"/>
                <w:szCs w:val="15"/>
                <w:color w:val="auto"/>
              </w:rPr>
            </w:pPr>
          </w:p>
        </w:tc>
        <w:tc>
          <w:tcPr>
            <w:tcW w:w="840" w:type="dxa"/>
            <w:vAlign w:val="bottom"/>
          </w:tcPr>
          <w:p>
            <w:pPr>
              <w:jc w:val="right"/>
              <w:ind w:right="571"/>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rPr>
              <w:t>10/15/2019</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40" w:type="dxa"/>
            <w:vAlign w:val="bottom"/>
            <w:tcBorders>
              <w:top w:val="single" w:sz="8" w:color="auto"/>
              <w:bottom w:val="single" w:sz="8" w:color="auto"/>
            </w:tcBorders>
            <w:gridSpan w:val="6"/>
          </w:tcPr>
          <w:p>
            <w:pPr>
              <w:spacing w:after="0" w:line="139" w:lineRule="exact"/>
              <w:rPr>
                <w:rFonts w:ascii="Times New Roman" w:cs="Times New Roman" w:eastAsia="Times New Roman" w:hAnsi="Times New Roman"/>
                <w:sz w:val="14"/>
                <w:szCs w:val="14"/>
                <w:color w:val="auto"/>
              </w:rPr>
            </w:pPr>
            <w:hyperlink r:id="rId131">
              <w:r>
                <w:rPr>
                  <w:rFonts w:ascii="Times New Roman" w:cs="Times New Roman" w:eastAsia="Times New Roman" w:hAnsi="Times New Roman"/>
                  <w:sz w:val="14"/>
                  <w:szCs w:val="14"/>
                  <w:color w:val="auto"/>
                </w:rPr>
                <w:t>Bank dated October 9, 2013.</w:t>
              </w:r>
            </w:hyperlink>
          </w:p>
        </w:tc>
        <w:tc>
          <w:tcPr>
            <w:tcW w:w="1240" w:type="dxa"/>
            <w:vAlign w:val="bottom"/>
            <w:tcBorders>
              <w:top w:val="single" w:sz="8" w:color="auto"/>
            </w:tcBorders>
            <w:gridSpan w:val="5"/>
          </w:tcPr>
          <w:p>
            <w:pPr>
              <w:spacing w:after="0"/>
              <w:rPr>
                <w:sz w:val="12"/>
                <w:szCs w:val="12"/>
                <w:color w:val="auto"/>
              </w:rPr>
            </w:pPr>
          </w:p>
        </w:tc>
        <w:tc>
          <w:tcPr>
            <w:tcW w:w="280" w:type="dxa"/>
            <w:vAlign w:val="bottom"/>
            <w:gridSpan w:val="4"/>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4.6</w:t>
            </w:r>
          </w:p>
        </w:tc>
        <w:tc>
          <w:tcPr>
            <w:tcW w:w="31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Description of Capital Stock.</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left="72"/>
              <w:spacing w:after="0"/>
              <w:rPr>
                <w:sz w:val="20"/>
                <w:szCs w:val="20"/>
                <w:color w:val="auto"/>
              </w:rPr>
            </w:pPr>
            <w:r>
              <w:rPr>
                <w:rFonts w:ascii="Arial" w:cs="Arial" w:eastAsia="Arial" w:hAnsi="Arial"/>
                <w:sz w:val="14"/>
                <w:szCs w:val="14"/>
                <w:color w:val="auto"/>
                <w:w w:val="72"/>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3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829"/>
        </w:trPr>
        <w:tc>
          <w:tcPr>
            <w:tcW w:w="10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360" w:type="dxa"/>
            <w:vAlign w:val="bottom"/>
          </w:tcPr>
          <w:p>
            <w:pPr>
              <w:spacing w:after="0"/>
              <w:rPr>
                <w:sz w:val="24"/>
                <w:szCs w:val="24"/>
                <w:color w:val="auto"/>
              </w:rPr>
            </w:pPr>
          </w:p>
        </w:tc>
        <w:tc>
          <w:tcPr>
            <w:tcW w:w="3060" w:type="dxa"/>
            <w:vAlign w:val="bottom"/>
            <w:gridSpan w:val="27"/>
          </w:tcPr>
          <w:p>
            <w:pPr>
              <w:spacing w:after="0"/>
              <w:rPr>
                <w:rFonts w:ascii="Times New Roman" w:cs="Times New Roman" w:eastAsia="Times New Roman" w:hAnsi="Times New Roman"/>
                <w:sz w:val="14"/>
                <w:szCs w:val="14"/>
                <w:color w:val="auto"/>
              </w:rPr>
            </w:pPr>
            <w:hyperlink r:id="rId134">
              <w:r>
                <w:rPr>
                  <w:rFonts w:ascii="Times New Roman" w:cs="Times New Roman" w:eastAsia="Times New Roman" w:hAnsi="Times New Roman"/>
                  <w:sz w:val="14"/>
                  <w:szCs w:val="14"/>
                  <w:color w:val="auto"/>
                </w:rPr>
                <w:t>Progyny, Inc. 2008 Stock Plan, as amended, and</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S-1</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Borders>
              <w:top w:val="single" w:sz="8" w:color="auto"/>
              <w:bottom w:val="single" w:sz="8" w:color="auto"/>
            </w:tcBorders>
            <w:gridSpan w:val="8"/>
          </w:tcPr>
          <w:p>
            <w:pPr>
              <w:spacing w:after="0" w:line="139" w:lineRule="exact"/>
              <w:rPr>
                <w:rFonts w:ascii="Times New Roman" w:cs="Times New Roman" w:eastAsia="Times New Roman" w:hAnsi="Times New Roman"/>
                <w:sz w:val="14"/>
                <w:szCs w:val="14"/>
                <w:color w:val="auto"/>
              </w:rPr>
            </w:pPr>
            <w:hyperlink r:id="rId134">
              <w:r>
                <w:rPr>
                  <w:rFonts w:ascii="Times New Roman" w:cs="Times New Roman" w:eastAsia="Times New Roman" w:hAnsi="Times New Roman"/>
                  <w:sz w:val="14"/>
                  <w:szCs w:val="14"/>
                  <w:color w:val="auto"/>
                </w:rPr>
                <w:t>forms of agreements thereunder.</w:t>
              </w:r>
            </w:hyperlink>
          </w:p>
        </w:tc>
        <w:tc>
          <w:tcPr>
            <w:tcW w:w="900" w:type="dxa"/>
            <w:vAlign w:val="bottom"/>
            <w:tcBorders>
              <w:top w:val="single" w:sz="8" w:color="auto"/>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3060" w:type="dxa"/>
            <w:vAlign w:val="bottom"/>
            <w:gridSpan w:val="27"/>
          </w:tcPr>
          <w:p>
            <w:pPr>
              <w:spacing w:after="0"/>
              <w:rPr>
                <w:rFonts w:ascii="Times New Roman" w:cs="Times New Roman" w:eastAsia="Times New Roman" w:hAnsi="Times New Roman"/>
                <w:sz w:val="14"/>
                <w:szCs w:val="14"/>
                <w:color w:val="auto"/>
              </w:rPr>
            </w:pPr>
            <w:hyperlink r:id="rId135">
              <w:r>
                <w:rPr>
                  <w:rFonts w:ascii="Times New Roman" w:cs="Times New Roman" w:eastAsia="Times New Roman" w:hAnsi="Times New Roman"/>
                  <w:sz w:val="14"/>
                  <w:szCs w:val="14"/>
                  <w:color w:val="auto"/>
                </w:rPr>
                <w:t>Progyny, Inc. 2017 Equity Incentive Plan and forms</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S-8</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Borders>
              <w:top w:val="single" w:sz="8" w:color="auto"/>
              <w:bottom w:val="single" w:sz="8" w:color="auto"/>
            </w:tcBorders>
            <w:gridSpan w:val="7"/>
          </w:tcPr>
          <w:p>
            <w:pPr>
              <w:spacing w:after="0" w:line="139" w:lineRule="exact"/>
              <w:rPr>
                <w:rFonts w:ascii="Times New Roman" w:cs="Times New Roman" w:eastAsia="Times New Roman" w:hAnsi="Times New Roman"/>
                <w:sz w:val="14"/>
                <w:szCs w:val="14"/>
                <w:color w:val="auto"/>
              </w:rPr>
            </w:pPr>
            <w:hyperlink r:id="rId135">
              <w:r>
                <w:rPr>
                  <w:rFonts w:ascii="Times New Roman" w:cs="Times New Roman" w:eastAsia="Times New Roman" w:hAnsi="Times New Roman"/>
                  <w:sz w:val="14"/>
                  <w:szCs w:val="14"/>
                  <w:color w:val="auto"/>
                </w:rPr>
                <w:t>of agreements thereunder.</w:t>
              </w:r>
            </w:hyperlink>
          </w:p>
        </w:tc>
        <w:tc>
          <w:tcPr>
            <w:tcW w:w="1520" w:type="dxa"/>
            <w:vAlign w:val="bottom"/>
            <w:tcBorders>
              <w:top w:val="single" w:sz="8" w:color="auto"/>
            </w:tcBorders>
            <w:gridSpan w:val="19"/>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3060" w:type="dxa"/>
            <w:vAlign w:val="bottom"/>
            <w:gridSpan w:val="27"/>
          </w:tcPr>
          <w:p>
            <w:pPr>
              <w:spacing w:after="0"/>
              <w:rPr>
                <w:rFonts w:ascii="Times New Roman" w:cs="Times New Roman" w:eastAsia="Times New Roman" w:hAnsi="Times New Roman"/>
                <w:sz w:val="14"/>
                <w:szCs w:val="14"/>
                <w:color w:val="auto"/>
              </w:rPr>
            </w:pPr>
            <w:hyperlink r:id="rId136">
              <w:r>
                <w:rPr>
                  <w:rFonts w:ascii="Times New Roman" w:cs="Times New Roman" w:eastAsia="Times New Roman" w:hAnsi="Times New Roman"/>
                  <w:sz w:val="14"/>
                  <w:szCs w:val="14"/>
                  <w:color w:val="auto"/>
                </w:rPr>
                <w:t>Amendment No. 1 to the Progyny, Inc. 2017 Equity</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10-K</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top w:val="single" w:sz="8" w:color="auto"/>
              <w:bottom w:val="single" w:sz="8" w:color="auto"/>
            </w:tcBorders>
            <w:gridSpan w:val="3"/>
          </w:tcPr>
          <w:p>
            <w:pPr>
              <w:spacing w:after="0" w:line="139" w:lineRule="exact"/>
              <w:rPr>
                <w:rFonts w:ascii="Times New Roman" w:cs="Times New Roman" w:eastAsia="Times New Roman" w:hAnsi="Times New Roman"/>
                <w:sz w:val="14"/>
                <w:szCs w:val="14"/>
                <w:color w:val="auto"/>
                <w:w w:val="99"/>
              </w:rPr>
            </w:pPr>
            <w:hyperlink r:id="rId136">
              <w:r>
                <w:rPr>
                  <w:rFonts w:ascii="Times New Roman" w:cs="Times New Roman" w:eastAsia="Times New Roman" w:hAnsi="Times New Roman"/>
                  <w:sz w:val="14"/>
                  <w:szCs w:val="14"/>
                  <w:color w:val="auto"/>
                  <w:w w:val="99"/>
                </w:rPr>
                <w:t>Incentive Plan.</w:t>
              </w:r>
            </w:hyperlink>
          </w:p>
        </w:tc>
        <w:tc>
          <w:tcPr>
            <w:tcW w:w="2080" w:type="dxa"/>
            <w:vAlign w:val="bottom"/>
            <w:tcBorders>
              <w:top w:val="single" w:sz="8" w:color="auto"/>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r>
      <w:tr>
        <w:trPr>
          <w:trHeight w:val="19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3060" w:type="dxa"/>
            <w:vAlign w:val="bottom"/>
            <w:gridSpan w:val="27"/>
          </w:tcPr>
          <w:p>
            <w:pPr>
              <w:spacing w:after="0"/>
              <w:rPr>
                <w:rFonts w:ascii="Times New Roman" w:cs="Times New Roman" w:eastAsia="Times New Roman" w:hAnsi="Times New Roman"/>
                <w:sz w:val="14"/>
                <w:szCs w:val="14"/>
                <w:color w:val="auto"/>
              </w:rPr>
            </w:pPr>
            <w:hyperlink r:id="rId137">
              <w:r>
                <w:rPr>
                  <w:rFonts w:ascii="Times New Roman" w:cs="Times New Roman" w:eastAsia="Times New Roman" w:hAnsi="Times New Roman"/>
                  <w:sz w:val="14"/>
                  <w:szCs w:val="14"/>
                  <w:color w:val="auto"/>
                </w:rPr>
                <w:t>Progyny, Inc. 2019 Equity Incentive Plan and forms</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5"/>
              </w:rPr>
              <w:t>S-1/A</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Borders>
              <w:top w:val="single" w:sz="8" w:color="auto"/>
              <w:bottom w:val="single" w:sz="8" w:color="auto"/>
            </w:tcBorders>
            <w:gridSpan w:val="7"/>
          </w:tcPr>
          <w:p>
            <w:pPr>
              <w:spacing w:after="0" w:line="139" w:lineRule="exact"/>
              <w:rPr>
                <w:rFonts w:ascii="Times New Roman" w:cs="Times New Roman" w:eastAsia="Times New Roman" w:hAnsi="Times New Roman"/>
                <w:sz w:val="14"/>
                <w:szCs w:val="14"/>
                <w:color w:val="auto"/>
              </w:rPr>
            </w:pPr>
            <w:hyperlink r:id="rId137">
              <w:r>
                <w:rPr>
                  <w:rFonts w:ascii="Times New Roman" w:cs="Times New Roman" w:eastAsia="Times New Roman" w:hAnsi="Times New Roman"/>
                  <w:sz w:val="14"/>
                  <w:szCs w:val="14"/>
                  <w:color w:val="auto"/>
                </w:rPr>
                <w:t>of agreements thereunder.</w:t>
              </w:r>
            </w:hyperlink>
          </w:p>
        </w:tc>
        <w:tc>
          <w:tcPr>
            <w:tcW w:w="1520" w:type="dxa"/>
            <w:vAlign w:val="bottom"/>
            <w:tcBorders>
              <w:top w:val="single" w:sz="8" w:color="auto"/>
            </w:tcBorders>
            <w:gridSpan w:val="19"/>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3060" w:type="dxa"/>
            <w:vAlign w:val="bottom"/>
            <w:gridSpan w:val="27"/>
          </w:tcPr>
          <w:p>
            <w:pPr>
              <w:spacing w:after="0"/>
              <w:rPr>
                <w:rFonts w:ascii="Times New Roman" w:cs="Times New Roman" w:eastAsia="Times New Roman" w:hAnsi="Times New Roman"/>
                <w:sz w:val="14"/>
                <w:szCs w:val="14"/>
                <w:color w:val="auto"/>
              </w:rPr>
            </w:pPr>
            <w:hyperlink r:id="rId138">
              <w:r>
                <w:rPr>
                  <w:rFonts w:ascii="Times New Roman" w:cs="Times New Roman" w:eastAsia="Times New Roman" w:hAnsi="Times New Roman"/>
                  <w:sz w:val="14"/>
                  <w:szCs w:val="14"/>
                  <w:color w:val="auto"/>
                </w:rPr>
                <w:t>Amendment No. 1 to the Progyny, Inc. 2019 Equity</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10-K</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top w:val="single" w:sz="8" w:color="auto"/>
              <w:bottom w:val="single" w:sz="8" w:color="auto"/>
            </w:tcBorders>
            <w:gridSpan w:val="3"/>
          </w:tcPr>
          <w:p>
            <w:pPr>
              <w:spacing w:after="0" w:line="139" w:lineRule="exact"/>
              <w:rPr>
                <w:rFonts w:ascii="Times New Roman" w:cs="Times New Roman" w:eastAsia="Times New Roman" w:hAnsi="Times New Roman"/>
                <w:sz w:val="14"/>
                <w:szCs w:val="14"/>
                <w:color w:val="auto"/>
                <w:w w:val="99"/>
              </w:rPr>
            </w:pPr>
            <w:hyperlink r:id="rId138">
              <w:r>
                <w:rPr>
                  <w:rFonts w:ascii="Times New Roman" w:cs="Times New Roman" w:eastAsia="Times New Roman" w:hAnsi="Times New Roman"/>
                  <w:sz w:val="14"/>
                  <w:szCs w:val="14"/>
                  <w:color w:val="auto"/>
                  <w:w w:val="99"/>
                </w:rPr>
                <w:t>Incentive Plan.</w:t>
              </w:r>
            </w:hyperlink>
          </w:p>
        </w:tc>
        <w:tc>
          <w:tcPr>
            <w:tcW w:w="2080" w:type="dxa"/>
            <w:vAlign w:val="bottom"/>
            <w:tcBorders>
              <w:top w:val="single" w:sz="8" w:color="auto"/>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r>
      <w:tr>
        <w:trPr>
          <w:trHeight w:val="19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2920" w:type="dxa"/>
            <w:vAlign w:val="bottom"/>
            <w:tcBorders>
              <w:bottom w:val="single" w:sz="8" w:color="auto"/>
            </w:tcBorders>
            <w:gridSpan w:val="22"/>
          </w:tcPr>
          <w:p>
            <w:pPr>
              <w:spacing w:after="0"/>
              <w:rPr>
                <w:rFonts w:ascii="Times New Roman" w:cs="Times New Roman" w:eastAsia="Times New Roman" w:hAnsi="Times New Roman"/>
                <w:sz w:val="14"/>
                <w:szCs w:val="14"/>
                <w:color w:val="auto"/>
              </w:rPr>
            </w:pPr>
            <w:hyperlink r:id="rId139">
              <w:r>
                <w:rPr>
                  <w:rFonts w:ascii="Times New Roman" w:cs="Times New Roman" w:eastAsia="Times New Roman" w:hAnsi="Times New Roman"/>
                  <w:sz w:val="14"/>
                  <w:szCs w:val="14"/>
                  <w:color w:val="auto"/>
                </w:rPr>
                <w:t>Progyny, Inc. 2019 Employee Stock Purchase Plan.</w:t>
              </w:r>
            </w:hyperlink>
          </w:p>
        </w:tc>
        <w:tc>
          <w:tcPr>
            <w:tcW w:w="140" w:type="dxa"/>
            <w:vAlign w:val="bottom"/>
            <w:gridSpan w:val="5"/>
          </w:tcPr>
          <w:p>
            <w:pPr>
              <w:spacing w:after="0"/>
              <w:rPr>
                <w:sz w:val="16"/>
                <w:szCs w:val="16"/>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5"/>
              </w:rPr>
              <w:t>S-1/A</w:t>
            </w:r>
          </w:p>
        </w:tc>
      </w:tr>
      <w:tr>
        <w:trPr>
          <w:trHeight w:val="18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3060" w:type="dxa"/>
            <w:vAlign w:val="bottom"/>
            <w:gridSpan w:val="27"/>
          </w:tcPr>
          <w:p>
            <w:pPr>
              <w:spacing w:after="0"/>
              <w:rPr>
                <w:rFonts w:ascii="Times New Roman" w:cs="Times New Roman" w:eastAsia="Times New Roman" w:hAnsi="Times New Roman"/>
                <w:sz w:val="14"/>
                <w:szCs w:val="14"/>
                <w:color w:val="auto"/>
              </w:rPr>
            </w:pPr>
            <w:hyperlink r:id="rId140">
              <w:r>
                <w:rPr>
                  <w:rFonts w:ascii="Times New Roman" w:cs="Times New Roman" w:eastAsia="Times New Roman" w:hAnsi="Times New Roman"/>
                  <w:sz w:val="14"/>
                  <w:szCs w:val="14"/>
                  <w:color w:val="auto"/>
                </w:rPr>
                <w:t>Form of Indemnification Agreement.</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S-1</w:t>
            </w:r>
          </w:p>
        </w:tc>
      </w:tr>
      <w:tr>
        <w:trPr>
          <w:trHeight w:val="20"/>
        </w:trPr>
        <w:tc>
          <w:tcPr>
            <w:tcW w:w="13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3060" w:type="dxa"/>
            <w:vAlign w:val="bottom"/>
            <w:gridSpan w:val="27"/>
          </w:tcPr>
          <w:p>
            <w:pPr>
              <w:spacing w:after="0"/>
              <w:rPr>
                <w:rFonts w:ascii="Times New Roman" w:cs="Times New Roman" w:eastAsia="Times New Roman" w:hAnsi="Times New Roman"/>
                <w:sz w:val="14"/>
                <w:szCs w:val="14"/>
                <w:color w:val="auto"/>
              </w:rPr>
            </w:pPr>
            <w:hyperlink r:id="rId141">
              <w:r>
                <w:rPr>
                  <w:rFonts w:ascii="Times New Roman" w:cs="Times New Roman" w:eastAsia="Times New Roman" w:hAnsi="Times New Roman"/>
                  <w:sz w:val="14"/>
                  <w:szCs w:val="14"/>
                  <w:color w:val="auto"/>
                </w:rPr>
                <w:t>Amended and Restated Employment Agreement</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10-Q</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Borders>
              <w:top w:val="single" w:sz="8" w:color="auto"/>
            </w:tcBorders>
            <w:gridSpan w:val="15"/>
          </w:tcPr>
          <w:p>
            <w:pPr>
              <w:spacing w:after="0" w:line="139" w:lineRule="exact"/>
              <w:rPr>
                <w:rFonts w:ascii="Times New Roman" w:cs="Times New Roman" w:eastAsia="Times New Roman" w:hAnsi="Times New Roman"/>
                <w:sz w:val="14"/>
                <w:szCs w:val="14"/>
                <w:color w:val="auto"/>
              </w:rPr>
            </w:pPr>
            <w:hyperlink r:id="rId141">
              <w:r>
                <w:rPr>
                  <w:rFonts w:ascii="Times New Roman" w:cs="Times New Roman" w:eastAsia="Times New Roman" w:hAnsi="Times New Roman"/>
                  <w:sz w:val="14"/>
                  <w:szCs w:val="14"/>
                  <w:color w:val="auto"/>
                </w:rPr>
                <w:t>between Progyny, Inc. and David Schlanger,</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r>
      <w:tr>
        <w:trPr>
          <w:trHeight w:val="150"/>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20" w:type="dxa"/>
            <w:vAlign w:val="bottom"/>
            <w:tcBorders>
              <w:top w:val="single" w:sz="8" w:color="auto"/>
            </w:tcBorders>
            <w:gridSpan w:val="11"/>
          </w:tcPr>
          <w:p>
            <w:pPr>
              <w:spacing w:after="0" w:line="150" w:lineRule="exact"/>
              <w:rPr>
                <w:rFonts w:ascii="Times New Roman" w:cs="Times New Roman" w:eastAsia="Times New Roman" w:hAnsi="Times New Roman"/>
                <w:sz w:val="14"/>
                <w:szCs w:val="14"/>
                <w:color w:val="auto"/>
              </w:rPr>
            </w:pPr>
            <w:hyperlink r:id="rId141">
              <w:r>
                <w:rPr>
                  <w:rFonts w:ascii="Times New Roman" w:cs="Times New Roman" w:eastAsia="Times New Roman" w:hAnsi="Times New Roman"/>
                  <w:sz w:val="14"/>
                  <w:szCs w:val="14"/>
                  <w:color w:val="auto"/>
                </w:rPr>
                <w:t>effective January 1, 2022.</w:t>
              </w:r>
            </w:hyperlink>
          </w:p>
        </w:tc>
        <w:tc>
          <w:tcPr>
            <w:tcW w:w="540" w:type="dxa"/>
            <w:vAlign w:val="bottom"/>
            <w:gridSpan w:val="16"/>
          </w:tcPr>
          <w:p>
            <w:pPr>
              <w:spacing w:after="0"/>
              <w:rPr>
                <w:sz w:val="13"/>
                <w:szCs w:val="13"/>
                <w:color w:val="auto"/>
              </w:rPr>
            </w:pPr>
          </w:p>
        </w:tc>
        <w:tc>
          <w:tcPr>
            <w:tcW w:w="440" w:type="dxa"/>
            <w:vAlign w:val="bottom"/>
          </w:tcPr>
          <w:p>
            <w:pPr>
              <w:spacing w:after="0"/>
              <w:rPr>
                <w:sz w:val="13"/>
                <w:szCs w:val="13"/>
                <w:color w:val="auto"/>
              </w:rPr>
            </w:pPr>
          </w:p>
        </w:tc>
      </w:tr>
      <w:tr>
        <w:trPr>
          <w:trHeight w:val="20"/>
        </w:trPr>
        <w:tc>
          <w:tcPr>
            <w:tcW w:w="13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2780" w:type="dxa"/>
            <w:vAlign w:val="bottom"/>
            <w:tcBorders>
              <w:bottom w:val="single" w:sz="8" w:color="auto"/>
            </w:tcBorders>
            <w:gridSpan w:val="16"/>
          </w:tcPr>
          <w:p>
            <w:pPr>
              <w:spacing w:after="0"/>
              <w:rPr>
                <w:rFonts w:ascii="Times New Roman" w:cs="Times New Roman" w:eastAsia="Times New Roman" w:hAnsi="Times New Roman"/>
                <w:sz w:val="14"/>
                <w:szCs w:val="14"/>
                <w:color w:val="auto"/>
              </w:rPr>
            </w:pPr>
            <w:hyperlink r:id="rId142">
              <w:r>
                <w:rPr>
                  <w:rFonts w:ascii="Times New Roman" w:cs="Times New Roman" w:eastAsia="Times New Roman" w:hAnsi="Times New Roman"/>
                  <w:sz w:val="14"/>
                  <w:szCs w:val="14"/>
                  <w:color w:val="auto"/>
                </w:rPr>
                <w:t>Amended and Restated Employment Agreement</w:t>
              </w:r>
            </w:hyperlink>
          </w:p>
        </w:tc>
        <w:tc>
          <w:tcPr>
            <w:tcW w:w="280" w:type="dxa"/>
            <w:vAlign w:val="bottom"/>
            <w:gridSpan w:val="11"/>
          </w:tcPr>
          <w:p>
            <w:pPr>
              <w:spacing w:after="0"/>
              <w:rPr>
                <w:sz w:val="15"/>
                <w:szCs w:val="15"/>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10-Q</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gridSpan w:val="27"/>
          </w:tcPr>
          <w:p>
            <w:pPr>
              <w:spacing w:after="0" w:line="139" w:lineRule="exact"/>
              <w:rPr>
                <w:rFonts w:ascii="Times New Roman" w:cs="Times New Roman" w:eastAsia="Times New Roman" w:hAnsi="Times New Roman"/>
                <w:sz w:val="14"/>
                <w:szCs w:val="14"/>
                <w:color w:val="auto"/>
              </w:rPr>
            </w:pPr>
            <w:hyperlink r:id="rId142">
              <w:r>
                <w:rPr>
                  <w:rFonts w:ascii="Times New Roman" w:cs="Times New Roman" w:eastAsia="Times New Roman" w:hAnsi="Times New Roman"/>
                  <w:sz w:val="14"/>
                  <w:szCs w:val="14"/>
                  <w:color w:val="auto"/>
                </w:rPr>
                <w:t>between Progyny, Inc. and Peter Anevski, effective</w:t>
              </w:r>
            </w:hyperlink>
          </w:p>
        </w:tc>
        <w:tc>
          <w:tcPr>
            <w:tcW w:w="440" w:type="dxa"/>
            <w:vAlign w:val="bottom"/>
          </w:tcPr>
          <w:p>
            <w:pPr>
              <w:spacing w:after="0"/>
              <w:rPr>
                <w:sz w:val="12"/>
                <w:szCs w:val="12"/>
                <w:color w:val="auto"/>
              </w:rPr>
            </w:pPr>
          </w:p>
        </w:tc>
      </w:tr>
      <w:tr>
        <w:trPr>
          <w:trHeight w:val="150"/>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tcBorders>
              <w:top w:val="single" w:sz="8" w:color="auto"/>
            </w:tcBorders>
            <w:gridSpan w:val="21"/>
          </w:tcPr>
          <w:p>
            <w:pPr>
              <w:spacing w:after="0" w:line="150" w:lineRule="exact"/>
              <w:rPr>
                <w:rFonts w:ascii="Times New Roman" w:cs="Times New Roman" w:eastAsia="Times New Roman" w:hAnsi="Times New Roman"/>
                <w:sz w:val="14"/>
                <w:szCs w:val="14"/>
                <w:color w:val="auto"/>
              </w:rPr>
            </w:pPr>
            <w:hyperlink r:id="rId142">
              <w:r>
                <w:rPr>
                  <w:rFonts w:ascii="Times New Roman" w:cs="Times New Roman" w:eastAsia="Times New Roman" w:hAnsi="Times New Roman"/>
                  <w:sz w:val="14"/>
                  <w:szCs w:val="14"/>
                  <w:color w:val="auto"/>
                </w:rPr>
                <w:t>January 1, 2022.</w:t>
              </w:r>
            </w:hyperlink>
          </w:p>
        </w:tc>
        <w:tc>
          <w:tcPr>
            <w:tcW w:w="160" w:type="dxa"/>
            <w:vAlign w:val="bottom"/>
            <w:gridSpan w:val="6"/>
          </w:tcPr>
          <w:p>
            <w:pPr>
              <w:spacing w:after="0"/>
              <w:rPr>
                <w:sz w:val="13"/>
                <w:szCs w:val="13"/>
                <w:color w:val="auto"/>
              </w:rPr>
            </w:pPr>
          </w:p>
        </w:tc>
        <w:tc>
          <w:tcPr>
            <w:tcW w:w="440" w:type="dxa"/>
            <w:vAlign w:val="bottom"/>
          </w:tcPr>
          <w:p>
            <w:pPr>
              <w:spacing w:after="0"/>
              <w:rPr>
                <w:sz w:val="13"/>
                <w:szCs w:val="13"/>
                <w:color w:val="auto"/>
              </w:rPr>
            </w:pPr>
          </w:p>
        </w:tc>
      </w:tr>
      <w:tr>
        <w:trPr>
          <w:trHeight w:val="20"/>
        </w:trPr>
        <w:tc>
          <w:tcPr>
            <w:tcW w:w="13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3060" w:type="dxa"/>
            <w:vAlign w:val="bottom"/>
            <w:gridSpan w:val="27"/>
          </w:tcPr>
          <w:p>
            <w:pPr>
              <w:spacing w:after="0"/>
              <w:rPr>
                <w:rFonts w:ascii="Times New Roman" w:cs="Times New Roman" w:eastAsia="Times New Roman" w:hAnsi="Times New Roman"/>
                <w:sz w:val="14"/>
                <w:szCs w:val="14"/>
                <w:color w:val="auto"/>
              </w:rPr>
            </w:pPr>
            <w:hyperlink r:id="rId143">
              <w:r>
                <w:rPr>
                  <w:rFonts w:ascii="Times New Roman" w:cs="Times New Roman" w:eastAsia="Times New Roman" w:hAnsi="Times New Roman"/>
                  <w:sz w:val="14"/>
                  <w:szCs w:val="14"/>
                  <w:color w:val="auto"/>
                </w:rPr>
                <w:t>Amended and Restated Employment Agreement</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10-Q</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Borders>
              <w:top w:val="single" w:sz="8" w:color="auto"/>
              <w:bottom w:val="single" w:sz="8" w:color="auto"/>
            </w:tcBorders>
            <w:gridSpan w:val="12"/>
          </w:tcPr>
          <w:p>
            <w:pPr>
              <w:spacing w:after="0" w:line="139" w:lineRule="exact"/>
              <w:rPr>
                <w:rFonts w:ascii="Times New Roman" w:cs="Times New Roman" w:eastAsia="Times New Roman" w:hAnsi="Times New Roman"/>
                <w:sz w:val="14"/>
                <w:szCs w:val="14"/>
                <w:color w:val="auto"/>
              </w:rPr>
            </w:pPr>
            <w:hyperlink r:id="rId143">
              <w:r>
                <w:rPr>
                  <w:rFonts w:ascii="Times New Roman" w:cs="Times New Roman" w:eastAsia="Times New Roman" w:hAnsi="Times New Roman"/>
                  <w:sz w:val="14"/>
                  <w:szCs w:val="14"/>
                  <w:color w:val="auto"/>
                </w:rPr>
                <w:t>between Progyny, Inc. and Mark Livingston,</w:t>
              </w:r>
            </w:hyperlink>
          </w:p>
        </w:tc>
        <w:tc>
          <w:tcPr>
            <w:tcW w:w="220" w:type="dxa"/>
            <w:vAlign w:val="bottom"/>
            <w:tcBorders>
              <w:top w:val="single" w:sz="8" w:color="auto"/>
            </w:tcBorders>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r>
      <w:tr>
        <w:trPr>
          <w:trHeight w:val="150"/>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60" w:type="dxa"/>
            <w:vAlign w:val="bottom"/>
            <w:gridSpan w:val="27"/>
          </w:tcPr>
          <w:p>
            <w:pPr>
              <w:spacing w:after="0" w:line="150" w:lineRule="exact"/>
              <w:rPr>
                <w:rFonts w:ascii="Times New Roman" w:cs="Times New Roman" w:eastAsia="Times New Roman" w:hAnsi="Times New Roman"/>
                <w:sz w:val="14"/>
                <w:szCs w:val="14"/>
                <w:color w:val="auto"/>
              </w:rPr>
            </w:pPr>
            <w:hyperlink r:id="rId143">
              <w:r>
                <w:rPr>
                  <w:rFonts w:ascii="Times New Roman" w:cs="Times New Roman" w:eastAsia="Times New Roman" w:hAnsi="Times New Roman"/>
                  <w:sz w:val="14"/>
                  <w:szCs w:val="14"/>
                  <w:color w:val="auto"/>
                </w:rPr>
                <w:t>effective June 7, 2022.</w:t>
              </w:r>
            </w:hyperlink>
          </w:p>
        </w:tc>
        <w:tc>
          <w:tcPr>
            <w:tcW w:w="440" w:type="dxa"/>
            <w:vAlign w:val="bottom"/>
          </w:tcPr>
          <w:p>
            <w:pPr>
              <w:spacing w:after="0"/>
              <w:rPr>
                <w:sz w:val="13"/>
                <w:szCs w:val="13"/>
                <w:color w:val="auto"/>
              </w:rPr>
            </w:pPr>
          </w:p>
        </w:tc>
      </w:tr>
      <w:tr>
        <w:trPr>
          <w:trHeight w:val="20"/>
        </w:trPr>
        <w:tc>
          <w:tcPr>
            <w:tcW w:w="13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3060" w:type="dxa"/>
            <w:vAlign w:val="bottom"/>
            <w:gridSpan w:val="27"/>
          </w:tcPr>
          <w:p>
            <w:pPr>
              <w:spacing w:after="0"/>
              <w:rPr>
                <w:rFonts w:ascii="Times New Roman" w:cs="Times New Roman" w:eastAsia="Times New Roman" w:hAnsi="Times New Roman"/>
                <w:sz w:val="14"/>
                <w:szCs w:val="14"/>
                <w:color w:val="auto"/>
              </w:rPr>
            </w:pPr>
            <w:hyperlink r:id="rId144">
              <w:r>
                <w:rPr>
                  <w:rFonts w:ascii="Times New Roman" w:cs="Times New Roman" w:eastAsia="Times New Roman" w:hAnsi="Times New Roman"/>
                  <w:sz w:val="14"/>
                  <w:szCs w:val="14"/>
                  <w:color w:val="auto"/>
                </w:rPr>
                <w:t>Employment Agreement between Progyny, Inc. and</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10-K</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80" w:type="dxa"/>
            <w:vAlign w:val="bottom"/>
            <w:tcBorders>
              <w:top w:val="single" w:sz="8" w:color="auto"/>
            </w:tcBorders>
            <w:gridSpan w:val="25"/>
          </w:tcPr>
          <w:p>
            <w:pPr>
              <w:spacing w:after="0" w:line="139" w:lineRule="exact"/>
              <w:rPr>
                <w:rFonts w:ascii="Times New Roman" w:cs="Times New Roman" w:eastAsia="Times New Roman" w:hAnsi="Times New Roman"/>
                <w:sz w:val="14"/>
                <w:szCs w:val="14"/>
                <w:color w:val="auto"/>
              </w:rPr>
            </w:pPr>
            <w:hyperlink r:id="rId144">
              <w:r>
                <w:rPr>
                  <w:rFonts w:ascii="Times New Roman" w:cs="Times New Roman" w:eastAsia="Times New Roman" w:hAnsi="Times New Roman"/>
                  <w:sz w:val="14"/>
                  <w:szCs w:val="14"/>
                  <w:color w:val="auto"/>
                </w:rPr>
                <w:t xml:space="preserve">Allison Swartz, effective </w:t>
              </w:r>
              <w:r>
                <w:rPr>
                  <w:rFonts w:ascii="Times New Roman" w:cs="Times New Roman" w:eastAsia="Times New Roman" w:hAnsi="Times New Roman"/>
                  <w:sz w:val="14"/>
                  <w:szCs w:val="14"/>
                  <w:color w:val="auto"/>
                  <w:highlight w:val="white"/>
                </w:rPr>
                <w:t>October 27, 2022.</w:t>
              </w:r>
            </w:hyperlink>
          </w:p>
        </w:tc>
        <w:tc>
          <w:tcPr>
            <w:tcW w:w="8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r>
      <w:tr>
        <w:trPr>
          <w:trHeight w:val="20"/>
        </w:trPr>
        <w:tc>
          <w:tcPr>
            <w:tcW w:w="13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3060" w:type="dxa"/>
            <w:vAlign w:val="bottom"/>
            <w:gridSpan w:val="27"/>
          </w:tcPr>
          <w:p>
            <w:pPr>
              <w:spacing w:after="0"/>
              <w:rPr>
                <w:rFonts w:ascii="Times New Roman" w:cs="Times New Roman" w:eastAsia="Times New Roman" w:hAnsi="Times New Roman"/>
                <w:sz w:val="14"/>
                <w:szCs w:val="14"/>
                <w:color w:val="auto"/>
              </w:rPr>
            </w:pPr>
            <w:hyperlink r:id="rId145">
              <w:r>
                <w:rPr>
                  <w:rFonts w:ascii="Times New Roman" w:cs="Times New Roman" w:eastAsia="Times New Roman" w:hAnsi="Times New Roman"/>
                  <w:sz w:val="14"/>
                  <w:szCs w:val="14"/>
                  <w:color w:val="auto"/>
                </w:rPr>
                <w:t>Amended and Restated Employment Agreement</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10-Q</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Borders>
              <w:top w:val="single" w:sz="8" w:color="auto"/>
            </w:tcBorders>
            <w:gridSpan w:val="15"/>
          </w:tcPr>
          <w:p>
            <w:pPr>
              <w:spacing w:after="0" w:line="139" w:lineRule="exact"/>
              <w:rPr>
                <w:rFonts w:ascii="Times New Roman" w:cs="Times New Roman" w:eastAsia="Times New Roman" w:hAnsi="Times New Roman"/>
                <w:sz w:val="14"/>
                <w:szCs w:val="14"/>
                <w:color w:val="auto"/>
              </w:rPr>
            </w:pPr>
            <w:hyperlink r:id="rId145">
              <w:r>
                <w:rPr>
                  <w:rFonts w:ascii="Times New Roman" w:cs="Times New Roman" w:eastAsia="Times New Roman" w:hAnsi="Times New Roman"/>
                  <w:sz w:val="14"/>
                  <w:szCs w:val="14"/>
                  <w:color w:val="auto"/>
                </w:rPr>
                <w:t>between Progyny, Inc. and Michael Sturmer,</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440" w:type="dxa"/>
            <w:vAlign w:val="bottom"/>
          </w:tcPr>
          <w:p>
            <w:pPr>
              <w:spacing w:after="0"/>
              <w:rPr>
                <w:sz w:val="12"/>
                <w:szCs w:val="12"/>
                <w:color w:val="auto"/>
              </w:rPr>
            </w:pPr>
          </w:p>
        </w:tc>
      </w:tr>
      <w:tr>
        <w:trPr>
          <w:trHeight w:val="150"/>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20" w:type="dxa"/>
            <w:vAlign w:val="bottom"/>
            <w:tcBorders>
              <w:top w:val="single" w:sz="8" w:color="auto"/>
            </w:tcBorders>
            <w:gridSpan w:val="11"/>
          </w:tcPr>
          <w:p>
            <w:pPr>
              <w:spacing w:after="0" w:line="150" w:lineRule="exact"/>
              <w:rPr>
                <w:rFonts w:ascii="Times New Roman" w:cs="Times New Roman" w:eastAsia="Times New Roman" w:hAnsi="Times New Roman"/>
                <w:sz w:val="14"/>
                <w:szCs w:val="14"/>
                <w:color w:val="auto"/>
              </w:rPr>
            </w:pPr>
            <w:hyperlink r:id="rId145">
              <w:r>
                <w:rPr>
                  <w:rFonts w:ascii="Times New Roman" w:cs="Times New Roman" w:eastAsia="Times New Roman" w:hAnsi="Times New Roman"/>
                  <w:sz w:val="14"/>
                  <w:szCs w:val="14"/>
                  <w:color w:val="auto"/>
                </w:rPr>
                <w:t>effective January 1, 2022.</w:t>
              </w:r>
            </w:hyperlink>
          </w:p>
        </w:tc>
        <w:tc>
          <w:tcPr>
            <w:tcW w:w="540" w:type="dxa"/>
            <w:vAlign w:val="bottom"/>
            <w:gridSpan w:val="16"/>
          </w:tcPr>
          <w:p>
            <w:pPr>
              <w:spacing w:after="0"/>
              <w:rPr>
                <w:sz w:val="13"/>
                <w:szCs w:val="13"/>
                <w:color w:val="auto"/>
              </w:rPr>
            </w:pPr>
          </w:p>
        </w:tc>
        <w:tc>
          <w:tcPr>
            <w:tcW w:w="4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360" w:type="dxa"/>
            <w:vAlign w:val="bottom"/>
          </w:tcPr>
          <w:p>
            <w:pPr>
              <w:spacing w:after="0"/>
              <w:rPr>
                <w:sz w:val="15"/>
                <w:szCs w:val="15"/>
                <w:color w:val="auto"/>
              </w:rPr>
            </w:pPr>
          </w:p>
        </w:tc>
        <w:tc>
          <w:tcPr>
            <w:tcW w:w="3060" w:type="dxa"/>
            <w:vAlign w:val="bottom"/>
            <w:gridSpan w:val="27"/>
          </w:tcPr>
          <w:p>
            <w:pPr>
              <w:spacing w:after="0"/>
              <w:rPr>
                <w:rFonts w:ascii="Times New Roman" w:cs="Times New Roman" w:eastAsia="Times New Roman" w:hAnsi="Times New Roman"/>
                <w:sz w:val="14"/>
                <w:szCs w:val="14"/>
                <w:color w:val="auto"/>
              </w:rPr>
            </w:pPr>
            <w:hyperlink r:id="rId146">
              <w:r>
                <w:rPr>
                  <w:rFonts w:ascii="Times New Roman" w:cs="Times New Roman" w:eastAsia="Times New Roman" w:hAnsi="Times New Roman"/>
                  <w:sz w:val="14"/>
                  <w:szCs w:val="14"/>
                  <w:color w:val="auto"/>
                </w:rPr>
                <w:t>Sublease Agreement, dated as of July 29, 2019 by</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S-1</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Borders>
              <w:top w:val="single" w:sz="8" w:color="auto"/>
              <w:bottom w:val="single" w:sz="8" w:color="auto"/>
            </w:tcBorders>
            <w:gridSpan w:val="18"/>
          </w:tcPr>
          <w:p>
            <w:pPr>
              <w:spacing w:after="0" w:line="139" w:lineRule="exact"/>
              <w:rPr>
                <w:rFonts w:ascii="Times New Roman" w:cs="Times New Roman" w:eastAsia="Times New Roman" w:hAnsi="Times New Roman"/>
                <w:sz w:val="14"/>
                <w:szCs w:val="14"/>
                <w:color w:val="auto"/>
              </w:rPr>
            </w:pPr>
            <w:hyperlink r:id="rId146">
              <w:r>
                <w:rPr>
                  <w:rFonts w:ascii="Times New Roman" w:cs="Times New Roman" w:eastAsia="Times New Roman" w:hAnsi="Times New Roman"/>
                  <w:sz w:val="14"/>
                  <w:szCs w:val="14"/>
                  <w:color w:val="auto"/>
                </w:rPr>
                <w:t>and between IPREO Holdings, LLC and Progyny,</w:t>
              </w:r>
            </w:hyperlink>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440" w:type="dxa"/>
            <w:vAlign w:val="bottom"/>
          </w:tcPr>
          <w:p>
            <w:pPr>
              <w:spacing w:after="0"/>
              <w:rPr>
                <w:sz w:val="12"/>
                <w:szCs w:val="12"/>
                <w:color w:val="auto"/>
              </w:rPr>
            </w:pPr>
          </w:p>
        </w:tc>
      </w:tr>
      <w:tr>
        <w:trPr>
          <w:trHeight w:val="150"/>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60" w:type="dxa"/>
            <w:vAlign w:val="bottom"/>
            <w:gridSpan w:val="27"/>
          </w:tcPr>
          <w:p>
            <w:pPr>
              <w:spacing w:after="0" w:line="150" w:lineRule="exact"/>
              <w:rPr>
                <w:rFonts w:ascii="Times New Roman" w:cs="Times New Roman" w:eastAsia="Times New Roman" w:hAnsi="Times New Roman"/>
                <w:sz w:val="14"/>
                <w:szCs w:val="14"/>
                <w:color w:val="auto"/>
              </w:rPr>
            </w:pPr>
            <w:hyperlink r:id="rId146">
              <w:r>
                <w:rPr>
                  <w:rFonts w:ascii="Times New Roman" w:cs="Times New Roman" w:eastAsia="Times New Roman" w:hAnsi="Times New Roman"/>
                  <w:sz w:val="14"/>
                  <w:szCs w:val="14"/>
                  <w:color w:val="auto"/>
                </w:rPr>
                <w:t>Inc.</w:t>
              </w:r>
            </w:hyperlink>
          </w:p>
        </w:tc>
        <w:tc>
          <w:tcPr>
            <w:tcW w:w="4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11"/>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360" w:type="dxa"/>
            <w:vAlign w:val="bottom"/>
          </w:tcPr>
          <w:p>
            <w:pPr>
              <w:spacing w:after="0"/>
              <w:rPr>
                <w:sz w:val="15"/>
                <w:szCs w:val="15"/>
                <w:color w:val="auto"/>
              </w:rPr>
            </w:pPr>
          </w:p>
        </w:tc>
        <w:tc>
          <w:tcPr>
            <w:tcW w:w="3060" w:type="dxa"/>
            <w:vAlign w:val="bottom"/>
            <w:gridSpan w:val="27"/>
          </w:tcPr>
          <w:p>
            <w:pPr>
              <w:spacing w:after="0"/>
              <w:rPr>
                <w:rFonts w:ascii="Times New Roman" w:cs="Times New Roman" w:eastAsia="Times New Roman" w:hAnsi="Times New Roman"/>
                <w:sz w:val="14"/>
                <w:szCs w:val="14"/>
                <w:color w:val="auto"/>
              </w:rPr>
            </w:pPr>
            <w:hyperlink r:id="rId147">
              <w:r>
                <w:rPr>
                  <w:rFonts w:ascii="Times New Roman" w:cs="Times New Roman" w:eastAsia="Times New Roman" w:hAnsi="Times New Roman"/>
                  <w:sz w:val="14"/>
                  <w:szCs w:val="14"/>
                  <w:color w:val="auto"/>
                </w:rPr>
                <w:t>Lease Agreement, dated as of February 25, 2022 by</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10-K</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0" w:type="dxa"/>
            <w:vAlign w:val="bottom"/>
            <w:tcBorders>
              <w:top w:val="single" w:sz="8" w:color="auto"/>
              <w:bottom w:val="single" w:sz="8" w:color="auto"/>
            </w:tcBorders>
            <w:gridSpan w:val="13"/>
          </w:tcPr>
          <w:p>
            <w:pPr>
              <w:spacing w:after="0" w:line="139" w:lineRule="exact"/>
              <w:rPr>
                <w:rFonts w:ascii="Times New Roman" w:cs="Times New Roman" w:eastAsia="Times New Roman" w:hAnsi="Times New Roman"/>
                <w:sz w:val="14"/>
                <w:szCs w:val="14"/>
                <w:color w:val="auto"/>
              </w:rPr>
            </w:pPr>
            <w:hyperlink r:id="rId147">
              <w:r>
                <w:rPr>
                  <w:rFonts w:ascii="Times New Roman" w:cs="Times New Roman" w:eastAsia="Times New Roman" w:hAnsi="Times New Roman"/>
                  <w:sz w:val="14"/>
                  <w:szCs w:val="14"/>
                  <w:color w:val="auto"/>
                </w:rPr>
                <w:t>and between ESRT 1359 Broadway, LLC and</w:t>
              </w:r>
            </w:hyperlink>
          </w:p>
        </w:tc>
        <w:tc>
          <w:tcPr>
            <w:tcW w:w="360" w:type="dxa"/>
            <w:vAlign w:val="bottom"/>
            <w:tcBorders>
              <w:top w:val="single" w:sz="8" w:color="auto"/>
            </w:tcBorders>
            <w:gridSpan w:val="11"/>
          </w:tcPr>
          <w:p>
            <w:pPr>
              <w:spacing w:after="0"/>
              <w:rPr>
                <w:sz w:val="12"/>
                <w:szCs w:val="12"/>
                <w:color w:val="auto"/>
              </w:rPr>
            </w:pPr>
          </w:p>
        </w:tc>
        <w:tc>
          <w:tcPr>
            <w:tcW w:w="100" w:type="dxa"/>
            <w:vAlign w:val="bottom"/>
            <w:gridSpan w:val="3"/>
          </w:tcPr>
          <w:p>
            <w:pPr>
              <w:spacing w:after="0"/>
              <w:rPr>
                <w:sz w:val="12"/>
                <w:szCs w:val="12"/>
                <w:color w:val="auto"/>
              </w:rPr>
            </w:pPr>
          </w:p>
        </w:tc>
        <w:tc>
          <w:tcPr>
            <w:tcW w:w="440" w:type="dxa"/>
            <w:vAlign w:val="bottom"/>
          </w:tcPr>
          <w:p>
            <w:pPr>
              <w:spacing w:after="0"/>
              <w:rPr>
                <w:sz w:val="12"/>
                <w:szCs w:val="12"/>
                <w:color w:val="auto"/>
              </w:rPr>
            </w:pPr>
          </w:p>
        </w:tc>
      </w:tr>
      <w:tr>
        <w:trPr>
          <w:trHeight w:val="150"/>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60" w:type="dxa"/>
            <w:vAlign w:val="bottom"/>
            <w:gridSpan w:val="27"/>
          </w:tcPr>
          <w:p>
            <w:pPr>
              <w:spacing w:after="0" w:line="150" w:lineRule="exact"/>
              <w:rPr>
                <w:rFonts w:ascii="Times New Roman" w:cs="Times New Roman" w:eastAsia="Times New Roman" w:hAnsi="Times New Roman"/>
                <w:sz w:val="14"/>
                <w:szCs w:val="14"/>
                <w:color w:val="auto"/>
              </w:rPr>
            </w:pPr>
            <w:hyperlink r:id="rId147">
              <w:r>
                <w:rPr>
                  <w:rFonts w:ascii="Times New Roman" w:cs="Times New Roman" w:eastAsia="Times New Roman" w:hAnsi="Times New Roman"/>
                  <w:sz w:val="14"/>
                  <w:szCs w:val="14"/>
                  <w:color w:val="auto"/>
                </w:rPr>
                <w:t>Progyny, Inc.</w:t>
              </w:r>
            </w:hyperlink>
          </w:p>
        </w:tc>
        <w:tc>
          <w:tcPr>
            <w:tcW w:w="4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6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360" w:type="dxa"/>
            <w:vAlign w:val="bottom"/>
          </w:tcPr>
          <w:p>
            <w:pPr>
              <w:spacing w:after="0"/>
              <w:rPr>
                <w:sz w:val="15"/>
                <w:szCs w:val="15"/>
                <w:color w:val="auto"/>
              </w:rPr>
            </w:pPr>
          </w:p>
        </w:tc>
        <w:tc>
          <w:tcPr>
            <w:tcW w:w="3060" w:type="dxa"/>
            <w:vAlign w:val="bottom"/>
            <w:gridSpan w:val="27"/>
          </w:tcPr>
          <w:p>
            <w:pPr>
              <w:spacing w:after="0"/>
              <w:rPr>
                <w:rFonts w:ascii="Times New Roman" w:cs="Times New Roman" w:eastAsia="Times New Roman" w:hAnsi="Times New Roman"/>
                <w:sz w:val="14"/>
                <w:szCs w:val="14"/>
                <w:color w:val="auto"/>
              </w:rPr>
            </w:pPr>
            <w:hyperlink r:id="rId148">
              <w:r>
                <w:rPr>
                  <w:rFonts w:ascii="Times New Roman" w:cs="Times New Roman" w:eastAsia="Times New Roman" w:hAnsi="Times New Roman"/>
                  <w:sz w:val="14"/>
                  <w:szCs w:val="14"/>
                  <w:color w:val="auto"/>
                </w:rPr>
                <w:t>Loan and Security Agreement, dated as of June 8,</w:t>
              </w:r>
            </w:hyperlink>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S-1</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Borders>
              <w:top w:val="single" w:sz="8" w:color="auto"/>
              <w:bottom w:val="single" w:sz="8" w:color="auto"/>
            </w:tcBorders>
            <w:gridSpan w:val="17"/>
          </w:tcPr>
          <w:p>
            <w:pPr>
              <w:spacing w:after="0" w:line="139" w:lineRule="exact"/>
              <w:rPr>
                <w:rFonts w:ascii="Times New Roman" w:cs="Times New Roman" w:eastAsia="Times New Roman" w:hAnsi="Times New Roman"/>
                <w:sz w:val="14"/>
                <w:szCs w:val="14"/>
                <w:color w:val="auto"/>
                <w:w w:val="97"/>
              </w:rPr>
            </w:pPr>
            <w:hyperlink r:id="rId148">
              <w:r>
                <w:rPr>
                  <w:rFonts w:ascii="Times New Roman" w:cs="Times New Roman" w:eastAsia="Times New Roman" w:hAnsi="Times New Roman"/>
                  <w:sz w:val="14"/>
                  <w:szCs w:val="14"/>
                  <w:color w:val="auto"/>
                  <w:w w:val="97"/>
                </w:rPr>
                <w:t>2018, between Silicon Valley Bank and Registrant.</w:t>
              </w:r>
            </w:hyperlink>
          </w:p>
        </w:tc>
        <w:tc>
          <w:tcPr>
            <w:tcW w:w="60" w:type="dxa"/>
            <w:vAlign w:val="bottom"/>
            <w:tcBorders>
              <w:bottom w:val="single" w:sz="8" w:color="auto"/>
            </w:tcBorders>
            <w:gridSpan w:val="3"/>
          </w:tcPr>
          <w:p>
            <w:pPr>
              <w:spacing w:after="0"/>
              <w:rPr>
                <w:sz w:val="12"/>
                <w:szCs w:val="12"/>
                <w:color w:val="auto"/>
              </w:rPr>
            </w:pPr>
          </w:p>
        </w:tc>
        <w:tc>
          <w:tcPr>
            <w:tcW w:w="180" w:type="dxa"/>
            <w:vAlign w:val="bottom"/>
            <w:gridSpan w:val="7"/>
          </w:tcPr>
          <w:p>
            <w:pPr>
              <w:spacing w:after="0"/>
              <w:rPr>
                <w:sz w:val="12"/>
                <w:szCs w:val="12"/>
                <w:color w:val="auto"/>
              </w:rPr>
            </w:pPr>
          </w:p>
        </w:tc>
        <w:tc>
          <w:tcPr>
            <w:tcW w:w="4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333-233965</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10.2</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9/27/2019</w:t>
            </w: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333-233965</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99.2</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10/25/2019</w:t>
            </w: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001-39100</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10.4</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3/10/2020</w:t>
            </w: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333-233965</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10.4</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10/15/2019</w:t>
            </w: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001-3910</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10.6</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3/10/2020</w:t>
            </w: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333-233965</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10.5</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10/15/2019</w:t>
            </w:r>
          </w:p>
        </w:tc>
      </w:tr>
      <w:tr>
        <w:trPr>
          <w:trHeight w:val="202"/>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333-233965</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10.6</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9/27/2019</w:t>
            </w:r>
          </w:p>
        </w:tc>
      </w:tr>
      <w:tr>
        <w:trPr>
          <w:trHeight w:val="202"/>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001-39100</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10.1</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5/6/2022</w:t>
            </w:r>
          </w:p>
        </w:tc>
      </w:tr>
      <w:tr>
        <w:trPr>
          <w:trHeight w:val="5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001-39100</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10.2</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5/6/2022</w:t>
            </w:r>
          </w:p>
        </w:tc>
      </w:tr>
      <w:tr>
        <w:trPr>
          <w:trHeight w:val="5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001-39100</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10.1</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8/5/2022</w:t>
            </w:r>
          </w:p>
        </w:tc>
      </w:tr>
      <w:tr>
        <w:trPr>
          <w:trHeight w:val="5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001-39100</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10.11</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3/1/2023</w:t>
            </w:r>
          </w:p>
        </w:tc>
      </w:tr>
      <w:tr>
        <w:trPr>
          <w:trHeight w:val="37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001-39100</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10.3</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5/6/2022</w:t>
            </w:r>
          </w:p>
        </w:tc>
      </w:tr>
      <w:tr>
        <w:trPr>
          <w:trHeight w:val="5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333-233965</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10.1</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9/27/2019</w:t>
            </w:r>
          </w:p>
        </w:tc>
      </w:tr>
      <w:tr>
        <w:trPr>
          <w:trHeight w:val="5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001-39100</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10.14</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3/1/2023</w:t>
            </w:r>
          </w:p>
        </w:tc>
      </w:tr>
      <w:tr>
        <w:trPr>
          <w:trHeight w:val="530"/>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333-233965</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10.10</w:t>
            </w:r>
          </w:p>
        </w:tc>
        <w:tc>
          <w:tcPr>
            <w:tcW w:w="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9/27/2019</w:t>
            </w:r>
          </w:p>
        </w:tc>
      </w:tr>
    </w:tbl>
    <w:p>
      <w:pPr>
        <w:spacing w:after="0" w:line="338" w:lineRule="exact"/>
        <w:rPr>
          <w:sz w:val="20"/>
          <w:szCs w:val="20"/>
          <w:color w:val="auto"/>
        </w:rPr>
      </w:pPr>
    </w:p>
    <w:p>
      <w:pPr>
        <w:sectPr>
          <w:pgSz w:w="11900" w:h="16838" w:orient="portrait"/>
          <w:cols w:equalWidth="0" w:num="2">
            <w:col w:w="5120" w:space="720"/>
            <w:col w:w="4319"/>
          </w:cols>
          <w:pgMar w:left="300" w:top="286" w:right="1440" w:bottom="1440" w:gutter="0" w:footer="0" w:header="0"/>
        </w:sectPr>
      </w:pPr>
    </w:p>
    <w:p>
      <w:pPr>
        <w:spacing w:after="0" w:line="3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86" w:right="1440"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29"/>
        </w:trPr>
        <w:tc>
          <w:tcPr>
            <w:tcW w:w="10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360" w:type="dxa"/>
            <w:vAlign w:val="bottom"/>
          </w:tcPr>
          <w:p>
            <w:pPr>
              <w:spacing w:after="0"/>
              <w:rPr>
                <w:sz w:val="24"/>
                <w:szCs w:val="24"/>
                <w:color w:val="auto"/>
              </w:rPr>
            </w:pPr>
          </w:p>
        </w:tc>
        <w:tc>
          <w:tcPr>
            <w:tcW w:w="3040" w:type="dxa"/>
            <w:vAlign w:val="bottom"/>
            <w:gridSpan w:val="25"/>
          </w:tcPr>
          <w:p>
            <w:pPr>
              <w:spacing w:after="0"/>
              <w:rPr>
                <w:rFonts w:ascii="Times New Roman" w:cs="Times New Roman" w:eastAsia="Times New Roman" w:hAnsi="Times New Roman"/>
                <w:sz w:val="14"/>
                <w:szCs w:val="14"/>
                <w:color w:val="auto"/>
              </w:rPr>
            </w:pPr>
            <w:hyperlink r:id="rId150">
              <w:r>
                <w:rPr>
                  <w:rFonts w:ascii="Times New Roman" w:cs="Times New Roman" w:eastAsia="Times New Roman" w:hAnsi="Times New Roman"/>
                  <w:sz w:val="14"/>
                  <w:szCs w:val="14"/>
                  <w:color w:val="auto"/>
                </w:rPr>
                <w:t>Amendments to Loan and Security Agreement, dated</w:t>
              </w:r>
            </w:hyperlink>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0" w:type="dxa"/>
            <w:vAlign w:val="bottom"/>
            <w:tcBorders>
              <w:top w:val="single" w:sz="8" w:color="auto"/>
              <w:bottom w:val="single" w:sz="8" w:color="auto"/>
            </w:tcBorders>
            <w:gridSpan w:val="23"/>
          </w:tcPr>
          <w:p>
            <w:pPr>
              <w:spacing w:after="0" w:line="139" w:lineRule="exact"/>
              <w:rPr>
                <w:rFonts w:ascii="Times New Roman" w:cs="Times New Roman" w:eastAsia="Times New Roman" w:hAnsi="Times New Roman"/>
                <w:sz w:val="14"/>
                <w:szCs w:val="14"/>
                <w:color w:val="auto"/>
              </w:rPr>
            </w:pPr>
            <w:hyperlink r:id="rId150">
              <w:r>
                <w:rPr>
                  <w:rFonts w:ascii="Times New Roman" w:cs="Times New Roman" w:eastAsia="Times New Roman" w:hAnsi="Times New Roman"/>
                  <w:sz w:val="14"/>
                  <w:szCs w:val="14"/>
                  <w:color w:val="auto"/>
                </w:rPr>
                <w:t>as of June 8, 2018, between Silicon Valley Bank and</w:t>
              </w:r>
            </w:hyperlink>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0"/>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40" w:type="dxa"/>
            <w:vAlign w:val="bottom"/>
            <w:gridSpan w:val="25"/>
          </w:tcPr>
          <w:p>
            <w:pPr>
              <w:spacing w:after="0" w:line="150" w:lineRule="exact"/>
              <w:rPr>
                <w:rFonts w:ascii="Times New Roman" w:cs="Times New Roman" w:eastAsia="Times New Roman" w:hAnsi="Times New Roman"/>
                <w:sz w:val="14"/>
                <w:szCs w:val="14"/>
                <w:color w:val="auto"/>
              </w:rPr>
            </w:pPr>
            <w:hyperlink r:id="rId150">
              <w:r>
                <w:rPr>
                  <w:rFonts w:ascii="Times New Roman" w:cs="Times New Roman" w:eastAsia="Times New Roman" w:hAnsi="Times New Roman"/>
                  <w:sz w:val="14"/>
                  <w:szCs w:val="14"/>
                  <w:color w:val="auto"/>
                </w:rPr>
                <w:t>Registrant.</w:t>
              </w:r>
            </w:hyperlink>
          </w:p>
        </w:tc>
      </w:tr>
      <w:tr>
        <w:trPr>
          <w:trHeight w:val="20"/>
        </w:trPr>
        <w:tc>
          <w:tcPr>
            <w:tcW w:w="13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2320" w:type="dxa"/>
            <w:vAlign w:val="bottom"/>
            <w:tcBorders>
              <w:bottom w:val="single" w:sz="8" w:color="auto"/>
            </w:tcBorders>
            <w:gridSpan w:val="13"/>
          </w:tcPr>
          <w:p>
            <w:pPr>
              <w:spacing w:after="0"/>
              <w:rPr>
                <w:rFonts w:ascii="Times New Roman" w:cs="Times New Roman" w:eastAsia="Times New Roman" w:hAnsi="Times New Roman"/>
                <w:sz w:val="14"/>
                <w:szCs w:val="14"/>
                <w:color w:val="auto"/>
              </w:rPr>
            </w:pPr>
            <w:hyperlink r:id="rId151">
              <w:r>
                <w:rPr>
                  <w:rFonts w:ascii="Times New Roman" w:cs="Times New Roman" w:eastAsia="Times New Roman" w:hAnsi="Times New Roman"/>
                  <w:sz w:val="14"/>
                  <w:szCs w:val="14"/>
                  <w:color w:val="auto"/>
                </w:rPr>
                <w:t>Progyny, Inc. Executive Severance Plan.</w:t>
              </w:r>
            </w:hyperlink>
          </w:p>
        </w:tc>
        <w:tc>
          <w:tcPr>
            <w:tcW w:w="720" w:type="dxa"/>
            <w:vAlign w:val="bottom"/>
            <w:gridSpan w:val="12"/>
          </w:tcPr>
          <w:p>
            <w:pPr>
              <w:spacing w:after="0"/>
              <w:rPr>
                <w:sz w:val="15"/>
                <w:szCs w:val="15"/>
                <w:color w:val="auto"/>
              </w:rPr>
            </w:pPr>
          </w:p>
        </w:tc>
      </w:tr>
      <w:tr>
        <w:trPr>
          <w:trHeight w:val="18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2300" w:type="dxa"/>
            <w:vAlign w:val="bottom"/>
            <w:tcBorders>
              <w:bottom w:val="single" w:sz="8" w:color="auto"/>
            </w:tcBorders>
            <w:gridSpan w:val="12"/>
          </w:tcPr>
          <w:p>
            <w:pPr>
              <w:spacing w:after="0"/>
              <w:rPr>
                <w:rFonts w:ascii="Times New Roman" w:cs="Times New Roman" w:eastAsia="Times New Roman" w:hAnsi="Times New Roman"/>
                <w:sz w:val="14"/>
                <w:szCs w:val="14"/>
                <w:color w:val="auto"/>
              </w:rPr>
            </w:pPr>
            <w:hyperlink r:id="rId152">
              <w:r>
                <w:rPr>
                  <w:rFonts w:ascii="Times New Roman" w:cs="Times New Roman" w:eastAsia="Times New Roman" w:hAnsi="Times New Roman"/>
                  <w:sz w:val="14"/>
                  <w:szCs w:val="14"/>
                  <w:color w:val="auto"/>
                </w:rPr>
                <w:t xml:space="preserve">Form of PSU Award Agreement </w:t>
              </w:r>
            </w:hyperlink>
            <w:r>
              <w:rPr>
                <w:rFonts w:ascii="Times New Roman" w:cs="Times New Roman" w:eastAsia="Times New Roman" w:hAnsi="Times New Roman"/>
                <w:sz w:val="14"/>
                <w:szCs w:val="14"/>
                <w:color w:val="auto"/>
              </w:rPr>
              <w:t>(2025).</w:t>
            </w:r>
          </w:p>
        </w:tc>
        <w:tc>
          <w:tcPr>
            <w:tcW w:w="740" w:type="dxa"/>
            <w:vAlign w:val="bottom"/>
            <w:gridSpan w:val="13"/>
          </w:tcPr>
          <w:p>
            <w:pPr>
              <w:spacing w:after="0"/>
              <w:rPr>
                <w:sz w:val="15"/>
                <w:szCs w:val="15"/>
                <w:color w:val="auto"/>
              </w:rPr>
            </w:pPr>
          </w:p>
        </w:tc>
      </w:tr>
      <w:tr>
        <w:trPr>
          <w:trHeight w:val="18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360" w:type="dxa"/>
            <w:vAlign w:val="bottom"/>
          </w:tcPr>
          <w:p>
            <w:pPr>
              <w:spacing w:after="0"/>
              <w:rPr>
                <w:sz w:val="15"/>
                <w:szCs w:val="15"/>
                <w:color w:val="auto"/>
              </w:rPr>
            </w:pPr>
          </w:p>
        </w:tc>
        <w:tc>
          <w:tcPr>
            <w:tcW w:w="3040" w:type="dxa"/>
            <w:vAlign w:val="bottom"/>
            <w:gridSpan w:val="25"/>
          </w:tcPr>
          <w:p>
            <w:pPr>
              <w:spacing w:after="0"/>
              <w:rPr>
                <w:rFonts w:ascii="Times New Roman" w:cs="Times New Roman" w:eastAsia="Times New Roman" w:hAnsi="Times New Roman"/>
                <w:sz w:val="14"/>
                <w:szCs w:val="14"/>
                <w:color w:val="auto"/>
              </w:rPr>
            </w:pPr>
            <w:hyperlink r:id="rId153">
              <w:r>
                <w:rPr>
                  <w:rFonts w:ascii="Times New Roman" w:cs="Times New Roman" w:eastAsia="Times New Roman" w:hAnsi="Times New Roman"/>
                  <w:sz w:val="14"/>
                  <w:szCs w:val="14"/>
                  <w:color w:val="auto"/>
                </w:rPr>
                <w:t>Credit Agreement dated July 1, 2025 by and among</w:t>
              </w:r>
            </w:hyperlink>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40" w:type="dxa"/>
            <w:vAlign w:val="bottom"/>
            <w:tcBorders>
              <w:top w:val="single" w:sz="8" w:color="auto"/>
            </w:tcBorders>
            <w:gridSpan w:val="20"/>
          </w:tcPr>
          <w:p>
            <w:pPr>
              <w:spacing w:after="0" w:line="139" w:lineRule="exact"/>
              <w:rPr>
                <w:rFonts w:ascii="Times New Roman" w:cs="Times New Roman" w:eastAsia="Times New Roman" w:hAnsi="Times New Roman"/>
                <w:sz w:val="14"/>
                <w:szCs w:val="14"/>
                <w:color w:val="auto"/>
              </w:rPr>
            </w:pPr>
            <w:hyperlink r:id="rId153">
              <w:r>
                <w:rPr>
                  <w:rFonts w:ascii="Times New Roman" w:cs="Times New Roman" w:eastAsia="Times New Roman" w:hAnsi="Times New Roman"/>
                  <w:sz w:val="14"/>
                  <w:szCs w:val="14"/>
                  <w:color w:val="auto"/>
                </w:rPr>
                <w:t>Progyny, Inc., the Lenders and Issuing Banks party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Borders>
              <w:top w:val="single" w:sz="8" w:color="auto"/>
              <w:bottom w:val="single" w:sz="8" w:color="auto"/>
            </w:tcBorders>
            <w:gridSpan w:val="15"/>
          </w:tcPr>
          <w:p>
            <w:pPr>
              <w:spacing w:after="0" w:line="139" w:lineRule="exact"/>
              <w:rPr>
                <w:rFonts w:ascii="Times New Roman" w:cs="Times New Roman" w:eastAsia="Times New Roman" w:hAnsi="Times New Roman"/>
                <w:sz w:val="14"/>
                <w:szCs w:val="14"/>
                <w:color w:val="auto"/>
              </w:rPr>
            </w:pPr>
            <w:hyperlink r:id="rId153">
              <w:r>
                <w:rPr>
                  <w:rFonts w:ascii="Times New Roman" w:cs="Times New Roman" w:eastAsia="Times New Roman" w:hAnsi="Times New Roman"/>
                  <w:sz w:val="14"/>
                  <w:szCs w:val="14"/>
                  <w:color w:val="auto"/>
                </w:rPr>
                <w:t>thereto, and JPMorgan Chase Bank, N.A., as</w:t>
              </w:r>
            </w:hyperlink>
          </w:p>
        </w:tc>
        <w:tc>
          <w:tcPr>
            <w:tcW w:w="380" w:type="dxa"/>
            <w:vAlign w:val="bottom"/>
            <w:tcBorders>
              <w:top w:val="single" w:sz="8" w:color="auto"/>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0"/>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40" w:type="dxa"/>
            <w:vAlign w:val="bottom"/>
            <w:gridSpan w:val="25"/>
          </w:tcPr>
          <w:p>
            <w:pPr>
              <w:spacing w:after="0" w:line="150" w:lineRule="exact"/>
              <w:rPr>
                <w:rFonts w:ascii="Times New Roman" w:cs="Times New Roman" w:eastAsia="Times New Roman" w:hAnsi="Times New Roman"/>
                <w:sz w:val="14"/>
                <w:szCs w:val="14"/>
                <w:color w:val="auto"/>
              </w:rPr>
            </w:pPr>
            <w:hyperlink r:id="rId153">
              <w:r>
                <w:rPr>
                  <w:rFonts w:ascii="Times New Roman" w:cs="Times New Roman" w:eastAsia="Times New Roman" w:hAnsi="Times New Roman"/>
                  <w:sz w:val="14"/>
                  <w:szCs w:val="14"/>
                  <w:color w:val="auto"/>
                </w:rPr>
                <w:t>Administrative Agent, Collateral Agent and</w:t>
              </w:r>
            </w:hyperlink>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Borders>
              <w:top w:val="single" w:sz="8" w:color="auto"/>
              <w:bottom w:val="single" w:sz="8" w:color="auto"/>
            </w:tcBorders>
            <w:gridSpan w:val="4"/>
          </w:tcPr>
          <w:p>
            <w:pPr>
              <w:spacing w:after="0" w:line="139" w:lineRule="exact"/>
              <w:rPr>
                <w:rFonts w:ascii="Times New Roman" w:cs="Times New Roman" w:eastAsia="Times New Roman" w:hAnsi="Times New Roman"/>
                <w:sz w:val="14"/>
                <w:szCs w:val="14"/>
                <w:color w:val="auto"/>
              </w:rPr>
            </w:pPr>
            <w:hyperlink r:id="rId153">
              <w:r>
                <w:rPr>
                  <w:rFonts w:ascii="Times New Roman" w:cs="Times New Roman" w:eastAsia="Times New Roman" w:hAnsi="Times New Roman"/>
                  <w:sz w:val="14"/>
                  <w:szCs w:val="14"/>
                  <w:color w:val="auto"/>
                </w:rPr>
                <w:t>Swingline Lender.</w:t>
              </w:r>
            </w:hyperlink>
          </w:p>
        </w:tc>
        <w:tc>
          <w:tcPr>
            <w:tcW w:w="1420" w:type="dxa"/>
            <w:vAlign w:val="bottom"/>
            <w:tcBorders>
              <w:top w:val="single" w:sz="8" w:color="auto"/>
            </w:tcBorders>
            <w:gridSpan w:val="10"/>
          </w:tcPr>
          <w:p>
            <w:pPr>
              <w:spacing w:after="0"/>
              <w:rPr>
                <w:sz w:val="12"/>
                <w:szCs w:val="12"/>
                <w:color w:val="auto"/>
              </w:rPr>
            </w:pPr>
          </w:p>
        </w:tc>
        <w:tc>
          <w:tcPr>
            <w:tcW w:w="1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8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2280" w:type="dxa"/>
            <w:vAlign w:val="bottom"/>
            <w:tcBorders>
              <w:bottom w:val="single" w:sz="8" w:color="auto"/>
            </w:tcBorders>
            <w:gridSpan w:val="11"/>
          </w:tcPr>
          <w:p>
            <w:pPr>
              <w:spacing w:after="0"/>
              <w:rPr>
                <w:rFonts w:ascii="Times New Roman" w:cs="Times New Roman" w:eastAsia="Times New Roman" w:hAnsi="Times New Roman"/>
                <w:sz w:val="14"/>
                <w:szCs w:val="14"/>
                <w:color w:val="auto"/>
                <w:w w:val="99"/>
              </w:rPr>
            </w:pPr>
            <w:r>
              <w:rPr>
                <w:rFonts w:ascii="Times New Roman" w:cs="Times New Roman" w:eastAsia="Times New Roman" w:hAnsi="Times New Roman"/>
                <w:sz w:val="14"/>
                <w:szCs w:val="14"/>
                <w:color w:val="auto"/>
                <w:w w:val="99"/>
              </w:rPr>
              <w:t xml:space="preserve">Form </w:t>
            </w:r>
            <w:hyperlink r:id="rId154">
              <w:r>
                <w:rPr>
                  <w:rFonts w:ascii="Times New Roman" w:cs="Times New Roman" w:eastAsia="Times New Roman" w:hAnsi="Times New Roman"/>
                  <w:sz w:val="14"/>
                  <w:szCs w:val="14"/>
                  <w:color w:val="auto"/>
                  <w:w w:val="99"/>
                </w:rPr>
                <w:t xml:space="preserve">of PSU Award </w:t>
              </w:r>
            </w:hyperlink>
            <w:r>
              <w:rPr>
                <w:rFonts w:ascii="Times New Roman" w:cs="Times New Roman" w:eastAsia="Times New Roman" w:hAnsi="Times New Roman"/>
                <w:sz w:val="14"/>
                <w:szCs w:val="14"/>
                <w:color w:val="auto"/>
                <w:w w:val="99"/>
              </w:rPr>
              <w:t xml:space="preserve">Agreement </w:t>
            </w:r>
            <w:hyperlink r:id="rId154">
              <w:r>
                <w:rPr>
                  <w:rFonts w:ascii="Times New Roman" w:cs="Times New Roman" w:eastAsia="Times New Roman" w:hAnsi="Times New Roman"/>
                  <w:sz w:val="14"/>
                  <w:szCs w:val="14"/>
                  <w:color w:val="auto"/>
                  <w:w w:val="99"/>
                </w:rPr>
                <w:t>(2022).</w:t>
              </w:r>
            </w:hyperlink>
          </w:p>
        </w:tc>
        <w:tc>
          <w:tcPr>
            <w:tcW w:w="760" w:type="dxa"/>
            <w:vAlign w:val="bottom"/>
            <w:gridSpan w:val="14"/>
          </w:tcPr>
          <w:p>
            <w:pPr>
              <w:spacing w:after="0"/>
              <w:rPr>
                <w:sz w:val="15"/>
                <w:szCs w:val="15"/>
                <w:color w:val="auto"/>
              </w:rPr>
            </w:pPr>
          </w:p>
        </w:tc>
      </w:tr>
      <w:tr>
        <w:trPr>
          <w:trHeight w:val="18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3040" w:type="dxa"/>
            <w:vAlign w:val="bottom"/>
            <w:gridSpan w:val="25"/>
          </w:tcPr>
          <w:p>
            <w:pPr>
              <w:spacing w:after="0"/>
              <w:rPr>
                <w:rFonts w:ascii="Times New Roman" w:cs="Times New Roman" w:eastAsia="Times New Roman" w:hAnsi="Times New Roman"/>
                <w:sz w:val="14"/>
                <w:szCs w:val="14"/>
                <w:color w:val="auto"/>
              </w:rPr>
            </w:pPr>
            <w:hyperlink r:id="rId155">
              <w:r>
                <w:rPr>
                  <w:rFonts w:ascii="Times New Roman" w:cs="Times New Roman" w:eastAsia="Times New Roman" w:hAnsi="Times New Roman"/>
                  <w:sz w:val="14"/>
                  <w:szCs w:val="14"/>
                  <w:color w:val="auto"/>
                </w:rPr>
                <w:t>Employment Agreement between Progyny, Inc. and</w:t>
              </w:r>
            </w:hyperlink>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80" w:type="dxa"/>
            <w:vAlign w:val="bottom"/>
            <w:tcBorders>
              <w:top w:val="single" w:sz="8" w:color="auto"/>
            </w:tcBorders>
            <w:gridSpan w:val="22"/>
          </w:tcPr>
          <w:p>
            <w:pPr>
              <w:spacing w:after="0" w:line="139" w:lineRule="exact"/>
              <w:rPr>
                <w:rFonts w:ascii="Times New Roman" w:cs="Times New Roman" w:eastAsia="Times New Roman" w:hAnsi="Times New Roman"/>
                <w:sz w:val="14"/>
                <w:szCs w:val="14"/>
                <w:color w:val="auto"/>
              </w:rPr>
            </w:pPr>
            <w:hyperlink r:id="rId155">
              <w:r>
                <w:rPr>
                  <w:rFonts w:ascii="Times New Roman" w:cs="Times New Roman" w:eastAsia="Times New Roman" w:hAnsi="Times New Roman"/>
                  <w:sz w:val="14"/>
                  <w:szCs w:val="14"/>
                  <w:color w:val="auto"/>
                </w:rPr>
                <w:t>Geoffrey Clapp.</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6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3040" w:type="dxa"/>
            <w:vAlign w:val="bottom"/>
            <w:gridSpan w:val="25"/>
          </w:tcPr>
          <w:p>
            <w:pPr>
              <w:spacing w:after="0"/>
              <w:rPr>
                <w:rFonts w:ascii="Times New Roman" w:cs="Times New Roman" w:eastAsia="Times New Roman" w:hAnsi="Times New Roman"/>
                <w:sz w:val="14"/>
                <w:szCs w:val="14"/>
                <w:color w:val="auto"/>
              </w:rPr>
            </w:pPr>
            <w:hyperlink r:id="rId156">
              <w:r>
                <w:rPr>
                  <w:rFonts w:ascii="Times New Roman" w:cs="Times New Roman" w:eastAsia="Times New Roman" w:hAnsi="Times New Roman"/>
                  <w:sz w:val="14"/>
                  <w:szCs w:val="14"/>
                  <w:color w:val="auto"/>
                </w:rPr>
                <w:t>Employment Agreement between Progyny, Inc. and</w:t>
              </w:r>
            </w:hyperlink>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Borders>
              <w:top w:val="single" w:sz="8" w:color="auto"/>
              <w:bottom w:val="single" w:sz="8" w:color="auto"/>
            </w:tcBorders>
            <w:gridSpan w:val="5"/>
          </w:tcPr>
          <w:p>
            <w:pPr>
              <w:spacing w:after="0" w:line="139" w:lineRule="exact"/>
              <w:rPr>
                <w:rFonts w:ascii="Times New Roman" w:cs="Times New Roman" w:eastAsia="Times New Roman" w:hAnsi="Times New Roman"/>
                <w:sz w:val="14"/>
                <w:szCs w:val="14"/>
                <w:color w:val="auto"/>
                <w:w w:val="99"/>
              </w:rPr>
            </w:pPr>
            <w:hyperlink r:id="rId156">
              <w:r>
                <w:rPr>
                  <w:rFonts w:ascii="Times New Roman" w:cs="Times New Roman" w:eastAsia="Times New Roman" w:hAnsi="Times New Roman"/>
                  <w:sz w:val="14"/>
                  <w:szCs w:val="14"/>
                  <w:color w:val="auto"/>
                  <w:w w:val="99"/>
                </w:rPr>
                <w:t>Melissa Cummings.</w:t>
              </w:r>
            </w:hyperlink>
          </w:p>
        </w:tc>
        <w:tc>
          <w:tcPr>
            <w:tcW w:w="1840" w:type="dxa"/>
            <w:vAlign w:val="bottom"/>
            <w:tcBorders>
              <w:top w:val="single" w:sz="8" w:color="auto"/>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8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360" w:type="dxa"/>
            <w:vAlign w:val="bottom"/>
          </w:tcPr>
          <w:p>
            <w:pPr>
              <w:spacing w:after="0"/>
              <w:rPr>
                <w:sz w:val="15"/>
                <w:szCs w:val="15"/>
                <w:color w:val="auto"/>
              </w:rPr>
            </w:pPr>
          </w:p>
        </w:tc>
        <w:tc>
          <w:tcPr>
            <w:tcW w:w="30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Consulting Agreement between Progyny, Inc. and</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Borders>
              <w:top w:val="single" w:sz="8" w:color="auto"/>
            </w:tcBorders>
            <w:gridSpan w:val="17"/>
          </w:tcPr>
          <w:p>
            <w:pPr>
              <w:spacing w:after="0" w:line="139" w:lineRule="exact"/>
              <w:rPr>
                <w:sz w:val="20"/>
                <w:szCs w:val="20"/>
                <w:color w:val="auto"/>
              </w:rPr>
            </w:pPr>
            <w:r>
              <w:rPr>
                <w:rFonts w:ascii="Times New Roman" w:cs="Times New Roman" w:eastAsia="Times New Roman" w:hAnsi="Times New Roman"/>
                <w:sz w:val="14"/>
                <w:szCs w:val="14"/>
                <w:color w:val="auto"/>
              </w:rPr>
              <w:t>Michael Sturmer.</w:t>
            </w:r>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19.1</w:t>
            </w:r>
          </w:p>
        </w:tc>
        <w:tc>
          <w:tcPr>
            <w:tcW w:w="360" w:type="dxa"/>
            <w:vAlign w:val="bottom"/>
          </w:tcPr>
          <w:p>
            <w:pPr>
              <w:spacing w:after="0"/>
              <w:rPr>
                <w:sz w:val="15"/>
                <w:szCs w:val="15"/>
                <w:color w:val="auto"/>
              </w:rPr>
            </w:pPr>
          </w:p>
        </w:tc>
        <w:tc>
          <w:tcPr>
            <w:tcW w:w="3040" w:type="dxa"/>
            <w:vAlign w:val="bottom"/>
            <w:gridSpan w:val="25"/>
          </w:tcPr>
          <w:p>
            <w:pPr>
              <w:spacing w:after="0"/>
              <w:rPr>
                <w:rFonts w:ascii="Times New Roman" w:cs="Times New Roman" w:eastAsia="Times New Roman" w:hAnsi="Times New Roman"/>
                <w:sz w:val="14"/>
                <w:szCs w:val="14"/>
                <w:color w:val="auto"/>
              </w:rPr>
            </w:pPr>
            <w:hyperlink r:id="rId157">
              <w:r>
                <w:rPr>
                  <w:rFonts w:ascii="Times New Roman" w:cs="Times New Roman" w:eastAsia="Times New Roman" w:hAnsi="Times New Roman"/>
                  <w:sz w:val="14"/>
                  <w:szCs w:val="14"/>
                  <w:color w:val="auto"/>
                </w:rPr>
                <w:t>Progyny, Inc. Statement of Policy Concerning</w:t>
              </w:r>
            </w:hyperlink>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Borders>
              <w:top w:val="single" w:sz="8" w:color="auto"/>
              <w:bottom w:val="single" w:sz="8" w:color="auto"/>
            </w:tcBorders>
            <w:gridSpan w:val="10"/>
          </w:tcPr>
          <w:p>
            <w:pPr>
              <w:spacing w:after="0" w:line="139" w:lineRule="exact"/>
              <w:rPr>
                <w:rFonts w:ascii="Times New Roman" w:cs="Times New Roman" w:eastAsia="Times New Roman" w:hAnsi="Times New Roman"/>
                <w:sz w:val="14"/>
                <w:szCs w:val="14"/>
                <w:color w:val="auto"/>
              </w:rPr>
            </w:pPr>
            <w:hyperlink r:id="rId157">
              <w:r>
                <w:rPr>
                  <w:rFonts w:ascii="Times New Roman" w:cs="Times New Roman" w:eastAsia="Times New Roman" w:hAnsi="Times New Roman"/>
                  <w:sz w:val="14"/>
                  <w:szCs w:val="14"/>
                  <w:color w:val="auto"/>
                </w:rPr>
                <w:t>Trading in Company Securities.</w:t>
              </w:r>
            </w:hyperlink>
          </w:p>
        </w:tc>
        <w:tc>
          <w:tcPr>
            <w:tcW w:w="780" w:type="dxa"/>
            <w:vAlign w:val="bottom"/>
            <w:tcBorders>
              <w:top w:val="single" w:sz="8" w:color="auto"/>
            </w:tcBorders>
            <w:gridSpan w:val="6"/>
          </w:tcPr>
          <w:p>
            <w:pPr>
              <w:spacing w:after="0"/>
              <w:rPr>
                <w:sz w:val="12"/>
                <w:szCs w:val="12"/>
                <w:color w:val="auto"/>
              </w:rPr>
            </w:pPr>
          </w:p>
        </w:tc>
        <w:tc>
          <w:tcPr>
            <w:tcW w:w="30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360" w:type="dxa"/>
            <w:vAlign w:val="bottom"/>
          </w:tcPr>
          <w:p>
            <w:pPr>
              <w:spacing w:after="0"/>
              <w:rPr>
                <w:sz w:val="16"/>
                <w:szCs w:val="16"/>
                <w:color w:val="auto"/>
              </w:rPr>
            </w:pPr>
          </w:p>
        </w:tc>
        <w:tc>
          <w:tcPr>
            <w:tcW w:w="3040" w:type="dxa"/>
            <w:vAlign w:val="bottom"/>
            <w:gridSpan w:val="25"/>
          </w:tcPr>
          <w:p>
            <w:pPr>
              <w:spacing w:after="0"/>
              <w:rPr>
                <w:rFonts w:ascii="Times New Roman" w:cs="Times New Roman" w:eastAsia="Times New Roman" w:hAnsi="Times New Roman"/>
                <w:sz w:val="14"/>
                <w:szCs w:val="14"/>
                <w:color w:val="auto"/>
              </w:rPr>
            </w:pPr>
            <w:hyperlink r:id="rId158">
              <w:r>
                <w:rPr>
                  <w:rFonts w:ascii="Times New Roman" w:cs="Times New Roman" w:eastAsia="Times New Roman" w:hAnsi="Times New Roman"/>
                  <w:sz w:val="14"/>
                  <w:szCs w:val="14"/>
                  <w:color w:val="auto"/>
                </w:rPr>
                <w:t>List of Subsidiaries.</w:t>
              </w:r>
            </w:hyperlink>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5"/>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360" w:type="dxa"/>
            <w:vAlign w:val="bottom"/>
          </w:tcPr>
          <w:p>
            <w:pPr>
              <w:spacing w:after="0"/>
              <w:rPr>
                <w:sz w:val="15"/>
                <w:szCs w:val="15"/>
                <w:color w:val="auto"/>
              </w:rPr>
            </w:pPr>
          </w:p>
        </w:tc>
        <w:tc>
          <w:tcPr>
            <w:tcW w:w="18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w w:val="99"/>
              </w:rPr>
              <w:t>Consent of Ernst &amp; Young LLP</w:t>
            </w:r>
          </w:p>
        </w:tc>
        <w:tc>
          <w:tcPr>
            <w:tcW w:w="1240" w:type="dxa"/>
            <w:vAlign w:val="bottom"/>
            <w:gridSpan w:val="16"/>
          </w:tcPr>
          <w:p>
            <w:pPr>
              <w:spacing w:after="0"/>
              <w:rPr>
                <w:sz w:val="15"/>
                <w:szCs w:val="15"/>
                <w:color w:val="auto"/>
              </w:rPr>
            </w:pPr>
          </w:p>
        </w:tc>
      </w:tr>
      <w:tr>
        <w:trPr>
          <w:trHeight w:val="1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360" w:type="dxa"/>
            <w:vAlign w:val="bottom"/>
          </w:tcPr>
          <w:p>
            <w:pPr>
              <w:spacing w:after="0"/>
              <w:rPr>
                <w:sz w:val="16"/>
                <w:szCs w:val="16"/>
                <w:color w:val="auto"/>
              </w:rPr>
            </w:pPr>
          </w:p>
        </w:tc>
        <w:tc>
          <w:tcPr>
            <w:tcW w:w="30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Power of Attorney (incorporated by reference to the</w:t>
            </w:r>
          </w:p>
        </w:tc>
      </w:tr>
      <w:tr>
        <w:trPr>
          <w:trHeight w:val="159"/>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40" w:type="dxa"/>
            <w:vAlign w:val="bottom"/>
            <w:gridSpan w:val="25"/>
          </w:tcPr>
          <w:p>
            <w:pPr>
              <w:spacing w:after="0" w:line="159" w:lineRule="exact"/>
              <w:rPr>
                <w:sz w:val="20"/>
                <w:szCs w:val="20"/>
                <w:color w:val="auto"/>
              </w:rPr>
            </w:pPr>
            <w:r>
              <w:rPr>
                <w:rFonts w:ascii="Times New Roman" w:cs="Times New Roman" w:eastAsia="Times New Roman" w:hAnsi="Times New Roman"/>
                <w:sz w:val="14"/>
                <w:szCs w:val="14"/>
                <w:color w:val="auto"/>
              </w:rPr>
              <w:t>signature pages of this Annual Report on Form 10-</w:t>
            </w:r>
          </w:p>
        </w:tc>
      </w:tr>
      <w:tr>
        <w:trPr>
          <w:trHeight w:val="184"/>
        </w:trPr>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K).</w:t>
            </w:r>
          </w:p>
        </w:tc>
      </w:tr>
      <w:tr>
        <w:trPr>
          <w:trHeight w:val="18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360" w:type="dxa"/>
            <w:vAlign w:val="bottom"/>
          </w:tcPr>
          <w:p>
            <w:pPr>
              <w:spacing w:after="0"/>
              <w:rPr>
                <w:sz w:val="15"/>
                <w:szCs w:val="15"/>
                <w:color w:val="auto"/>
              </w:rPr>
            </w:pPr>
          </w:p>
        </w:tc>
        <w:tc>
          <w:tcPr>
            <w:tcW w:w="30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Certification of Chief Executive Officer pursuant to</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Borders>
              <w:top w:val="single" w:sz="8" w:color="auto"/>
            </w:tcBorders>
            <w:gridSpan w:val="21"/>
          </w:tcPr>
          <w:p>
            <w:pPr>
              <w:spacing w:after="0" w:line="139" w:lineRule="exact"/>
              <w:rPr>
                <w:sz w:val="20"/>
                <w:szCs w:val="20"/>
                <w:color w:val="auto"/>
              </w:rPr>
            </w:pPr>
            <w:r>
              <w:rPr>
                <w:rFonts w:ascii="Times New Roman" w:cs="Times New Roman" w:eastAsia="Times New Roman" w:hAnsi="Times New Roman"/>
                <w:sz w:val="14"/>
                <w:szCs w:val="14"/>
                <w:color w:val="auto"/>
              </w:rPr>
              <w:t>Exchange Act Rule 13a-14(a).</w:t>
            </w: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6"/>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360" w:type="dxa"/>
            <w:vAlign w:val="bottom"/>
          </w:tcPr>
          <w:p>
            <w:pPr>
              <w:spacing w:after="0"/>
              <w:rPr>
                <w:sz w:val="16"/>
                <w:szCs w:val="16"/>
                <w:color w:val="auto"/>
              </w:rPr>
            </w:pPr>
          </w:p>
        </w:tc>
        <w:tc>
          <w:tcPr>
            <w:tcW w:w="30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Certification of Chief Financial Officer pursuant to</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Borders>
              <w:top w:val="single" w:sz="8" w:color="auto"/>
            </w:tcBorders>
            <w:gridSpan w:val="18"/>
          </w:tcPr>
          <w:p>
            <w:pPr>
              <w:spacing w:after="0" w:line="139" w:lineRule="exact"/>
              <w:rPr>
                <w:sz w:val="20"/>
                <w:szCs w:val="20"/>
                <w:color w:val="auto"/>
              </w:rPr>
            </w:pPr>
            <w:r>
              <w:rPr>
                <w:rFonts w:ascii="Times New Roman" w:cs="Times New Roman" w:eastAsia="Times New Roman" w:hAnsi="Times New Roman"/>
                <w:sz w:val="14"/>
                <w:szCs w:val="14"/>
                <w:color w:val="auto"/>
              </w:rPr>
              <w:t>Exchange Act Rule 13a-14(a).</w:t>
            </w: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6"/>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360" w:type="dxa"/>
            <w:vAlign w:val="bottom"/>
          </w:tcPr>
          <w:p>
            <w:pPr>
              <w:spacing w:after="0"/>
              <w:rPr>
                <w:sz w:val="16"/>
                <w:szCs w:val="16"/>
                <w:color w:val="auto"/>
              </w:rPr>
            </w:pPr>
          </w:p>
        </w:tc>
        <w:tc>
          <w:tcPr>
            <w:tcW w:w="30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Certification of Principal Executive Officer pursuant</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0" w:type="dxa"/>
            <w:vAlign w:val="bottom"/>
            <w:tcBorders>
              <w:top w:val="single" w:sz="8" w:color="auto"/>
            </w:tcBorders>
            <w:gridSpan w:val="23"/>
          </w:tcPr>
          <w:p>
            <w:pPr>
              <w:spacing w:after="0" w:line="139" w:lineRule="exact"/>
              <w:rPr>
                <w:sz w:val="20"/>
                <w:szCs w:val="20"/>
                <w:color w:val="auto"/>
              </w:rPr>
            </w:pPr>
            <w:r>
              <w:rPr>
                <w:rFonts w:ascii="Times New Roman" w:cs="Times New Roman" w:eastAsia="Times New Roman" w:hAnsi="Times New Roman"/>
                <w:sz w:val="14"/>
                <w:szCs w:val="14"/>
                <w:color w:val="auto"/>
              </w:rPr>
              <w:t>to 18 U.S.C. Section 1350.</w:t>
            </w:r>
          </w:p>
        </w:tc>
        <w:tc>
          <w:tcPr>
            <w:tcW w:w="40" w:type="dxa"/>
            <w:vAlign w:val="bottom"/>
            <w:gridSpan w:val="2"/>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6"/>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gridSpan w:val="18"/>
          </w:tcPr>
          <w:p>
            <w:pPr>
              <w:spacing w:after="0" w:line="20" w:lineRule="exact"/>
              <w:rPr>
                <w:sz w:val="1"/>
                <w:szCs w:val="1"/>
                <w:color w:val="auto"/>
              </w:rPr>
            </w:pPr>
          </w:p>
        </w:tc>
      </w:tr>
      <w:tr>
        <w:trPr>
          <w:trHeight w:val="19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360" w:type="dxa"/>
            <w:vAlign w:val="bottom"/>
          </w:tcPr>
          <w:p>
            <w:pPr>
              <w:spacing w:after="0"/>
              <w:rPr>
                <w:sz w:val="16"/>
                <w:szCs w:val="16"/>
                <w:color w:val="auto"/>
              </w:rPr>
            </w:pPr>
          </w:p>
        </w:tc>
        <w:tc>
          <w:tcPr>
            <w:tcW w:w="30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Certification of Chief Financial Officer pursuant to</w:t>
            </w: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Borders>
              <w:top w:val="single" w:sz="8" w:color="auto"/>
              <w:bottom w:val="single" w:sz="8" w:color="auto"/>
            </w:tcBorders>
            <w:gridSpan w:val="6"/>
          </w:tcPr>
          <w:p>
            <w:pPr>
              <w:spacing w:after="0" w:line="139" w:lineRule="exact"/>
              <w:rPr>
                <w:sz w:val="20"/>
                <w:szCs w:val="20"/>
                <w:color w:val="auto"/>
              </w:rPr>
            </w:pPr>
            <w:r>
              <w:rPr>
                <w:rFonts w:ascii="Times New Roman" w:cs="Times New Roman" w:eastAsia="Times New Roman" w:hAnsi="Times New Roman"/>
                <w:sz w:val="14"/>
                <w:szCs w:val="14"/>
                <w:color w:val="auto"/>
              </w:rPr>
              <w:t>18 U.S.C. Section 1350.</w:t>
            </w:r>
          </w:p>
        </w:tc>
        <w:tc>
          <w:tcPr>
            <w:tcW w:w="1520" w:type="dxa"/>
            <w:vAlign w:val="bottom"/>
            <w:tcBorders>
              <w:top w:val="single" w:sz="8" w:color="auto"/>
            </w:tcBorders>
            <w:gridSpan w:val="12"/>
          </w:tcPr>
          <w:p>
            <w:pPr>
              <w:spacing w:after="0"/>
              <w:rPr>
                <w:sz w:val="12"/>
                <w:szCs w:val="12"/>
                <w:color w:val="auto"/>
              </w:rPr>
            </w:pPr>
          </w:p>
        </w:tc>
        <w:tc>
          <w:tcPr>
            <w:tcW w:w="140" w:type="dxa"/>
            <w:vAlign w:val="bottom"/>
            <w:gridSpan w:val="7"/>
          </w:tcPr>
          <w:p>
            <w:pPr>
              <w:spacing w:after="0"/>
              <w:rPr>
                <w:sz w:val="12"/>
                <w:szCs w:val="12"/>
                <w:color w:val="auto"/>
              </w:rPr>
            </w:pPr>
          </w:p>
        </w:tc>
      </w:tr>
    </w:tbl>
    <w:p>
      <w:pPr>
        <w:spacing w:after="0" w:line="49" w:lineRule="exact"/>
        <w:rPr>
          <w:sz w:val="20"/>
          <w:szCs w:val="20"/>
          <w:color w:val="auto"/>
        </w:rPr>
      </w:pPr>
    </w:p>
    <w:p>
      <w:pPr>
        <w:ind w:left="1360" w:right="200" w:hanging="1341"/>
        <w:spacing w:after="0" w:line="268" w:lineRule="auto"/>
        <w:tabs>
          <w:tab w:leader="none" w:pos="1360" w:val="left"/>
        </w:tabs>
        <w:numPr>
          <w:ilvl w:val="0"/>
          <w:numId w:val="34"/>
        </w:numPr>
        <w:rPr>
          <w:rFonts w:ascii="Times New Roman" w:cs="Times New Roman" w:eastAsia="Times New Roman" w:hAnsi="Times New Roman"/>
          <w:sz w:val="14"/>
          <w:szCs w:val="14"/>
          <w:u w:val="single" w:color="auto"/>
          <w:color w:val="auto"/>
        </w:rPr>
      </w:pPr>
      <w:hyperlink r:id="rId159">
        <w:r>
          <w:rPr>
            <w:rFonts w:ascii="Times New Roman" w:cs="Times New Roman" w:eastAsia="Times New Roman" w:hAnsi="Times New Roman"/>
            <w:sz w:val="14"/>
            <w:szCs w:val="14"/>
            <w:u w:val="single" w:color="auto"/>
            <w:color w:val="auto"/>
          </w:rPr>
          <w:t>Progyny, Inc. Policy for Recovery of Erroneously</w:t>
        </w:r>
      </w:hyperlink>
      <w:r>
        <w:rPr>
          <w:rFonts w:ascii="Times New Roman" w:cs="Times New Roman" w:eastAsia="Times New Roman" w:hAnsi="Times New Roman"/>
          <w:sz w:val="14"/>
          <w:szCs w:val="14"/>
          <w:u w:val="single" w:color="auto"/>
          <w:color w:val="auto"/>
        </w:rPr>
        <w:t xml:space="preserve"> </w:t>
      </w:r>
      <w:hyperlink r:id="rId159">
        <w:r>
          <w:rPr>
            <w:rFonts w:ascii="Times New Roman" w:cs="Times New Roman" w:eastAsia="Times New Roman" w:hAnsi="Times New Roman"/>
            <w:sz w:val="14"/>
            <w:szCs w:val="14"/>
            <w:u w:val="single" w:color="auto"/>
            <w:color w:val="auto"/>
          </w:rPr>
          <w:t>Awarded Compensation.</w:t>
        </w:r>
      </w:hyperlink>
    </w:p>
    <w:p>
      <w:pPr>
        <w:spacing w:after="0" w:line="1" w:lineRule="exact"/>
        <w:rPr>
          <w:rFonts w:ascii="Times New Roman" w:cs="Times New Roman" w:eastAsia="Times New Roman" w:hAnsi="Times New Roman"/>
          <w:sz w:val="14"/>
          <w:szCs w:val="14"/>
          <w:color w:val="auto"/>
        </w:rPr>
      </w:pPr>
    </w:p>
    <w:tbl>
      <w:tblPr>
        <w:tblLayout w:type="fixed"/>
        <w:tblInd w:w="2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2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177"/>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2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Inline XBRL Taxonomy Extension Schema</w:t>
            </w:r>
          </w:p>
        </w:tc>
      </w:tr>
      <w:tr>
        <w:trPr>
          <w:trHeight w:val="184"/>
        </w:trPr>
        <w:tc>
          <w:tcPr>
            <w:tcW w:w="940" w:type="dxa"/>
            <w:vAlign w:val="bottom"/>
          </w:tcPr>
          <w:p>
            <w:pPr>
              <w:spacing w:after="0"/>
              <w:rPr>
                <w:sz w:val="16"/>
                <w:szCs w:val="16"/>
                <w:color w:val="auto"/>
              </w:rPr>
            </w:pPr>
          </w:p>
        </w:tc>
        <w:tc>
          <w:tcPr>
            <w:tcW w:w="2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Document.</w:t>
            </w:r>
          </w:p>
        </w:tc>
      </w:tr>
    </w:tbl>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7"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10-Q</w:t>
      </w:r>
    </w:p>
    <w:p>
      <w:pPr>
        <w:spacing w:after="0" w:line="35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10-Q</w:t>
      </w:r>
    </w:p>
    <w:p>
      <w:pPr>
        <w:spacing w:after="0" w:line="4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10-Q</w:t>
      </w:r>
    </w:p>
    <w:p>
      <w:pPr>
        <w:spacing w:after="0" w:line="4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88"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10-Q</w:t>
      </w:r>
    </w:p>
    <w:p>
      <w:pPr>
        <w:spacing w:after="0" w:line="4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10-Q</w:t>
      </w:r>
    </w:p>
    <w:p>
      <w:pPr>
        <w:spacing w:after="0" w:line="200"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10-Q</w:t>
      </w:r>
    </w:p>
    <w:p>
      <w:pPr>
        <w:spacing w:after="0" w:line="200" w:lineRule="exact"/>
        <w:rPr>
          <w:rFonts w:ascii="Times New Roman" w:cs="Times New Roman" w:eastAsia="Times New Roman" w:hAnsi="Times New Roman"/>
          <w:sz w:val="14"/>
          <w:szCs w:val="14"/>
          <w:color w:val="auto"/>
        </w:rPr>
      </w:pPr>
    </w:p>
    <w:p>
      <w:pPr>
        <w:spacing w:after="0" w:line="360"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10-K</w:t>
      </w:r>
    </w:p>
    <w:p>
      <w:pPr>
        <w:spacing w:after="0" w:line="210"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10-K</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8"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10-K</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7" w:lineRule="exact"/>
        <w:rPr>
          <w:rFonts w:ascii="Times New Roman" w:cs="Times New Roman" w:eastAsia="Times New Roman" w:hAnsi="Times New Roman"/>
          <w:sz w:val="14"/>
          <w:szCs w:val="14"/>
          <w:color w:val="auto"/>
        </w:rPr>
      </w:pPr>
    </w:p>
    <w:p>
      <w:pPr>
        <w:jc w:val="center"/>
        <w:ind w:left="-39"/>
        <w:spacing w:after="0"/>
        <w:rPr>
          <w:sz w:val="20"/>
          <w:szCs w:val="20"/>
          <w:color w:val="auto"/>
        </w:rPr>
      </w:pPr>
      <w:r>
        <w:rPr>
          <w:rFonts w:ascii="Times New Roman" w:cs="Times New Roman" w:eastAsia="Times New Roman" w:hAnsi="Times New Roman"/>
          <w:sz w:val="14"/>
          <w:szCs w:val="14"/>
          <w:color w:val="auto"/>
        </w:rPr>
        <w:t>001-39100</w:t>
      </w:r>
    </w:p>
    <w:p>
      <w:pPr>
        <w:spacing w:after="0" w:line="359" w:lineRule="exact"/>
        <w:rPr>
          <w:rFonts w:ascii="Times New Roman" w:cs="Times New Roman" w:eastAsia="Times New Roman" w:hAnsi="Times New Roman"/>
          <w:sz w:val="14"/>
          <w:szCs w:val="14"/>
          <w:color w:val="auto"/>
        </w:rPr>
      </w:pPr>
    </w:p>
    <w:p>
      <w:pPr>
        <w:ind w:left="300"/>
        <w:spacing w:after="0"/>
        <w:rPr>
          <w:sz w:val="20"/>
          <w:szCs w:val="20"/>
          <w:color w:val="auto"/>
        </w:rPr>
      </w:pPr>
      <w:r>
        <w:rPr>
          <w:rFonts w:ascii="Times New Roman" w:cs="Times New Roman" w:eastAsia="Times New Roman" w:hAnsi="Times New Roman"/>
          <w:sz w:val="14"/>
          <w:szCs w:val="14"/>
          <w:color w:val="auto"/>
        </w:rPr>
        <w:t>001-39100</w:t>
      </w:r>
    </w:p>
    <w:p>
      <w:pPr>
        <w:spacing w:after="0" w:line="41" w:lineRule="exact"/>
        <w:rPr>
          <w:rFonts w:ascii="Times New Roman" w:cs="Times New Roman" w:eastAsia="Times New Roman" w:hAnsi="Times New Roman"/>
          <w:sz w:val="14"/>
          <w:szCs w:val="14"/>
          <w:color w:val="auto"/>
        </w:rPr>
      </w:pPr>
    </w:p>
    <w:p>
      <w:pPr>
        <w:ind w:left="300"/>
        <w:spacing w:after="0"/>
        <w:rPr>
          <w:sz w:val="20"/>
          <w:szCs w:val="20"/>
          <w:color w:val="auto"/>
        </w:rPr>
      </w:pPr>
      <w:r>
        <w:rPr>
          <w:rFonts w:ascii="Times New Roman" w:cs="Times New Roman" w:eastAsia="Times New Roman" w:hAnsi="Times New Roman"/>
          <w:sz w:val="14"/>
          <w:szCs w:val="14"/>
          <w:color w:val="auto"/>
        </w:rPr>
        <w:t>001-39100</w:t>
      </w:r>
    </w:p>
    <w:p>
      <w:pPr>
        <w:spacing w:after="0" w:line="41" w:lineRule="exact"/>
        <w:rPr>
          <w:rFonts w:ascii="Times New Roman" w:cs="Times New Roman" w:eastAsia="Times New Roman" w:hAnsi="Times New Roman"/>
          <w:sz w:val="14"/>
          <w:szCs w:val="14"/>
          <w:color w:val="auto"/>
        </w:rPr>
      </w:pPr>
    </w:p>
    <w:p>
      <w:pPr>
        <w:ind w:left="300"/>
        <w:spacing w:after="0"/>
        <w:rPr>
          <w:sz w:val="20"/>
          <w:szCs w:val="20"/>
          <w:color w:val="auto"/>
        </w:rPr>
      </w:pPr>
      <w:r>
        <w:rPr>
          <w:rFonts w:ascii="Times New Roman" w:cs="Times New Roman" w:eastAsia="Times New Roman" w:hAnsi="Times New Roman"/>
          <w:sz w:val="14"/>
          <w:szCs w:val="14"/>
          <w:color w:val="auto"/>
        </w:rPr>
        <w:t>001-39100</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88" w:lineRule="exact"/>
        <w:rPr>
          <w:rFonts w:ascii="Times New Roman" w:cs="Times New Roman" w:eastAsia="Times New Roman" w:hAnsi="Times New Roman"/>
          <w:sz w:val="14"/>
          <w:szCs w:val="14"/>
          <w:color w:val="auto"/>
        </w:rPr>
      </w:pPr>
    </w:p>
    <w:p>
      <w:pPr>
        <w:ind w:left="300"/>
        <w:spacing w:after="0"/>
        <w:rPr>
          <w:sz w:val="20"/>
          <w:szCs w:val="20"/>
          <w:color w:val="auto"/>
        </w:rPr>
      </w:pPr>
      <w:r>
        <w:rPr>
          <w:rFonts w:ascii="Times New Roman" w:cs="Times New Roman" w:eastAsia="Times New Roman" w:hAnsi="Times New Roman"/>
          <w:sz w:val="14"/>
          <w:szCs w:val="14"/>
          <w:color w:val="auto"/>
        </w:rPr>
        <w:t>001-39100</w:t>
      </w:r>
    </w:p>
    <w:p>
      <w:pPr>
        <w:spacing w:after="0" w:line="41" w:lineRule="exact"/>
        <w:rPr>
          <w:rFonts w:ascii="Times New Roman" w:cs="Times New Roman" w:eastAsia="Times New Roman" w:hAnsi="Times New Roman"/>
          <w:sz w:val="14"/>
          <w:szCs w:val="14"/>
          <w:color w:val="auto"/>
        </w:rPr>
      </w:pPr>
    </w:p>
    <w:p>
      <w:pPr>
        <w:ind w:left="300"/>
        <w:spacing w:after="0"/>
        <w:rPr>
          <w:sz w:val="20"/>
          <w:szCs w:val="20"/>
          <w:color w:val="auto"/>
        </w:rPr>
      </w:pPr>
      <w:r>
        <w:rPr>
          <w:rFonts w:ascii="Times New Roman" w:cs="Times New Roman" w:eastAsia="Times New Roman" w:hAnsi="Times New Roman"/>
          <w:sz w:val="14"/>
          <w:szCs w:val="14"/>
          <w:color w:val="auto"/>
        </w:rPr>
        <w:t>001-39100</w:t>
      </w:r>
    </w:p>
    <w:p>
      <w:pPr>
        <w:spacing w:after="0" w:line="200" w:lineRule="exact"/>
        <w:rPr>
          <w:rFonts w:ascii="Times New Roman" w:cs="Times New Roman" w:eastAsia="Times New Roman" w:hAnsi="Times New Roman"/>
          <w:sz w:val="14"/>
          <w:szCs w:val="14"/>
          <w:color w:val="auto"/>
        </w:rPr>
      </w:pPr>
    </w:p>
    <w:p>
      <w:pPr>
        <w:jc w:val="center"/>
        <w:ind w:left="-39"/>
        <w:spacing w:after="0"/>
        <w:rPr>
          <w:sz w:val="20"/>
          <w:szCs w:val="20"/>
          <w:color w:val="auto"/>
        </w:rPr>
      </w:pPr>
      <w:r>
        <w:rPr>
          <w:rFonts w:ascii="Times New Roman" w:cs="Times New Roman" w:eastAsia="Times New Roman" w:hAnsi="Times New Roman"/>
          <w:sz w:val="14"/>
          <w:szCs w:val="14"/>
          <w:color w:val="auto"/>
        </w:rPr>
        <w:t>001-39100</w:t>
      </w:r>
    </w:p>
    <w:p>
      <w:pPr>
        <w:spacing w:after="0" w:line="200" w:lineRule="exact"/>
        <w:rPr>
          <w:rFonts w:ascii="Times New Roman" w:cs="Times New Roman" w:eastAsia="Times New Roman" w:hAnsi="Times New Roman"/>
          <w:sz w:val="14"/>
          <w:szCs w:val="14"/>
          <w:color w:val="auto"/>
        </w:rPr>
      </w:pPr>
    </w:p>
    <w:p>
      <w:pPr>
        <w:spacing w:after="0" w:line="360" w:lineRule="exact"/>
        <w:rPr>
          <w:rFonts w:ascii="Times New Roman" w:cs="Times New Roman" w:eastAsia="Times New Roman" w:hAnsi="Times New Roman"/>
          <w:sz w:val="14"/>
          <w:szCs w:val="14"/>
          <w:color w:val="auto"/>
        </w:rPr>
      </w:pPr>
    </w:p>
    <w:p>
      <w:pPr>
        <w:jc w:val="center"/>
        <w:ind w:left="-39"/>
        <w:spacing w:after="0"/>
        <w:rPr>
          <w:sz w:val="20"/>
          <w:szCs w:val="20"/>
          <w:color w:val="auto"/>
        </w:rPr>
      </w:pPr>
      <w:r>
        <w:rPr>
          <w:rFonts w:ascii="Times New Roman" w:cs="Times New Roman" w:eastAsia="Times New Roman" w:hAnsi="Times New Roman"/>
          <w:sz w:val="14"/>
          <w:szCs w:val="14"/>
          <w:color w:val="auto"/>
        </w:rPr>
        <w:t>001-39100</w:t>
      </w:r>
    </w:p>
    <w:p>
      <w:pPr>
        <w:spacing w:after="0" w:line="210" w:lineRule="exact"/>
        <w:rPr>
          <w:rFonts w:ascii="Times New Roman" w:cs="Times New Roman" w:eastAsia="Times New Roman" w:hAnsi="Times New Roman"/>
          <w:sz w:val="14"/>
          <w:szCs w:val="14"/>
          <w:color w:val="auto"/>
        </w:rPr>
      </w:pPr>
    </w:p>
    <w:p>
      <w:pPr>
        <w:jc w:val="center"/>
        <w:ind w:left="-39"/>
        <w:spacing w:after="0"/>
        <w:rPr>
          <w:sz w:val="20"/>
          <w:szCs w:val="20"/>
          <w:color w:val="auto"/>
        </w:rPr>
      </w:pPr>
      <w:r>
        <w:rPr>
          <w:rFonts w:ascii="Times New Roman" w:cs="Times New Roman" w:eastAsia="Times New Roman" w:hAnsi="Times New Roman"/>
          <w:sz w:val="14"/>
          <w:szCs w:val="14"/>
          <w:color w:val="auto"/>
        </w:rPr>
        <w:t>001-39100</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8" w:lineRule="exact"/>
        <w:rPr>
          <w:rFonts w:ascii="Times New Roman" w:cs="Times New Roman" w:eastAsia="Times New Roman" w:hAnsi="Times New Roman"/>
          <w:sz w:val="14"/>
          <w:szCs w:val="14"/>
          <w:color w:val="auto"/>
        </w:rPr>
      </w:pPr>
    </w:p>
    <w:p>
      <w:pPr>
        <w:jc w:val="right"/>
        <w:ind w:right="220"/>
        <w:spacing w:after="0"/>
        <w:rPr>
          <w:sz w:val="20"/>
          <w:szCs w:val="20"/>
          <w:color w:val="auto"/>
        </w:rPr>
      </w:pPr>
      <w:r>
        <w:rPr>
          <w:rFonts w:ascii="Times New Roman" w:cs="Times New Roman" w:eastAsia="Times New Roman" w:hAnsi="Times New Roman"/>
          <w:sz w:val="14"/>
          <w:szCs w:val="14"/>
          <w:color w:val="auto"/>
        </w:rPr>
        <w:t>001-39100</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9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-3526790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7" w:lineRule="exact"/>
        <w:rPr>
          <w:rFonts w:ascii="Times New Roman" w:cs="Times New Roman" w:eastAsia="Times New Roman" w:hAnsi="Times New Roman"/>
          <w:sz w:val="14"/>
          <w:szCs w:val="14"/>
          <w:color w:val="auto"/>
        </w:rPr>
      </w:pP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8/7/2020</w:t>
            </w:r>
          </w:p>
        </w:tc>
      </w:tr>
      <w:tr>
        <w:trPr>
          <w:trHeight w:val="5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5/9/2025</w:t>
            </w:r>
          </w:p>
        </w:tc>
      </w:tr>
      <w:tr>
        <w:trPr>
          <w:trHeight w:val="202"/>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5/9/2025</w:t>
            </w:r>
          </w:p>
        </w:tc>
      </w:tr>
      <w:tr>
        <w:trPr>
          <w:trHeight w:val="202"/>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7/8/2025</w:t>
            </w:r>
          </w:p>
        </w:tc>
      </w:tr>
      <w:tr>
        <w:trPr>
          <w:trHeight w:val="84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8/8/2025</w:t>
            </w:r>
          </w:p>
        </w:tc>
      </w:tr>
      <w:tr>
        <w:trPr>
          <w:trHeight w:val="202"/>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8/8/2025</w:t>
            </w:r>
          </w:p>
        </w:tc>
      </w:tr>
      <w:tr>
        <w:trPr>
          <w:trHeight w:val="36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8/8/2025</w:t>
            </w:r>
          </w:p>
        </w:tc>
      </w:tr>
      <w:tr>
        <w:trPr>
          <w:trHeight w:val="361"/>
        </w:trPr>
        <w:tc>
          <w:tcPr>
            <w:tcW w:w="580" w:type="dxa"/>
            <w:vAlign w:val="bottom"/>
          </w:tcPr>
          <w:p>
            <w:pPr>
              <w:spacing w:after="0"/>
              <w:rPr>
                <w:sz w:val="24"/>
                <w:szCs w:val="24"/>
                <w:color w:val="auto"/>
              </w:rPr>
            </w:pPr>
          </w:p>
        </w:tc>
        <w:tc>
          <w:tcPr>
            <w:tcW w:w="2660" w:type="dxa"/>
            <w:vAlign w:val="bottom"/>
          </w:tcPr>
          <w:p>
            <w:pPr>
              <w:jc w:val="center"/>
              <w:ind w:left="2469"/>
              <w:spacing w:after="0"/>
              <w:rPr>
                <w:sz w:val="20"/>
                <w:szCs w:val="20"/>
                <w:color w:val="auto"/>
              </w:rPr>
            </w:pPr>
            <w:r>
              <w:rPr>
                <w:rFonts w:ascii="Times New Roman" w:cs="Times New Roman" w:eastAsia="Times New Roman" w:hAnsi="Times New Roman"/>
                <w:sz w:val="14"/>
                <w:szCs w:val="14"/>
                <w:color w:val="auto"/>
              </w:rPr>
              <w:t>*</w:t>
            </w:r>
          </w:p>
        </w:tc>
      </w:tr>
      <w:tr>
        <w:trPr>
          <w:trHeight w:val="36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19.1</w:t>
            </w: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3/3/2025</w:t>
            </w:r>
          </w:p>
        </w:tc>
      </w:tr>
      <w:tr>
        <w:trPr>
          <w:trHeight w:val="37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3/1/2022</w:t>
            </w:r>
          </w:p>
        </w:tc>
      </w:tr>
      <w:tr>
        <w:trPr>
          <w:trHeight w:val="202"/>
        </w:trPr>
        <w:tc>
          <w:tcPr>
            <w:tcW w:w="580" w:type="dxa"/>
            <w:vAlign w:val="bottom"/>
          </w:tcPr>
          <w:p>
            <w:pPr>
              <w:spacing w:after="0"/>
              <w:rPr>
                <w:sz w:val="17"/>
                <w:szCs w:val="17"/>
                <w:color w:val="auto"/>
              </w:rPr>
            </w:pPr>
          </w:p>
        </w:tc>
        <w:tc>
          <w:tcPr>
            <w:tcW w:w="2660" w:type="dxa"/>
            <w:vAlign w:val="bottom"/>
          </w:tcPr>
          <w:p>
            <w:pPr>
              <w:jc w:val="center"/>
              <w:ind w:left="2469"/>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580" w:type="dxa"/>
            <w:vAlign w:val="bottom"/>
          </w:tcPr>
          <w:p>
            <w:pPr>
              <w:spacing w:after="0"/>
              <w:rPr>
                <w:sz w:val="17"/>
                <w:szCs w:val="17"/>
                <w:color w:val="auto"/>
              </w:rPr>
            </w:pPr>
          </w:p>
        </w:tc>
        <w:tc>
          <w:tcPr>
            <w:tcW w:w="2660" w:type="dxa"/>
            <w:vAlign w:val="bottom"/>
          </w:tcPr>
          <w:p>
            <w:pPr>
              <w:jc w:val="center"/>
              <w:ind w:left="2469"/>
              <w:spacing w:after="0"/>
              <w:rPr>
                <w:sz w:val="20"/>
                <w:szCs w:val="20"/>
                <w:color w:val="auto"/>
              </w:rPr>
            </w:pPr>
            <w:r>
              <w:rPr>
                <w:rFonts w:ascii="Times New Roman" w:cs="Times New Roman" w:eastAsia="Times New Roman" w:hAnsi="Times New Roman"/>
                <w:sz w:val="14"/>
                <w:szCs w:val="14"/>
                <w:color w:val="auto"/>
              </w:rPr>
              <w:t>*</w:t>
            </w:r>
          </w:p>
        </w:tc>
      </w:tr>
      <w:tr>
        <w:trPr>
          <w:trHeight w:val="530"/>
        </w:trPr>
        <w:tc>
          <w:tcPr>
            <w:tcW w:w="580" w:type="dxa"/>
            <w:vAlign w:val="bottom"/>
          </w:tcPr>
          <w:p>
            <w:pPr>
              <w:spacing w:after="0"/>
              <w:rPr>
                <w:sz w:val="24"/>
                <w:szCs w:val="24"/>
                <w:color w:val="auto"/>
              </w:rPr>
            </w:pPr>
          </w:p>
        </w:tc>
        <w:tc>
          <w:tcPr>
            <w:tcW w:w="2660" w:type="dxa"/>
            <w:vAlign w:val="bottom"/>
          </w:tcPr>
          <w:p>
            <w:pPr>
              <w:jc w:val="center"/>
              <w:ind w:left="2469"/>
              <w:spacing w:after="0"/>
              <w:rPr>
                <w:sz w:val="20"/>
                <w:szCs w:val="20"/>
                <w:color w:val="auto"/>
              </w:rPr>
            </w:pPr>
            <w:r>
              <w:rPr>
                <w:rFonts w:ascii="Times New Roman" w:cs="Times New Roman" w:eastAsia="Times New Roman" w:hAnsi="Times New Roman"/>
                <w:sz w:val="14"/>
                <w:szCs w:val="14"/>
                <w:color w:val="auto"/>
              </w:rPr>
              <w:t>*</w:t>
            </w:r>
          </w:p>
        </w:tc>
      </w:tr>
      <w:tr>
        <w:trPr>
          <w:trHeight w:val="371"/>
        </w:trPr>
        <w:tc>
          <w:tcPr>
            <w:tcW w:w="580" w:type="dxa"/>
            <w:vAlign w:val="bottom"/>
          </w:tcPr>
          <w:p>
            <w:pPr>
              <w:spacing w:after="0"/>
              <w:rPr>
                <w:sz w:val="24"/>
                <w:szCs w:val="24"/>
                <w:color w:val="auto"/>
              </w:rPr>
            </w:pPr>
          </w:p>
        </w:tc>
        <w:tc>
          <w:tcPr>
            <w:tcW w:w="2660" w:type="dxa"/>
            <w:vAlign w:val="bottom"/>
          </w:tcPr>
          <w:p>
            <w:pPr>
              <w:jc w:val="center"/>
              <w:ind w:left="2469"/>
              <w:spacing w:after="0"/>
              <w:rPr>
                <w:sz w:val="20"/>
                <w:szCs w:val="20"/>
                <w:color w:val="auto"/>
              </w:rPr>
            </w:pPr>
            <w:r>
              <w:rPr>
                <w:rFonts w:ascii="Times New Roman" w:cs="Times New Roman" w:eastAsia="Times New Roman" w:hAnsi="Times New Roman"/>
                <w:sz w:val="14"/>
                <w:szCs w:val="14"/>
                <w:color w:val="auto"/>
              </w:rPr>
              <w:t>*</w:t>
            </w:r>
          </w:p>
        </w:tc>
      </w:tr>
      <w:tr>
        <w:trPr>
          <w:trHeight w:val="371"/>
        </w:trPr>
        <w:tc>
          <w:tcPr>
            <w:tcW w:w="580" w:type="dxa"/>
            <w:vAlign w:val="bottom"/>
          </w:tcPr>
          <w:p>
            <w:pPr>
              <w:spacing w:after="0"/>
              <w:rPr>
                <w:sz w:val="24"/>
                <w:szCs w:val="24"/>
                <w:color w:val="auto"/>
              </w:rPr>
            </w:pPr>
          </w:p>
        </w:tc>
        <w:tc>
          <w:tcPr>
            <w:tcW w:w="2660" w:type="dxa"/>
            <w:vAlign w:val="bottom"/>
          </w:tcPr>
          <w:p>
            <w:pPr>
              <w:jc w:val="center"/>
              <w:ind w:left="2449"/>
              <w:spacing w:after="0"/>
              <w:rPr>
                <w:sz w:val="20"/>
                <w:szCs w:val="20"/>
                <w:color w:val="auto"/>
              </w:rPr>
            </w:pPr>
            <w:r>
              <w:rPr>
                <w:rFonts w:ascii="Times New Roman" w:cs="Times New Roman" w:eastAsia="Times New Roman" w:hAnsi="Times New Roman"/>
                <w:sz w:val="14"/>
                <w:szCs w:val="14"/>
                <w:color w:val="auto"/>
                <w:w w:val="99"/>
              </w:rPr>
              <w:t>**</w:t>
            </w:r>
          </w:p>
        </w:tc>
      </w:tr>
      <w:tr>
        <w:trPr>
          <w:trHeight w:val="371"/>
        </w:trPr>
        <w:tc>
          <w:tcPr>
            <w:tcW w:w="580" w:type="dxa"/>
            <w:vAlign w:val="bottom"/>
          </w:tcPr>
          <w:p>
            <w:pPr>
              <w:spacing w:after="0"/>
              <w:rPr>
                <w:sz w:val="24"/>
                <w:szCs w:val="24"/>
                <w:color w:val="auto"/>
              </w:rPr>
            </w:pPr>
          </w:p>
        </w:tc>
        <w:tc>
          <w:tcPr>
            <w:tcW w:w="2660" w:type="dxa"/>
            <w:vAlign w:val="bottom"/>
          </w:tcPr>
          <w:p>
            <w:pPr>
              <w:jc w:val="center"/>
              <w:ind w:left="2449"/>
              <w:spacing w:after="0"/>
              <w:rPr>
                <w:sz w:val="20"/>
                <w:szCs w:val="20"/>
                <w:color w:val="auto"/>
              </w:rPr>
            </w:pPr>
            <w:r>
              <w:rPr>
                <w:rFonts w:ascii="Times New Roman" w:cs="Times New Roman" w:eastAsia="Times New Roman" w:hAnsi="Times New Roman"/>
                <w:sz w:val="14"/>
                <w:szCs w:val="14"/>
                <w:color w:val="auto"/>
                <w:w w:val="99"/>
              </w:rPr>
              <w:t>**</w:t>
            </w:r>
          </w:p>
        </w:tc>
      </w:tr>
      <w:tr>
        <w:trPr>
          <w:trHeight w:val="37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97</w:t>
            </w: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2/29/2024</w:t>
            </w:r>
          </w:p>
        </w:tc>
      </w:tr>
    </w:tbl>
    <w:p>
      <w:pPr>
        <w:spacing w:after="0" w:line="378" w:lineRule="exact"/>
        <w:rPr>
          <w:rFonts w:ascii="Times New Roman" w:cs="Times New Roman" w:eastAsia="Times New Roman" w:hAnsi="Times New Roman"/>
          <w:sz w:val="14"/>
          <w:szCs w:val="14"/>
          <w:color w:val="auto"/>
        </w:rPr>
      </w:pPr>
    </w:p>
    <w:p>
      <w:pPr>
        <w:ind w:left="314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4">
            <w:col w:w="4380" w:space="140"/>
            <w:col w:w="300" w:space="720"/>
            <w:col w:w="1160" w:space="720"/>
            <w:col w:w="3240"/>
          </w:cols>
          <w:pgMar w:left="300" w:top="286" w:right="9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24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835"/>
        </w:trPr>
        <w:tc>
          <w:tcPr>
            <w:tcW w:w="10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180" w:type="dxa"/>
            <w:vAlign w:val="bottom"/>
          </w:tcPr>
          <w:p>
            <w:pPr>
              <w:spacing w:after="0"/>
              <w:rPr>
                <w:sz w:val="24"/>
                <w:szCs w:val="24"/>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Calculation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Linkbase Document.</w:t>
            </w:r>
          </w:p>
        </w:tc>
        <w:tc>
          <w:tcPr>
            <w:tcW w:w="3220" w:type="dxa"/>
            <w:vAlign w:val="bottom"/>
          </w:tcPr>
          <w:p>
            <w:pPr>
              <w:spacing w:after="0"/>
              <w:rPr>
                <w:sz w:val="16"/>
                <w:szCs w:val="16"/>
                <w:color w:val="auto"/>
              </w:rPr>
            </w:pPr>
          </w:p>
        </w:tc>
      </w:tr>
      <w:tr>
        <w:trPr>
          <w:trHeight w:val="17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Definition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Linkbase Document.</w:t>
            </w:r>
          </w:p>
        </w:tc>
        <w:tc>
          <w:tcPr>
            <w:tcW w:w="3220" w:type="dxa"/>
            <w:vAlign w:val="bottom"/>
          </w:tcPr>
          <w:p>
            <w:pPr>
              <w:spacing w:after="0"/>
              <w:rPr>
                <w:sz w:val="16"/>
                <w:szCs w:val="16"/>
                <w:color w:val="auto"/>
              </w:rPr>
            </w:pPr>
          </w:p>
        </w:tc>
      </w:tr>
      <w:tr>
        <w:trPr>
          <w:trHeight w:val="17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Label Linkbase</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Document.</w:t>
            </w:r>
          </w:p>
        </w:tc>
        <w:tc>
          <w:tcPr>
            <w:tcW w:w="3220" w:type="dxa"/>
            <w:vAlign w:val="bottom"/>
          </w:tcPr>
          <w:p>
            <w:pPr>
              <w:spacing w:after="0"/>
              <w:rPr>
                <w:sz w:val="16"/>
                <w:szCs w:val="16"/>
                <w:color w:val="auto"/>
              </w:rPr>
            </w:pPr>
          </w:p>
        </w:tc>
      </w:tr>
      <w:tr>
        <w:trPr>
          <w:trHeight w:val="17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Presentation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Linkbase Document.</w:t>
            </w:r>
          </w:p>
        </w:tc>
        <w:tc>
          <w:tcPr>
            <w:tcW w:w="3220" w:type="dxa"/>
            <w:vAlign w:val="bottom"/>
          </w:tcPr>
          <w:p>
            <w:pPr>
              <w:spacing w:after="0"/>
              <w:rPr>
                <w:sz w:val="16"/>
                <w:szCs w:val="16"/>
                <w:color w:val="auto"/>
              </w:rPr>
            </w:pPr>
          </w:p>
        </w:tc>
      </w:tr>
      <w:tr>
        <w:trPr>
          <w:trHeight w:val="177"/>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80" w:type="dxa"/>
            <w:vAlign w:val="bottom"/>
          </w:tcPr>
          <w:p>
            <w:pPr>
              <w:spacing w:after="0"/>
              <w:rPr>
                <w:sz w:val="15"/>
                <w:szCs w:val="15"/>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Cover Page Interactive Data File (embedded within</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Inline XBRL document).</w:t>
            </w:r>
          </w:p>
        </w:tc>
        <w:tc>
          <w:tcPr>
            <w:tcW w:w="32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174498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17449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83" w:lineRule="exact"/>
        <w:rPr>
          <w:sz w:val="20"/>
          <w:szCs w:val="20"/>
          <w:color w:val="auto"/>
        </w:rPr>
      </w:pPr>
    </w:p>
    <w:p>
      <w:pPr>
        <w:ind w:left="5540" w:right="3520" w:hanging="5535"/>
        <w:spacing w:after="0" w:line="983" w:lineRule="auto"/>
        <w:tabs>
          <w:tab w:leader="none" w:pos="113"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or arrangement in which any director or executive officer participates.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-280670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40"/>
          </w:cols>
          <w:pgMar w:left="300" w:top="286" w:right="9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FORM 10-K SUMMARY</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95"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Section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255" w:lineRule="exact"/>
        <w:rPr>
          <w:sz w:val="20"/>
          <w:szCs w:val="20"/>
          <w:color w:val="auto"/>
        </w:rPr>
      </w:pPr>
    </w:p>
    <w:p>
      <w:pPr>
        <w:ind w:left="20"/>
        <w:spacing w:after="0"/>
        <w:tabs>
          <w:tab w:leader="none" w:pos="6180" w:val="left"/>
          <w:tab w:leader="none" w:pos="8200" w:val="left"/>
        </w:tabs>
        <w:rPr>
          <w:sz w:val="20"/>
          <w:szCs w:val="20"/>
          <w:color w:val="auto"/>
        </w:rPr>
      </w:pPr>
      <w:r>
        <w:rPr>
          <w:rFonts w:ascii="Times New Roman" w:cs="Times New Roman" w:eastAsia="Times New Roman" w:hAnsi="Times New Roman"/>
          <w:sz w:val="14"/>
          <w:szCs w:val="14"/>
          <w:color w:val="auto"/>
        </w:rPr>
        <w:t>Date: February 27,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21590</wp:posOffset>
            </wp:positionV>
            <wp:extent cx="309245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31"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color w:val="auto"/>
        </w:rPr>
        <w:t>Peter Anevski</w:t>
      </w:r>
    </w:p>
    <w:p>
      <w:pPr>
        <w:spacing w:after="0" w:line="41"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39"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Peter Anevski and Mark Livingston,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9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as of February 27, 2026.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36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0"/>
        </w:trPr>
        <w:tc>
          <w:tcPr>
            <w:tcW w:w="2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31"/>
        </w:trPr>
        <w:tc>
          <w:tcPr>
            <w:tcW w:w="4640" w:type="dxa"/>
            <w:vAlign w:val="bottom"/>
            <w:tcBorders>
              <w:bottom w:val="single" w:sz="8" w:color="auto"/>
            </w:tcBorders>
            <w:gridSpan w:val="3"/>
          </w:tcPr>
          <w:p>
            <w:pPr>
              <w:jc w:val="center"/>
              <w:ind w:left="989"/>
              <w:spacing w:after="0"/>
              <w:rPr>
                <w:sz w:val="20"/>
                <w:szCs w:val="20"/>
                <w:color w:val="auto"/>
              </w:rPr>
            </w:pPr>
            <w:r>
              <w:rPr>
                <w:rFonts w:ascii="Times New Roman" w:cs="Times New Roman" w:eastAsia="Times New Roman" w:hAnsi="Times New Roman"/>
                <w:sz w:val="14"/>
                <w:szCs w:val="14"/>
                <w:color w:val="auto"/>
              </w:rPr>
              <w:t>/s/ PETER ANEVSKI</w:t>
            </w:r>
          </w:p>
        </w:tc>
        <w:tc>
          <w:tcPr>
            <w:tcW w:w="1040" w:type="dxa"/>
            <w:vAlign w:val="bottom"/>
            <w:tcBorders>
              <w:bottom w:val="single" w:sz="8" w:color="auto"/>
            </w:tcBorders>
          </w:tcPr>
          <w:p>
            <w:pPr>
              <w:spacing w:after="0"/>
              <w:rPr>
                <w:sz w:val="24"/>
                <w:szCs w:val="24"/>
                <w:color w:val="auto"/>
              </w:rPr>
            </w:pPr>
          </w:p>
        </w:tc>
        <w:tc>
          <w:tcPr>
            <w:tcW w:w="4020" w:type="dxa"/>
            <w:vAlign w:val="bottom"/>
            <w:gridSpan w:val="3"/>
          </w:tcPr>
          <w:p>
            <w:pPr>
              <w:jc w:val="center"/>
              <w:ind w:left="1529"/>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87"/>
        </w:trPr>
        <w:tc>
          <w:tcPr>
            <w:tcW w:w="4640" w:type="dxa"/>
            <w:vAlign w:val="bottom"/>
            <w:gridSpan w:val="3"/>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Peter Anevski</w:t>
            </w:r>
          </w:p>
        </w:tc>
        <w:tc>
          <w:tcPr>
            <w:tcW w:w="1040" w:type="dxa"/>
            <w:vAlign w:val="bottom"/>
          </w:tcPr>
          <w:p>
            <w:pPr>
              <w:spacing w:after="0"/>
              <w:rPr>
                <w:sz w:val="16"/>
                <w:szCs w:val="16"/>
                <w:color w:val="auto"/>
              </w:rPr>
            </w:pPr>
          </w:p>
        </w:tc>
        <w:tc>
          <w:tcPr>
            <w:tcW w:w="4020" w:type="dxa"/>
            <w:vAlign w:val="bottom"/>
            <w:gridSpan w:val="3"/>
          </w:tcPr>
          <w:p>
            <w:pPr>
              <w:jc w:val="center"/>
              <w:ind w:left="1529"/>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419"/>
        </w:trPr>
        <w:tc>
          <w:tcPr>
            <w:tcW w:w="4640" w:type="dxa"/>
            <w:vAlign w:val="bottom"/>
            <w:tcBorders>
              <w:bottom w:val="single" w:sz="8" w:color="auto"/>
            </w:tcBorders>
            <w:gridSpan w:val="3"/>
          </w:tcPr>
          <w:p>
            <w:pPr>
              <w:jc w:val="center"/>
              <w:ind w:left="969"/>
              <w:spacing w:after="0"/>
              <w:rPr>
                <w:sz w:val="20"/>
                <w:szCs w:val="20"/>
                <w:color w:val="auto"/>
              </w:rPr>
            </w:pPr>
            <w:r>
              <w:rPr>
                <w:rFonts w:ascii="Times New Roman" w:cs="Times New Roman" w:eastAsia="Times New Roman" w:hAnsi="Times New Roman"/>
                <w:sz w:val="14"/>
                <w:szCs w:val="14"/>
                <w:color w:val="auto"/>
              </w:rPr>
              <w:t>/s/ MARK LIVINGSTON</w:t>
            </w:r>
          </w:p>
        </w:tc>
        <w:tc>
          <w:tcPr>
            <w:tcW w:w="1040" w:type="dxa"/>
            <w:vAlign w:val="bottom"/>
            <w:tcBorders>
              <w:bottom w:val="single" w:sz="8" w:color="auto"/>
            </w:tcBorders>
          </w:tcPr>
          <w:p>
            <w:pPr>
              <w:spacing w:after="0"/>
              <w:rPr>
                <w:sz w:val="24"/>
                <w:szCs w:val="24"/>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7"/>
        </w:trPr>
        <w:tc>
          <w:tcPr>
            <w:tcW w:w="4640" w:type="dxa"/>
            <w:vAlign w:val="bottom"/>
            <w:gridSpan w:val="3"/>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rPr>
              <w:t>Mark Livingston</w:t>
            </w:r>
          </w:p>
        </w:tc>
        <w:tc>
          <w:tcPr>
            <w:tcW w:w="1040" w:type="dxa"/>
            <w:vAlign w:val="bottom"/>
          </w:tcPr>
          <w:p>
            <w:pPr>
              <w:spacing w:after="0"/>
              <w:rPr>
                <w:sz w:val="16"/>
                <w:szCs w:val="16"/>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430"/>
        </w:trPr>
        <w:tc>
          <w:tcPr>
            <w:tcW w:w="4640" w:type="dxa"/>
            <w:vAlign w:val="bottom"/>
            <w:tcBorders>
              <w:bottom w:val="single" w:sz="8" w:color="auto"/>
            </w:tcBorders>
            <w:gridSpan w:val="3"/>
          </w:tcPr>
          <w:p>
            <w:pPr>
              <w:jc w:val="center"/>
              <w:ind w:left="969"/>
              <w:spacing w:after="0"/>
              <w:rPr>
                <w:sz w:val="20"/>
                <w:szCs w:val="20"/>
                <w:color w:val="auto"/>
              </w:rPr>
            </w:pPr>
            <w:r>
              <w:rPr>
                <w:rFonts w:ascii="Times New Roman" w:cs="Times New Roman" w:eastAsia="Times New Roman" w:hAnsi="Times New Roman"/>
                <w:sz w:val="14"/>
                <w:szCs w:val="14"/>
                <w:color w:val="auto"/>
                <w:w w:val="99"/>
              </w:rPr>
              <w:t>/s/ DAVID SCHLANGER</w:t>
            </w:r>
          </w:p>
        </w:tc>
        <w:tc>
          <w:tcPr>
            <w:tcW w:w="1040" w:type="dxa"/>
            <w:vAlign w:val="bottom"/>
            <w:tcBorders>
              <w:bottom w:val="single" w:sz="8" w:color="auto"/>
            </w:tcBorders>
          </w:tcPr>
          <w:p>
            <w:pPr>
              <w:spacing w:after="0"/>
              <w:rPr>
                <w:sz w:val="24"/>
                <w:szCs w:val="24"/>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Executive Chairman</w:t>
            </w:r>
          </w:p>
        </w:tc>
      </w:tr>
      <w:tr>
        <w:trPr>
          <w:trHeight w:val="187"/>
        </w:trPr>
        <w:tc>
          <w:tcPr>
            <w:tcW w:w="4640" w:type="dxa"/>
            <w:vAlign w:val="bottom"/>
            <w:gridSpan w:val="3"/>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David Schlanger</w:t>
            </w:r>
          </w:p>
        </w:tc>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30"/>
        </w:trPr>
        <w:tc>
          <w:tcPr>
            <w:tcW w:w="4640" w:type="dxa"/>
            <w:vAlign w:val="bottom"/>
            <w:tcBorders>
              <w:bottom w:val="single" w:sz="8" w:color="auto"/>
            </w:tcBorders>
            <w:gridSpan w:val="3"/>
          </w:tcPr>
          <w:p>
            <w:pPr>
              <w:jc w:val="center"/>
              <w:ind w:left="989"/>
              <w:spacing w:after="0"/>
              <w:rPr>
                <w:sz w:val="20"/>
                <w:szCs w:val="20"/>
                <w:color w:val="auto"/>
              </w:rPr>
            </w:pPr>
            <w:r>
              <w:rPr>
                <w:rFonts w:ascii="Times New Roman" w:cs="Times New Roman" w:eastAsia="Times New Roman" w:hAnsi="Times New Roman"/>
                <w:sz w:val="14"/>
                <w:szCs w:val="14"/>
                <w:color w:val="auto"/>
              </w:rPr>
              <w:t>/s/ ELIZABETH BIERBOWER</w:t>
            </w:r>
          </w:p>
        </w:tc>
        <w:tc>
          <w:tcPr>
            <w:tcW w:w="1040" w:type="dxa"/>
            <w:vAlign w:val="bottom"/>
            <w:tcBorders>
              <w:bottom w:val="single" w:sz="8" w:color="auto"/>
            </w:tcBorders>
          </w:tcPr>
          <w:p>
            <w:pPr>
              <w:spacing w:after="0"/>
              <w:rPr>
                <w:sz w:val="24"/>
                <w:szCs w:val="24"/>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Director</w:t>
            </w:r>
          </w:p>
        </w:tc>
      </w:tr>
      <w:tr>
        <w:trPr>
          <w:trHeight w:val="187"/>
        </w:trPr>
        <w:tc>
          <w:tcPr>
            <w:tcW w:w="4640" w:type="dxa"/>
            <w:vAlign w:val="bottom"/>
            <w:gridSpan w:val="3"/>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Elizabeth Bierbower</w:t>
            </w:r>
          </w:p>
        </w:tc>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19"/>
        </w:trPr>
        <w:tc>
          <w:tcPr>
            <w:tcW w:w="4640" w:type="dxa"/>
            <w:vAlign w:val="bottom"/>
            <w:tcBorders>
              <w:bottom w:val="single" w:sz="8" w:color="auto"/>
            </w:tcBorders>
            <w:gridSpan w:val="3"/>
          </w:tcPr>
          <w:p>
            <w:pPr>
              <w:jc w:val="center"/>
              <w:ind w:left="969"/>
              <w:spacing w:after="0"/>
              <w:rPr>
                <w:sz w:val="20"/>
                <w:szCs w:val="20"/>
                <w:color w:val="auto"/>
              </w:rPr>
            </w:pPr>
            <w:r>
              <w:rPr>
                <w:rFonts w:ascii="Times New Roman" w:cs="Times New Roman" w:eastAsia="Times New Roman" w:hAnsi="Times New Roman"/>
                <w:sz w:val="14"/>
                <w:szCs w:val="14"/>
                <w:color w:val="auto"/>
              </w:rPr>
              <w:t>/s/ LLOYD DEAN</w:t>
            </w:r>
          </w:p>
        </w:tc>
        <w:tc>
          <w:tcPr>
            <w:tcW w:w="1040" w:type="dxa"/>
            <w:vAlign w:val="bottom"/>
            <w:tcBorders>
              <w:bottom w:val="single" w:sz="8" w:color="auto"/>
            </w:tcBorders>
          </w:tcPr>
          <w:p>
            <w:pPr>
              <w:spacing w:after="0"/>
              <w:rPr>
                <w:sz w:val="24"/>
                <w:szCs w:val="24"/>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Director</w:t>
            </w:r>
          </w:p>
        </w:tc>
      </w:tr>
      <w:tr>
        <w:trPr>
          <w:trHeight w:val="187"/>
        </w:trPr>
        <w:tc>
          <w:tcPr>
            <w:tcW w:w="4640" w:type="dxa"/>
            <w:vAlign w:val="bottom"/>
            <w:gridSpan w:val="3"/>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rPr>
              <w:t>Lloyd Dean</w:t>
            </w:r>
          </w:p>
        </w:tc>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19"/>
        </w:trPr>
        <w:tc>
          <w:tcPr>
            <w:tcW w:w="4640" w:type="dxa"/>
            <w:vAlign w:val="bottom"/>
            <w:tcBorders>
              <w:bottom w:val="single" w:sz="8" w:color="auto"/>
            </w:tcBorders>
            <w:gridSpan w:val="3"/>
          </w:tcPr>
          <w:p>
            <w:pPr>
              <w:jc w:val="center"/>
              <w:ind w:left="969"/>
              <w:spacing w:after="0"/>
              <w:rPr>
                <w:sz w:val="20"/>
                <w:szCs w:val="20"/>
                <w:color w:val="auto"/>
              </w:rPr>
            </w:pPr>
            <w:r>
              <w:rPr>
                <w:rFonts w:ascii="Times New Roman" w:cs="Times New Roman" w:eastAsia="Times New Roman" w:hAnsi="Times New Roman"/>
                <w:sz w:val="14"/>
                <w:szCs w:val="14"/>
                <w:color w:val="auto"/>
              </w:rPr>
              <w:t>/s/ KEVIN GORDON</w:t>
            </w:r>
          </w:p>
        </w:tc>
        <w:tc>
          <w:tcPr>
            <w:tcW w:w="1040" w:type="dxa"/>
            <w:vAlign w:val="bottom"/>
            <w:tcBorders>
              <w:bottom w:val="single" w:sz="8" w:color="auto"/>
            </w:tcBorders>
          </w:tcPr>
          <w:p>
            <w:pPr>
              <w:spacing w:after="0"/>
              <w:rPr>
                <w:sz w:val="24"/>
                <w:szCs w:val="24"/>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Director</w:t>
            </w:r>
          </w:p>
        </w:tc>
      </w:tr>
      <w:tr>
        <w:trPr>
          <w:trHeight w:val="187"/>
        </w:trPr>
        <w:tc>
          <w:tcPr>
            <w:tcW w:w="4640" w:type="dxa"/>
            <w:vAlign w:val="bottom"/>
            <w:gridSpan w:val="3"/>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Kevin Gordon</w:t>
            </w:r>
          </w:p>
        </w:tc>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19"/>
        </w:trPr>
        <w:tc>
          <w:tcPr>
            <w:tcW w:w="4640" w:type="dxa"/>
            <w:vAlign w:val="bottom"/>
            <w:tcBorders>
              <w:bottom w:val="single" w:sz="8" w:color="auto"/>
            </w:tcBorders>
            <w:gridSpan w:val="3"/>
          </w:tcPr>
          <w:p>
            <w:pPr>
              <w:jc w:val="center"/>
              <w:ind w:left="989"/>
              <w:spacing w:after="0"/>
              <w:rPr>
                <w:sz w:val="20"/>
                <w:szCs w:val="20"/>
                <w:color w:val="auto"/>
              </w:rPr>
            </w:pPr>
            <w:r>
              <w:rPr>
                <w:rFonts w:ascii="Times New Roman" w:cs="Times New Roman" w:eastAsia="Times New Roman" w:hAnsi="Times New Roman"/>
                <w:sz w:val="14"/>
                <w:szCs w:val="14"/>
                <w:color w:val="auto"/>
              </w:rPr>
              <w:t>/s/ ROGER HOLSTEIN</w:t>
            </w:r>
          </w:p>
        </w:tc>
        <w:tc>
          <w:tcPr>
            <w:tcW w:w="1040" w:type="dxa"/>
            <w:vAlign w:val="bottom"/>
            <w:tcBorders>
              <w:bottom w:val="single" w:sz="8" w:color="auto"/>
            </w:tcBorders>
          </w:tcPr>
          <w:p>
            <w:pPr>
              <w:spacing w:after="0"/>
              <w:rPr>
                <w:sz w:val="24"/>
                <w:szCs w:val="24"/>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Director</w:t>
            </w:r>
          </w:p>
        </w:tc>
      </w:tr>
      <w:tr>
        <w:trPr>
          <w:trHeight w:val="187"/>
        </w:trPr>
        <w:tc>
          <w:tcPr>
            <w:tcW w:w="4640" w:type="dxa"/>
            <w:vAlign w:val="bottom"/>
            <w:gridSpan w:val="3"/>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Roger Holstein</w:t>
            </w:r>
          </w:p>
        </w:tc>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30"/>
        </w:trPr>
        <w:tc>
          <w:tcPr>
            <w:tcW w:w="4640" w:type="dxa"/>
            <w:vAlign w:val="bottom"/>
            <w:tcBorders>
              <w:bottom w:val="single" w:sz="8" w:color="auto"/>
            </w:tcBorders>
            <w:gridSpan w:val="3"/>
          </w:tcPr>
          <w:p>
            <w:pPr>
              <w:jc w:val="center"/>
              <w:ind w:left="989"/>
              <w:spacing w:after="0"/>
              <w:rPr>
                <w:sz w:val="20"/>
                <w:szCs w:val="20"/>
                <w:color w:val="auto"/>
              </w:rPr>
            </w:pPr>
            <w:r>
              <w:rPr>
                <w:rFonts w:ascii="Times New Roman" w:cs="Times New Roman" w:eastAsia="Times New Roman" w:hAnsi="Times New Roman"/>
                <w:sz w:val="14"/>
                <w:szCs w:val="14"/>
                <w:color w:val="auto"/>
              </w:rPr>
              <w:t>/s/ DEBRA MORRIS</w:t>
            </w:r>
          </w:p>
        </w:tc>
        <w:tc>
          <w:tcPr>
            <w:tcW w:w="1040" w:type="dxa"/>
            <w:vAlign w:val="bottom"/>
            <w:tcBorders>
              <w:bottom w:val="single" w:sz="8" w:color="auto"/>
            </w:tcBorders>
          </w:tcPr>
          <w:p>
            <w:pPr>
              <w:spacing w:after="0"/>
              <w:rPr>
                <w:sz w:val="24"/>
                <w:szCs w:val="24"/>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Director</w:t>
            </w:r>
          </w:p>
        </w:tc>
      </w:tr>
      <w:tr>
        <w:trPr>
          <w:trHeight w:val="187"/>
        </w:trPr>
        <w:tc>
          <w:tcPr>
            <w:tcW w:w="4640" w:type="dxa"/>
            <w:vAlign w:val="bottom"/>
            <w:gridSpan w:val="3"/>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Debra Morris</w:t>
            </w:r>
          </w:p>
        </w:tc>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19"/>
        </w:trPr>
        <w:tc>
          <w:tcPr>
            <w:tcW w:w="4640" w:type="dxa"/>
            <w:vAlign w:val="bottom"/>
            <w:tcBorders>
              <w:bottom w:val="single" w:sz="8" w:color="auto"/>
            </w:tcBorders>
            <w:gridSpan w:val="3"/>
          </w:tcPr>
          <w:p>
            <w:pPr>
              <w:jc w:val="center"/>
              <w:ind w:left="969"/>
              <w:spacing w:after="0"/>
              <w:rPr>
                <w:sz w:val="20"/>
                <w:szCs w:val="20"/>
                <w:color w:val="auto"/>
              </w:rPr>
            </w:pPr>
            <w:r>
              <w:rPr>
                <w:rFonts w:ascii="Times New Roman" w:cs="Times New Roman" w:eastAsia="Times New Roman" w:hAnsi="Times New Roman"/>
                <w:sz w:val="14"/>
                <w:szCs w:val="14"/>
                <w:color w:val="auto"/>
              </w:rPr>
              <w:t>/s/ JEFFREY PARK</w:t>
            </w:r>
          </w:p>
        </w:tc>
        <w:tc>
          <w:tcPr>
            <w:tcW w:w="1040" w:type="dxa"/>
            <w:vAlign w:val="bottom"/>
            <w:tcBorders>
              <w:bottom w:val="single" w:sz="8" w:color="auto"/>
            </w:tcBorders>
          </w:tcPr>
          <w:p>
            <w:pPr>
              <w:spacing w:after="0"/>
              <w:rPr>
                <w:sz w:val="24"/>
                <w:szCs w:val="24"/>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Lead Independent Director</w:t>
            </w:r>
          </w:p>
        </w:tc>
      </w:tr>
      <w:tr>
        <w:trPr>
          <w:trHeight w:val="187"/>
        </w:trPr>
        <w:tc>
          <w:tcPr>
            <w:tcW w:w="4640" w:type="dxa"/>
            <w:vAlign w:val="bottom"/>
            <w:gridSpan w:val="3"/>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Jeffrey Park</w:t>
            </w:r>
          </w:p>
        </w:tc>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30"/>
        </w:trPr>
        <w:tc>
          <w:tcPr>
            <w:tcW w:w="4640" w:type="dxa"/>
            <w:vAlign w:val="bottom"/>
            <w:tcBorders>
              <w:bottom w:val="single" w:sz="8" w:color="auto"/>
            </w:tcBorders>
            <w:gridSpan w:val="3"/>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4"/>
                <w:szCs w:val="14"/>
                <w:color w:val="auto"/>
                <w:w w:val="98"/>
              </w:rPr>
              <w:t>s</w:t>
            </w:r>
            <w:r>
              <w:rPr>
                <w:rFonts w:ascii="Times New Roman" w:cs="Times New Roman" w:eastAsia="Times New Roman" w:hAnsi="Times New Roman"/>
                <w:sz w:val="14"/>
                <w:szCs w:val="14"/>
                <w:b w:val="1"/>
                <w:bCs w:val="1"/>
                <w:color w:val="auto"/>
                <w:w w:val="98"/>
              </w:rPr>
              <w:t xml:space="preserve">/ </w:t>
            </w:r>
            <w:r>
              <w:rPr>
                <w:rFonts w:ascii="Times New Roman" w:cs="Times New Roman" w:eastAsia="Times New Roman" w:hAnsi="Times New Roman"/>
                <w:sz w:val="14"/>
                <w:szCs w:val="14"/>
                <w:color w:val="auto"/>
                <w:w w:val="98"/>
              </w:rPr>
              <w:t>NORMAN PAYSON</w:t>
            </w:r>
          </w:p>
        </w:tc>
        <w:tc>
          <w:tcPr>
            <w:tcW w:w="1040" w:type="dxa"/>
            <w:vAlign w:val="bottom"/>
            <w:tcBorders>
              <w:bottom w:val="single" w:sz="8" w:color="auto"/>
            </w:tcBorders>
          </w:tcPr>
          <w:p>
            <w:pPr>
              <w:spacing w:after="0"/>
              <w:rPr>
                <w:sz w:val="24"/>
                <w:szCs w:val="24"/>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Director</w:t>
            </w:r>
          </w:p>
        </w:tc>
      </w:tr>
      <w:tr>
        <w:trPr>
          <w:trHeight w:val="187"/>
        </w:trPr>
        <w:tc>
          <w:tcPr>
            <w:tcW w:w="4640" w:type="dxa"/>
            <w:vAlign w:val="bottom"/>
            <w:gridSpan w:val="3"/>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Norman Payson, M.D.</w:t>
            </w:r>
          </w:p>
        </w:tc>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19"/>
        </w:trPr>
        <w:tc>
          <w:tcPr>
            <w:tcW w:w="4640" w:type="dxa"/>
            <w:vAlign w:val="bottom"/>
            <w:tcBorders>
              <w:bottom w:val="single" w:sz="8" w:color="auto"/>
            </w:tcBorders>
            <w:gridSpan w:val="3"/>
          </w:tcPr>
          <w:p>
            <w:pPr>
              <w:jc w:val="center"/>
              <w:ind w:left="969"/>
              <w:spacing w:after="0"/>
              <w:rPr>
                <w:sz w:val="20"/>
                <w:szCs w:val="20"/>
                <w:color w:val="auto"/>
              </w:rPr>
            </w:pPr>
            <w:r>
              <w:rPr>
                <w:rFonts w:ascii="Times New Roman" w:cs="Times New Roman" w:eastAsia="Times New Roman" w:hAnsi="Times New Roman"/>
                <w:sz w:val="14"/>
                <w:szCs w:val="14"/>
                <w:color w:val="auto"/>
                <w:w w:val="99"/>
              </w:rPr>
              <w:t>/s/ CHERYL SCOTT</w:t>
            </w:r>
          </w:p>
        </w:tc>
        <w:tc>
          <w:tcPr>
            <w:tcW w:w="1040" w:type="dxa"/>
            <w:vAlign w:val="bottom"/>
            <w:tcBorders>
              <w:bottom w:val="single" w:sz="8" w:color="auto"/>
            </w:tcBorders>
          </w:tcPr>
          <w:p>
            <w:pPr>
              <w:spacing w:after="0"/>
              <w:rPr>
                <w:sz w:val="24"/>
                <w:szCs w:val="24"/>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Director</w:t>
            </w:r>
          </w:p>
        </w:tc>
      </w:tr>
      <w:tr>
        <w:trPr>
          <w:trHeight w:val="187"/>
        </w:trPr>
        <w:tc>
          <w:tcPr>
            <w:tcW w:w="4640" w:type="dxa"/>
            <w:vAlign w:val="bottom"/>
            <w:gridSpan w:val="3"/>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Cheryl Scott</w:t>
            </w:r>
          </w:p>
        </w:tc>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721"/>
        </w:trPr>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00" w:type="dxa"/>
            <w:vAlign w:val="bottom"/>
            <w:gridSpan w:val="2"/>
          </w:tcPr>
          <w:p>
            <w:pPr>
              <w:jc w:val="right"/>
              <w:ind w:right="2509"/>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80"/>
          </w:cols>
          <w:pgMar w:left="300" w:top="294"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6"/>
          <w:szCs w:val="16"/>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PROGYNY, INC. SECURITIES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i w:val="1"/>
          <w:iCs w:val="1"/>
          <w:color w:val="auto"/>
        </w:rPr>
        <w:t>As of December 31, 2025, Progyny, Inc. had one class of securities registered under Section 12 of the Securities Exchange Act of 1934, as amended, or the Exchange Act: our common stock, par value $0.0001 per share. When we use the words “we,” “us,” “our” or the “Company,” we are referring to Progyny, Inc.</w:t>
      </w:r>
    </w:p>
    <w:p>
      <w:pPr>
        <w:spacing w:after="0" w:line="110"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4"/>
          <w:szCs w:val="14"/>
          <w:i w:val="1"/>
          <w:iCs w:val="1"/>
          <w:color w:val="auto"/>
        </w:rPr>
        <w:t>The following description of our capital stock is a summary and does not purport to be complete. It is subject to, and qualified in its entirety by reference to, the applicable provisions of our amended and restated certificate of incorporation, which we refer to as our “certificate of incorporation” and our second amended and restated bylaws, which we refer to as our “bylaws.”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i w:val="1"/>
          <w:iCs w:val="1"/>
          <w:color w:val="auto"/>
        </w:rPr>
        <w:t>certificate of incorporation and bylaws are incorporated by reference as Exhibits 3.1 and 3.2, respectively, to our Annual Report on Form 10-K for the year ended December 31, 2025, of which this Exhibit 4.6 is a part. We encourage you to read our certificate of incorporation, our bylaws and the applicable provisions of the Delaware General Corporation Law for more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Our authorized capital stock consists of 1,100,000,000 shares, all with a par value of $0.0001 per share, consisting of 1,000,000,000 shares of common stock and 100,000,000 shares of preferred stock. Our common stock is listed on the Nasdaq Global Select Market under the symbol “PGNY.”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79" w:lineRule="exact"/>
        <w:rPr>
          <w:sz w:val="20"/>
          <w:szCs w:val="20"/>
          <w:color w:val="auto"/>
        </w:rPr>
      </w:pPr>
    </w:p>
    <w:p>
      <w:pPr>
        <w:jc w:val="both"/>
        <w:ind w:firstLine="509"/>
        <w:spacing w:after="0" w:line="229" w:lineRule="auto"/>
        <w:rPr>
          <w:sz w:val="20"/>
          <w:szCs w:val="20"/>
          <w:color w:val="auto"/>
        </w:rPr>
      </w:pPr>
      <w:r>
        <w:rPr>
          <w:rFonts w:ascii="Times New Roman" w:cs="Times New Roman" w:eastAsia="Times New Roman" w:hAnsi="Times New Roman"/>
          <w:sz w:val="14"/>
          <w:szCs w:val="14"/>
          <w:b w:val="1"/>
          <w:bCs w:val="1"/>
          <w:color w:val="auto"/>
        </w:rPr>
        <w:t xml:space="preserve">Voting rights. </w:t>
      </w:r>
      <w:r>
        <w:rPr>
          <w:rFonts w:ascii="Times New Roman" w:cs="Times New Roman" w:eastAsia="Times New Roman" w:hAnsi="Times New Roman"/>
          <w:sz w:val="14"/>
          <w:szCs w:val="14"/>
          <w:color w:val="auto"/>
        </w:rPr>
        <w:t>The common stock is entitled to one vote per share on any matter that is submitted to a vote of our stockholders, including the election of directors. Our certificate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incorporation does not provide for cumulative voting for the election of directors. Accordingly, the holders of a majority of the outstanding shares of common stock entitled to vote in any election of directors can elect all of the directors standing for election, if they so choose, other than any directors that holders of any redeemable convertible preferred stock we may issue may be entitled to elect.</w:t>
      </w:r>
    </w:p>
    <w:p>
      <w:pPr>
        <w:spacing w:after="0" w:line="15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b w:val="1"/>
          <w:bCs w:val="1"/>
          <w:color w:val="auto"/>
        </w:rPr>
        <w:t xml:space="preserve">Dividend rights. </w:t>
      </w:r>
      <w:r>
        <w:rPr>
          <w:rFonts w:ascii="Times New Roman" w:cs="Times New Roman" w:eastAsia="Times New Roman" w:hAnsi="Times New Roman"/>
          <w:sz w:val="14"/>
          <w:szCs w:val="14"/>
          <w:color w:val="auto"/>
        </w:rPr>
        <w:t>Subject to preferences that may be applicable to any then outstanding redeemable convertible preferred stock, holders of common stock are entitled to receive ratably those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dividends, if any, as may be declared by the board of directors out of legally available funds.</w:t>
      </w:r>
    </w:p>
    <w:p>
      <w:pPr>
        <w:spacing w:after="0" w:line="14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Rights upon liquidation. </w:t>
      </w:r>
      <w:r>
        <w:rPr>
          <w:rFonts w:ascii="Times New Roman" w:cs="Times New Roman" w:eastAsia="Times New Roman" w:hAnsi="Times New Roman"/>
          <w:sz w:val="14"/>
          <w:szCs w:val="14"/>
          <w:color w:val="auto"/>
        </w:rPr>
        <w:t>In the event of our liquidation, dissolution, or winding up, the holders of common stock will be entitled to share ratably in the assets legally available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distribution to stockholders after the payment of or provision for all of our debts and other liabilities, subject to the prior rights of any redeemable convertible preferred stock then outstanding.</w:t>
      </w:r>
    </w:p>
    <w:p>
      <w:pPr>
        <w:spacing w:after="0" w:line="131"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4"/>
          <w:szCs w:val="14"/>
          <w:b w:val="1"/>
          <w:bCs w:val="1"/>
          <w:color w:val="auto"/>
        </w:rPr>
        <w:t xml:space="preserve">Other rights. </w:t>
      </w:r>
      <w:r>
        <w:rPr>
          <w:rFonts w:ascii="Times New Roman" w:cs="Times New Roman" w:eastAsia="Times New Roman" w:hAnsi="Times New Roman"/>
          <w:sz w:val="14"/>
          <w:szCs w:val="14"/>
          <w:color w:val="auto"/>
        </w:rPr>
        <w:t>Holders of common stock have no preemptive or conversion rights or other subscription rights, and there are no redemption or sinking funds provisions applicable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 stock. All outstanding shares of common stock are duly authorized, validly issued, fully paid, and nonassessable. The rights, preferences and privileges of holders of common stock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and may be adversely affected by the rights of the holders of shares of any series of redeemable convertible preferred stock that we may designate and issue in the future.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Certificate of Incorporation and Bylaws</w:t>
      </w:r>
    </w:p>
    <w:p>
      <w:pPr>
        <w:spacing w:after="0" w:line="181"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4"/>
          <w:szCs w:val="14"/>
          <w:color w:val="auto"/>
        </w:rPr>
        <w:t>Because our stockholders do not have cumulative voting rights, stockholders holding a majority of the voting power of our shares of common stock will be able to elect all of our directors. Our certificate of incorporation and bylaws provide for stockholder actions at a duly called meeting of stockholders, and not by consent in writing. A special meeting of stockholders may be called only by a majority of our board of directors, the chair of our board of directors, our chief executive officer or our lead independent director. Our bylaws establish an advance notice procedure for</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stockholder proposals to be brought before an annual meeting of our stockholders, including proposed nominations of persons for election to our board of directors. In accordance with our certificate of incorporation, our board of directors is divided into three classes with staggered three-year terms. Our certificate of incorporation further provides that our directors may be removed for cause only upon the vote of at least two-thirds of our outstanding shares of voting stock. Further, our certificate of incorporation requires the approval of our board of directors or the holders of at least two-thirds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our outstanding shares of voting stock to amend our bylaws and certain provisions of our certificate of incorporation.</w:t>
      </w:r>
    </w:p>
    <w:p>
      <w:pPr>
        <w:sectPr>
          <w:pgSz w:w="11900" w:h="16838" w:orient="portrait"/>
          <w:cols w:equalWidth="0" w:num="1">
            <w:col w:w="11280"/>
          </w:cols>
          <w:pgMar w:left="300" w:top="129" w:right="319" w:bottom="1440" w:gutter="0" w:footer="0" w:header="0"/>
        </w:sectPr>
      </w:pPr>
    </w:p>
    <w:bookmarkStart w:id="105" w:name="page106"/>
    <w:bookmarkEnd w:id="105"/>
    <w:p>
      <w:pPr>
        <w:jc w:val="both"/>
        <w:ind w:firstLine="509"/>
        <w:spacing w:after="0" w:line="225" w:lineRule="auto"/>
        <w:rPr>
          <w:sz w:val="20"/>
          <w:szCs w:val="20"/>
          <w:color w:val="auto"/>
        </w:rPr>
      </w:pPr>
      <w:r>
        <w:rPr>
          <w:rFonts w:ascii="Times New Roman" w:cs="Times New Roman" w:eastAsia="Times New Roman" w:hAnsi="Times New Roman"/>
          <w:sz w:val="14"/>
          <w:szCs w:val="14"/>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preferred stock makes it possible for our board of directors to issue preferred stock with voting or other rights or preferences that could impede the success of any attempt to change our control.</w:t>
      </w:r>
    </w:p>
    <w:p>
      <w:pPr>
        <w:spacing w:after="0" w:line="152" w:lineRule="exact"/>
        <w:rPr>
          <w:sz w:val="20"/>
          <w:szCs w:val="20"/>
          <w:color w:val="auto"/>
        </w:rPr>
      </w:pPr>
    </w:p>
    <w:p>
      <w:pPr>
        <w:jc w:val="both"/>
        <w:ind w:firstLine="509"/>
        <w:spacing w:after="0" w:line="225" w:lineRule="auto"/>
        <w:rPr>
          <w:sz w:val="20"/>
          <w:szCs w:val="20"/>
          <w:color w:val="auto"/>
        </w:rPr>
      </w:pPr>
      <w:r>
        <w:rPr>
          <w:rFonts w:ascii="Times New Roman" w:cs="Times New Roman" w:eastAsia="Times New Roman" w:hAnsi="Times New Roman"/>
          <w:sz w:val="14"/>
          <w:szCs w:val="14"/>
          <w:color w:val="auto"/>
        </w:rPr>
        <w:t>These provisions are intended to preserve our existing control structure, facilitate our continued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Delaware General Corporation Law</w:t>
      </w:r>
    </w:p>
    <w:p>
      <w:pPr>
        <w:spacing w:after="0" w:line="170" w:lineRule="exact"/>
        <w:rPr>
          <w:sz w:val="20"/>
          <w:szCs w:val="20"/>
          <w:color w:val="auto"/>
        </w:rPr>
      </w:pPr>
    </w:p>
    <w:p>
      <w:pPr>
        <w:jc w:val="both"/>
        <w:ind w:firstLine="509"/>
        <w:spacing w:after="0" w:line="225" w:lineRule="auto"/>
        <w:rPr>
          <w:sz w:val="20"/>
          <w:szCs w:val="20"/>
          <w:color w:val="auto"/>
        </w:rPr>
      </w:pPr>
      <w:r>
        <w:rPr>
          <w:rFonts w:ascii="Times New Roman" w:cs="Times New Roman" w:eastAsia="Times New Roman" w:hAnsi="Times New Roman"/>
          <w:sz w:val="14"/>
          <w:szCs w:val="14"/>
          <w:color w:val="auto"/>
        </w:rPr>
        <w:t>We are subject to Section 203 of the Delaware General Corporation Law, or DGCL, which prohibits a Delaware corporation from engaging in any business combination with any interested stockholder for a period of three years after the date that such stockholder became an interested stockholder, subject to certain exceptions. The existence of this provision would be expected to have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an anti-takeover effect with respect to transactions not approved in advance by our board of directors, including discouraging takeover attempts that might result in a premium over the market price for the shares of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Choice of Forum</w:t>
      </w:r>
    </w:p>
    <w:p>
      <w:pPr>
        <w:spacing w:after="0" w:line="181"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4"/>
          <w:szCs w:val="14"/>
          <w:color w:val="auto"/>
        </w:rPr>
        <w:t>Our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exclusive forum for actions or proceedings brought under Delaware statutory or common law, including: (1) any derivative action or proceeding brought on our behalf; (2) any action asserting a</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breach of fiduciary duty; (3) any action asserting a claim against us arising under the DGCL; (4) any action regarding our certificate of incorporation or our bylaws; (5) any action as to which the DGCL confers jurisdiction to the Court of Chancery of the State of Delaware; or (6) any action asserting a claim against us that is governed by the internal affairs doctrine. This provision would not apply to claims brought to enforce a duty or liability created by the Exchange Act or any other claim for which the federal courts have exclusive jurisdiction.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w:t>
      </w:r>
    </w:p>
    <w:p>
      <w:pPr>
        <w:sectPr>
          <w:pgSz w:w="11900" w:h="16838" w:orient="portrait"/>
          <w:cols w:equalWidth="0" w:num="1">
            <w:col w:w="11280"/>
          </w:cols>
          <w:pgMar w:left="300" w:top="1133" w:right="319" w:bottom="1440"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79" w:lineRule="exact"/>
        <w:rPr>
          <w:sz w:val="20"/>
          <w:szCs w:val="20"/>
          <w:color w:val="auto"/>
        </w:rPr>
      </w:pPr>
    </w:p>
    <w:p>
      <w:pPr>
        <w:ind w:left="720" w:hanging="206"/>
        <w:spacing w:after="0"/>
        <w:tabs>
          <w:tab w:leader="none" w:pos="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(No. 333-285523) pertaining to the following plans:</w:t>
      </w:r>
    </w:p>
    <w:p>
      <w:pPr>
        <w:spacing w:after="0" w:line="14" w:lineRule="exact"/>
        <w:rPr>
          <w:rFonts w:ascii="Times New Roman" w:cs="Times New Roman" w:eastAsia="Times New Roman" w:hAnsi="Times New Roman"/>
          <w:sz w:val="14"/>
          <w:szCs w:val="14"/>
          <w:color w:val="auto"/>
        </w:rPr>
      </w:pPr>
    </w:p>
    <w:p>
      <w:pPr>
        <w:ind w:left="1020" w:hanging="251"/>
        <w:spacing w:after="0" w:line="236" w:lineRule="auto"/>
        <w:tabs>
          <w:tab w:leader="none" w:pos="1020" w:val="left"/>
        </w:tabs>
        <w:numPr>
          <w:ilvl w:val="1"/>
          <w:numId w:val="36"/>
        </w:numPr>
        <w:rPr>
          <w:rFonts w:ascii="Arial" w:cs="Arial" w:eastAsia="Arial" w:hAnsi="Arial"/>
          <w:sz w:val="14"/>
          <w:szCs w:val="14"/>
          <w:color w:val="auto"/>
        </w:rPr>
      </w:pPr>
      <w:r>
        <w:rPr>
          <w:rFonts w:ascii="Times New Roman" w:cs="Times New Roman" w:eastAsia="Times New Roman" w:hAnsi="Times New Roman"/>
          <w:sz w:val="14"/>
          <w:szCs w:val="14"/>
          <w:color w:val="auto"/>
        </w:rPr>
        <w:t>2019 Equity Incentive Plan</w:t>
      </w:r>
    </w:p>
    <w:p>
      <w:pPr>
        <w:ind w:left="1020" w:hanging="251"/>
        <w:spacing w:after="0" w:line="21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2019 Employee Stock Purchase Plan</w:t>
      </w:r>
    </w:p>
    <w:p>
      <w:pPr>
        <w:spacing w:after="0" w:line="166" w:lineRule="exact"/>
        <w:rPr>
          <w:rFonts w:ascii="Arial" w:cs="Arial" w:eastAsia="Arial" w:hAnsi="Arial"/>
          <w:sz w:val="16"/>
          <w:szCs w:val="16"/>
          <w:color w:val="auto"/>
        </w:rPr>
      </w:pPr>
    </w:p>
    <w:p>
      <w:pPr>
        <w:ind w:left="720" w:hanging="206"/>
        <w:spacing w:after="0"/>
        <w:tabs>
          <w:tab w:leader="none" w:pos="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(No. 333-277528) pertaining to the following plans:</w:t>
      </w:r>
    </w:p>
    <w:p>
      <w:pPr>
        <w:spacing w:after="0" w:line="3" w:lineRule="exact"/>
        <w:rPr>
          <w:rFonts w:ascii="Times New Roman" w:cs="Times New Roman" w:eastAsia="Times New Roman" w:hAnsi="Times New Roman"/>
          <w:sz w:val="14"/>
          <w:szCs w:val="14"/>
          <w:color w:val="auto"/>
        </w:rPr>
      </w:pPr>
    </w:p>
    <w:p>
      <w:pPr>
        <w:ind w:left="1020" w:hanging="251"/>
        <w:spacing w:after="0" w:line="236" w:lineRule="auto"/>
        <w:tabs>
          <w:tab w:leader="none" w:pos="1020" w:val="left"/>
        </w:tabs>
        <w:numPr>
          <w:ilvl w:val="1"/>
          <w:numId w:val="36"/>
        </w:numPr>
        <w:rPr>
          <w:rFonts w:ascii="Arial" w:cs="Arial" w:eastAsia="Arial" w:hAnsi="Arial"/>
          <w:sz w:val="14"/>
          <w:szCs w:val="14"/>
          <w:color w:val="auto"/>
        </w:rPr>
      </w:pPr>
      <w:r>
        <w:rPr>
          <w:rFonts w:ascii="Times New Roman" w:cs="Times New Roman" w:eastAsia="Times New Roman" w:hAnsi="Times New Roman"/>
          <w:sz w:val="14"/>
          <w:szCs w:val="14"/>
          <w:color w:val="auto"/>
        </w:rPr>
        <w:t>2019 Equity Incentive Plan</w:t>
      </w:r>
    </w:p>
    <w:p>
      <w:pPr>
        <w:ind w:left="1020" w:hanging="251"/>
        <w:spacing w:after="0" w:line="21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2019 Employee Stock Purchase Plan</w:t>
      </w:r>
    </w:p>
    <w:p>
      <w:pPr>
        <w:spacing w:after="0" w:line="166" w:lineRule="exact"/>
        <w:rPr>
          <w:rFonts w:ascii="Arial" w:cs="Arial" w:eastAsia="Arial" w:hAnsi="Arial"/>
          <w:sz w:val="16"/>
          <w:szCs w:val="16"/>
          <w:color w:val="auto"/>
        </w:rPr>
      </w:pPr>
    </w:p>
    <w:p>
      <w:pPr>
        <w:ind w:left="720" w:hanging="206"/>
        <w:spacing w:after="0"/>
        <w:tabs>
          <w:tab w:leader="none" w:pos="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(No. 333-270198) pertaining to the following plans:</w:t>
      </w:r>
    </w:p>
    <w:p>
      <w:pPr>
        <w:spacing w:after="0" w:line="14" w:lineRule="exact"/>
        <w:rPr>
          <w:rFonts w:ascii="Times New Roman" w:cs="Times New Roman" w:eastAsia="Times New Roman" w:hAnsi="Times New Roman"/>
          <w:sz w:val="14"/>
          <w:szCs w:val="14"/>
          <w:color w:val="auto"/>
        </w:rPr>
      </w:pPr>
    </w:p>
    <w:p>
      <w:pPr>
        <w:ind w:left="1020" w:hanging="251"/>
        <w:spacing w:after="0" w:line="21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2019 Equity Incentive Plan</w:t>
      </w:r>
    </w:p>
    <w:p>
      <w:pPr>
        <w:spacing w:after="0" w:line="1" w:lineRule="exact"/>
        <w:rPr>
          <w:rFonts w:ascii="Arial" w:cs="Arial" w:eastAsia="Arial" w:hAnsi="Arial"/>
          <w:sz w:val="16"/>
          <w:szCs w:val="16"/>
          <w:color w:val="auto"/>
        </w:rPr>
      </w:pPr>
    </w:p>
    <w:p>
      <w:pPr>
        <w:ind w:left="1020" w:hanging="251"/>
        <w:spacing w:after="0" w:line="21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2019 Employee Stock Purchase Plan</w:t>
      </w:r>
    </w:p>
    <w:p>
      <w:pPr>
        <w:spacing w:after="0" w:line="155" w:lineRule="exact"/>
        <w:rPr>
          <w:rFonts w:ascii="Arial" w:cs="Arial" w:eastAsia="Arial" w:hAnsi="Arial"/>
          <w:sz w:val="16"/>
          <w:szCs w:val="16"/>
          <w:color w:val="auto"/>
        </w:rPr>
      </w:pPr>
    </w:p>
    <w:p>
      <w:pPr>
        <w:ind w:left="720" w:hanging="206"/>
        <w:spacing w:after="0"/>
        <w:tabs>
          <w:tab w:leader="none" w:pos="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(No. 333-263240) pertaining to the following plans:</w:t>
      </w:r>
    </w:p>
    <w:p>
      <w:pPr>
        <w:spacing w:after="0" w:line="23" w:lineRule="exact"/>
        <w:rPr>
          <w:rFonts w:ascii="Times New Roman" w:cs="Times New Roman" w:eastAsia="Times New Roman" w:hAnsi="Times New Roman"/>
          <w:sz w:val="14"/>
          <w:szCs w:val="14"/>
          <w:color w:val="auto"/>
        </w:rPr>
      </w:pPr>
    </w:p>
    <w:p>
      <w:pPr>
        <w:ind w:left="1020" w:hanging="251"/>
        <w:spacing w:after="0" w:line="20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2019 Equity Incentive Plan</w:t>
      </w:r>
    </w:p>
    <w:p>
      <w:pPr>
        <w:ind w:left="1020" w:hanging="251"/>
        <w:spacing w:after="0" w:line="21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2019 Employee Stock Purchase Plan</w:t>
      </w:r>
    </w:p>
    <w:p>
      <w:pPr>
        <w:spacing w:after="0" w:line="166" w:lineRule="exact"/>
        <w:rPr>
          <w:rFonts w:ascii="Arial" w:cs="Arial" w:eastAsia="Arial" w:hAnsi="Arial"/>
          <w:sz w:val="16"/>
          <w:szCs w:val="16"/>
          <w:color w:val="auto"/>
        </w:rPr>
      </w:pPr>
    </w:p>
    <w:p>
      <w:pPr>
        <w:ind w:left="720" w:hanging="206"/>
        <w:spacing w:after="0"/>
        <w:tabs>
          <w:tab w:leader="none" w:pos="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(No. 333-253787) pertaining to the following plans:</w:t>
      </w:r>
    </w:p>
    <w:p>
      <w:pPr>
        <w:spacing w:after="0" w:line="14" w:lineRule="exact"/>
        <w:rPr>
          <w:rFonts w:ascii="Times New Roman" w:cs="Times New Roman" w:eastAsia="Times New Roman" w:hAnsi="Times New Roman"/>
          <w:sz w:val="14"/>
          <w:szCs w:val="14"/>
          <w:color w:val="auto"/>
        </w:rPr>
      </w:pPr>
    </w:p>
    <w:p>
      <w:pPr>
        <w:ind w:left="1020" w:hanging="251"/>
        <w:spacing w:after="0" w:line="21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2019 Equity Incentive Plan</w:t>
      </w:r>
    </w:p>
    <w:p>
      <w:pPr>
        <w:spacing w:after="0" w:line="1" w:lineRule="exact"/>
        <w:rPr>
          <w:rFonts w:ascii="Arial" w:cs="Arial" w:eastAsia="Arial" w:hAnsi="Arial"/>
          <w:sz w:val="16"/>
          <w:szCs w:val="16"/>
          <w:color w:val="auto"/>
        </w:rPr>
      </w:pPr>
    </w:p>
    <w:p>
      <w:pPr>
        <w:ind w:left="1020" w:hanging="251"/>
        <w:spacing w:after="0" w:line="21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2019 Employee Stock Purchase Plan</w:t>
      </w:r>
    </w:p>
    <w:p>
      <w:pPr>
        <w:spacing w:after="0" w:line="166" w:lineRule="exact"/>
        <w:rPr>
          <w:rFonts w:ascii="Arial" w:cs="Arial" w:eastAsia="Arial" w:hAnsi="Arial"/>
          <w:sz w:val="16"/>
          <w:szCs w:val="16"/>
          <w:color w:val="auto"/>
        </w:rPr>
      </w:pPr>
    </w:p>
    <w:p>
      <w:pPr>
        <w:ind w:left="720" w:hanging="206"/>
        <w:spacing w:after="0"/>
        <w:tabs>
          <w:tab w:leader="none" w:pos="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(No. 333-237072) pertaining to the following plans:</w:t>
      </w:r>
    </w:p>
    <w:p>
      <w:pPr>
        <w:spacing w:after="0" w:line="14" w:lineRule="exact"/>
        <w:rPr>
          <w:rFonts w:ascii="Times New Roman" w:cs="Times New Roman" w:eastAsia="Times New Roman" w:hAnsi="Times New Roman"/>
          <w:sz w:val="14"/>
          <w:szCs w:val="14"/>
          <w:color w:val="auto"/>
        </w:rPr>
      </w:pPr>
    </w:p>
    <w:p>
      <w:pPr>
        <w:ind w:left="1020" w:hanging="251"/>
        <w:spacing w:after="0" w:line="21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2019 Equity Incentive Plan</w:t>
      </w:r>
    </w:p>
    <w:p>
      <w:pPr>
        <w:spacing w:after="0" w:line="166" w:lineRule="exact"/>
        <w:rPr>
          <w:rFonts w:ascii="Arial" w:cs="Arial" w:eastAsia="Arial" w:hAnsi="Arial"/>
          <w:sz w:val="16"/>
          <w:szCs w:val="16"/>
          <w:color w:val="auto"/>
        </w:rPr>
      </w:pPr>
    </w:p>
    <w:p>
      <w:pPr>
        <w:ind w:left="720" w:hanging="206"/>
        <w:spacing w:after="0"/>
        <w:tabs>
          <w:tab w:leader="none" w:pos="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(No. 333-234342) pertaining to the following plans:</w:t>
      </w:r>
    </w:p>
    <w:p>
      <w:pPr>
        <w:spacing w:after="0" w:line="14" w:lineRule="exact"/>
        <w:rPr>
          <w:rFonts w:ascii="Times New Roman" w:cs="Times New Roman" w:eastAsia="Times New Roman" w:hAnsi="Times New Roman"/>
          <w:sz w:val="14"/>
          <w:szCs w:val="14"/>
          <w:color w:val="auto"/>
        </w:rPr>
      </w:pPr>
    </w:p>
    <w:p>
      <w:pPr>
        <w:ind w:left="1020" w:hanging="251"/>
        <w:spacing w:after="0" w:line="21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2019 Equity Incentive Plan</w:t>
      </w:r>
    </w:p>
    <w:p>
      <w:pPr>
        <w:spacing w:after="0" w:line="1" w:lineRule="exact"/>
        <w:rPr>
          <w:rFonts w:ascii="Arial" w:cs="Arial" w:eastAsia="Arial" w:hAnsi="Arial"/>
          <w:sz w:val="16"/>
          <w:szCs w:val="16"/>
          <w:color w:val="auto"/>
        </w:rPr>
      </w:pPr>
    </w:p>
    <w:p>
      <w:pPr>
        <w:ind w:left="1020" w:hanging="251"/>
        <w:spacing w:after="0" w:line="207"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2019 Employee Stock Purchase Plan</w:t>
      </w:r>
    </w:p>
    <w:p>
      <w:pPr>
        <w:ind w:left="1020" w:hanging="251"/>
        <w:spacing w:after="0" w:line="21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2017 Equity Incentive Plan</w:t>
      </w:r>
    </w:p>
    <w:p>
      <w:pPr>
        <w:spacing w:after="0" w:line="1" w:lineRule="exact"/>
        <w:rPr>
          <w:rFonts w:ascii="Arial" w:cs="Arial" w:eastAsia="Arial" w:hAnsi="Arial"/>
          <w:sz w:val="16"/>
          <w:szCs w:val="16"/>
          <w:color w:val="auto"/>
        </w:rPr>
      </w:pPr>
    </w:p>
    <w:p>
      <w:pPr>
        <w:ind w:left="1020" w:hanging="251"/>
        <w:spacing w:after="0" w:line="219" w:lineRule="auto"/>
        <w:tabs>
          <w:tab w:leader="none" w:pos="1020"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4"/>
          <w:szCs w:val="14"/>
          <w:color w:val="auto"/>
        </w:rPr>
        <w:t>2008 Stock Plan</w:t>
      </w:r>
    </w:p>
    <w:p>
      <w:pPr>
        <w:spacing w:after="0" w:line="283"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of our reports dated February 27, 2026, with respect to the consolidated financial statements of Progyny, Inc. and the effectiveness of internal control over financial reporting of Progyny, Inc. included in this Annual Report (Form 10-K) of Progyny, Inc. for the year ended December 31, 2025.</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2026</w:t>
      </w:r>
    </w:p>
    <w:p>
      <w:pPr>
        <w:sectPr>
          <w:pgSz w:w="11900" w:h="16838" w:orient="portrait"/>
          <w:cols w:equalWidth="0" w:num="1">
            <w:col w:w="11280"/>
          </w:cols>
          <w:pgMar w:left="300" w:top="123" w:right="3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Peter Anevski, certify that:</w:t>
      </w:r>
    </w:p>
    <w:p>
      <w:pPr>
        <w:spacing w:after="0" w:line="147" w:lineRule="exact"/>
        <w:rPr>
          <w:sz w:val="20"/>
          <w:szCs w:val="20"/>
          <w:color w:val="auto"/>
        </w:rPr>
      </w:pPr>
    </w:p>
    <w:p>
      <w:pPr>
        <w:ind w:left="520" w:hanging="515"/>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Progyny, Inc.;</w:t>
      </w:r>
    </w:p>
    <w:p>
      <w:pPr>
        <w:spacing w:after="0" w:line="146" w:lineRule="exact"/>
        <w:rPr>
          <w:rFonts w:ascii="Times New Roman" w:cs="Times New Roman" w:eastAsia="Times New Roman" w:hAnsi="Times New Roman"/>
          <w:sz w:val="14"/>
          <w:szCs w:val="14"/>
          <w:color w:val="auto"/>
        </w:rPr>
      </w:pPr>
    </w:p>
    <w:p>
      <w:pPr>
        <w:ind w:left="520" w:hanging="515"/>
        <w:spacing w:after="0" w:line="271"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Times New Roman" w:cs="Times New Roman" w:eastAsia="Times New Roman" w:hAnsi="Times New Roman"/>
          <w:sz w:val="14"/>
          <w:szCs w:val="14"/>
          <w:color w:val="auto"/>
        </w:rPr>
      </w:pPr>
    </w:p>
    <w:p>
      <w:pPr>
        <w:ind w:left="520" w:hanging="515"/>
        <w:spacing w:after="0" w:line="271"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jc w:val="both"/>
        <w:ind w:left="1020" w:hanging="506"/>
        <w:spacing w:after="0" w:line="259" w:lineRule="auto"/>
        <w:tabs>
          <w:tab w:leader="none" w:pos="1012"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7" w:lineRule="exact"/>
        <w:rPr>
          <w:rFonts w:ascii="Times New Roman" w:cs="Times New Roman" w:eastAsia="Times New Roman" w:hAnsi="Times New Roman"/>
          <w:sz w:val="14"/>
          <w:szCs w:val="14"/>
          <w:color w:val="auto"/>
        </w:rPr>
      </w:pPr>
    </w:p>
    <w:p>
      <w:pPr>
        <w:jc w:val="both"/>
        <w:ind w:left="1020" w:hanging="506"/>
        <w:spacing w:after="0" w:line="259" w:lineRule="auto"/>
        <w:tabs>
          <w:tab w:leader="none" w:pos="10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7" w:lineRule="exact"/>
        <w:rPr>
          <w:rFonts w:ascii="Times New Roman" w:cs="Times New Roman" w:eastAsia="Times New Roman" w:hAnsi="Times New Roman"/>
          <w:sz w:val="14"/>
          <w:szCs w:val="14"/>
          <w:color w:val="auto"/>
        </w:rPr>
      </w:pPr>
    </w:p>
    <w:p>
      <w:pPr>
        <w:ind w:left="1020" w:hanging="506"/>
        <w:spacing w:after="0" w:line="271" w:lineRule="auto"/>
        <w:tabs>
          <w:tab w:leader="none" w:pos="1012"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4"/>
          <w:szCs w:val="14"/>
          <w:color w:val="auto"/>
        </w:rPr>
      </w:pPr>
    </w:p>
    <w:p>
      <w:pPr>
        <w:ind w:left="520" w:hanging="515"/>
        <w:spacing w:after="0" w:line="271"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020" w:hanging="506"/>
        <w:spacing w:after="0" w:line="271" w:lineRule="auto"/>
        <w:tabs>
          <w:tab w:leader="none" w:pos="1012"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40"/>
        <w:spacing w:after="0"/>
        <w:tabs>
          <w:tab w:leader="none" w:pos="4140" w:val="left"/>
          <w:tab w:leader="none" w:pos="7700" w:val="left"/>
        </w:tabs>
        <w:rPr>
          <w:sz w:val="20"/>
          <w:szCs w:val="20"/>
          <w:color w:val="auto"/>
        </w:rPr>
      </w:pPr>
      <w:r>
        <w:rPr>
          <w:rFonts w:ascii="Times New Roman" w:cs="Times New Roman" w:eastAsia="Times New Roman" w:hAnsi="Times New Roman"/>
          <w:sz w:val="14"/>
          <w:szCs w:val="14"/>
          <w:color w:val="auto"/>
        </w:rPr>
        <w:t>Date: February 27,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28575</wp:posOffset>
            </wp:positionV>
            <wp:extent cx="389382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3893820" cy="6985"/>
                    </a:xfrm>
                    <a:prstGeom prst="rect">
                      <a:avLst/>
                    </a:prstGeom>
                    <a:noFill/>
                  </pic:spPr>
                </pic:pic>
              </a:graphicData>
            </a:graphic>
          </wp:anchor>
        </w:drawing>
      </w:r>
    </w:p>
    <w:p>
      <w:pPr>
        <w:spacing w:after="0" w:line="4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color w:val="auto"/>
        </w:rPr>
        <w:t>Peter Anevski</w:t>
      </w:r>
    </w:p>
    <w:p>
      <w:pPr>
        <w:spacing w:after="0" w:line="6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770" w:right="3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Mark Livingston, certify that:</w:t>
      </w:r>
    </w:p>
    <w:p>
      <w:pPr>
        <w:spacing w:after="0" w:line="157" w:lineRule="exact"/>
        <w:rPr>
          <w:sz w:val="20"/>
          <w:szCs w:val="20"/>
          <w:color w:val="auto"/>
        </w:rPr>
      </w:pPr>
    </w:p>
    <w:p>
      <w:pPr>
        <w:ind w:left="520" w:hanging="515"/>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Progyny, Inc.;</w:t>
      </w:r>
    </w:p>
    <w:p>
      <w:pPr>
        <w:spacing w:after="0" w:line="136"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4"/>
          <w:szCs w:val="14"/>
          <w:color w:val="auto"/>
        </w:rPr>
      </w:pPr>
    </w:p>
    <w:p>
      <w:pPr>
        <w:ind w:left="520" w:hanging="515"/>
        <w:spacing w:after="0" w:line="271"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520" w:hanging="515"/>
        <w:spacing w:after="0" w:line="271"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4"/>
          <w:szCs w:val="14"/>
          <w:color w:val="auto"/>
        </w:rPr>
      </w:pPr>
    </w:p>
    <w:p>
      <w:pPr>
        <w:jc w:val="both"/>
        <w:ind w:left="1020" w:hanging="506"/>
        <w:spacing w:after="0" w:line="269" w:lineRule="auto"/>
        <w:tabs>
          <w:tab w:leader="none" w:pos="1012"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4" w:lineRule="exact"/>
        <w:rPr>
          <w:rFonts w:ascii="Times New Roman" w:cs="Times New Roman" w:eastAsia="Times New Roman" w:hAnsi="Times New Roman"/>
          <w:sz w:val="14"/>
          <w:szCs w:val="14"/>
          <w:color w:val="auto"/>
        </w:rPr>
      </w:pPr>
    </w:p>
    <w:p>
      <w:pPr>
        <w:jc w:val="both"/>
        <w:ind w:left="1020" w:hanging="506"/>
        <w:spacing w:after="0" w:line="269" w:lineRule="auto"/>
        <w:tabs>
          <w:tab w:leader="none" w:pos="10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4" w:lineRule="exact"/>
        <w:rPr>
          <w:rFonts w:ascii="Times New Roman" w:cs="Times New Roman" w:eastAsia="Times New Roman" w:hAnsi="Times New Roman"/>
          <w:sz w:val="14"/>
          <w:szCs w:val="14"/>
          <w:color w:val="auto"/>
        </w:rPr>
      </w:pPr>
    </w:p>
    <w:p>
      <w:pPr>
        <w:ind w:left="1020" w:hanging="506"/>
        <w:spacing w:after="0" w:line="271" w:lineRule="auto"/>
        <w:tabs>
          <w:tab w:leader="none" w:pos="1012"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020" w:hanging="506"/>
        <w:spacing w:after="0" w:line="271" w:lineRule="auto"/>
        <w:tabs>
          <w:tab w:leader="none" w:pos="10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1020" w:hanging="506"/>
        <w:spacing w:after="0" w:line="271" w:lineRule="auto"/>
        <w:tabs>
          <w:tab w:leader="none" w:pos="1012"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1000"/>
        <w:spacing w:after="0"/>
        <w:tabs>
          <w:tab w:leader="none" w:pos="4160" w:val="left"/>
          <w:tab w:leader="none" w:pos="7620" w:val="left"/>
        </w:tabs>
        <w:rPr>
          <w:sz w:val="20"/>
          <w:szCs w:val="20"/>
          <w:color w:val="auto"/>
        </w:rPr>
      </w:pPr>
      <w:r>
        <w:rPr>
          <w:rFonts w:ascii="Times New Roman" w:cs="Times New Roman" w:eastAsia="Times New Roman" w:hAnsi="Times New Roman"/>
          <w:sz w:val="14"/>
          <w:szCs w:val="14"/>
          <w:color w:val="auto"/>
        </w:rPr>
        <w:t>Date: February 27,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28575</wp:posOffset>
            </wp:positionV>
            <wp:extent cx="386715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3867150" cy="6985"/>
                    </a:xfrm>
                    <a:prstGeom prst="rect">
                      <a:avLst/>
                    </a:prstGeom>
                    <a:noFill/>
                  </pic:spPr>
                </pic:pic>
              </a:graphicData>
            </a:graphic>
          </wp:anchor>
        </w:drawing>
      </w:r>
    </w:p>
    <w:p>
      <w:pPr>
        <w:spacing w:after="0" w:line="4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color w:val="auto"/>
        </w:rPr>
        <w:t>Mark Livingston</w:t>
      </w:r>
    </w:p>
    <w:p>
      <w:pPr>
        <w:spacing w:after="0" w:line="6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759" w:right="3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4"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on Form 10-K of Progyny, Inc. (the “Company”) for the period ended December 31, 2025, as filed with the Securities and Exchange Commission on the date hereof (the “Report”), I, hereby certify, pursuant to 18 U.S.C. Section 1350, as adopted pursuant to Section 906 of the Sarbanes-Oxley Act of 2002, as amended, that, to my knowledge:</w:t>
      </w:r>
    </w:p>
    <w:p>
      <w:pPr>
        <w:spacing w:after="0" w:line="114" w:lineRule="exact"/>
        <w:rPr>
          <w:sz w:val="20"/>
          <w:szCs w:val="20"/>
          <w:color w:val="auto"/>
        </w:rPr>
      </w:pPr>
    </w:p>
    <w:p>
      <w:pPr>
        <w:ind w:left="500" w:hanging="240"/>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2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980"/>
        <w:spacing w:after="0"/>
        <w:tabs>
          <w:tab w:leader="none" w:pos="4140" w:val="left"/>
          <w:tab w:leader="none" w:pos="7700" w:val="left"/>
        </w:tabs>
        <w:rPr>
          <w:sz w:val="20"/>
          <w:szCs w:val="20"/>
          <w:color w:val="auto"/>
        </w:rPr>
      </w:pPr>
      <w:r>
        <w:rPr>
          <w:rFonts w:ascii="Times New Roman" w:cs="Times New Roman" w:eastAsia="Times New Roman" w:hAnsi="Times New Roman"/>
          <w:sz w:val="14"/>
          <w:szCs w:val="14"/>
          <w:color w:val="auto"/>
        </w:rPr>
        <w:t>Date: February 27,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28575</wp:posOffset>
            </wp:positionV>
            <wp:extent cx="389382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3893820" cy="6985"/>
                    </a:xfrm>
                    <a:prstGeom prst="rect">
                      <a:avLst/>
                    </a:prstGeom>
                    <a:noFill/>
                  </pic:spPr>
                </pic:pic>
              </a:graphicData>
            </a:graphic>
          </wp:anchor>
        </w:drawing>
      </w:r>
    </w:p>
    <w:p>
      <w:pPr>
        <w:spacing w:after="0" w:line="4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color w:val="auto"/>
        </w:rPr>
        <w:t>Peter Anevski</w:t>
      </w:r>
    </w:p>
    <w:p>
      <w:pPr>
        <w:spacing w:after="0" w:line="6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759" w:right="31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4"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on Form 10-K of Progyny, Inc. (the “Company”) for the period ended December 31, 2025, as filed with the Securities and Exchange Commission on the date hereof (the “Report”), I, hereby certify, pursuant to 18 U.S.C. Section 1350, as adopted pursuant to Section 906 of the Sarbanes-Oxley Act of 2002, as amended, that to my knowledge:</w:t>
      </w:r>
    </w:p>
    <w:p>
      <w:pPr>
        <w:spacing w:after="0" w:line="114" w:lineRule="exact"/>
        <w:rPr>
          <w:sz w:val="20"/>
          <w:szCs w:val="20"/>
          <w:color w:val="auto"/>
        </w:rPr>
      </w:pPr>
    </w:p>
    <w:p>
      <w:pPr>
        <w:ind w:left="500" w:hanging="240"/>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2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60"/>
        <w:spacing w:after="0"/>
        <w:tabs>
          <w:tab w:leader="none" w:pos="4160" w:val="left"/>
          <w:tab w:leader="none" w:pos="7620" w:val="left"/>
        </w:tabs>
        <w:rPr>
          <w:sz w:val="20"/>
          <w:szCs w:val="20"/>
          <w:color w:val="auto"/>
        </w:rPr>
      </w:pPr>
      <w:r>
        <w:rPr>
          <w:rFonts w:ascii="Times New Roman" w:cs="Times New Roman" w:eastAsia="Times New Roman" w:hAnsi="Times New Roman"/>
          <w:sz w:val="14"/>
          <w:szCs w:val="14"/>
          <w:color w:val="auto"/>
        </w:rPr>
        <w:t>Date: February 27,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28575</wp:posOffset>
            </wp:positionV>
            <wp:extent cx="386715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3867150" cy="6985"/>
                    </a:xfrm>
                    <a:prstGeom prst="rect">
                      <a:avLst/>
                    </a:prstGeom>
                    <a:noFill/>
                  </pic:spPr>
                </pic:pic>
              </a:graphicData>
            </a:graphic>
          </wp:anchor>
        </w:drawing>
      </w:r>
    </w:p>
    <w:p>
      <w:pPr>
        <w:spacing w:after="0" w:line="4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color w:val="auto"/>
        </w:rPr>
        <w:t>Mark Livingston</w:t>
      </w:r>
    </w:p>
    <w:p>
      <w:pPr>
        <w:spacing w:after="0" w:line="6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7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lvl w:ilvl="1">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2"/>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5"/>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97"/>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lvl w:ilvl="1">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4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67" Type="http://schemas.openxmlformats.org/officeDocument/2006/relationships/hyperlink" Target="https://www.sec.gov/ix?doc=/Archives/edgar/data/0001551306/000155130625000040/pgny-20241231.htm#i478f0dd103b942a780d380e8e382c68c_7" TargetMode="External"/><Relationship Id="rId125" Type="http://schemas.openxmlformats.org/officeDocument/2006/relationships/hyperlink" Target="http://www.sec.gov/Archives/edgar/data/1551306/000104746919005487/a2239750zex-3_2.htm" TargetMode="External"/><Relationship Id="rId126" Type="http://schemas.openxmlformats.org/officeDocument/2006/relationships/hyperlink" Target="https://www.sec.gov/Archives/edgar/data/1551306/000155130624000203/pgny-20240930xex31.htm" TargetMode="External"/><Relationship Id="rId127" Type="http://schemas.openxmlformats.org/officeDocument/2006/relationships/hyperlink" Target="http://www.sec.gov/Archives/edgar/data/1551306/000104746919005727/a2239825zex-4_1.htm" TargetMode="External"/><Relationship Id="rId128" Type="http://schemas.openxmlformats.org/officeDocument/2006/relationships/hyperlink" Target="http://www.sec.gov/Archives/edgar/data/1551306/000104746919005727/a2239825zex-4_2.htm" TargetMode="External"/><Relationship Id="rId129" Type="http://schemas.openxmlformats.org/officeDocument/2006/relationships/hyperlink" Target="http://www.sec.gov/Archives/edgar/data/1551306/000104746919005727/a2239825zex-4_3.htm" TargetMode="External"/><Relationship Id="rId130" Type="http://schemas.openxmlformats.org/officeDocument/2006/relationships/hyperlink" Target="http://www.sec.gov/Archives/edgar/data/1551306/000104746919005727/a2239825zex-4_4.htm" TargetMode="External"/><Relationship Id="rId131" Type="http://schemas.openxmlformats.org/officeDocument/2006/relationships/hyperlink" Target="http://www.sec.gov/Archives/edgar/data/1551306/000104746919005727/a2239825zex-4_5.htm" TargetMode="External"/><Relationship Id="rId134" Type="http://schemas.openxmlformats.org/officeDocument/2006/relationships/hyperlink" Target="http://www.sec.gov/Archives/edgar/data/1551306/000104746919005487/a2239750zex-10_2.htm" TargetMode="External"/><Relationship Id="rId135" Type="http://schemas.openxmlformats.org/officeDocument/2006/relationships/hyperlink" Target="http://www.sec.gov/Archives/edgar/data/1551306/000110465919056592/a19-11098_10ex99d2.htm" TargetMode="External"/><Relationship Id="rId136" Type="http://schemas.openxmlformats.org/officeDocument/2006/relationships/hyperlink" Target="https://www.sec.gov/Archives/edgar/data/0001551306/000155837021002082/pgny-20201231ex1049139b5.htm" TargetMode="External"/><Relationship Id="rId137" Type="http://schemas.openxmlformats.org/officeDocument/2006/relationships/hyperlink" Target="http://www.sec.gov/Archives/edgar/data/1551306/000104746919005727/a2239825zex-10_4.htm" TargetMode="External"/><Relationship Id="rId138" Type="http://schemas.openxmlformats.org/officeDocument/2006/relationships/hyperlink" Target="https://www.sec.gov/Archives/edgar/data/0001551306/000155837021002082/pgny-20201231ex1066f1c79.htm" TargetMode="External"/><Relationship Id="rId139" Type="http://schemas.openxmlformats.org/officeDocument/2006/relationships/hyperlink" Target="http://www.sec.gov/Archives/edgar/data/1551306/000104746919005727/a2239825zex-10_5.htm" TargetMode="External"/><Relationship Id="rId140" Type="http://schemas.openxmlformats.org/officeDocument/2006/relationships/hyperlink" Target="http://www.sec.gov/Archives/edgar/data/1551306/000104746919005487/a2239750zex-10_6.htm" TargetMode="External"/><Relationship Id="rId141" Type="http://schemas.openxmlformats.org/officeDocument/2006/relationships/hyperlink" Target="https://www.sec.gov/Archives/edgar/data/1551306/000155837022007635/pgny-20220331xex10d1.htm" TargetMode="External"/><Relationship Id="rId142" Type="http://schemas.openxmlformats.org/officeDocument/2006/relationships/hyperlink" Target="https://www.sec.gov/Archives/edgar/data/1551306/000155837022007635/pgny-20220331xex10d2.htm" TargetMode="External"/><Relationship Id="rId143" Type="http://schemas.openxmlformats.org/officeDocument/2006/relationships/hyperlink" Target="https://www.sec.gov/Archives/edgar/data/1551306/000155130622000017/pgny-20220630xex101.htm" TargetMode="External"/><Relationship Id="rId144" Type="http://schemas.openxmlformats.org/officeDocument/2006/relationships/hyperlink" Target="https://www.sec.gov/Archives/edgar/data/1551306/000155130623000015/pgny-202319x10kexhibit1011.htm" TargetMode="External"/><Relationship Id="rId145" Type="http://schemas.openxmlformats.org/officeDocument/2006/relationships/hyperlink" Target="https://www.sec.gov/Archives/edgar/data/1551306/000155837022007635/pgny-20220331xex10d3.htm" TargetMode="External"/><Relationship Id="rId146" Type="http://schemas.openxmlformats.org/officeDocument/2006/relationships/hyperlink" Target="https://www.sec.gov/Archives/edgar/data/1551306/000104746919005487/a2239750zex-10_11.htm" TargetMode="External"/><Relationship Id="rId147" Type="http://schemas.openxmlformats.org/officeDocument/2006/relationships/hyperlink" Target="https://www.sec.gov/Archives/edgar/data/1551306/000155130623000015/pgny-2022227x10kexhibit1014.htm" TargetMode="External"/><Relationship Id="rId148" Type="http://schemas.openxmlformats.org/officeDocument/2006/relationships/hyperlink" Target="http://www.sec.gov/Archives/edgar/data/1551306/000104746919005487/a2239750zex-10_10.htm" TargetMode="External"/><Relationship Id="rId150" Type="http://schemas.openxmlformats.org/officeDocument/2006/relationships/hyperlink" Target="https://www.sec.gov/Archives/edgar/data/0001551306/000155837020009993/pgny-20200630ex101d40dc7.htm" TargetMode="External"/><Relationship Id="rId151" Type="http://schemas.openxmlformats.org/officeDocument/2006/relationships/hyperlink" Target="https://www.sec.gov/Archives/edgar/data/1551306/000155130625000103/pgny-20250331xex101.htm" TargetMode="External"/><Relationship Id="rId152" Type="http://schemas.openxmlformats.org/officeDocument/2006/relationships/hyperlink" Target="https://www.sec.gov/Archives/edgar/data/1551306/000155130625000103/pgny-20250331xex102.htm" TargetMode="External"/><Relationship Id="rId153" Type="http://schemas.openxmlformats.org/officeDocument/2006/relationships/hyperlink" Target="https://www.sec.gov/Archives/edgar/data/1551306/000155130625000153/exhibit101creditagreemen.htm" TargetMode="External"/><Relationship Id="rId154" Type="http://schemas.openxmlformats.org/officeDocument/2006/relationships/hyperlink" Target="https://www.sec.gov/Archives/edgar/data/1551306/000155130625000165/pgny-20250630xex101xformps.htm" TargetMode="External"/><Relationship Id="rId155" Type="http://schemas.openxmlformats.org/officeDocument/2006/relationships/hyperlink" Target="https://www.sec.gov/Archives/edgar/data/1551306/000155130625000165/exhibit102-geoffreyclapp.htm" TargetMode="External"/><Relationship Id="rId156" Type="http://schemas.openxmlformats.org/officeDocument/2006/relationships/hyperlink" Target="https://www.sec.gov/Archives/edgar/data/1551306/000155130625000165/exhibit103-melissacummin.htm" TargetMode="External"/><Relationship Id="rId157" Type="http://schemas.openxmlformats.org/officeDocument/2006/relationships/hyperlink" Target="https://www.sec.gov/Archives/edgar/data/1551306/000155130625000040/pgny-20241231x10kexhibit191.htm" TargetMode="External"/><Relationship Id="rId158" Type="http://schemas.openxmlformats.org/officeDocument/2006/relationships/hyperlink" Target="https://www.sec.gov/Archives/edgar/data/1551306/000155837022002466/pgny-20211231xex21d1.htm" TargetMode="External"/><Relationship Id="rId159" Type="http://schemas.openxmlformats.org/officeDocument/2006/relationships/hyperlink" Target="https://www.sec.gov/Archives/edgar/data/1551306/000155130624000031/pgny-20211231x10k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2026-02-27T13:23:51Z</dcterms:created>
  <dcterms:modified xsi:type="dcterms:W3CDTF">2026-02-27T13:23:51Z</dcterms:modified>
</cp:coreProperties>
</file>