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408940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77470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87"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97155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2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-99695</wp:posOffset>
            </wp:positionV>
            <wp:extent cx="78105" cy="79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8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quarterly period ended June 30, 2020</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19" w:lineRule="exact"/>
        <w:rPr>
          <w:sz w:val="24"/>
          <w:szCs w:val="24"/>
          <w:color w:val="auto"/>
        </w:rPr>
      </w:pPr>
    </w:p>
    <w:p>
      <w:pPr>
        <w:ind w:left="2240" w:right="1200" w:hanging="2232"/>
        <w:spacing w:after="0" w:line="382" w:lineRule="auto"/>
        <w:tabs>
          <w:tab w:leader="none" w:pos="484"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___________________ to ___________________</w:t>
      </w:r>
    </w:p>
    <w:p>
      <w:pPr>
        <w:ind w:left="368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001-39100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-469265</wp:posOffset>
            </wp:positionV>
            <wp:extent cx="78105" cy="79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97790</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41"/>
          <w:szCs w:val="41"/>
          <w:b w:val="1"/>
          <w:bCs w:val="1"/>
          <w:color w:val="auto"/>
        </w:rPr>
        <w:t>Progyny, Inc.</w:t>
      </w:r>
    </w:p>
    <w:p>
      <w:pPr>
        <w:sectPr>
          <w:pgSz w:w="11900" w:h="16838" w:orient="portrait"/>
          <w:cols w:equalWidth="0" w:num="1">
            <w:col w:w="9940"/>
          </w:cols>
          <w:pgMar w:left="980" w:top="665" w:right="979" w:bottom="1440" w:gutter="0" w:footer="0" w:header="0"/>
        </w:sectPr>
      </w:pPr>
    </w:p>
    <w:p>
      <w:pPr>
        <w:spacing w:after="0" w:line="58"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86360</wp:posOffset>
            </wp:positionV>
            <wp:extent cx="1577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24" w:lineRule="exact"/>
        <w:rPr>
          <w:sz w:val="24"/>
          <w:szCs w:val="24"/>
          <w:color w:val="auto"/>
        </w:rPr>
      </w:pPr>
    </w:p>
    <w:p>
      <w:pPr>
        <w:jc w:val="center"/>
        <w:ind w:right="180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800"/>
        <w:spacing w:after="0"/>
        <w:rPr>
          <w:sz w:val="20"/>
          <w:szCs w:val="20"/>
          <w:color w:val="auto"/>
        </w:rPr>
      </w:pPr>
      <w:r>
        <w:rPr>
          <w:rFonts w:ascii="Arial" w:cs="Arial" w:eastAsia="Arial" w:hAnsi="Arial"/>
          <w:sz w:val="11"/>
          <w:szCs w:val="11"/>
          <w:b w:val="1"/>
          <w:bCs w:val="1"/>
          <w:color w:val="auto"/>
        </w:rPr>
        <w:t>(State or other jurisdiction of</w:t>
      </w:r>
    </w:p>
    <w:p>
      <w:pPr>
        <w:ind w:left="1780"/>
        <w:spacing w:after="0"/>
        <w:rPr>
          <w:sz w:val="20"/>
          <w:szCs w:val="20"/>
          <w:color w:val="auto"/>
        </w:rPr>
      </w:pPr>
      <w:r>
        <w:rPr>
          <w:rFonts w:ascii="Arial" w:cs="Arial" w:eastAsia="Arial" w:hAnsi="Arial"/>
          <w:sz w:val="11"/>
          <w:szCs w:val="11"/>
          <w:b w:val="1"/>
          <w:bCs w:val="1"/>
          <w:color w:val="auto"/>
        </w:rPr>
        <w:t>incorporation or organization)</w:t>
      </w:r>
    </w:p>
    <w:p>
      <w:pPr>
        <w:spacing w:after="0" w:line="2" w:lineRule="exact"/>
        <w:rPr>
          <w:sz w:val="24"/>
          <w:szCs w:val="24"/>
          <w:color w:val="auto"/>
        </w:rPr>
      </w:pPr>
    </w:p>
    <w:p>
      <w:pPr>
        <w:jc w:val="center"/>
        <w:ind w:right="1800"/>
        <w:spacing w:after="0"/>
        <w:rPr>
          <w:sz w:val="20"/>
          <w:szCs w:val="20"/>
          <w:color w:val="auto"/>
        </w:rPr>
      </w:pPr>
      <w:r>
        <w:rPr>
          <w:rFonts w:ascii="Arial" w:cs="Arial" w:eastAsia="Arial" w:hAnsi="Arial"/>
          <w:sz w:val="16"/>
          <w:szCs w:val="16"/>
          <w:b w:val="1"/>
          <w:bCs w:val="1"/>
          <w:color w:val="auto"/>
        </w:rPr>
        <w:t>1359 Broadway</w:t>
      </w:r>
    </w:p>
    <w:p>
      <w:pPr>
        <w:spacing w:after="0" w:line="27" w:lineRule="exact"/>
        <w:rPr>
          <w:sz w:val="24"/>
          <w:szCs w:val="24"/>
          <w:color w:val="auto"/>
        </w:rPr>
      </w:pPr>
    </w:p>
    <w:p>
      <w:pPr>
        <w:jc w:val="center"/>
        <w:ind w:right="1800"/>
        <w:spacing w:after="0"/>
        <w:rPr>
          <w:sz w:val="20"/>
          <w:szCs w:val="20"/>
          <w:color w:val="auto"/>
        </w:rPr>
      </w:pPr>
      <w:r>
        <w:rPr>
          <w:rFonts w:ascii="Arial" w:cs="Arial" w:eastAsia="Arial" w:hAnsi="Arial"/>
          <w:sz w:val="14"/>
          <w:szCs w:val="14"/>
          <w:b w:val="1"/>
          <w:bCs w:val="1"/>
          <w:color w:val="auto"/>
        </w:rPr>
        <w:t>New York, 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27-2220139</w:t>
      </w:r>
    </w:p>
    <w:p>
      <w:pPr>
        <w:spacing w:after="0" w:line="44" w:lineRule="exact"/>
        <w:rPr>
          <w:sz w:val="24"/>
          <w:szCs w:val="24"/>
          <w:color w:val="auto"/>
        </w:rPr>
      </w:pPr>
    </w:p>
    <w:p>
      <w:pPr>
        <w:ind w:left="20"/>
        <w:spacing w:after="0"/>
        <w:rPr>
          <w:sz w:val="20"/>
          <w:szCs w:val="20"/>
          <w:color w:val="auto"/>
        </w:rPr>
      </w:pPr>
      <w:r>
        <w:rPr>
          <w:rFonts w:ascii="Arial" w:cs="Arial" w:eastAsia="Arial" w:hAnsi="Arial"/>
          <w:sz w:val="10"/>
          <w:szCs w:val="10"/>
          <w:b w:val="1"/>
          <w:bCs w:val="1"/>
          <w:color w:val="auto"/>
        </w:rPr>
        <w:t>(I.R.S. Employer</w:t>
      </w:r>
    </w:p>
    <w:p>
      <w:pPr>
        <w:spacing w:after="0" w:line="19"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Identification No.)</w:t>
      </w:r>
    </w:p>
    <w:p>
      <w:pPr>
        <w:spacing w:after="0" w:line="235" w:lineRule="exact"/>
        <w:rPr>
          <w:sz w:val="24"/>
          <w:szCs w:val="24"/>
          <w:color w:val="auto"/>
        </w:rPr>
      </w:pPr>
    </w:p>
    <w:p>
      <w:pPr>
        <w:ind w:left="220"/>
        <w:spacing w:after="0"/>
        <w:rPr>
          <w:sz w:val="20"/>
          <w:szCs w:val="20"/>
          <w:color w:val="auto"/>
        </w:rPr>
      </w:pPr>
      <w:r>
        <w:rPr>
          <w:rFonts w:ascii="Arial" w:cs="Arial" w:eastAsia="Arial" w:hAnsi="Arial"/>
          <w:sz w:val="16"/>
          <w:szCs w:val="16"/>
          <w:b w:val="1"/>
          <w:bCs w:val="1"/>
          <w:color w:val="auto"/>
        </w:rPr>
        <w:t>10018</w:t>
      </w:r>
    </w:p>
    <w:p>
      <w:pPr>
        <w:spacing w:after="0" w:line="86" w:lineRule="exact"/>
        <w:rPr>
          <w:sz w:val="24"/>
          <w:szCs w:val="24"/>
          <w:color w:val="auto"/>
        </w:rPr>
      </w:pPr>
    </w:p>
    <w:p>
      <w:pPr>
        <w:sectPr>
          <w:pgSz w:w="11900" w:h="16838" w:orient="portrait"/>
          <w:cols w:equalWidth="0" w:num="2">
            <w:col w:w="6760" w:space="260"/>
            <w:col w:w="2920"/>
          </w:cols>
          <w:pgMar w:left="980" w:top="665" w:right="979" w:bottom="1440" w:gutter="0" w:footer="0" w:header="0"/>
          <w:type w:val="continuous"/>
        </w:sectPr>
      </w:pPr>
    </w:p>
    <w:p>
      <w:pPr>
        <w:ind w:left="1580"/>
        <w:spacing w:after="0"/>
        <w:tabs>
          <w:tab w:leader="none" w:pos="7160" w:val="left"/>
        </w:tabs>
        <w:rPr>
          <w:sz w:val="20"/>
          <w:szCs w:val="20"/>
          <w:color w:val="auto"/>
        </w:rPr>
      </w:pPr>
      <w:r>
        <w:rPr>
          <w:rFonts w:ascii="Arial" w:cs="Arial" w:eastAsia="Arial" w:hAnsi="Arial"/>
          <w:sz w:val="11"/>
          <w:szCs w:val="11"/>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15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(212) 888-3124</w:t>
      </w:r>
    </w:p>
    <w:p>
      <w:pPr>
        <w:spacing w:after="0" w:line="26" w:lineRule="exact"/>
        <w:rPr>
          <w:sz w:val="24"/>
          <w:szCs w:val="24"/>
          <w:color w:val="auto"/>
        </w:rPr>
      </w:pPr>
    </w:p>
    <w:p>
      <w:pPr>
        <w:ind w:left="334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6" w:lineRule="exact"/>
        <w:rPr>
          <w:sz w:val="24"/>
          <w:szCs w:val="24"/>
          <w:color w:val="auto"/>
        </w:rPr>
      </w:pPr>
    </w:p>
    <w:p>
      <w:pPr>
        <w:ind w:left="4840"/>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73660</wp:posOffset>
            </wp:positionV>
            <wp:extent cx="1577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9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74930</wp:posOffset>
            </wp:positionV>
            <wp:extent cx="6301105" cy="386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1105" cy="386080"/>
                    </a:xfrm>
                    <a:prstGeom prst="rect">
                      <a:avLst/>
                    </a:prstGeom>
                    <a:noFill/>
                  </pic:spPr>
                </pic:pic>
              </a:graphicData>
            </a:graphic>
          </wp:anchor>
        </w:drawing>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Borders>
              <w:top w:val="single" w:sz="8" w:color="auto"/>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89"/>
              </w:rPr>
              <w:t>Title of each class</w:t>
            </w:r>
          </w:p>
        </w:tc>
        <w:tc>
          <w:tcPr>
            <w:tcW w:w="2860" w:type="dxa"/>
            <w:vAlign w:val="bottom"/>
            <w:tcBorders>
              <w:top w:val="single" w:sz="8" w:color="auto"/>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Trading Symbol(s)</w:t>
            </w:r>
          </w:p>
        </w:tc>
        <w:tc>
          <w:tcPr>
            <w:tcW w:w="3740" w:type="dxa"/>
            <w:vAlign w:val="bottom"/>
            <w:tcBorders>
              <w:top w:val="single" w:sz="8" w:color="auto"/>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9"/>
        </w:trPr>
        <w:tc>
          <w:tcPr>
            <w:tcW w:w="3340" w:type="dxa"/>
            <w:vAlign w:val="bottom"/>
          </w:tcPr>
          <w:p>
            <w:pPr>
              <w:jc w:val="center"/>
              <w:ind w:left="88"/>
              <w:spacing w:after="0"/>
              <w:rPr>
                <w:sz w:val="20"/>
                <w:szCs w:val="20"/>
                <w:color w:val="auto"/>
              </w:rPr>
            </w:pPr>
            <w:r>
              <w:rPr>
                <w:rFonts w:ascii="Arial" w:cs="Arial" w:eastAsia="Arial" w:hAnsi="Arial"/>
                <w:sz w:val="14"/>
                <w:szCs w:val="14"/>
                <w:color w:val="auto"/>
                <w:w w:val="94"/>
              </w:rPr>
              <w:t>Common Stock,</w:t>
            </w:r>
          </w:p>
        </w:tc>
        <w:tc>
          <w:tcPr>
            <w:tcW w:w="2860" w:type="dxa"/>
            <w:vAlign w:val="bottom"/>
          </w:tcPr>
          <w:p>
            <w:pPr>
              <w:jc w:val="center"/>
              <w:ind w:left="348"/>
              <w:spacing w:after="0"/>
              <w:rPr>
                <w:sz w:val="20"/>
                <w:szCs w:val="20"/>
                <w:color w:val="auto"/>
              </w:rPr>
            </w:pPr>
            <w:r>
              <w:rPr>
                <w:rFonts w:ascii="Arial" w:cs="Arial" w:eastAsia="Arial" w:hAnsi="Arial"/>
                <w:sz w:val="14"/>
                <w:szCs w:val="14"/>
                <w:color w:val="auto"/>
              </w:rPr>
              <w:t>PGNY</w:t>
            </w:r>
          </w:p>
        </w:tc>
        <w:tc>
          <w:tcPr>
            <w:tcW w:w="3740" w:type="dxa"/>
            <w:vAlign w:val="bottom"/>
          </w:tcPr>
          <w:p>
            <w:pPr>
              <w:jc w:val="center"/>
              <w:ind w:left="188"/>
              <w:spacing w:after="0"/>
              <w:rPr>
                <w:sz w:val="20"/>
                <w:szCs w:val="20"/>
                <w:color w:val="auto"/>
              </w:rPr>
            </w:pPr>
            <w:r>
              <w:rPr>
                <w:rFonts w:ascii="Arial" w:cs="Arial" w:eastAsia="Arial" w:hAnsi="Arial"/>
                <w:sz w:val="14"/>
                <w:szCs w:val="14"/>
                <w:color w:val="auto"/>
                <w:w w:val="93"/>
              </w:rPr>
              <w:t>The Nasdaq Global Select Market</w:t>
            </w:r>
          </w:p>
        </w:tc>
      </w:tr>
    </w:tbl>
    <w:p>
      <w:pPr>
        <w:ind w:left="960"/>
        <w:spacing w:after="0"/>
        <w:rPr>
          <w:sz w:val="20"/>
          <w:szCs w:val="20"/>
          <w:color w:val="auto"/>
        </w:rPr>
      </w:pPr>
      <w:r>
        <w:rPr>
          <w:rFonts w:ascii="Arial" w:cs="Arial" w:eastAsia="Arial" w:hAnsi="Arial"/>
          <w:sz w:val="14"/>
          <w:szCs w:val="14"/>
          <w:color w:val="auto"/>
        </w:rPr>
        <w:t>$0.0001 par value per share</w:t>
      </w:r>
    </w:p>
    <w:p>
      <w:pPr>
        <w:spacing w:after="0" w:line="151" w:lineRule="exact"/>
        <w:rPr>
          <w:sz w:val="24"/>
          <w:szCs w:val="24"/>
          <w:color w:val="auto"/>
        </w:rPr>
      </w:pPr>
    </w:p>
    <w:p>
      <w:pPr>
        <w:jc w:val="both"/>
        <w:ind w:right="20" w:firstLine="518"/>
        <w:spacing w:after="0" w:line="17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03" w:lineRule="exact"/>
        <w:rPr>
          <w:sz w:val="24"/>
          <w:szCs w:val="24"/>
          <w:color w:val="auto"/>
        </w:rPr>
      </w:pPr>
    </w:p>
    <w:p>
      <w:pPr>
        <w:jc w:val="both"/>
        <w:ind w:right="20" w:firstLine="518"/>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jc w:val="both"/>
        <w:ind w:right="20" w:firstLine="518"/>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1000" w:type="dxa"/>
        <w:tblCellMar>
          <w:top w:w="0" w:type="dxa"/>
          <w:left w:w="0" w:type="dxa"/>
          <w:bottom w:w="0" w:type="dxa"/>
          <w:right w:w="0" w:type="dxa"/>
        </w:tblCellMar>
      </w:tblPr>
      <w:tr>
        <w:trPr>
          <w:trHeight w:val="175"/>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48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2880" w:type="dxa"/>
            <w:vAlign w:val="bottom"/>
          </w:tcPr>
          <w:p>
            <w:pPr>
              <w:ind w:left="360"/>
              <w:spacing w:after="0"/>
              <w:rPr>
                <w:sz w:val="20"/>
                <w:szCs w:val="20"/>
                <w:color w:val="auto"/>
              </w:rPr>
            </w:pPr>
            <w:r>
              <w:rPr>
                <w:rFonts w:ascii="Arial" w:cs="Arial" w:eastAsia="Arial" w:hAnsi="Arial"/>
                <w:sz w:val="14"/>
                <w:szCs w:val="14"/>
                <w:color w:val="auto"/>
              </w:rPr>
              <w:t>Accelerated filer</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148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2880" w:type="dxa"/>
            <w:vAlign w:val="bottom"/>
          </w:tcPr>
          <w:p>
            <w:pPr>
              <w:ind w:left="360"/>
              <w:spacing w:after="0"/>
              <w:rPr>
                <w:sz w:val="20"/>
                <w:szCs w:val="20"/>
                <w:color w:val="auto"/>
              </w:rPr>
            </w:pPr>
            <w:r>
              <w:rPr>
                <w:rFonts w:ascii="Arial" w:cs="Arial" w:eastAsia="Arial" w:hAnsi="Arial"/>
                <w:sz w:val="14"/>
                <w:szCs w:val="14"/>
                <w:color w:val="auto"/>
              </w:rPr>
              <w:t>Smaller reporting company</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80" w:type="dxa"/>
            <w:vAlign w:val="bottom"/>
          </w:tcPr>
          <w:p>
            <w:pPr>
              <w:ind w:left="360"/>
              <w:spacing w:after="0"/>
              <w:rPr>
                <w:sz w:val="20"/>
                <w:szCs w:val="20"/>
                <w:color w:val="auto"/>
              </w:rPr>
            </w:pPr>
            <w:r>
              <w:rPr>
                <w:rFonts w:ascii="Arial" w:cs="Arial" w:eastAsia="Arial" w:hAnsi="Arial"/>
                <w:sz w:val="14"/>
                <w:szCs w:val="14"/>
                <w:color w:val="auto"/>
              </w:rPr>
              <w:t>Emerging growth company</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8" w:lineRule="exact"/>
        <w:rPr>
          <w:sz w:val="24"/>
          <w:szCs w:val="24"/>
          <w:color w:val="auto"/>
        </w:rPr>
      </w:pPr>
    </w:p>
    <w:p>
      <w:pPr>
        <w:ind w:right="40" w:firstLine="51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right="1820" w:firstLine="518"/>
        <w:spacing w:after="0" w:line="23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r>
        <w:rPr>
          <w:rFonts w:ascii="Arial" w:cs="Arial" w:eastAsia="Arial" w:hAnsi="Arial"/>
          <w:sz w:val="14"/>
          <w:szCs w:val="14"/>
          <w:color w:val="auto"/>
        </w:rPr>
        <w:t xml:space="preserve"> As of July 31, 2020, the registrant had 85,983,273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462280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33655</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76835</wp:posOffset>
            </wp:positionV>
            <wp:extent cx="6292215"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40"/>
          </w:cols>
          <w:pgMar w:left="980" w:top="665" w:right="97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460" w:type="dxa"/>
            <w:vAlign w:val="bottom"/>
            <w:gridSpan w:val="5"/>
            <w:vMerge w:val="restart"/>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FINANCIAL INFORMATION</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8460" w:type="dxa"/>
            <w:vAlign w:val="bottom"/>
            <w:gridSpan w:val="5"/>
            <w:vMerge w:val="continue"/>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68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w:t>
              </w:r>
            </w:hyperlink>
          </w:p>
        </w:tc>
        <w:tc>
          <w:tcPr>
            <w:tcW w:w="7780" w:type="dxa"/>
            <w:vAlign w:val="bottom"/>
            <w:gridSpan w:val="4"/>
          </w:tcPr>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0" w:type="dxa"/>
            <w:vAlign w:val="bottom"/>
            <w:gridSpan w:val="3"/>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Balance Sheets as of June 30, 2020 and December 31, 2019</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Statements of Operations for the Three and Six Months Ended June 30, 2020 and 2019</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0" w:type="dxa"/>
            <w:vAlign w:val="bottom"/>
            <w:gridSpan w:val="3"/>
          </w:tcPr>
          <w:p>
            <w:pPr>
              <w:spacing w:after="0"/>
              <w:rPr>
                <w:rFonts w:ascii="Arial" w:cs="Arial" w:eastAsia="Arial" w:hAnsi="Arial"/>
                <w:sz w:val="18"/>
                <w:szCs w:val="18"/>
                <w:color w:val="0000EE"/>
              </w:rPr>
            </w:pPr>
            <w:hyperlink w:anchor="page6">
              <w:r>
                <w:rPr>
                  <w:rFonts w:ascii="Arial" w:cs="Arial" w:eastAsia="Arial" w:hAnsi="Arial"/>
                  <w:sz w:val="18"/>
                  <w:szCs w:val="18"/>
                  <w:u w:val="single" w:color="auto"/>
                  <w:color w:val="0000EE"/>
                </w:rPr>
                <w:t>Statements of Comprehensive Income</w:t>
              </w:r>
              <w:r>
                <w:rPr>
                  <w:rFonts w:ascii="Arial" w:cs="Arial" w:eastAsia="Arial" w:hAnsi="Arial"/>
                  <w:sz w:val="18"/>
                  <w:szCs w:val="18"/>
                  <w:color w:val="0000EE"/>
                </w:rPr>
                <w:t xml:space="preserve"> </w:t>
              </w:r>
            </w:hyperlink>
            <w:r>
              <w:rPr>
                <w:rFonts w:ascii="Arial" w:cs="Arial" w:eastAsia="Arial" w:hAnsi="Arial"/>
                <w:sz w:val="18"/>
                <w:szCs w:val="18"/>
                <w:color w:val="000000"/>
              </w:rPr>
              <w:t>(Loss)</w:t>
            </w: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0"/>
        </w:trPr>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20" w:type="dxa"/>
            <w:vAlign w:val="bottom"/>
            <w:tcBorders>
              <w:bottom w:val="single" w:sz="8" w:color="0000EE"/>
            </w:tcBorders>
            <w:gridSpan w:val="2"/>
          </w:tcPr>
          <w:p>
            <w:pPr>
              <w:spacing w:after="0" w:line="190"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Statements of Changes in Convertible Preferred Stock and Stockholders’ Equity (Deficit) for the Three</w:t>
              </w:r>
            </w:hyperlink>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and Six Months Ended June 30, 2020 and 2019</w:t>
              </w:r>
            </w:hyperlink>
          </w:p>
        </w:tc>
        <w:tc>
          <w:tcPr>
            <w:tcW w:w="420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0" w:type="dxa"/>
            <w:vAlign w:val="bottom"/>
            <w:gridSpan w:val="3"/>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Statements of Cash Flows for the Six Months Ended June 30, 2020 and 2019</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0" w:type="dxa"/>
            <w:vAlign w:val="bottom"/>
            <w:gridSpan w:val="3"/>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2.</w:t>
              </w:r>
            </w:hyperlink>
          </w:p>
        </w:tc>
        <w:tc>
          <w:tcPr>
            <w:tcW w:w="7780" w:type="dxa"/>
            <w:vAlign w:val="bottom"/>
            <w:gridSpan w:val="4"/>
          </w:tcPr>
          <w:p>
            <w:pPr>
              <w:ind w:left="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3.</w:t>
              </w:r>
            </w:hyperlink>
          </w:p>
        </w:tc>
        <w:tc>
          <w:tcPr>
            <w:tcW w:w="7780" w:type="dxa"/>
            <w:vAlign w:val="bottom"/>
            <w:gridSpan w:val="4"/>
          </w:tcPr>
          <w:p>
            <w:pPr>
              <w:ind w:left="4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68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4.</w:t>
              </w:r>
            </w:hyperlink>
          </w:p>
        </w:tc>
        <w:tc>
          <w:tcPr>
            <w:tcW w:w="7780" w:type="dxa"/>
            <w:vAlign w:val="bottom"/>
            <w:gridSpan w:val="4"/>
          </w:tcPr>
          <w:p>
            <w:pPr>
              <w:ind w:left="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Controls and Procedures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32"/>
        </w:trPr>
        <w:tc>
          <w:tcPr>
            <w:tcW w:w="8460" w:type="dxa"/>
            <w:vAlign w:val="bottom"/>
            <w:gridSpan w:val="5"/>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u w:val="single" w:color="auto"/>
                  <w:color w:val="0000EE"/>
                </w:rPr>
                <w:t>PART II</w:t>
              </w:r>
              <w:r>
                <w:rPr>
                  <w:rFonts w:ascii="Arial" w:cs="Arial" w:eastAsia="Arial" w:hAnsi="Arial"/>
                  <w:sz w:val="18"/>
                  <w:szCs w:val="18"/>
                  <w:b w:val="1"/>
                  <w:bCs w:val="1"/>
                  <w:color w:val="0000EE"/>
                </w:rPr>
                <w:t xml:space="preserve">. </w:t>
              </w:r>
              <w:r>
                <w:rPr>
                  <w:rFonts w:ascii="Arial" w:cs="Arial" w:eastAsia="Arial" w:hAnsi="Arial"/>
                  <w:sz w:val="18"/>
                  <w:szCs w:val="18"/>
                  <w:b w:val="1"/>
                  <w:bCs w:val="1"/>
                  <w:u w:val="single" w:color="auto"/>
                  <w:color w:val="0000EE"/>
                </w:rPr>
                <w:t>OTHER INFORMATION</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8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1.</w:t>
              </w:r>
            </w:hyperlink>
          </w:p>
        </w:tc>
        <w:tc>
          <w:tcPr>
            <w:tcW w:w="7780" w:type="dxa"/>
            <w:vAlign w:val="bottom"/>
            <w:gridSpan w:val="4"/>
          </w:tcPr>
          <w:p>
            <w:pPr>
              <w:ind w:left="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Legal Proceedings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w w:val="98"/>
              </w:rPr>
            </w:pPr>
            <w:hyperlink w:anchor="page40">
              <w:r>
                <w:rPr>
                  <w:rFonts w:ascii="Arial" w:cs="Arial" w:eastAsia="Arial" w:hAnsi="Arial"/>
                  <w:sz w:val="18"/>
                  <w:szCs w:val="18"/>
                  <w:u w:val="single" w:color="auto"/>
                  <w:color w:val="0000EE"/>
                  <w:w w:val="98"/>
                </w:rPr>
                <w:t>Item 1A.</w:t>
              </w:r>
            </w:hyperlink>
          </w:p>
        </w:tc>
        <w:tc>
          <w:tcPr>
            <w:tcW w:w="7780" w:type="dxa"/>
            <w:vAlign w:val="bottom"/>
            <w:gridSpan w:val="4"/>
          </w:tcPr>
          <w:p>
            <w:pPr>
              <w:ind w:left="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Risk Factors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2.</w:t>
              </w:r>
            </w:hyperlink>
          </w:p>
        </w:tc>
        <w:tc>
          <w:tcPr>
            <w:tcW w:w="7780" w:type="dxa"/>
            <w:vAlign w:val="bottom"/>
            <w:gridSpan w:val="4"/>
          </w:tcPr>
          <w:p>
            <w:pPr>
              <w:ind w:left="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Unregistered Sales of Equity Securities and Use of Proceeds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3.</w:t>
              </w:r>
            </w:hyperlink>
          </w:p>
        </w:tc>
        <w:tc>
          <w:tcPr>
            <w:tcW w:w="7780" w:type="dxa"/>
            <w:vAlign w:val="bottom"/>
            <w:gridSpan w:val="4"/>
          </w:tcPr>
          <w:p>
            <w:pPr>
              <w:ind w:left="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Defaults Upon Senior Securities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4.</w:t>
              </w:r>
            </w:hyperlink>
          </w:p>
        </w:tc>
        <w:tc>
          <w:tcPr>
            <w:tcW w:w="7780" w:type="dxa"/>
            <w:vAlign w:val="bottom"/>
            <w:gridSpan w:val="4"/>
          </w:tcPr>
          <w:p>
            <w:pPr>
              <w:ind w:left="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Mine Safety Disclosures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5.</w:t>
              </w:r>
            </w:hyperlink>
          </w:p>
        </w:tc>
        <w:tc>
          <w:tcPr>
            <w:tcW w:w="7780" w:type="dxa"/>
            <w:vAlign w:val="bottom"/>
            <w:gridSpan w:val="4"/>
          </w:tcPr>
          <w:p>
            <w:pPr>
              <w:ind w:left="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Other Information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6.</w:t>
              </w:r>
            </w:hyperlink>
          </w:p>
        </w:tc>
        <w:tc>
          <w:tcPr>
            <w:tcW w:w="7780" w:type="dxa"/>
            <w:vAlign w:val="bottom"/>
            <w:gridSpan w:val="4"/>
          </w:tcPr>
          <w:p>
            <w:pPr>
              <w:ind w:left="4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Exhibits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7780" w:type="dxa"/>
            <w:vAlign w:val="bottom"/>
            <w:gridSpan w:val="4"/>
          </w:tcPr>
          <w:p>
            <w:pPr>
              <w:ind w:left="4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Signatures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 contained in this Quarterly Report on Form 10-Q, including without limitation statements regarding our future results of operations and financial position, our ability to acquire or invest in complementary businesses, products, and technologies, our ability to achieve profitability on an annual basis and sustain such profitability, the sufficiency of our cash and cash equivalents, anticipated sources and uses of cash, our business strategy and our ability to acquire new clients and successfully engage new and existing clients, our ability to effectively manage our growth and compete effectively with existing competitors and new market entrants, the plans and objectives of management for future operations and capital expenditures, and the impact of the COVID-19 pandemic on our business, operations, and the markets and communities in which we and our clients, members and providers operate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Part II, Item 1A. “Risk Factors” and Part I, Item 2. “Management’s Discussion and Analysis of Financial Condition and Results of Operations.” of this Quarterly Report on Form 10-Q.</w:t>
      </w:r>
    </w:p>
    <w:p>
      <w:pPr>
        <w:spacing w:after="0" w:line="19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addition, statements such as “we believe” and similar statements reflect our beliefs and opinions on the relevant subject. These statements are based upon information available to us as of the filing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49,392</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41,984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6"/>
              </w:rPr>
              <w:t>Accounts receivable, net of $11,084 and $6,320 of allowances at June 30, 2020 and</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December 31, 2019, respectively</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64,996</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50"/>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177,554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150,434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31,935</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57,995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 xml:space="preserve">Commitments and Contingencies </w:t>
            </w:r>
            <w:r>
              <w:rPr>
                <w:rFonts w:ascii="Arial" w:cs="Arial" w:eastAsia="Arial" w:hAnsi="Arial"/>
                <w:sz w:val="18"/>
                <w:szCs w:val="18"/>
                <w:i w:val="1"/>
                <w:iCs w:val="1"/>
                <w:color w:val="auto"/>
              </w:rPr>
              <w:t>(Note 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tcPr>
          <w:p>
            <w:pPr>
              <w:spacing w:after="0" w:line="201" w:lineRule="exact"/>
              <w:rPr>
                <w:sz w:val="20"/>
                <w:szCs w:val="20"/>
                <w:color w:val="auto"/>
              </w:rPr>
            </w:pPr>
            <w:r>
              <w:rPr>
                <w:rFonts w:ascii="Arial" w:cs="Arial" w:eastAsia="Arial" w:hAnsi="Arial"/>
                <w:sz w:val="18"/>
                <w:szCs w:val="18"/>
                <w:color w:val="auto"/>
                <w:w w:val="90"/>
              </w:rPr>
              <w:t>Common stock, $0.0001 par value; 1,000,000,000 shares authorized at June 30, 2020 and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w w:val="99"/>
              </w:rPr>
              <w:t>December 31, 2019; 85,778,057 and 84,188,202 shares issued and outstanding at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June 30, 2020 and December 31, 2019, respectively</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tcPr>
          <w:p>
            <w:pPr>
              <w:ind w:left="80"/>
              <w:spacing w:after="0" w:line="201" w:lineRule="exact"/>
              <w:rPr>
                <w:sz w:val="20"/>
                <w:szCs w:val="20"/>
                <w:color w:val="auto"/>
              </w:rPr>
            </w:pPr>
            <w:r>
              <w:rPr>
                <w:rFonts w:ascii="Arial" w:cs="Arial" w:eastAsia="Arial" w:hAnsi="Arial"/>
                <w:sz w:val="18"/>
                <w:szCs w:val="18"/>
                <w:color w:val="auto"/>
              </w:rPr>
              <w:t>Treasury stock, at cost, $0.0001 par value; 615,980 shares at June 30, 2020 and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December 31, 2019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119,559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114,271</w:t>
            </w:r>
          </w:p>
        </w:tc>
        <w:tc>
          <w:tcPr>
            <w:tcW w:w="0" w:type="dxa"/>
            <w:vAlign w:val="bottom"/>
          </w:tcPr>
          <w:p>
            <w:pPr>
              <w:spacing w:after="0"/>
              <w:rPr>
                <w:sz w:val="1"/>
                <w:szCs w:val="1"/>
                <w:color w:val="auto"/>
              </w:rPr>
            </w:pPr>
          </w:p>
        </w:tc>
      </w:tr>
      <w:tr>
        <w:trPr>
          <w:trHeight w:val="209"/>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177,554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760"/>
        <w:spacing w:after="0"/>
        <w:rPr>
          <w:sz w:val="20"/>
          <w:szCs w:val="20"/>
          <w:color w:val="auto"/>
        </w:rPr>
      </w:pPr>
      <w:r>
        <w:rPr>
          <w:rFonts w:ascii="Arial" w:cs="Arial" w:eastAsia="Arial" w:hAnsi="Arial"/>
          <w:sz w:val="18"/>
          <w:szCs w:val="18"/>
          <w:i w:val="1"/>
          <w:iCs w:val="1"/>
          <w:color w:val="auto"/>
        </w:rPr>
        <w:t>The accompanying notes are an integral part of these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103,365</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services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52,650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44,716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117,072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81,949</w:t>
            </w: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21,416</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10,489</w:t>
            </w: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15,952</w:t>
            </w:r>
          </w:p>
        </w:tc>
        <w:tc>
          <w:tcPr>
            <w:tcW w:w="0" w:type="dxa"/>
            <w:vAlign w:val="bottom"/>
          </w:tcPr>
          <w:p>
            <w:pPr>
              <w:spacing w:after="0"/>
              <w:rPr>
                <w:sz w:val="1"/>
                <w:szCs w:val="1"/>
                <w:color w:val="auto"/>
              </w:rPr>
            </w:pPr>
          </w:p>
        </w:tc>
      </w:tr>
      <w:tr>
        <w:trPr>
          <w:trHeight w:val="209"/>
        </w:trPr>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5,464</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00"/>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 (expense),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2"/>
        </w:trPr>
        <w:tc>
          <w:tcPr>
            <w:tcW w:w="4100" w:type="dxa"/>
            <w:vAlign w:val="bottom"/>
          </w:tcPr>
          <w:p>
            <w:pPr>
              <w:ind w:left="100"/>
              <w:spacing w:after="0" w:line="201" w:lineRule="exact"/>
              <w:rPr>
                <w:sz w:val="20"/>
                <w:szCs w:val="20"/>
                <w:color w:val="auto"/>
              </w:rPr>
            </w:pPr>
            <w:r>
              <w:rPr>
                <w:rFonts w:ascii="Arial" w:cs="Arial" w:eastAsia="Arial" w:hAnsi="Arial"/>
                <w:sz w:val="18"/>
                <w:szCs w:val="18"/>
                <w:color w:val="auto"/>
              </w:rPr>
              <w:t>Convertible preferred stock warrant valuation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adjustment</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09"/>
        </w:trPr>
        <w:tc>
          <w:tcPr>
            <w:tcW w:w="41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09"/>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Net income (loss) attributable to common stockholders</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line="195" w:lineRule="exact"/>
              <w:rPr>
                <w:sz w:val="20"/>
                <w:szCs w:val="20"/>
                <w:color w:val="auto"/>
              </w:rPr>
            </w:pPr>
            <w:r>
              <w:rPr>
                <w:rFonts w:ascii="Arial" w:cs="Arial" w:eastAsia="Arial" w:hAnsi="Arial"/>
                <w:sz w:val="18"/>
                <w:szCs w:val="18"/>
                <w:color w:val="auto"/>
                <w:w w:val="99"/>
              </w:rPr>
              <w:t>Net income (loss) per share attributable to common</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stockholders: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100" w:type="dxa"/>
            <w:vAlign w:val="bottom"/>
          </w:tcPr>
          <w:p>
            <w:pPr>
              <w:ind w:left="100"/>
              <w:spacing w:after="0"/>
              <w:rPr>
                <w:sz w:val="20"/>
                <w:szCs w:val="20"/>
                <w:color w:val="auto"/>
              </w:rPr>
            </w:pPr>
            <w:r>
              <w:rPr>
                <w:rFonts w:ascii="Arial" w:cs="Arial" w:eastAsia="Arial" w:hAnsi="Arial"/>
                <w:sz w:val="18"/>
                <w:szCs w:val="18"/>
                <w:color w:val="auto"/>
              </w:rPr>
              <w:t>Diluted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41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Weighted-average shares used in computing net</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85,281,151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5,172,209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84,909,692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5,164,564</w:t>
            </w: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85,281,151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5,172,209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98,887,190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5,164,564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760"/>
        <w:spacing w:after="0"/>
        <w:rPr>
          <w:sz w:val="20"/>
          <w:szCs w:val="20"/>
          <w:color w:val="auto"/>
        </w:rPr>
      </w:pPr>
      <w:r>
        <w:rPr>
          <w:rFonts w:ascii="Arial" w:cs="Arial" w:eastAsia="Arial" w:hAnsi="Arial"/>
          <w:sz w:val="18"/>
          <w:szCs w:val="18"/>
          <w:i w:val="1"/>
          <w:iCs w:val="1"/>
          <w:color w:val="auto"/>
        </w:rPr>
        <w:t>The accompanying notes are an integral part of these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PROGYNY,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Comprehensive Income (Loss)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(in-thousands)</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94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w:t>
            </w: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gains on marketable securities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w:t>
            </w:r>
          </w:p>
        </w:tc>
      </w:tr>
      <w:tr>
        <w:trPr>
          <w:trHeight w:val="20"/>
        </w:trPr>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760"/>
        <w:spacing w:after="0"/>
        <w:rPr>
          <w:sz w:val="20"/>
          <w:szCs w:val="20"/>
          <w:color w:val="auto"/>
        </w:rPr>
      </w:pPr>
      <w:r>
        <w:rPr>
          <w:rFonts w:ascii="Arial" w:cs="Arial" w:eastAsia="Arial" w:hAnsi="Arial"/>
          <w:sz w:val="18"/>
          <w:szCs w:val="18"/>
          <w:i w:val="1"/>
          <w:iCs w:val="1"/>
          <w:color w:val="auto"/>
        </w:rPr>
        <w:t>The accompanying notes are an integral part of these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PROGYNY, INC.</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Statements of Changes in Convertible Preferred Stock and Stockholders’ Equity (Deficit)</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i w:val="1"/>
          <w:iCs w:val="1"/>
          <w:color w:val="auto"/>
        </w:rPr>
        <w:t>(in thousands, except share amounts)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left="399"/>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Other</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20" w:type="dxa"/>
            <w:vAlign w:val="bottom"/>
            <w:tcBorders>
              <w:right w:val="single" w:sz="8" w:color="auto"/>
            </w:tcBorders>
            <w:gridSpan w:val="6"/>
          </w:tcPr>
          <w:p>
            <w:pPr>
              <w:ind w:left="80"/>
              <w:spacing w:after="0"/>
              <w:rPr>
                <w:sz w:val="20"/>
                <w:szCs w:val="20"/>
                <w:color w:val="auto"/>
              </w:rPr>
            </w:pPr>
            <w:r>
              <w:rPr>
                <w:rFonts w:ascii="Arial" w:cs="Arial" w:eastAsia="Arial" w:hAnsi="Arial"/>
                <w:sz w:val="16"/>
                <w:szCs w:val="16"/>
                <w:b w:val="1"/>
                <w:bCs w:val="1"/>
                <w:color w:val="auto"/>
                <w:w w:val="94"/>
              </w:rPr>
              <w:t>Convertible Preferred Stock</w:t>
            </w:r>
          </w:p>
        </w:tc>
        <w:tc>
          <w:tcPr>
            <w:tcW w:w="60" w:type="dxa"/>
            <w:vAlign w:val="bottom"/>
          </w:tcPr>
          <w:p>
            <w:pPr>
              <w:spacing w:after="0"/>
              <w:rPr>
                <w:sz w:val="18"/>
                <w:szCs w:val="18"/>
                <w:color w:val="auto"/>
              </w:rPr>
            </w:pPr>
          </w:p>
        </w:tc>
        <w:tc>
          <w:tcPr>
            <w:tcW w:w="1300" w:type="dxa"/>
            <w:vAlign w:val="bottom"/>
            <w:gridSpan w:val="3"/>
          </w:tcPr>
          <w:p>
            <w:pPr>
              <w:ind w:left="220"/>
              <w:spacing w:after="0"/>
              <w:rPr>
                <w:sz w:val="20"/>
                <w:szCs w:val="20"/>
                <w:color w:val="auto"/>
              </w:rPr>
            </w:pPr>
            <w:r>
              <w:rPr>
                <w:rFonts w:ascii="Arial" w:cs="Arial" w:eastAsia="Arial" w:hAnsi="Arial"/>
                <w:sz w:val="16"/>
                <w:szCs w:val="16"/>
                <w:b w:val="1"/>
                <w:bCs w:val="1"/>
                <w:color w:val="auto"/>
                <w:w w:val="90"/>
              </w:rPr>
              <w:t>Common Stock</w:t>
            </w:r>
          </w:p>
        </w:tc>
        <w:tc>
          <w:tcPr>
            <w:tcW w:w="220" w:type="dxa"/>
            <w:vAlign w:val="bottom"/>
          </w:tcPr>
          <w:p>
            <w:pPr>
              <w:spacing w:after="0"/>
              <w:rPr>
                <w:sz w:val="18"/>
                <w:szCs w:val="18"/>
                <w:color w:val="auto"/>
              </w:rPr>
            </w:pPr>
          </w:p>
        </w:tc>
        <w:tc>
          <w:tcPr>
            <w:tcW w:w="900" w:type="dxa"/>
            <w:vAlign w:val="bottom"/>
            <w:gridSpan w:val="3"/>
          </w:tcPr>
          <w:p>
            <w:pPr>
              <w:ind w:left="160"/>
              <w:spacing w:after="0"/>
              <w:rPr>
                <w:sz w:val="20"/>
                <w:szCs w:val="20"/>
                <w:color w:val="auto"/>
              </w:rPr>
            </w:pPr>
            <w:r>
              <w:rPr>
                <w:rFonts w:ascii="Arial" w:cs="Arial" w:eastAsia="Arial" w:hAnsi="Arial"/>
                <w:sz w:val="16"/>
                <w:szCs w:val="16"/>
                <w:b w:val="1"/>
                <w:bCs w:val="1"/>
                <w:color w:val="auto"/>
              </w:rPr>
              <w:t>Treasury</w:t>
            </w:r>
          </w:p>
        </w:tc>
        <w:tc>
          <w:tcPr>
            <w:tcW w:w="70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Paid in</w:t>
            </w: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Accumulated</w:t>
            </w:r>
          </w:p>
        </w:tc>
        <w:tc>
          <w:tcPr>
            <w:tcW w:w="1400" w:type="dxa"/>
            <w:vAlign w:val="bottom"/>
            <w:gridSpan w:val="4"/>
          </w:tcPr>
          <w:p>
            <w:pPr>
              <w:ind w:left="160"/>
              <w:spacing w:after="0"/>
              <w:rPr>
                <w:sz w:val="20"/>
                <w:szCs w:val="20"/>
                <w:color w:val="auto"/>
              </w:rPr>
            </w:pPr>
            <w:r>
              <w:rPr>
                <w:rFonts w:ascii="Arial" w:cs="Arial" w:eastAsia="Arial" w:hAnsi="Arial"/>
                <w:sz w:val="16"/>
                <w:szCs w:val="16"/>
                <w:b w:val="1"/>
                <w:bCs w:val="1"/>
                <w:color w:val="auto"/>
              </w:rPr>
              <w:t>Comprehensive</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Shares</w:t>
            </w:r>
          </w:p>
        </w:tc>
        <w:tc>
          <w:tcPr>
            <w:tcW w:w="720" w:type="dxa"/>
            <w:vAlign w:val="bottom"/>
            <w:tcBorders>
              <w:top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b w:val="1"/>
                <w:bCs w:val="1"/>
                <w:color w:val="auto"/>
                <w:w w:val="87"/>
              </w:rPr>
              <w:t>Stock</w:t>
            </w:r>
          </w:p>
        </w:tc>
        <w:tc>
          <w:tcPr>
            <w:tcW w:w="700" w:type="dxa"/>
            <w:vAlign w:val="bottom"/>
          </w:tcPr>
          <w:p>
            <w:pPr>
              <w:jc w:val="center"/>
              <w:ind w:right="59"/>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99"/>
              <w:spacing w:after="0"/>
              <w:rPr>
                <w:sz w:val="20"/>
                <w:szCs w:val="20"/>
                <w:color w:val="auto"/>
              </w:rPr>
            </w:pPr>
            <w:r>
              <w:rPr>
                <w:rFonts w:ascii="Arial" w:cs="Arial" w:eastAsia="Arial" w:hAnsi="Arial"/>
                <w:sz w:val="16"/>
                <w:szCs w:val="16"/>
                <w:b w:val="1"/>
                <w:bCs w:val="1"/>
                <w:color w:val="auto"/>
              </w:rPr>
              <w:t>Deficit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Income</w:t>
            </w:r>
          </w:p>
        </w:tc>
        <w:tc>
          <w:tcPr>
            <w:tcW w:w="660" w:type="dxa"/>
            <w:vAlign w:val="bottom"/>
          </w:tcPr>
          <w:p>
            <w:pPr>
              <w:jc w:val="right"/>
              <w:ind w:right="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For the three</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months ended</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June 30, 2020:</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40" w:type="dxa"/>
            <w:vAlign w:val="bottom"/>
          </w:tcPr>
          <w:p>
            <w:pPr>
              <w:spacing w:after="0"/>
              <w:rPr>
                <w:sz w:val="20"/>
                <w:szCs w:val="20"/>
                <w:color w:val="auto"/>
              </w:rPr>
            </w:pPr>
            <w:r>
              <w:rPr>
                <w:rFonts w:ascii="Arial" w:cs="Arial" w:eastAsia="Arial" w:hAnsi="Arial"/>
                <w:sz w:val="16"/>
                <w:szCs w:val="16"/>
                <w:color w:val="auto"/>
              </w:rPr>
              <w:t>Balance at March</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360" w:type="dxa"/>
            <w:vAlign w:val="bottom"/>
            <w:gridSpan w:val="2"/>
          </w:tcPr>
          <w:p>
            <w:pPr>
              <w:spacing w:after="0"/>
              <w:rPr>
                <w:sz w:val="20"/>
                <w:szCs w:val="20"/>
                <w:color w:val="auto"/>
              </w:rPr>
            </w:pPr>
            <w:r>
              <w:rPr>
                <w:rFonts w:ascii="Arial" w:cs="Arial" w:eastAsia="Arial" w:hAnsi="Arial"/>
                <w:sz w:val="16"/>
                <w:szCs w:val="16"/>
                <w:color w:val="auto"/>
              </w:rPr>
              <w:t>31, 2020</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w w:val="97"/>
              </w:rPr>
              <w:t>84,845,828</w:t>
            </w:r>
          </w:p>
        </w:tc>
        <w:tc>
          <w:tcPr>
            <w:tcW w:w="5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8</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7"/>
              </w:rPr>
              <w:t>(1,009)$</w:t>
            </w:r>
          </w:p>
        </w:tc>
        <w:tc>
          <w:tcPr>
            <w:tcW w:w="700" w:type="dxa"/>
            <w:vAlign w:val="bottom"/>
          </w:tcPr>
          <w:p>
            <w:pPr>
              <w:jc w:val="right"/>
              <w:spacing w:after="0"/>
              <w:rPr>
                <w:sz w:val="20"/>
                <w:szCs w:val="20"/>
                <w:color w:val="auto"/>
              </w:rPr>
            </w:pPr>
            <w:r>
              <w:rPr>
                <w:rFonts w:ascii="Arial" w:cs="Arial" w:eastAsia="Arial" w:hAnsi="Arial"/>
                <w:sz w:val="16"/>
                <w:szCs w:val="16"/>
                <w:color w:val="auto"/>
              </w:rPr>
              <w:t>231,516</w:t>
            </w: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(109,426)</w:t>
            </w:r>
          </w:p>
        </w:tc>
        <w:tc>
          <w:tcPr>
            <w:tcW w:w="3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6"/>
              </w:rPr>
              <w:t>$121,089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Stock option</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exercises, net of</w:t>
            </w:r>
          </w:p>
        </w:tc>
        <w:tc>
          <w:tcPr>
            <w:tcW w:w="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shares withheld</w:t>
            </w: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932,229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40" w:type="dxa"/>
            <w:vAlign w:val="bottom"/>
          </w:tcPr>
          <w:p>
            <w:pPr>
              <w:ind w:left="80"/>
              <w:spacing w:after="0"/>
              <w:rPr>
                <w:sz w:val="20"/>
                <w:szCs w:val="20"/>
                <w:color w:val="auto"/>
              </w:rPr>
            </w:pPr>
            <w:r>
              <w:rPr>
                <w:rFonts w:ascii="Arial" w:cs="Arial" w:eastAsia="Arial" w:hAnsi="Arial"/>
                <w:sz w:val="16"/>
                <w:szCs w:val="16"/>
                <w:color w:val="auto"/>
              </w:rPr>
              <w:t>Stock-based</w:t>
            </w:r>
          </w:p>
        </w:tc>
        <w:tc>
          <w:tcPr>
            <w:tcW w:w="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7"/>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40" w:type="dxa"/>
            <w:vAlign w:val="bottom"/>
          </w:tcPr>
          <w:p>
            <w:pPr>
              <w:ind w:left="80"/>
              <w:spacing w:after="0"/>
              <w:rPr>
                <w:sz w:val="20"/>
                <w:szCs w:val="20"/>
                <w:color w:val="auto"/>
              </w:rPr>
            </w:pPr>
            <w:r>
              <w:rPr>
                <w:rFonts w:ascii="Arial" w:cs="Arial" w:eastAsia="Arial" w:hAnsi="Arial"/>
                <w:sz w:val="16"/>
                <w:szCs w:val="16"/>
                <w:color w:val="auto"/>
              </w:rPr>
              <w:t>compensation</w:t>
            </w: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3,541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3,541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comprehensive</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income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Net loss</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7"/>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(1,812)</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w:t>
            </w:r>
          </w:p>
        </w:tc>
        <w:tc>
          <w:tcPr>
            <w:tcW w:w="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w w:val="97"/>
              </w:rPr>
              <w:t>85,778,057</w:t>
            </w:r>
          </w:p>
        </w:tc>
        <w:tc>
          <w:tcPr>
            <w:tcW w:w="500" w:type="dxa"/>
            <w:vAlign w:val="bottom"/>
            <w:gridSpan w:val="2"/>
            <w:vMerge w:val="restart"/>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60" w:type="dxa"/>
            <w:vAlign w:val="bottom"/>
            <w:gridSpan w:val="2"/>
            <w:vMerge w:val="restart"/>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u w:val="single" w:color="auto"/>
                <w:color w:val="auto"/>
                <w:w w:val="97"/>
              </w:rPr>
              <w:t>(1,009)</w:t>
            </w:r>
            <w:r>
              <w:rPr>
                <w:rFonts w:ascii="Arial" w:cs="Arial" w:eastAsia="Arial" w:hAnsi="Arial"/>
                <w:sz w:val="16"/>
                <w:szCs w:val="16"/>
                <w:color w:val="auto"/>
                <w:w w:val="97"/>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231,792</w:t>
            </w:r>
          </w:p>
        </w:tc>
        <w:tc>
          <w:tcPr>
            <w:tcW w:w="34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(111,238)</w:t>
            </w:r>
          </w:p>
        </w:tc>
        <w:tc>
          <w:tcPr>
            <w:tcW w:w="340" w:type="dxa"/>
            <w:vAlign w:val="bottom"/>
            <w:gridSpan w:val="2"/>
            <w:vMerge w:val="restart"/>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6"/>
              </w:rPr>
              <w:t>$119,559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June 30, 2020</w:t>
            </w:r>
          </w:p>
        </w:tc>
        <w:tc>
          <w:tcPr>
            <w:tcW w:w="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880" w:type="dxa"/>
            <w:vAlign w:val="bottom"/>
            <w:tcBorders>
              <w:right w:val="single" w:sz="8" w:color="auto"/>
            </w:tcBorders>
            <w:gridSpan w:val="2"/>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For the three</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months ended</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June 30, 2019:</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40" w:type="dxa"/>
            <w:vAlign w:val="bottom"/>
          </w:tcPr>
          <w:p>
            <w:pPr>
              <w:spacing w:after="0"/>
              <w:rPr>
                <w:sz w:val="20"/>
                <w:szCs w:val="20"/>
                <w:color w:val="auto"/>
              </w:rPr>
            </w:pPr>
            <w:r>
              <w:rPr>
                <w:rFonts w:ascii="Arial" w:cs="Arial" w:eastAsia="Arial" w:hAnsi="Arial"/>
                <w:sz w:val="16"/>
                <w:szCs w:val="16"/>
                <w:color w:val="auto"/>
              </w:rPr>
              <w:t>Balance at March</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360" w:type="dxa"/>
            <w:vAlign w:val="bottom"/>
            <w:gridSpan w:val="2"/>
          </w:tcPr>
          <w:p>
            <w:pPr>
              <w:spacing w:after="0"/>
              <w:rPr>
                <w:sz w:val="20"/>
                <w:szCs w:val="20"/>
                <w:color w:val="auto"/>
              </w:rPr>
            </w:pPr>
            <w:r>
              <w:rPr>
                <w:rFonts w:ascii="Arial" w:cs="Arial" w:eastAsia="Arial" w:hAnsi="Arial"/>
                <w:sz w:val="16"/>
                <w:szCs w:val="16"/>
                <w:color w:val="auto"/>
              </w:rPr>
              <w:t>31, 2019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65,428,088</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106,237</w:t>
            </w:r>
          </w:p>
        </w:tc>
        <w:tc>
          <w:tcPr>
            <w:tcW w:w="100" w:type="dxa"/>
            <w:vAlign w:val="bottom"/>
            <w:tcBorders>
              <w:right w:val="single" w:sz="8" w:color="auto"/>
            </w:tcBorders>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5,157,211</w:t>
            </w:r>
          </w:p>
        </w:tc>
        <w:tc>
          <w:tcPr>
            <w:tcW w:w="5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(884)$</w:t>
            </w:r>
          </w:p>
        </w:tc>
        <w:tc>
          <w:tcPr>
            <w:tcW w:w="700" w:type="dxa"/>
            <w:vAlign w:val="bottom"/>
          </w:tcPr>
          <w:p>
            <w:pPr>
              <w:jc w:val="right"/>
              <w:spacing w:after="0"/>
              <w:rPr>
                <w:sz w:val="20"/>
                <w:szCs w:val="20"/>
                <w:color w:val="auto"/>
              </w:rPr>
            </w:pPr>
            <w:r>
              <w:rPr>
                <w:rFonts w:ascii="Arial" w:cs="Arial" w:eastAsia="Arial" w:hAnsi="Arial"/>
                <w:sz w:val="16"/>
                <w:szCs w:val="16"/>
                <w:color w:val="auto"/>
              </w:rPr>
              <w:t>11,141</w:t>
            </w: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(102,333)</w:t>
            </w:r>
          </w:p>
        </w:tc>
        <w:tc>
          <w:tcPr>
            <w:tcW w:w="3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7"/>
              </w:rPr>
              <w:t>$ (92,075)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Stock option</w:t>
            </w:r>
          </w:p>
        </w:tc>
        <w:tc>
          <w:tcPr>
            <w:tcW w:w="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7"/>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exercises</w:t>
            </w: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30,263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40" w:type="dxa"/>
            <w:vAlign w:val="bottom"/>
          </w:tcPr>
          <w:p>
            <w:pPr>
              <w:ind w:left="80"/>
              <w:spacing w:after="0"/>
              <w:rPr>
                <w:sz w:val="20"/>
                <w:szCs w:val="20"/>
                <w:color w:val="auto"/>
              </w:rPr>
            </w:pPr>
            <w:r>
              <w:rPr>
                <w:rFonts w:ascii="Arial" w:cs="Arial" w:eastAsia="Arial" w:hAnsi="Arial"/>
                <w:sz w:val="16"/>
                <w:szCs w:val="16"/>
                <w:color w:val="auto"/>
              </w:rPr>
              <w:t>Stock-based</w:t>
            </w:r>
          </w:p>
        </w:tc>
        <w:tc>
          <w:tcPr>
            <w:tcW w:w="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7"/>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40" w:type="dxa"/>
            <w:vAlign w:val="bottom"/>
          </w:tcPr>
          <w:p>
            <w:pPr>
              <w:ind w:left="80"/>
              <w:spacing w:after="0"/>
              <w:rPr>
                <w:sz w:val="20"/>
                <w:szCs w:val="20"/>
                <w:color w:val="auto"/>
              </w:rPr>
            </w:pPr>
            <w:r>
              <w:rPr>
                <w:rFonts w:ascii="Arial" w:cs="Arial" w:eastAsia="Arial" w:hAnsi="Arial"/>
                <w:sz w:val="16"/>
                <w:szCs w:val="16"/>
                <w:color w:val="auto"/>
              </w:rPr>
              <w:t>compensation</w:t>
            </w: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1,012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w:t>
            </w:r>
          </w:p>
        </w:tc>
        <w:tc>
          <w:tcPr>
            <w:tcW w:w="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7"/>
              </w:rPr>
              <w:t>—</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0" w:type="dxa"/>
            <w:vAlign w:val="bottom"/>
          </w:tcPr>
          <w:p>
            <w:pPr>
              <w:spacing w:after="0"/>
              <w:rPr>
                <w:sz w:val="1"/>
                <w:szCs w:val="1"/>
                <w:color w:val="auto"/>
              </w:rPr>
            </w:pPr>
          </w:p>
        </w:tc>
      </w:tr>
      <w:tr>
        <w:trPr>
          <w:trHeight w:val="196"/>
        </w:trPr>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Balance at</w:t>
            </w: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color w:val="auto"/>
              </w:rPr>
              <w:t>65,428,088</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106,237</w:t>
            </w:r>
          </w:p>
        </w:tc>
        <w:tc>
          <w:tcPr>
            <w:tcW w:w="100" w:type="dxa"/>
            <w:vAlign w:val="bottom"/>
            <w:tcBorders>
              <w:right w:val="single" w:sz="8" w:color="auto"/>
            </w:tcBorders>
          </w:tcPr>
          <w:p>
            <w:pPr>
              <w:spacing w:after="0"/>
              <w:rPr>
                <w:sz w:val="17"/>
                <w:szCs w:val="17"/>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6"/>
                <w:szCs w:val="16"/>
                <w:color w:val="auto"/>
              </w:rPr>
              <w:t>5,187,474</w:t>
            </w:r>
          </w:p>
        </w:tc>
        <w:tc>
          <w:tcPr>
            <w:tcW w:w="500" w:type="dxa"/>
            <w:vAlign w:val="bottom"/>
            <w:gridSpan w:val="2"/>
            <w:vMerge w:val="restart"/>
          </w:tcPr>
          <w:p>
            <w:pPr>
              <w:ind w:left="14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60" w:type="dxa"/>
            <w:vAlign w:val="bottom"/>
            <w:gridSpan w:val="2"/>
            <w:vMerge w:val="restart"/>
          </w:tcPr>
          <w:p>
            <w:pPr>
              <w:ind w:left="160"/>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u w:val="single" w:color="auto"/>
                <w:color w:val="auto"/>
              </w:rPr>
              <w:t>(884)</w:t>
            </w: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12,182</w:t>
            </w:r>
          </w:p>
        </w:tc>
        <w:tc>
          <w:tcPr>
            <w:tcW w:w="34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(100,813)</w:t>
            </w:r>
          </w:p>
        </w:tc>
        <w:tc>
          <w:tcPr>
            <w:tcW w:w="340" w:type="dxa"/>
            <w:vAlign w:val="bottom"/>
            <w:gridSpan w:val="2"/>
            <w:vMerge w:val="restart"/>
          </w:tcPr>
          <w:p>
            <w:pPr>
              <w:ind w:left="160"/>
              <w:spacing w:after="0"/>
              <w:rPr>
                <w:sz w:val="20"/>
                <w:szCs w:val="20"/>
                <w:color w:val="auto"/>
              </w:rPr>
            </w:pPr>
            <w:r>
              <w:rPr>
                <w:rFonts w:ascii="Arial" w:cs="Arial" w:eastAsia="Arial" w:hAnsi="Arial"/>
                <w:sz w:val="16"/>
                <w:szCs w:val="16"/>
                <w:color w:val="auto"/>
              </w:rPr>
              <w:t>$</w:t>
            </w: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w w:val="87"/>
              </w:rPr>
              <w:t>$ (89,514)</w:t>
            </w:r>
          </w:p>
        </w:tc>
        <w:tc>
          <w:tcPr>
            <w:tcW w:w="0" w:type="dxa"/>
            <w:vAlign w:val="bottom"/>
          </w:tcPr>
          <w:p>
            <w:pPr>
              <w:spacing w:after="0"/>
              <w:rPr>
                <w:sz w:val="1"/>
                <w:szCs w:val="1"/>
                <w:color w:val="auto"/>
              </w:rPr>
            </w:pPr>
          </w:p>
        </w:tc>
      </w:tr>
      <w:tr>
        <w:trPr>
          <w:trHeight w:val="243"/>
        </w:trPr>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June 30, 2019</w:t>
            </w:r>
          </w:p>
        </w:tc>
        <w:tc>
          <w:tcPr>
            <w:tcW w:w="960" w:type="dxa"/>
            <w:vAlign w:val="bottom"/>
            <w:gridSpan w:val="2"/>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500" w:type="dxa"/>
            <w:vAlign w:val="bottom"/>
            <w:gridSpan w:val="2"/>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40" w:type="dxa"/>
            <w:vAlign w:val="bottom"/>
          </w:tcPr>
          <w:p>
            <w:pPr>
              <w:spacing w:after="0"/>
              <w:rPr>
                <w:sz w:val="20"/>
                <w:szCs w:val="20"/>
                <w:color w:val="auto"/>
              </w:rPr>
            </w:pPr>
            <w:r>
              <w:rPr>
                <w:rFonts w:ascii="Arial" w:cs="Arial" w:eastAsia="Arial" w:hAnsi="Arial"/>
                <w:sz w:val="16"/>
                <w:szCs w:val="16"/>
                <w:b w:val="1"/>
                <w:bCs w:val="1"/>
                <w:color w:val="auto"/>
              </w:rPr>
              <w:t>For the six</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months ended</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June 30, 2020:</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6"/>
                <w:szCs w:val="16"/>
                <w:color w:val="auto"/>
              </w:rPr>
              <w:t>Balance at</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6"/>
                <w:szCs w:val="16"/>
                <w:color w:val="auto"/>
                <w:w w:val="93"/>
              </w:rPr>
              <w:t>December 31, 2019</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7"/>
              </w:rPr>
              <w:t>84,188,202</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(1,009)$</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228,755</w:t>
            </w:r>
          </w:p>
        </w:tc>
        <w:tc>
          <w:tcPr>
            <w:tcW w:w="3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(113,483)</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$114,271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40" w:type="dxa"/>
            <w:vAlign w:val="bottom"/>
          </w:tcPr>
          <w:p>
            <w:pPr>
              <w:ind w:left="80"/>
              <w:spacing w:after="0"/>
              <w:rPr>
                <w:sz w:val="20"/>
                <w:szCs w:val="20"/>
                <w:color w:val="auto"/>
              </w:rPr>
            </w:pPr>
            <w:r>
              <w:rPr>
                <w:rFonts w:ascii="Arial" w:cs="Arial" w:eastAsia="Arial" w:hAnsi="Arial"/>
                <w:sz w:val="16"/>
                <w:szCs w:val="16"/>
                <w:color w:val="auto"/>
              </w:rPr>
              <w:t>Stock option</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tcPr>
          <w:p>
            <w:pPr>
              <w:ind w:left="80"/>
              <w:spacing w:after="0"/>
              <w:rPr>
                <w:sz w:val="20"/>
                <w:szCs w:val="20"/>
                <w:color w:val="auto"/>
              </w:rPr>
            </w:pPr>
            <w:r>
              <w:rPr>
                <w:rFonts w:ascii="Arial" w:cs="Arial" w:eastAsia="Arial" w:hAnsi="Arial"/>
                <w:sz w:val="16"/>
                <w:szCs w:val="16"/>
                <w:color w:val="auto"/>
              </w:rPr>
              <w:t>exercises, net of</w:t>
            </w:r>
          </w:p>
        </w:tc>
        <w:tc>
          <w:tcPr>
            <w:tcW w:w="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40" w:type="dxa"/>
            <w:vAlign w:val="bottom"/>
          </w:tcPr>
          <w:p>
            <w:pPr>
              <w:ind w:left="80"/>
              <w:spacing w:after="0"/>
              <w:rPr>
                <w:sz w:val="20"/>
                <w:szCs w:val="20"/>
                <w:color w:val="auto"/>
              </w:rPr>
            </w:pPr>
            <w:r>
              <w:rPr>
                <w:rFonts w:ascii="Arial" w:cs="Arial" w:eastAsia="Arial" w:hAnsi="Arial"/>
                <w:sz w:val="16"/>
                <w:szCs w:val="16"/>
                <w:color w:val="auto"/>
              </w:rPr>
              <w:t>shares withheld</w:t>
            </w: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right w:val="single" w:sz="8" w:color="auto"/>
            </w:tcBorders>
            <w:gridSpan w:val="2"/>
            <w:vMerge w:val="continue"/>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1,589,855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(2,668)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(2,667)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Stock-based</w:t>
            </w:r>
          </w:p>
        </w:tc>
        <w:tc>
          <w:tcPr>
            <w:tcW w:w="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7"/>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compensation</w:t>
            </w: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40" w:type="dxa"/>
            <w:vAlign w:val="bottom"/>
          </w:tcPr>
          <w:p>
            <w:pPr>
              <w:ind w:left="80"/>
              <w:spacing w:after="0"/>
              <w:rPr>
                <w:sz w:val="20"/>
                <w:szCs w:val="20"/>
                <w:color w:val="auto"/>
              </w:rPr>
            </w:pPr>
            <w:r>
              <w:rPr>
                <w:rFonts w:ascii="Arial" w:cs="Arial" w:eastAsia="Arial" w:hAnsi="Arial"/>
                <w:sz w:val="16"/>
                <w:szCs w:val="16"/>
                <w:color w:val="auto"/>
              </w:rPr>
              <w:t>Reduction in</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tcPr>
          <w:p>
            <w:pPr>
              <w:ind w:left="80"/>
              <w:spacing w:after="0"/>
              <w:rPr>
                <w:sz w:val="20"/>
                <w:szCs w:val="20"/>
                <w:color w:val="auto"/>
              </w:rPr>
            </w:pPr>
            <w:r>
              <w:rPr>
                <w:rFonts w:ascii="Arial" w:cs="Arial" w:eastAsia="Arial" w:hAnsi="Arial"/>
                <w:sz w:val="16"/>
                <w:szCs w:val="16"/>
                <w:color w:val="auto"/>
              </w:rPr>
              <w:t>initial public</w:t>
            </w:r>
          </w:p>
        </w:tc>
        <w:tc>
          <w:tcPr>
            <w:tcW w:w="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7"/>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40" w:type="dxa"/>
            <w:vAlign w:val="bottom"/>
          </w:tcPr>
          <w:p>
            <w:pPr>
              <w:ind w:left="80"/>
              <w:spacing w:after="0"/>
              <w:rPr>
                <w:sz w:val="20"/>
                <w:szCs w:val="20"/>
                <w:color w:val="auto"/>
              </w:rPr>
            </w:pPr>
            <w:r>
              <w:rPr>
                <w:rFonts w:ascii="Arial" w:cs="Arial" w:eastAsia="Arial" w:hAnsi="Arial"/>
                <w:sz w:val="16"/>
                <w:szCs w:val="16"/>
                <w:color w:val="auto"/>
              </w:rPr>
              <w:t>offering costs</w:t>
            </w: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comprehensive</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income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Net income</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7"/>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2,245</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w:t>
            </w:r>
          </w:p>
        </w:tc>
        <w:tc>
          <w:tcPr>
            <w:tcW w:w="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w w:val="97"/>
              </w:rPr>
              <w:t>85,778,057</w:t>
            </w:r>
          </w:p>
        </w:tc>
        <w:tc>
          <w:tcPr>
            <w:tcW w:w="500" w:type="dxa"/>
            <w:vAlign w:val="bottom"/>
            <w:gridSpan w:val="2"/>
            <w:vMerge w:val="restart"/>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60" w:type="dxa"/>
            <w:vAlign w:val="bottom"/>
            <w:gridSpan w:val="2"/>
            <w:vMerge w:val="restart"/>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u w:val="single" w:color="auto"/>
                <w:color w:val="auto"/>
                <w:w w:val="97"/>
              </w:rPr>
              <w:t>(1,009)</w:t>
            </w:r>
            <w:r>
              <w:rPr>
                <w:rFonts w:ascii="Arial" w:cs="Arial" w:eastAsia="Arial" w:hAnsi="Arial"/>
                <w:sz w:val="16"/>
                <w:szCs w:val="16"/>
                <w:color w:val="auto"/>
                <w:w w:val="97"/>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231,792</w:t>
            </w:r>
          </w:p>
        </w:tc>
        <w:tc>
          <w:tcPr>
            <w:tcW w:w="34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(111,238)</w:t>
            </w:r>
          </w:p>
        </w:tc>
        <w:tc>
          <w:tcPr>
            <w:tcW w:w="340" w:type="dxa"/>
            <w:vAlign w:val="bottom"/>
            <w:gridSpan w:val="2"/>
            <w:vMerge w:val="restart"/>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6"/>
              </w:rPr>
              <w:t>$119,559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June 30, 2020</w:t>
            </w:r>
          </w:p>
        </w:tc>
        <w:tc>
          <w:tcPr>
            <w:tcW w:w="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880" w:type="dxa"/>
            <w:vAlign w:val="bottom"/>
            <w:tcBorders>
              <w:right w:val="single" w:sz="8" w:color="auto"/>
            </w:tcBorders>
            <w:gridSpan w:val="2"/>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For the six</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months ended</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June 30, 2019:</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40" w:type="dxa"/>
            <w:vAlign w:val="bottom"/>
          </w:tcPr>
          <w:p>
            <w:pPr>
              <w:spacing w:after="0"/>
              <w:rPr>
                <w:sz w:val="20"/>
                <w:szCs w:val="20"/>
                <w:color w:val="auto"/>
              </w:rPr>
            </w:pPr>
            <w:r>
              <w:rPr>
                <w:rFonts w:ascii="Arial" w:cs="Arial" w:eastAsia="Arial" w:hAnsi="Arial"/>
                <w:sz w:val="16"/>
                <w:szCs w:val="16"/>
                <w:color w:val="auto"/>
              </w:rPr>
              <w:t>Balance at</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360" w:type="dxa"/>
            <w:vAlign w:val="bottom"/>
            <w:gridSpan w:val="2"/>
          </w:tcPr>
          <w:p>
            <w:pPr>
              <w:spacing w:after="0"/>
              <w:rPr>
                <w:sz w:val="20"/>
                <w:szCs w:val="20"/>
                <w:color w:val="auto"/>
              </w:rPr>
            </w:pPr>
            <w:r>
              <w:rPr>
                <w:rFonts w:ascii="Arial" w:cs="Arial" w:eastAsia="Arial" w:hAnsi="Arial"/>
                <w:sz w:val="16"/>
                <w:szCs w:val="16"/>
                <w:color w:val="auto"/>
                <w:w w:val="95"/>
              </w:rPr>
              <w:t>December 31, 2018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65,428,088</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106,237</w:t>
            </w:r>
          </w:p>
        </w:tc>
        <w:tc>
          <w:tcPr>
            <w:tcW w:w="100" w:type="dxa"/>
            <w:vAlign w:val="bottom"/>
            <w:tcBorders>
              <w:right w:val="single" w:sz="8" w:color="auto"/>
            </w:tcBorders>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5,155,407</w:t>
            </w:r>
          </w:p>
        </w:tc>
        <w:tc>
          <w:tcPr>
            <w:tcW w:w="5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(884)$</w:t>
            </w:r>
          </w:p>
        </w:tc>
        <w:tc>
          <w:tcPr>
            <w:tcW w:w="700" w:type="dxa"/>
            <w:vAlign w:val="bottom"/>
          </w:tcPr>
          <w:p>
            <w:pPr>
              <w:jc w:val="right"/>
              <w:spacing w:after="0"/>
              <w:rPr>
                <w:sz w:val="20"/>
                <w:szCs w:val="20"/>
                <w:color w:val="auto"/>
              </w:rPr>
            </w:pPr>
            <w:r>
              <w:rPr>
                <w:rFonts w:ascii="Arial" w:cs="Arial" w:eastAsia="Arial" w:hAnsi="Arial"/>
                <w:sz w:val="16"/>
                <w:szCs w:val="16"/>
                <w:color w:val="auto"/>
              </w:rPr>
              <w:t>10,622</w:t>
            </w: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(104,854)</w:t>
            </w:r>
          </w:p>
        </w:tc>
        <w:tc>
          <w:tcPr>
            <w:tcW w:w="3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7"/>
              </w:rPr>
              <w:t>$ (95,115)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Stock option</w:t>
            </w:r>
          </w:p>
        </w:tc>
        <w:tc>
          <w:tcPr>
            <w:tcW w:w="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7"/>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exercises</w:t>
            </w: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32,067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40" w:type="dxa"/>
            <w:vAlign w:val="bottom"/>
          </w:tcPr>
          <w:p>
            <w:pPr>
              <w:ind w:left="80"/>
              <w:spacing w:after="0"/>
              <w:rPr>
                <w:sz w:val="20"/>
                <w:szCs w:val="20"/>
                <w:color w:val="auto"/>
              </w:rPr>
            </w:pPr>
            <w:r>
              <w:rPr>
                <w:rFonts w:ascii="Arial" w:cs="Arial" w:eastAsia="Arial" w:hAnsi="Arial"/>
                <w:sz w:val="16"/>
                <w:szCs w:val="16"/>
                <w:color w:val="auto"/>
              </w:rPr>
              <w:t>Stock-based</w:t>
            </w:r>
          </w:p>
        </w:tc>
        <w:tc>
          <w:tcPr>
            <w:tcW w:w="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7"/>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40" w:type="dxa"/>
            <w:vAlign w:val="bottom"/>
          </w:tcPr>
          <w:p>
            <w:pPr>
              <w:ind w:left="80"/>
              <w:spacing w:after="0"/>
              <w:rPr>
                <w:sz w:val="20"/>
                <w:szCs w:val="20"/>
                <w:color w:val="auto"/>
              </w:rPr>
            </w:pPr>
            <w:r>
              <w:rPr>
                <w:rFonts w:ascii="Arial" w:cs="Arial" w:eastAsia="Arial" w:hAnsi="Arial"/>
                <w:sz w:val="16"/>
                <w:szCs w:val="16"/>
                <w:color w:val="auto"/>
              </w:rPr>
              <w:t>compensation</w:t>
            </w: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1,529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1,529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w:t>
            </w:r>
          </w:p>
        </w:tc>
        <w:tc>
          <w:tcPr>
            <w:tcW w:w="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7"/>
              </w:rPr>
              <w:t>—</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4,041</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4,041</w:t>
            </w:r>
          </w:p>
        </w:tc>
        <w:tc>
          <w:tcPr>
            <w:tcW w:w="0" w:type="dxa"/>
            <w:vAlign w:val="bottom"/>
          </w:tcPr>
          <w:p>
            <w:pPr>
              <w:spacing w:after="0"/>
              <w:rPr>
                <w:sz w:val="1"/>
                <w:szCs w:val="1"/>
                <w:color w:val="auto"/>
              </w:rPr>
            </w:pPr>
          </w:p>
        </w:tc>
      </w:tr>
      <w:tr>
        <w:trPr>
          <w:trHeight w:val="196"/>
        </w:trPr>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Balance at</w:t>
            </w: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color w:val="auto"/>
              </w:rPr>
              <w:t>65,428,088</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106,237</w:t>
            </w:r>
          </w:p>
        </w:tc>
        <w:tc>
          <w:tcPr>
            <w:tcW w:w="100" w:type="dxa"/>
            <w:vAlign w:val="bottom"/>
            <w:tcBorders>
              <w:right w:val="single" w:sz="8" w:color="auto"/>
            </w:tcBorders>
          </w:tcPr>
          <w:p>
            <w:pPr>
              <w:spacing w:after="0"/>
              <w:rPr>
                <w:sz w:val="17"/>
                <w:szCs w:val="17"/>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6"/>
                <w:szCs w:val="16"/>
                <w:color w:val="auto"/>
              </w:rPr>
              <w:t>5,187,474</w:t>
            </w:r>
          </w:p>
        </w:tc>
        <w:tc>
          <w:tcPr>
            <w:tcW w:w="500" w:type="dxa"/>
            <w:vAlign w:val="bottom"/>
            <w:gridSpan w:val="2"/>
            <w:vMerge w:val="restart"/>
          </w:tcPr>
          <w:p>
            <w:pPr>
              <w:ind w:left="14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60" w:type="dxa"/>
            <w:vAlign w:val="bottom"/>
            <w:gridSpan w:val="2"/>
            <w:vMerge w:val="restart"/>
          </w:tcPr>
          <w:p>
            <w:pPr>
              <w:ind w:left="160"/>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u w:val="single" w:color="auto"/>
                <w:color w:val="auto"/>
              </w:rPr>
              <w:t>(884)</w:t>
            </w: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12,182</w:t>
            </w:r>
          </w:p>
        </w:tc>
        <w:tc>
          <w:tcPr>
            <w:tcW w:w="34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(100,813)</w:t>
            </w:r>
          </w:p>
        </w:tc>
        <w:tc>
          <w:tcPr>
            <w:tcW w:w="340" w:type="dxa"/>
            <w:vAlign w:val="bottom"/>
            <w:gridSpan w:val="2"/>
            <w:vMerge w:val="restart"/>
          </w:tcPr>
          <w:p>
            <w:pPr>
              <w:ind w:left="160"/>
              <w:spacing w:after="0"/>
              <w:rPr>
                <w:sz w:val="20"/>
                <w:szCs w:val="20"/>
                <w:color w:val="auto"/>
              </w:rPr>
            </w:pPr>
            <w:r>
              <w:rPr>
                <w:rFonts w:ascii="Arial" w:cs="Arial" w:eastAsia="Arial" w:hAnsi="Arial"/>
                <w:sz w:val="16"/>
                <w:szCs w:val="16"/>
                <w:color w:val="auto"/>
              </w:rPr>
              <w:t>$</w:t>
            </w: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w w:val="87"/>
              </w:rPr>
              <w:t>$ (89,514)</w:t>
            </w:r>
          </w:p>
        </w:tc>
        <w:tc>
          <w:tcPr>
            <w:tcW w:w="0" w:type="dxa"/>
            <w:vAlign w:val="bottom"/>
          </w:tcPr>
          <w:p>
            <w:pPr>
              <w:spacing w:after="0"/>
              <w:rPr>
                <w:sz w:val="1"/>
                <w:szCs w:val="1"/>
                <w:color w:val="auto"/>
              </w:rPr>
            </w:pPr>
          </w:p>
        </w:tc>
      </w:tr>
      <w:tr>
        <w:trPr>
          <w:trHeight w:val="203"/>
        </w:trPr>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June 30, 2019</w:t>
            </w:r>
          </w:p>
        </w:tc>
        <w:tc>
          <w:tcPr>
            <w:tcW w:w="960" w:type="dxa"/>
            <w:vAlign w:val="bottom"/>
            <w:gridSpan w:val="2"/>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jc w:val="center"/>
        <w:ind w:right="-199"/>
        <w:spacing w:after="0"/>
        <w:rPr>
          <w:sz w:val="20"/>
          <w:szCs w:val="20"/>
          <w:color w:val="auto"/>
        </w:rPr>
      </w:pPr>
      <w:r>
        <w:rPr>
          <w:rFonts w:ascii="Arial" w:cs="Arial" w:eastAsia="Arial" w:hAnsi="Arial"/>
          <w:sz w:val="16"/>
          <w:szCs w:val="16"/>
          <w:i w:val="1"/>
          <w:iCs w:val="1"/>
          <w:color w:val="auto"/>
        </w:rPr>
        <w:t>The accompanying notes are an integral part of these unaudited financial statements.</w:t>
      </w:r>
    </w:p>
    <w:p>
      <w:pPr>
        <w:sectPr>
          <w:pgSz w:w="11900" w:h="16838" w:orient="portrait"/>
          <w:cols w:equalWidth="0" w:num="1">
            <w:col w:w="9900"/>
          </w:cols>
          <w:pgMar w:left="1220" w:top="517" w:right="779" w:bottom="0" w:gutter="0" w:footer="0" w:header="0"/>
        </w:sectPr>
      </w:pPr>
    </w:p>
    <w:bookmarkStart w:id="7" w:name="page8"/>
    <w:bookmarkEnd w:id="7"/>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394335</wp:posOffset>
            </wp:positionV>
            <wp:extent cx="598360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PROGYNY, INC.</w:t>
      </w:r>
    </w:p>
    <w:p>
      <w:pPr>
        <w:spacing w:after="0" w:line="5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16"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-3175</wp:posOffset>
            </wp:positionV>
            <wp:extent cx="11918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91895" cy="8255"/>
                    </a:xfrm>
                    <a:prstGeom prst="rect">
                      <a:avLst/>
                    </a:prstGeom>
                    <a:noFill/>
                  </pic:spPr>
                </pic:pic>
              </a:graphicData>
            </a:graphic>
          </wp:anchor>
        </w:drawing>
      </w:r>
    </w:p>
    <w:p>
      <w:pPr>
        <w:spacing w:after="0" w:line="3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6"/>
                <w:szCs w:val="16"/>
                <w:color w:val="auto"/>
              </w:rPr>
              <w:t>Net income</w:t>
            </w:r>
          </w:p>
        </w:tc>
        <w:tc>
          <w:tcPr>
            <w:tcW w:w="74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2,245</w:t>
            </w:r>
          </w:p>
        </w:tc>
        <w:tc>
          <w:tcPr>
            <w:tcW w:w="40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4,041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80"/>
              <w:spacing w:after="0"/>
              <w:rPr>
                <w:sz w:val="20"/>
                <w:szCs w:val="20"/>
                <w:color w:val="auto"/>
              </w:rPr>
            </w:pPr>
            <w:r>
              <w:rPr>
                <w:rFonts w:ascii="Arial" w:cs="Arial" w:eastAsia="Arial" w:hAnsi="Arial"/>
                <w:sz w:val="16"/>
                <w:szCs w:val="16"/>
                <w:color w:val="auto"/>
              </w:rPr>
              <w:t>Deferred tax expense</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Non-cash interest expense</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80"/>
              <w:spacing w:after="0"/>
              <w:rPr>
                <w:sz w:val="20"/>
                <w:szCs w:val="20"/>
                <w:color w:val="auto"/>
              </w:rPr>
            </w:pPr>
            <w:r>
              <w:rPr>
                <w:rFonts w:ascii="Arial" w:cs="Arial" w:eastAsia="Arial" w:hAnsi="Arial"/>
                <w:sz w:val="16"/>
                <w:szCs w:val="16"/>
                <w:color w:val="auto"/>
              </w:rPr>
              <w:t>Depreciation and amortization</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980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Stock-based compensation expense</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80"/>
              <w:spacing w:after="0"/>
              <w:rPr>
                <w:sz w:val="20"/>
                <w:szCs w:val="20"/>
                <w:color w:val="auto"/>
              </w:rPr>
            </w:pPr>
            <w:r>
              <w:rPr>
                <w:rFonts w:ascii="Arial" w:cs="Arial" w:eastAsia="Arial" w:hAnsi="Arial"/>
                <w:sz w:val="16"/>
                <w:szCs w:val="16"/>
                <w:color w:val="auto"/>
              </w:rPr>
              <w:t>Bad debt expense</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2,469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Loss on disposal of property and equipment</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80"/>
              <w:spacing w:after="0"/>
              <w:rPr>
                <w:sz w:val="20"/>
                <w:szCs w:val="20"/>
                <w:color w:val="auto"/>
              </w:rPr>
            </w:pPr>
            <w:r>
              <w:rPr>
                <w:rFonts w:ascii="Arial" w:cs="Arial" w:eastAsia="Arial" w:hAnsi="Arial"/>
                <w:sz w:val="16"/>
                <w:szCs w:val="16"/>
                <w:color w:val="auto"/>
              </w:rPr>
              <w:t>Change in fair value of warrant liabilities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(20,400)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expenses and current other assets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12,833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7,544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noncurrent assets and liabilities</w:t>
            </w:r>
          </w:p>
        </w:tc>
        <w:tc>
          <w:tcPr>
            <w:tcW w:w="5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continuing operations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provided by (used in) discontinued operations</w:t>
            </w:r>
          </w:p>
        </w:tc>
        <w:tc>
          <w:tcPr>
            <w:tcW w:w="5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cash provided by (used in) operating activities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6"/>
                <w:szCs w:val="16"/>
                <w:color w:val="auto"/>
              </w:rPr>
              <w:t>Purchase of property and equipment, net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(791)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Purchases of marketable securities</w:t>
            </w:r>
          </w:p>
        </w:tc>
        <w:tc>
          <w:tcPr>
            <w:tcW w:w="5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(41,979)</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460" w:type="dxa"/>
            <w:vAlign w:val="bottom"/>
            <w:gridSpan w:val="2"/>
          </w:tcPr>
          <w:p>
            <w:pPr>
              <w:spacing w:after="0"/>
              <w:rPr>
                <w:sz w:val="20"/>
                <w:szCs w:val="20"/>
                <w:color w:val="auto"/>
              </w:rPr>
            </w:pPr>
            <w:r>
              <w:rPr>
                <w:rFonts w:ascii="Arial" w:cs="Arial" w:eastAsia="Arial" w:hAnsi="Arial"/>
                <w:sz w:val="16"/>
                <w:szCs w:val="16"/>
                <w:color w:val="auto"/>
              </w:rPr>
              <w:t>Net cash (used in) continuing operations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(42,770)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discontinued operations</w:t>
            </w:r>
          </w:p>
        </w:tc>
        <w:tc>
          <w:tcPr>
            <w:tcW w:w="5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tcPr>
          <w:p>
            <w:pPr>
              <w:ind w:left="200"/>
              <w:spacing w:after="0"/>
              <w:rPr>
                <w:sz w:val="20"/>
                <w:szCs w:val="20"/>
                <w:color w:val="auto"/>
              </w:rPr>
            </w:pPr>
            <w:r>
              <w:rPr>
                <w:rFonts w:ascii="Arial" w:cs="Arial" w:eastAsia="Arial" w:hAnsi="Arial"/>
                <w:sz w:val="16"/>
                <w:szCs w:val="16"/>
                <w:color w:val="auto"/>
              </w:rPr>
              <w:t>Net cash (used in) provided by investing activities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(42,770)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Payment of initial public offering costs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6"/>
                <w:szCs w:val="16"/>
                <w:color w:val="auto"/>
              </w:rPr>
              <w:t>Proceeds from revolving line of credit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94,757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Repayments made against revolving line of credit</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6"/>
                <w:szCs w:val="16"/>
                <w:color w:val="auto"/>
              </w:rPr>
              <w:t>Proceeds from exercise of stock options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1,429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Payment of employee taxes related to equity awards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Proceeds from contributions to employee stock purchase plan</w:t>
            </w:r>
          </w:p>
        </w:tc>
        <w:tc>
          <w:tcPr>
            <w:tcW w:w="5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provided by continuing operations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provided by discontinued operations</w:t>
            </w:r>
          </w:p>
        </w:tc>
        <w:tc>
          <w:tcPr>
            <w:tcW w:w="5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cash (used in) provided by financing activities</w:t>
            </w:r>
          </w:p>
        </w:tc>
        <w:tc>
          <w:tcPr>
            <w:tcW w:w="5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(2,557)</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2,153</w:t>
            </w:r>
          </w:p>
        </w:tc>
        <w:tc>
          <w:tcPr>
            <w:tcW w:w="0" w:type="dxa"/>
            <w:vAlign w:val="bottom"/>
          </w:tcPr>
          <w:p>
            <w:pPr>
              <w:spacing w:after="0"/>
              <w:rPr>
                <w:sz w:val="1"/>
                <w:szCs w:val="1"/>
                <w:color w:val="auto"/>
              </w:rPr>
            </w:pPr>
          </w:p>
        </w:tc>
      </w:tr>
      <w:tr>
        <w:trPr>
          <w:trHeight w:val="196"/>
        </w:trPr>
        <w:tc>
          <w:tcPr>
            <w:tcW w:w="6460" w:type="dxa"/>
            <w:vAlign w:val="bottom"/>
            <w:gridSpan w:val="2"/>
          </w:tcPr>
          <w:p>
            <w:pPr>
              <w:spacing w:after="0"/>
              <w:rPr>
                <w:sz w:val="20"/>
                <w:szCs w:val="20"/>
                <w:color w:val="auto"/>
              </w:rPr>
            </w:pPr>
            <w:r>
              <w:rPr>
                <w:rFonts w:ascii="Arial" w:cs="Arial" w:eastAsia="Arial" w:hAnsi="Arial"/>
                <w:sz w:val="16"/>
                <w:szCs w:val="16"/>
                <w:color w:val="auto"/>
              </w:rPr>
              <w:t>Net increase (decrease) in cash and cash equivalents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(30,990)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period</w:t>
            </w:r>
          </w:p>
        </w:tc>
        <w:tc>
          <w:tcPr>
            <w:tcW w:w="5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80,382</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36"/>
        </w:trPr>
        <w:tc>
          <w:tcPr>
            <w:tcW w:w="6460" w:type="dxa"/>
            <w:vAlign w:val="bottom"/>
            <w:gridSpan w:val="2"/>
          </w:tcPr>
          <w:p>
            <w:pPr>
              <w:spacing w:after="0"/>
              <w:rPr>
                <w:sz w:val="20"/>
                <w:szCs w:val="20"/>
                <w:color w:val="auto"/>
              </w:rPr>
            </w:pPr>
            <w:r>
              <w:rPr>
                <w:rFonts w:ascii="Arial" w:cs="Arial" w:eastAsia="Arial" w:hAnsi="Arial"/>
                <w:sz w:val="16"/>
                <w:szCs w:val="16"/>
                <w:color w:val="auto"/>
              </w:rPr>
              <w:t>Cash and cash equivalents, end of period</w:t>
            </w:r>
          </w:p>
        </w:tc>
        <w:tc>
          <w:tcPr>
            <w:tcW w:w="560" w:type="dxa"/>
            <w:vAlign w:val="bottom"/>
          </w:tcPr>
          <w:p>
            <w:pPr>
              <w:spacing w:after="0"/>
              <w:rPr>
                <w:sz w:val="20"/>
                <w:szCs w:val="20"/>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49,392</w:t>
            </w:r>
          </w:p>
        </w:tc>
        <w:tc>
          <w:tcPr>
            <w:tcW w:w="220" w:type="dxa"/>
            <w:vAlign w:val="bottom"/>
          </w:tcPr>
          <w:p>
            <w:pPr>
              <w:spacing w:after="0"/>
              <w:rPr>
                <w:sz w:val="20"/>
                <w:szCs w:val="20"/>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4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Cash paid for interest</w:t>
            </w:r>
          </w:p>
        </w:tc>
        <w:tc>
          <w:tcPr>
            <w:tcW w:w="74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spacing w:after="0"/>
              <w:rPr>
                <w:sz w:val="20"/>
                <w:szCs w:val="20"/>
                <w:color w:val="auto"/>
              </w:rPr>
            </w:pPr>
            <w:r>
              <w:rPr>
                <w:rFonts w:ascii="Arial" w:cs="Arial" w:eastAsia="Arial" w:hAnsi="Arial"/>
                <w:sz w:val="16"/>
                <w:szCs w:val="16"/>
                <w:b w:val="1"/>
                <w:bCs w:val="1"/>
                <w:color w:val="auto"/>
              </w:rPr>
              <w:t>SUPPLEMENTAL DISCLOSURE OF NON-CASH INVESTING AND FINANCING</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60" w:type="dxa"/>
            <w:vAlign w:val="bottom"/>
            <w:gridSpan w:val="2"/>
          </w:tcPr>
          <w:p>
            <w:pPr>
              <w:spacing w:after="0"/>
              <w:rPr>
                <w:sz w:val="20"/>
                <w:szCs w:val="20"/>
                <w:color w:val="auto"/>
              </w:rPr>
            </w:pPr>
            <w:r>
              <w:rPr>
                <w:rFonts w:ascii="Arial" w:cs="Arial" w:eastAsia="Arial" w:hAnsi="Arial"/>
                <w:sz w:val="16"/>
                <w:szCs w:val="16"/>
                <w:b w:val="1"/>
                <w:bCs w:val="1"/>
                <w:color w:val="auto"/>
              </w:rPr>
              <w:t>ACTIVITIES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Additions of property and equipment, net included in accrued expenses</w:t>
            </w:r>
          </w:p>
        </w:tc>
        <w:tc>
          <w:tcPr>
            <w:tcW w:w="74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40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6"/>
                <w:szCs w:val="16"/>
                <w:color w:val="auto"/>
              </w:rPr>
              <w:t>Non-cash deferred initial public offering costs in accounts payable and accrued liabilities</w:t>
            </w:r>
          </w:p>
        </w:tc>
        <w:tc>
          <w:tcPr>
            <w:tcW w:w="74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i w:val="1"/>
          <w:iCs w:val="1"/>
          <w:color w:val="auto"/>
        </w:rPr>
        <w:t>The accompanying notes are an integral part of these unaudited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PROGYNY,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p>
      <w:pPr>
        <w:ind w:left="700" w:right="5699" w:hanging="650"/>
        <w:spacing w:after="0" w:line="603" w:lineRule="auto"/>
        <w:tabs>
          <w:tab w:leader="none" w:pos="682"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Business and Basis of Presentation </w:t>
      </w:r>
      <w:r>
        <w:rPr>
          <w:rFonts w:ascii="Arial" w:cs="Arial" w:eastAsia="Arial" w:hAnsi="Arial"/>
          <w:sz w:val="15"/>
          <w:szCs w:val="15"/>
          <w:b w:val="1"/>
          <w:bCs w:val="1"/>
          <w:i w:val="1"/>
          <w:iCs w:val="1"/>
          <w:color w:val="auto"/>
        </w:rPr>
        <w:t>Description of Business</w:t>
      </w:r>
    </w:p>
    <w:p>
      <w:pPr>
        <w:spacing w:after="0" w:line="1" w:lineRule="exact"/>
        <w:rPr>
          <w:rFonts w:ascii="Arial" w:cs="Arial" w:eastAsia="Arial" w:hAnsi="Arial"/>
          <w:sz w:val="15"/>
          <w:szCs w:val="15"/>
          <w:b w:val="1"/>
          <w:bCs w:val="1"/>
          <w:color w:val="auto"/>
        </w:rPr>
      </w:pPr>
    </w:p>
    <w:p>
      <w:pPr>
        <w:ind w:left="700" w:right="59"/>
        <w:spacing w:after="0" w:line="277" w:lineRule="auto"/>
        <w:rPr>
          <w:rFonts w:ascii="Arial" w:cs="Arial" w:eastAsia="Arial" w:hAnsi="Arial"/>
          <w:sz w:val="15"/>
          <w:szCs w:val="15"/>
          <w:b w:val="1"/>
          <w:bCs w:val="1"/>
          <w:color w:val="auto"/>
        </w:rPr>
      </w:pPr>
      <w:r>
        <w:rPr>
          <w:rFonts w:ascii="Arial" w:cs="Arial" w:eastAsia="Arial" w:hAnsi="Arial"/>
          <w:sz w:val="18"/>
          <w:szCs w:val="18"/>
          <w:color w:val="auto"/>
        </w:rPr>
        <w:t>Progyny, Inc. (referred to as “Progyny” or the “Company”) was incorporated in the state of Delaware on April 3, 2008, and maintains its corporate headquarters in New York, NY.</w:t>
      </w:r>
    </w:p>
    <w:p>
      <w:pPr>
        <w:spacing w:after="0" w:line="170" w:lineRule="exact"/>
        <w:rPr>
          <w:rFonts w:ascii="Arial" w:cs="Arial" w:eastAsia="Arial" w:hAnsi="Arial"/>
          <w:sz w:val="15"/>
          <w:szCs w:val="15"/>
          <w:b w:val="1"/>
          <w:bCs w:val="1"/>
          <w:color w:val="auto"/>
        </w:rPr>
      </w:pPr>
    </w:p>
    <w:p>
      <w:pPr>
        <w:jc w:val="both"/>
        <w:ind w:left="700" w:right="59"/>
        <w:spacing w:after="0" w:line="271" w:lineRule="auto"/>
        <w:rPr>
          <w:rFonts w:ascii="Arial" w:cs="Arial" w:eastAsia="Arial" w:hAnsi="Arial"/>
          <w:sz w:val="15"/>
          <w:szCs w:val="15"/>
          <w:b w:val="1"/>
          <w:bCs w:val="1"/>
          <w:color w:val="auto"/>
        </w:rPr>
      </w:pPr>
      <w:r>
        <w:rPr>
          <w:rFonts w:ascii="Arial" w:cs="Arial" w:eastAsia="Arial" w:hAnsi="Arial"/>
          <w:sz w:val="17"/>
          <w:szCs w:val="17"/>
          <w:color w:val="auto"/>
        </w:rPr>
        <w:t>Progyny is a provider of a fertility benefits solution and pharmacy benefits solution and operates and manages in one operating segment. The fertility benefits solution consists of a significant service that integrates: (1) the treatment services (“Smart Cycles”) that the Company has designed, (2) access to the Progyny network of high-quality fertility specialists that perform the Smart Cycle treatments and (3) active management of the selective network of high-quality provider clinics, real-time member eligibility and treatment authorization, member-facing digital tools and detailed quarterly reporting supported by the Company’s dedicated account management teams, and end to end comprehensive concierge member support provided by Progyny’s in-house staff of Patient Care Advocates (“PCAs”) (collectively, the “care management services”).</w:t>
      </w:r>
    </w:p>
    <w:p>
      <w:pPr>
        <w:spacing w:after="0" w:line="178" w:lineRule="exact"/>
        <w:rPr>
          <w:rFonts w:ascii="Arial" w:cs="Arial" w:eastAsia="Arial" w:hAnsi="Arial"/>
          <w:sz w:val="15"/>
          <w:szCs w:val="15"/>
          <w:b w:val="1"/>
          <w:bCs w:val="1"/>
          <w:color w:val="auto"/>
        </w:rPr>
      </w:pPr>
    </w:p>
    <w:p>
      <w:pPr>
        <w:jc w:val="both"/>
        <w:ind w:left="700" w:right="59"/>
        <w:spacing w:after="0" w:line="272" w:lineRule="auto"/>
        <w:rPr>
          <w:rFonts w:ascii="Arial" w:cs="Arial" w:eastAsia="Arial" w:hAnsi="Arial"/>
          <w:sz w:val="15"/>
          <w:szCs w:val="15"/>
          <w:b w:val="1"/>
          <w:bCs w:val="1"/>
          <w:color w:val="auto"/>
        </w:rPr>
      </w:pPr>
      <w:r>
        <w:rPr>
          <w:rFonts w:ascii="Arial" w:cs="Arial" w:eastAsia="Arial" w:hAnsi="Arial"/>
          <w:sz w:val="17"/>
          <w:szCs w:val="17"/>
          <w:color w:val="auto"/>
        </w:rPr>
        <w:t>The Company enhanced its fertility benefits solution with the launch of Progyny Rx, its pharmacy benefits solution, effective January 1, 2018. As part of this solution, the Company provides formulary plan design, simplified authorization, assistance with prescription fulfillment, and timely delivery of the medications by the Company’s network of specialty pharmacies, as well as medication administration training, pharmacy support services, and continuing PCA support. As a pharmacy benefits solution provider, Progyny manages the dispensing of pharmaceuticals through the Company’s specialty pharmacy contracts. The pharmacy benefits solution is only available as an add-on service to its fertility benefits solution.</w:t>
      </w:r>
    </w:p>
    <w:p>
      <w:pPr>
        <w:spacing w:after="0" w:line="177" w:lineRule="exact"/>
        <w:rPr>
          <w:rFonts w:ascii="Arial" w:cs="Arial" w:eastAsia="Arial" w:hAnsi="Arial"/>
          <w:sz w:val="15"/>
          <w:szCs w:val="15"/>
          <w:b w:val="1"/>
          <w:bCs w:val="1"/>
          <w:color w:val="auto"/>
        </w:rPr>
      </w:pPr>
    </w:p>
    <w:p>
      <w:pPr>
        <w:ind w:left="700"/>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Initial Public Offering</w:t>
      </w:r>
    </w:p>
    <w:p>
      <w:pPr>
        <w:spacing w:after="0" w:line="225" w:lineRule="exact"/>
        <w:rPr>
          <w:rFonts w:ascii="Arial" w:cs="Arial" w:eastAsia="Arial" w:hAnsi="Arial"/>
          <w:sz w:val="15"/>
          <w:szCs w:val="15"/>
          <w:b w:val="1"/>
          <w:bCs w:val="1"/>
          <w:color w:val="auto"/>
        </w:rPr>
      </w:pPr>
    </w:p>
    <w:p>
      <w:pPr>
        <w:jc w:val="both"/>
        <w:ind w:left="700" w:right="59"/>
        <w:spacing w:after="0" w:line="269" w:lineRule="auto"/>
        <w:rPr>
          <w:rFonts w:ascii="Arial" w:cs="Arial" w:eastAsia="Arial" w:hAnsi="Arial"/>
          <w:sz w:val="15"/>
          <w:szCs w:val="15"/>
          <w:b w:val="1"/>
          <w:bCs w:val="1"/>
          <w:color w:val="auto"/>
        </w:rPr>
      </w:pPr>
      <w:r>
        <w:rPr>
          <w:rFonts w:ascii="Arial" w:cs="Arial" w:eastAsia="Arial" w:hAnsi="Arial"/>
          <w:sz w:val="17"/>
          <w:szCs w:val="17"/>
          <w:color w:val="auto"/>
        </w:rPr>
        <w:t>On October 29, 2019, the Company completed its initial public offering (“IPO”) in which it issued and sold 6,700,000 shares of its common stock at a public offering price of $13.00 per share. As part of the IPO, certain selling stockholders offered and sold an additional 4,800,000 shares (including 1,500,000 shares sold pursuant to the exercise of the underwriters’ over-allotment option), at an equivalent public offering price of $13.00 per share. The Company received net proceeds of $77.6 million from the IPO, after deducting underwriters’ discounts and commissions of $5.9 million and offering costs of $3.6 million. Upon completion of the IPO, these offering costs were reclassified to stockholders’ equity and offset against the proceeds from the offering on the balance sheet. Immediately prior to the completion of the IPO, all shares of convertible preferred stock then outstanding were converted into 65,428,088 shares of common stock on a one-to-one basis, $106.2 million of convertible preferred stock was reclassified to additional paid-in-capital and $7,000 of convertible preferred stock was reclassified to common stock on the Company’s balance sheet.</w:t>
      </w:r>
    </w:p>
    <w:p>
      <w:pPr>
        <w:spacing w:after="0" w:line="181" w:lineRule="exact"/>
        <w:rPr>
          <w:rFonts w:ascii="Arial" w:cs="Arial" w:eastAsia="Arial" w:hAnsi="Arial"/>
          <w:sz w:val="15"/>
          <w:szCs w:val="15"/>
          <w:b w:val="1"/>
          <w:bCs w:val="1"/>
          <w:color w:val="auto"/>
        </w:rPr>
      </w:pPr>
    </w:p>
    <w:p>
      <w:pPr>
        <w:ind w:left="700"/>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Emerging Growth Company Status</w:t>
      </w:r>
    </w:p>
    <w:p>
      <w:pPr>
        <w:spacing w:after="0" w:line="225" w:lineRule="exact"/>
        <w:rPr>
          <w:rFonts w:ascii="Arial" w:cs="Arial" w:eastAsia="Arial" w:hAnsi="Arial"/>
          <w:sz w:val="15"/>
          <w:szCs w:val="15"/>
          <w:b w:val="1"/>
          <w:bCs w:val="1"/>
          <w:color w:val="auto"/>
        </w:rPr>
      </w:pPr>
    </w:p>
    <w:p>
      <w:pPr>
        <w:jc w:val="both"/>
        <w:ind w:left="700" w:right="59"/>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186" w:lineRule="exact"/>
        <w:rPr>
          <w:rFonts w:ascii="Arial" w:cs="Arial" w:eastAsia="Arial" w:hAnsi="Arial"/>
          <w:sz w:val="15"/>
          <w:szCs w:val="15"/>
          <w:b w:val="1"/>
          <w:bCs w:val="1"/>
          <w:color w:val="auto"/>
        </w:rPr>
      </w:pPr>
    </w:p>
    <w:p>
      <w:pPr>
        <w:jc w:val="both"/>
        <w:ind w:left="700" w:right="59"/>
        <w:spacing w:after="0" w:line="291" w:lineRule="auto"/>
        <w:rPr>
          <w:rFonts w:ascii="Arial" w:cs="Arial" w:eastAsia="Arial" w:hAnsi="Arial"/>
          <w:sz w:val="15"/>
          <w:szCs w:val="15"/>
          <w:b w:val="1"/>
          <w:bCs w:val="1"/>
          <w:color w:val="auto"/>
        </w:rPr>
      </w:pPr>
      <w:r>
        <w:rPr>
          <w:rFonts w:ascii="Arial" w:cs="Arial" w:eastAsia="Arial" w:hAnsi="Arial"/>
          <w:sz w:val="16"/>
          <w:szCs w:val="16"/>
          <w:color w:val="auto"/>
        </w:rPr>
        <w:t>The Company has elected to use this extended transition period for complying with new or revised accounting standards that have different effective dates for public and private companies until the earlier of the date that it is</w:t>
      </w:r>
    </w:p>
    <w:p>
      <w:pPr>
        <w:jc w:val="both"/>
        <w:ind w:left="700" w:right="59"/>
        <w:spacing w:after="0" w:line="302" w:lineRule="auto"/>
        <w:rPr>
          <w:rFonts w:ascii="Arial" w:cs="Arial" w:eastAsia="Arial" w:hAnsi="Arial"/>
          <w:sz w:val="15"/>
          <w:szCs w:val="15"/>
          <w:b w:val="1"/>
          <w:bCs w:val="1"/>
          <w:color w:val="auto"/>
        </w:rPr>
      </w:pPr>
      <w:r>
        <w:rPr>
          <w:rFonts w:ascii="Arial" w:cs="Arial" w:eastAsia="Arial" w:hAnsi="Arial"/>
          <w:sz w:val="16"/>
          <w:szCs w:val="16"/>
          <w:color w:val="auto"/>
        </w:rPr>
        <w:t>(i) no longer an emerging growth company or (ii) affirmatively and irrevocably opt out of the extended transition period provided in the JOBS Act. As a result, the Company’s financial statements may not be comparable to companies that comply with the new or revised accounting pronouncements as of public company effective dates.</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59"/>
        <w:spacing w:after="0" w:line="257" w:lineRule="auto"/>
        <w:rPr>
          <w:sz w:val="20"/>
          <w:szCs w:val="20"/>
          <w:color w:val="auto"/>
        </w:rPr>
      </w:pPr>
      <w:r>
        <w:rPr>
          <w:rFonts w:ascii="Arial" w:cs="Arial" w:eastAsia="Arial" w:hAnsi="Arial"/>
          <w:sz w:val="18"/>
          <w:szCs w:val="18"/>
          <w:color w:val="auto"/>
        </w:rPr>
        <w:t>Based on the market value of the Company’s common stock as of June 30, 2020, the Company will cease to qualify as an emerging growth company as of December 31, 2020. As a result, the Company will no longer be able to use the extended transition period for complying with new or revised accounting standards available to emerging growth companies and will be required to adopt new or revised accounting standards as of the effective dates for public companies.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700" w:right="59"/>
        <w:spacing w:after="0" w:line="270" w:lineRule="auto"/>
        <w:rPr>
          <w:sz w:val="20"/>
          <w:szCs w:val="20"/>
          <w:color w:val="auto"/>
        </w:rPr>
      </w:pPr>
      <w:r>
        <w:rPr>
          <w:rFonts w:ascii="Arial" w:cs="Arial" w:eastAsia="Arial" w:hAnsi="Arial"/>
          <w:sz w:val="17"/>
          <w:szCs w:val="17"/>
          <w:color w:val="auto"/>
        </w:rPr>
        <w:t>The interim unaudited financial statements have been prepared in accordance with accounting principles generally accepted in the United States of America (“U.S. GAAP”) and pursuant to the rules and regulations of the Securities and Exchange Commission (“SEC”) applicable to interim financial reporting. These interim financial statements have been prepared on a basis consistent with the annual financial statements and, in the opinion of management, include all adjustments necessary to fairly state our financial position as of June 30, 2020, the results of our operations for the three and six months ended June 30, 2020 and 2019 and the results of our cash flows for the six months ended June 30, 2020 and 2019. Therefore, these unaudited financial statements should be read in conjunction with the audited financial statements and related footnotes included in the Annual Report on Form 10-K filed with the SEC on March 10, 2020.</w:t>
      </w:r>
    </w:p>
    <w:p>
      <w:pPr>
        <w:spacing w:after="0" w:line="181" w:lineRule="exact"/>
        <w:rPr>
          <w:sz w:val="20"/>
          <w:szCs w:val="20"/>
          <w:color w:val="auto"/>
        </w:rPr>
      </w:pPr>
    </w:p>
    <w:p>
      <w:pPr>
        <w:jc w:val="both"/>
        <w:ind w:left="700" w:right="59"/>
        <w:spacing w:after="0" w:line="286" w:lineRule="auto"/>
        <w:rPr>
          <w:sz w:val="20"/>
          <w:szCs w:val="20"/>
          <w:color w:val="auto"/>
        </w:rPr>
      </w:pPr>
      <w:r>
        <w:rPr>
          <w:rFonts w:ascii="Arial" w:cs="Arial" w:eastAsia="Arial" w:hAnsi="Arial"/>
          <w:sz w:val="16"/>
          <w:szCs w:val="16"/>
          <w:color w:val="auto"/>
        </w:rPr>
        <w:t>The results for the three and six months ended June 30, 2020 are not necessarily indicative of the operating results expected for the year ending December 31, 2020 or any other future period. Additionally, there are many uncertainties regarding the ongoing coronavirus (“COVID-19”) pandemic, and the Company is closely monitoring the impact of the pandemic on all aspects of its business, including how it has impacted and may continue to impact its customers and members, its provider network, specialty pharmacy partners, employees, suppliers, vendors, and other business partners. The full extent to which the COVID-19 pandemic will directly or indirectly impact the Company’s business, future results of operations and financial condition will depend on future developments that are highly uncertain and cannot be accurately predicted, including new information that may emerge concerning COVID-19, the actions taken to contain it or treat its impact and the economic impact on local, regional and national markets. The overall disruption of the healthcare and fertility markets and the other risks and uncertainties associated with the pandemic could have a material adverse effect on the Company’s business, financial condition, results of operations and growth prospects. The Company will continue to assess the evolving impact of the COVID-19 pandemic and will make adjustments to its operations as necessary.</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700" w:right="59"/>
        <w:spacing w:after="0" w:line="290" w:lineRule="auto"/>
        <w:rPr>
          <w:sz w:val="20"/>
          <w:szCs w:val="20"/>
          <w:color w:val="auto"/>
        </w:rPr>
      </w:pPr>
      <w:r>
        <w:rPr>
          <w:rFonts w:ascii="Arial" w:cs="Arial" w:eastAsia="Arial" w:hAnsi="Arial"/>
          <w:sz w:val="16"/>
          <w:szCs w:val="16"/>
          <w:color w:val="auto"/>
        </w:rPr>
        <w:t>The preparation of financial statements in conformity with U.S. GAAP generally requires management to make estimates and assumptions that affect the reported amount of certain assets, liabilities, revenue, and expenses, and the related disclosure of contingent assets and liabilities. The accounting estimates that require the most complex and subjective judgements include accrued receivables, accrued claims payable, allowance for doubtful accounts, accrued rebates, and stock-based compensation.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ind w:left="700" w:right="59"/>
        <w:spacing w:after="0" w:line="279" w:lineRule="auto"/>
        <w:rPr>
          <w:sz w:val="20"/>
          <w:szCs w:val="20"/>
          <w:color w:val="auto"/>
        </w:rPr>
      </w:pPr>
      <w:r>
        <w:rPr>
          <w:rFonts w:ascii="Arial" w:cs="Arial" w:eastAsia="Arial" w:hAnsi="Arial"/>
          <w:sz w:val="17"/>
          <w:szCs w:val="17"/>
          <w:color w:val="auto"/>
        </w:rPr>
        <w:t>On October 14, 2019, Progyny’s stockholders approved and the Company effected a one-for-4.5454 reverse stock split of its common and convertible preferred stock. The par value of the common stock and convertible preferred stock was not adjusted as a result of the reverse stock split. Accordingly, the financial statements and notes retroactively reflect Progyny’s capital structure after giving effect to the reverse stock split.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80" w:hanging="630"/>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rFonts w:ascii="Arial" w:cs="Arial" w:eastAsia="Arial" w:hAnsi="Arial"/>
          <w:sz w:val="18"/>
          <w:szCs w:val="18"/>
          <w:b w:val="1"/>
          <w:bCs w:val="1"/>
          <w:color w:val="auto"/>
        </w:rPr>
      </w:pPr>
    </w:p>
    <w:p>
      <w:pPr>
        <w:ind w:left="700" w:right="539"/>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There has been no material changes in the Company’s significant accounting policies as compared to the significant accounting policies described in the Company’s Annual Report on Form 10-K for the year ended December 31, 2019.</w:t>
      </w:r>
    </w:p>
    <w:p>
      <w:pPr>
        <w:spacing w:after="0" w:line="183"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 Recognition</w:t>
      </w:r>
    </w:p>
    <w:p>
      <w:pPr>
        <w:spacing w:after="0" w:line="225" w:lineRule="exact"/>
        <w:rPr>
          <w:rFonts w:ascii="Arial" w:cs="Arial" w:eastAsia="Arial" w:hAnsi="Arial"/>
          <w:sz w:val="18"/>
          <w:szCs w:val="18"/>
          <w:b w:val="1"/>
          <w:bCs w:val="1"/>
          <w:color w:val="auto"/>
        </w:rPr>
      </w:pPr>
    </w:p>
    <w:p>
      <w:pPr>
        <w:ind w:left="700" w:right="79"/>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Revenue is recognized when control of the promised goods or services is transferred to clients in an amount that reflects the consideration the Company expects to be entitled to in exchange for those goods or services.</w:t>
      </w:r>
    </w:p>
    <w:p>
      <w:pPr>
        <w:spacing w:after="0" w:line="146"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Company applies the following five-step model to recognize revenue from contracts with clients:</w:t>
      </w:r>
    </w:p>
    <w:p>
      <w:pPr>
        <w:spacing w:after="0" w:line="225" w:lineRule="exact"/>
        <w:rPr>
          <w:rFonts w:ascii="Arial" w:cs="Arial" w:eastAsia="Arial" w:hAnsi="Arial"/>
          <w:sz w:val="18"/>
          <w:szCs w:val="18"/>
          <w:b w:val="1"/>
          <w:bCs w:val="1"/>
          <w:color w:val="auto"/>
        </w:rPr>
      </w:pPr>
    </w:p>
    <w:p>
      <w:pPr>
        <w:ind w:left="1340" w:hanging="318"/>
        <w:spacing w:after="0"/>
        <w:tabs>
          <w:tab w:leader="none" w:pos="1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client</w:t>
      </w:r>
    </w:p>
    <w:p>
      <w:pPr>
        <w:spacing w:after="0" w:line="117" w:lineRule="exact"/>
        <w:rPr>
          <w:rFonts w:ascii="Arial" w:cs="Arial" w:eastAsia="Arial" w:hAnsi="Arial"/>
          <w:sz w:val="18"/>
          <w:szCs w:val="18"/>
          <w:color w:val="auto"/>
        </w:rPr>
      </w:pPr>
    </w:p>
    <w:p>
      <w:pPr>
        <w:ind w:left="1340" w:hanging="318"/>
        <w:spacing w:after="0"/>
        <w:tabs>
          <w:tab w:leader="none" w:pos="1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340" w:hanging="318"/>
        <w:spacing w:after="0"/>
        <w:tabs>
          <w:tab w:leader="none" w:pos="1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340" w:hanging="318"/>
        <w:spacing w:after="0"/>
        <w:tabs>
          <w:tab w:leader="none" w:pos="1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1340" w:hanging="318"/>
        <w:spacing w:after="0"/>
        <w:tabs>
          <w:tab w:leader="none" w:pos="1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Recognition of revenue when, or as, a performance obligation is satisfied</w:t>
      </w:r>
    </w:p>
    <w:p>
      <w:pPr>
        <w:spacing w:after="0" w:line="225" w:lineRule="exact"/>
        <w:rPr>
          <w:sz w:val="20"/>
          <w:szCs w:val="20"/>
          <w:color w:val="auto"/>
        </w:rPr>
      </w:pPr>
    </w:p>
    <w:p>
      <w:pPr>
        <w:jc w:val="both"/>
        <w:ind w:left="700" w:right="79"/>
        <w:spacing w:after="0" w:line="277" w:lineRule="auto"/>
        <w:rPr>
          <w:sz w:val="20"/>
          <w:szCs w:val="20"/>
          <w:color w:val="auto"/>
        </w:rPr>
      </w:pPr>
      <w:r>
        <w:rPr>
          <w:rFonts w:ascii="Arial" w:cs="Arial" w:eastAsia="Arial" w:hAnsi="Arial"/>
          <w:sz w:val="18"/>
          <w:szCs w:val="18"/>
          <w:color w:val="auto"/>
        </w:rPr>
        <w:t>Progyny’s contracts typically have a stated term of three years and include contractual termination options after the first year, allowing the client to terminate the contract with 30 to 90 days’ notice.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Benefits Revenue</w:t>
      </w:r>
    </w:p>
    <w:p>
      <w:pPr>
        <w:spacing w:after="0" w:line="225" w:lineRule="exact"/>
        <w:rPr>
          <w:sz w:val="20"/>
          <w:szCs w:val="20"/>
          <w:color w:val="auto"/>
        </w:rPr>
      </w:pPr>
    </w:p>
    <w:p>
      <w:pPr>
        <w:jc w:val="both"/>
        <w:ind w:left="700" w:right="59"/>
        <w:spacing w:after="0" w:line="269" w:lineRule="auto"/>
        <w:rPr>
          <w:sz w:val="20"/>
          <w:szCs w:val="20"/>
          <w:color w:val="auto"/>
        </w:rPr>
      </w:pPr>
      <w:r>
        <w:rPr>
          <w:rFonts w:ascii="Arial" w:cs="Arial" w:eastAsia="Arial" w:hAnsi="Arial"/>
          <w:sz w:val="17"/>
          <w:szCs w:val="17"/>
          <w:color w:val="auto"/>
        </w:rPr>
        <w:t>Progyny primarily generates revenue through its fertility benefits solution, in which Progyny provides fertility benefits, primarily to self-insured enterprise entities (“clients”) and their employees and partners (together, “members”). As part of the fertility benefits solution, Progyny provides access to effective and cost-efficient fertility treatments, referred to as Smart Cycles, as well as other related services. Smart Cycles are proprietary treatment bundles that include certain medical services available to members through Progyny’s proprietary, credentialed network of provider clinics. In addition to access to Progyny’s Smart Cycle treatment bundles and access to Progyny’s network of provider clinics, the fertility benefits solution includes other comprehensive services, which Progyny refers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Progyny’s in house staff of PCAs.</w:t>
      </w:r>
    </w:p>
    <w:p>
      <w:pPr>
        <w:spacing w:after="0" w:line="182" w:lineRule="exact"/>
        <w:rPr>
          <w:sz w:val="20"/>
          <w:szCs w:val="20"/>
          <w:color w:val="auto"/>
        </w:rPr>
      </w:pPr>
    </w:p>
    <w:p>
      <w:pPr>
        <w:jc w:val="both"/>
        <w:ind w:left="700" w:right="59"/>
        <w:spacing w:after="0" w:line="257" w:lineRule="auto"/>
        <w:rPr>
          <w:sz w:val="20"/>
          <w:szCs w:val="20"/>
          <w:color w:val="auto"/>
        </w:rPr>
      </w:pPr>
      <w:r>
        <w:rPr>
          <w:rFonts w:ascii="Arial" w:cs="Arial" w:eastAsia="Arial" w:hAnsi="Arial"/>
          <w:sz w:val="18"/>
          <w:szCs w:val="18"/>
          <w:color w:val="auto"/>
        </w:rPr>
        <w:t>The promises within Progyny’s fertility benefits contract with a client represent a single performance obligation because Progyny provides a significant service of integrating the Progyny designed Smart Cycles and access to the fertility treatment services provided by provider clinics with the other comprehensive services into the combined fertility benefits solution that the client contracted to receive. Progyny’s fertility benefits solution is a stand-ready obligation that is satisfied over the contract term.</w:t>
      </w:r>
    </w:p>
    <w:p>
      <w:pPr>
        <w:spacing w:after="0" w:line="188" w:lineRule="exact"/>
        <w:rPr>
          <w:sz w:val="20"/>
          <w:szCs w:val="20"/>
          <w:color w:val="auto"/>
        </w:rPr>
      </w:pPr>
    </w:p>
    <w:p>
      <w:pPr>
        <w:jc w:val="both"/>
        <w:ind w:left="700" w:right="59"/>
        <w:spacing w:after="0" w:line="270" w:lineRule="auto"/>
        <w:rPr>
          <w:sz w:val="20"/>
          <w:szCs w:val="20"/>
          <w:color w:val="auto"/>
        </w:rPr>
      </w:pPr>
      <w:r>
        <w:rPr>
          <w:rFonts w:ascii="Arial" w:cs="Arial" w:eastAsia="Arial" w:hAnsi="Arial"/>
          <w:sz w:val="17"/>
          <w:szCs w:val="17"/>
          <w:color w:val="auto"/>
        </w:rPr>
        <w:t>Progyny’s contracts include the following sources of consideration, which are all variable: a per employee per month (“PEPM”) administration fee (in most, but not all contracts) and a fixed rate per Smart Cycle. The PEPM administration fee is allocated between the fertility benefits solution and the pharmacy benefits solution based on standalone selling price, estimated using an expected cost-plus margin method. The Company allocates the variable consideration related to the fixed rate per Smart Cycle to the distinct period during which the related services were performed as those fees relate specifically to the Company’s efforts to provide its fertility benefits solution to its clients in the period and represents the consideration the Company is entitled to for the fertility benefit services provided. As a result, the fixed rate per Smart Cycle is included in the transaction price and recognized in the period in which the Smart Cycle is provided to the member.</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59"/>
        <w:spacing w:after="0" w:line="293" w:lineRule="auto"/>
        <w:rPr>
          <w:sz w:val="20"/>
          <w:szCs w:val="20"/>
          <w:color w:val="auto"/>
        </w:rPr>
      </w:pPr>
      <w:r>
        <w:rPr>
          <w:rFonts w:ascii="Arial" w:cs="Arial" w:eastAsia="Arial" w:hAnsi="Arial"/>
          <w:sz w:val="16"/>
          <w:szCs w:val="16"/>
          <w:color w:val="auto"/>
        </w:rPr>
        <w:t>Progyny’s contracts also include potential service level agreement refunds related to outcome-based service metrics. These service level refunds, which are determined based on results of a full plan year, if met, are based on a percentage of the PEPM fee paid by clients. The Company estimates the variable consideration related to the total PEPM administration fee, less estimated refunds related to service level agreements, and recognizes the amounts allocated to the fertility benefits solution ratably over the contract term. Progyny’s estimate of service level agreement refunds, have not historically resulted in significant adjustments to the transaction price.</w:t>
      </w:r>
    </w:p>
    <w:p>
      <w:pPr>
        <w:spacing w:after="0" w:line="164"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color w:val="auto"/>
        </w:rPr>
        <w:t>Clients are typically invoiced on a monthly basis for the PEPM administration fee. Progyny invoices its clients and members for their respective portions of the fixed rate per Smart Cycle bundle when all treatment services within a Smart Cycle are completed by the provider clinic. Once an invoice is issued, payment terms are typically between 30 to 60 days.</w:t>
      </w:r>
    </w:p>
    <w:p>
      <w:pPr>
        <w:spacing w:after="0" w:line="187" w:lineRule="exact"/>
        <w:rPr>
          <w:sz w:val="20"/>
          <w:szCs w:val="20"/>
          <w:color w:val="auto"/>
        </w:rPr>
      </w:pPr>
    </w:p>
    <w:p>
      <w:pPr>
        <w:jc w:val="both"/>
        <w:ind w:left="700" w:right="59"/>
        <w:spacing w:after="0" w:line="288" w:lineRule="auto"/>
        <w:rPr>
          <w:sz w:val="20"/>
          <w:szCs w:val="20"/>
          <w:color w:val="auto"/>
        </w:rPr>
      </w:pPr>
      <w:r>
        <w:rPr>
          <w:rFonts w:ascii="Arial" w:cs="Arial" w:eastAsia="Arial" w:hAnsi="Arial"/>
          <w:sz w:val="16"/>
          <w:szCs w:val="16"/>
          <w:color w:val="auto"/>
        </w:rPr>
        <w:t>The Company assesses whether it is the principal or the agent for each arrangement with a client, since fertility treatment services are provided by a third party—the provider clinics. The Company is the principal in its arrangements with clients and therefore presents revenue gross of the amounts paid to the provider clinics because Progyny controls the specified service (the fertility benefits solution) before it is transferred to the client. Progyny integrates the fertility treatment services provided by the provider clinics into the overall fertility benefits solution that the client contracted to receive. In addition, Progyny defines the scope of the potential services to be performed by the provider clinics and monitors the performance of the provider clinics. Furthermore, Progyny is primarily responsible for fulfilling the promise to the client and has discretion in setting the pricing, as Progyny separately negotiates agreements with the provider clinics, which establish pricing for each treatment service. Pricing of services from provider clinics is independent from the fees charged to clients.</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Benefits Revenue</w:t>
      </w:r>
    </w:p>
    <w:p>
      <w:pPr>
        <w:spacing w:after="0" w:line="225" w:lineRule="exact"/>
        <w:rPr>
          <w:sz w:val="20"/>
          <w:szCs w:val="20"/>
          <w:color w:val="auto"/>
        </w:rPr>
      </w:pPr>
    </w:p>
    <w:p>
      <w:pPr>
        <w:jc w:val="both"/>
        <w:ind w:left="700" w:right="59"/>
        <w:spacing w:after="0" w:line="254" w:lineRule="auto"/>
        <w:rPr>
          <w:sz w:val="20"/>
          <w:szCs w:val="20"/>
          <w:color w:val="auto"/>
        </w:rPr>
      </w:pPr>
      <w:r>
        <w:rPr>
          <w:rFonts w:ascii="Arial" w:cs="Arial" w:eastAsia="Arial" w:hAnsi="Arial"/>
          <w:sz w:val="18"/>
          <w:szCs w:val="18"/>
          <w:color w:val="auto"/>
        </w:rPr>
        <w:t>For clients that have the fertility benefits solution, Progyny offers, as an add-on, its pharmacy benefits solution, which is a separate, fully integrated pharmacy benefit. As part of the pharmacy benefits solution, Progyny provides care management services, which include Progyny’s formulary plan design, prescription fulfillment, simplified authorization and timely delivery of the medications used during treatment through Progyny’s network of specialty pharmacies, and clinical services consisting of member assessments, UnPack It calls, telephone support, online education, medication administration training, pharmacy support services and continuing PCA support.</w:t>
      </w:r>
    </w:p>
    <w:p>
      <w:pPr>
        <w:spacing w:after="0" w:line="195"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color w:val="auto"/>
        </w:rPr>
        <w:t>The pharmacy-related promises represent a single performance obligation because Progyny provides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spacing w:after="0" w:line="187" w:lineRule="exact"/>
        <w:rPr>
          <w:sz w:val="20"/>
          <w:szCs w:val="20"/>
          <w:color w:val="auto"/>
        </w:rPr>
      </w:pPr>
    </w:p>
    <w:p>
      <w:pPr>
        <w:jc w:val="both"/>
        <w:ind w:left="700" w:right="59"/>
        <w:spacing w:after="0" w:line="253" w:lineRule="auto"/>
        <w:rPr>
          <w:sz w:val="20"/>
          <w:szCs w:val="20"/>
          <w:color w:val="auto"/>
        </w:rPr>
      </w:pPr>
      <w:r>
        <w:rPr>
          <w:rFonts w:ascii="Arial" w:cs="Arial" w:eastAsia="Arial" w:hAnsi="Arial"/>
          <w:sz w:val="18"/>
          <w:szCs w:val="18"/>
          <w:color w:val="auto"/>
        </w:rPr>
        <w:t>Progyny’s contracts include the following sources of consideration, all of which are variable: a PEPM administration fee (in most, but not all contracts) and a fixed fee per fertility drug. As described above, the PEPM administration fee, less estimated refunds related to service level agreements, is allocated to the pharmacy benefits solution and recognized ratably over the contract term. The Company allocates the variable consideration related to the fixed fee per fertility drug to the distinct period during which the related services were performed, as those fees relate specifically to the Company’s efforts to provide its pharmacy benefits solution to clients in the period and represents the consideration the Company is entitled to for the pharmacy benefit services provided. As a result, the fixed fee per fertility drug is included in the transaction price and recognized in the period in which the Company is entitled to consideration from a client, which is when a prescription is filled and delivered to the members.</w:t>
      </w:r>
    </w:p>
    <w:p>
      <w:pPr>
        <w:spacing w:after="0" w:line="194"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color w:val="auto"/>
        </w:rPr>
        <w:t>As stated above, clients are invoiced on a monthly basis for the PEPM administration fee. Progyny invoices the client and the member for their respective portions of the fixed fee per fertility drug, when the prescription services are completed by the specialty pharmacy. Once an invoice is issued, payment terms are typically between 30 to 60 days.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59"/>
        <w:spacing w:after="0" w:line="288" w:lineRule="auto"/>
        <w:rPr>
          <w:sz w:val="20"/>
          <w:szCs w:val="20"/>
          <w:color w:val="auto"/>
        </w:rPr>
      </w:pPr>
      <w:r>
        <w:rPr>
          <w:rFonts w:ascii="Arial" w:cs="Arial" w:eastAsia="Arial" w:hAnsi="Arial"/>
          <w:sz w:val="16"/>
          <w:szCs w:val="16"/>
          <w:color w:val="auto"/>
        </w:rPr>
        <w:t>The Company assesses whether it is the principal or the agent for each arrangement with a client, as prescription fulfillment and clinical services are provided by a third party—the specialty pharmacies. The Company is the principal in its arrangements with clients, and therefore presents revenue gross of the amounts paid to the specialty pharmacies. Progyny controls the specified service (the pharmacy benefits solution) before it is transferred to the client. Progyny integrates the prescription fulfillment and clinical services provided by the pharmacies and PCAs into the overall pharmacy benefits solution that the client contracted to receive. In addition, Progyny defines the scope of the potential services to be performed by the specialty pharmacies and monitors the performance of the specialty pharmacies. Furthermore, Progyny is primarily responsible for fulfilling the promise to the client and has discretion in setting the pricing, as Progyny separately negotiates agreements with pharmacies, which establish pricing for each drug. Pricing of fertility drugs is independent from the fees charged to clients.</w:t>
      </w:r>
    </w:p>
    <w:p>
      <w:pPr>
        <w:spacing w:after="0" w:line="168"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color w:val="auto"/>
        </w:rPr>
        <w:t>The Company does not disclose the transaction price allocated to remaining performance obligations because all of the transaction price is variable and is allocated to the distinct periods to which the services relate, as discussed above. The remaining contract term is typically less than one year, due to the client’s contractual termination options.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There are no material contract asset or contract liability balances as of June 30, 2020 and December 31, 2019.</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Accrued Receivable and Accrued Claims Payable</w:t>
      </w:r>
    </w:p>
    <w:p>
      <w:pPr>
        <w:spacing w:after="0" w:line="225" w:lineRule="exact"/>
        <w:rPr>
          <w:sz w:val="20"/>
          <w:szCs w:val="20"/>
          <w:color w:val="auto"/>
        </w:rPr>
      </w:pPr>
    </w:p>
    <w:p>
      <w:pPr>
        <w:jc w:val="both"/>
        <w:ind w:left="700" w:right="59"/>
        <w:spacing w:after="0" w:line="257" w:lineRule="auto"/>
        <w:rPr>
          <w:sz w:val="20"/>
          <w:szCs w:val="20"/>
          <w:color w:val="auto"/>
        </w:rPr>
      </w:pPr>
      <w:r>
        <w:rPr>
          <w:rFonts w:ascii="Arial" w:cs="Arial" w:eastAsia="Arial" w:hAnsi="Arial"/>
          <w:sz w:val="18"/>
          <w:szCs w:val="18"/>
          <w:color w:val="auto"/>
        </w:rPr>
        <w:t>Accrued receivables are estimated based on historical experience for those fertility benefit services provided but for which a claim has not been received from the provider clinic. At the same time, cost of services and accrued claims payables are estimated based on the amount to be paid to the provider clinic and historical gross margin achieved on fertility benefit services. Estimates are adjusted to actual at the time of billing. Adjustments to original estimates have not been material.</w:t>
      </w:r>
    </w:p>
    <w:p>
      <w:pPr>
        <w:spacing w:after="0" w:line="188" w:lineRule="exact"/>
        <w:rPr>
          <w:sz w:val="20"/>
          <w:szCs w:val="20"/>
          <w:color w:val="auto"/>
        </w:rPr>
      </w:pPr>
    </w:p>
    <w:p>
      <w:pPr>
        <w:jc w:val="both"/>
        <w:ind w:left="700" w:right="59"/>
        <w:spacing w:after="0" w:line="257" w:lineRule="auto"/>
        <w:rPr>
          <w:sz w:val="20"/>
          <w:szCs w:val="20"/>
          <w:color w:val="auto"/>
        </w:rPr>
      </w:pPr>
      <w:r>
        <w:rPr>
          <w:rFonts w:ascii="Arial" w:cs="Arial" w:eastAsia="Arial" w:hAnsi="Arial"/>
          <w:sz w:val="18"/>
          <w:szCs w:val="18"/>
          <w:color w:val="auto"/>
        </w:rPr>
        <w:t>As of June 30, 2020, accrued receivables and accrued claims payables were $28.4 million and $18.4 million, respectively, as compared to $16.0 million and $9.8 million, respectively, as of December 31, 2019. Accrued receivables are included within accounts receivable in the balance sheet. Accrued claims payable are included within accrued expenses and other current liabilities in the balance sheet. Claims payable are paid within 30 days based on contractual terms.</w:t>
      </w:r>
    </w:p>
    <w:p>
      <w:pPr>
        <w:spacing w:after="0" w:line="188" w:lineRule="exact"/>
        <w:rPr>
          <w:sz w:val="20"/>
          <w:szCs w:val="20"/>
          <w:color w:val="auto"/>
        </w:rPr>
      </w:pPr>
    </w:p>
    <w:p>
      <w:pPr>
        <w:jc w:val="both"/>
        <w:ind w:left="700" w:right="59"/>
        <w:spacing w:after="0" w:line="257" w:lineRule="auto"/>
        <w:rPr>
          <w:sz w:val="20"/>
          <w:szCs w:val="20"/>
          <w:color w:val="auto"/>
        </w:rPr>
      </w:pPr>
      <w:r>
        <w:rPr>
          <w:rFonts w:ascii="Arial" w:cs="Arial" w:eastAsia="Arial" w:hAnsi="Arial"/>
          <w:sz w:val="18"/>
          <w:szCs w:val="18"/>
          <w:color w:val="auto"/>
        </w:rPr>
        <w:t>As of June 30, 2020 and December 31, 2019, unbilled receivables, which represent claims received and approved but unbilled at the end of the reporting period, were $8.5 million and $8.5 million, respectively. Unbilled receivables are typically billed to clients within 30 days of the approved claim based on the contractual billing schedule agreed upon with the client. Unbilled receivables are included in accounts receivable in the balance sheet.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25" w:lineRule="exact"/>
        <w:rPr>
          <w:sz w:val="20"/>
          <w:szCs w:val="20"/>
          <w:color w:val="auto"/>
        </w:rPr>
      </w:pPr>
    </w:p>
    <w:p>
      <w:pPr>
        <w:jc w:val="both"/>
        <w:ind w:left="700" w:right="59"/>
        <w:spacing w:after="0" w:line="301" w:lineRule="auto"/>
        <w:rPr>
          <w:sz w:val="20"/>
          <w:szCs w:val="20"/>
          <w:color w:val="auto"/>
        </w:rPr>
      </w:pPr>
      <w:r>
        <w:rPr>
          <w:rFonts w:ascii="Arial" w:cs="Arial" w:eastAsia="Arial" w:hAnsi="Arial"/>
          <w:sz w:val="16"/>
          <w:szCs w:val="16"/>
          <w:color w:val="auto"/>
        </w:rPr>
        <w:t>The accounts receivable balance primarily includes amounts due from clients and members. Accounts receivable also includes accrued receivables for fertility benefits claims from provider clinics at the end of each period for services provided that have not yet been received. The Company estimates an allowance for changes and cancellations of services based upon historical experience and estimates uncollectible amounts based upon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79"/>
        <w:spacing w:after="0" w:line="277" w:lineRule="auto"/>
        <w:rPr>
          <w:sz w:val="20"/>
          <w:szCs w:val="20"/>
          <w:color w:val="auto"/>
        </w:rPr>
      </w:pPr>
      <w:r>
        <w:rPr>
          <w:rFonts w:ascii="Arial" w:cs="Arial" w:eastAsia="Arial" w:hAnsi="Arial"/>
          <w:sz w:val="18"/>
          <w:szCs w:val="18"/>
          <w:color w:val="auto"/>
        </w:rPr>
        <w:t>historical bad debts, current receivable balances and the age of receivable balances. The following table provides a summary of the activity in these allowances (in thousands):</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4"/>
                <w:szCs w:val="14"/>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Charged</w:t>
            </w:r>
          </w:p>
        </w:tc>
        <w:tc>
          <w:tcPr>
            <w:tcW w:w="14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Charged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8"/>
        </w:trPr>
        <w:tc>
          <w:tcPr>
            <w:tcW w:w="2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Six Months Ended June 30, 2020</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Beginning</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to Costs</w:t>
            </w:r>
          </w:p>
        </w:tc>
        <w:tc>
          <w:tcPr>
            <w:tcW w:w="12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Write-offs</w:t>
            </w:r>
          </w:p>
        </w:tc>
        <w:tc>
          <w:tcPr>
            <w:tcW w:w="100" w:type="dxa"/>
            <w:vAlign w:val="bottom"/>
          </w:tcPr>
          <w:p>
            <w:pPr>
              <w:spacing w:after="0"/>
              <w:rPr>
                <w:sz w:val="12"/>
                <w:szCs w:val="12"/>
                <w:color w:val="auto"/>
              </w:rPr>
            </w:pPr>
          </w:p>
        </w:tc>
        <w:tc>
          <w:tcPr>
            <w:tcW w:w="1040" w:type="dxa"/>
            <w:vAlign w:val="bottom"/>
            <w:gridSpan w:val="3"/>
            <w:vMerge w:val="restart"/>
          </w:tcPr>
          <w:p>
            <w:pPr>
              <w:jc w:val="right"/>
              <w:ind w:right="270"/>
              <w:spacing w:after="0"/>
              <w:rPr>
                <w:sz w:val="20"/>
                <w:szCs w:val="20"/>
                <w:color w:val="auto"/>
              </w:rPr>
            </w:pPr>
            <w:r>
              <w:rPr>
                <w:rFonts w:ascii="Arial" w:cs="Arial" w:eastAsia="Arial" w:hAnsi="Arial"/>
                <w:sz w:val="14"/>
                <w:szCs w:val="14"/>
                <w:b w:val="1"/>
                <w:bCs w:val="1"/>
                <w:color w:val="auto"/>
                <w:w w:val="98"/>
              </w:rPr>
              <w:t>Utilization</w:t>
            </w:r>
          </w:p>
        </w:tc>
        <w:tc>
          <w:tcPr>
            <w:tcW w:w="7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71"/>
        </w:trPr>
        <w:tc>
          <w:tcPr>
            <w:tcW w:w="2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of Period</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to Revenue</w:t>
            </w: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and Expenses</w:t>
            </w: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78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209"/>
        </w:trPr>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0" w:type="dxa"/>
            <w:vAlign w:val="bottom"/>
          </w:tcPr>
          <w:p>
            <w:pPr>
              <w:spacing w:after="0"/>
              <w:rPr>
                <w:sz w:val="1"/>
                <w:szCs w:val="1"/>
                <w:color w:val="auto"/>
              </w:rPr>
            </w:pPr>
          </w:p>
        </w:tc>
      </w:tr>
      <w:tr>
        <w:trPr>
          <w:trHeight w:val="202"/>
        </w:trPr>
        <w:tc>
          <w:tcPr>
            <w:tcW w:w="29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Allowance for service changes and</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cancellations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3,549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(7,505)</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5,848</w:t>
            </w: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11,084</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 Services</w:t>
      </w:r>
    </w:p>
    <w:p>
      <w:pPr>
        <w:spacing w:after="0" w:line="225" w:lineRule="exact"/>
        <w:rPr>
          <w:sz w:val="20"/>
          <w:szCs w:val="20"/>
          <w:color w:val="auto"/>
        </w:rPr>
      </w:pPr>
    </w:p>
    <w:p>
      <w:pPr>
        <w:jc w:val="both"/>
        <w:ind w:left="700" w:right="59"/>
        <w:spacing w:after="0" w:line="255" w:lineRule="auto"/>
        <w:rPr>
          <w:sz w:val="20"/>
          <w:szCs w:val="20"/>
          <w:color w:val="auto"/>
        </w:rPr>
      </w:pPr>
      <w:r>
        <w:rPr>
          <w:rFonts w:ascii="Arial" w:cs="Arial" w:eastAsia="Arial" w:hAnsi="Arial"/>
          <w:sz w:val="18"/>
          <w:szCs w:val="18"/>
          <w:color w:val="auto"/>
        </w:rPr>
        <w:t>Fertility benefit services costs include: (1) fees paid to provider clinics within our network, labs and anesthesiologists; (2) costs incurred (including salaries, bonuses, benefits, stock-based compensation, other related costs, and an allocation of our general overhead, depreciation and amortization) for those employees associated with our care management service functions: Provider Account Management, PCA and Provider Relations teams; and (3) related information technology support costs. Our contracts with provider clinics are typically for a term of one to two years.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 Services</w:t>
      </w:r>
    </w:p>
    <w:p>
      <w:pPr>
        <w:spacing w:after="0" w:line="225" w:lineRule="exact"/>
        <w:rPr>
          <w:sz w:val="20"/>
          <w:szCs w:val="20"/>
          <w:color w:val="auto"/>
        </w:rPr>
      </w:pPr>
    </w:p>
    <w:p>
      <w:pPr>
        <w:jc w:val="both"/>
        <w:ind w:left="700" w:right="59"/>
        <w:spacing w:after="0" w:line="255" w:lineRule="auto"/>
        <w:rPr>
          <w:sz w:val="20"/>
          <w:szCs w:val="20"/>
          <w:color w:val="auto"/>
        </w:rPr>
      </w:pPr>
      <w:r>
        <w:rPr>
          <w:rFonts w:ascii="Arial" w:cs="Arial" w:eastAsia="Arial" w:hAnsi="Arial"/>
          <w:sz w:val="18"/>
          <w:szCs w:val="18"/>
          <w:color w:val="auto"/>
        </w:rPr>
        <w:t>Pharmacy benefit services costs include: (1) the fees for prescription drugs dispensed and clinical services provided during the reporting period by our specialty pharmacy partners; (2) costs incurred (including salaries, bonuses, benefits, stock-based compensation, other related costs, and an allocation of our general overhead, depreciation and amortization) for those employees associated with our care management service functions: PCA and Provider Relations teams; and (3) related information technology support costs. Contracts with the specialty pharmacies are typically for a term of one year.</w:t>
      </w:r>
    </w:p>
    <w:p>
      <w:pPr>
        <w:spacing w:after="0" w:line="192" w:lineRule="exact"/>
        <w:rPr>
          <w:sz w:val="20"/>
          <w:szCs w:val="20"/>
          <w:color w:val="auto"/>
        </w:rPr>
      </w:pPr>
    </w:p>
    <w:p>
      <w:pPr>
        <w:jc w:val="both"/>
        <w:ind w:left="700" w:right="59"/>
        <w:spacing w:after="0" w:line="263" w:lineRule="auto"/>
        <w:rPr>
          <w:sz w:val="20"/>
          <w:szCs w:val="20"/>
          <w:color w:val="auto"/>
        </w:rPr>
      </w:pPr>
      <w:r>
        <w:rPr>
          <w:rFonts w:ascii="Arial" w:cs="Arial" w:eastAsia="Arial" w:hAnsi="Arial"/>
          <w:sz w:val="18"/>
          <w:szCs w:val="18"/>
          <w:color w:val="auto"/>
        </w:rPr>
        <w:t>In the specialty pharmacy contracts, the contractual fees of prescription drugs sold includes the cost of the prescription drugs purchased and shipped to members by the Company’s specialty mail service dispensing pharmacy, net of any volume-related or other discounts.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Vendor rebates</w:t>
      </w:r>
    </w:p>
    <w:p>
      <w:pPr>
        <w:spacing w:after="0" w:line="225" w:lineRule="exact"/>
        <w:rPr>
          <w:sz w:val="20"/>
          <w:szCs w:val="20"/>
          <w:color w:val="auto"/>
        </w:rPr>
      </w:pPr>
    </w:p>
    <w:p>
      <w:pPr>
        <w:jc w:val="both"/>
        <w:ind w:left="700" w:right="59"/>
        <w:spacing w:after="0" w:line="254" w:lineRule="auto"/>
        <w:rPr>
          <w:sz w:val="20"/>
          <w:szCs w:val="20"/>
          <w:color w:val="auto"/>
        </w:rPr>
      </w:pPr>
      <w:r>
        <w:rPr>
          <w:rFonts w:ascii="Arial" w:cs="Arial" w:eastAsia="Arial" w:hAnsi="Arial"/>
          <w:sz w:val="18"/>
          <w:szCs w:val="18"/>
          <w:color w:val="auto"/>
        </w:rPr>
        <w:t>The Company receives a rebate on formulations purchased and dispensed by the Company’s specialty pharmacy. The Company’s contractual arrangements with pharmaceutical manufacturers provide for the Company to receive a discount (or rebate) from established list prices paid subsequent to dispensing when products are purchased indirectly from a pharmaceutical manufacturer (e.g., through a specialty pharmacy.) These rebates are recognized as a reduction of Cost of services when prescriptions are dispensed and are generally estimated and billed to manufacturers within 15 days of the end of each month. The effect of adjustments resulting from the reconciliation of rebates recognized to the amounts billed and collected has not been material to the Company’s results of operations.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Cash and Cash Equivalents, and Marketable Securities</w:t>
      </w:r>
    </w:p>
    <w:p>
      <w:pPr>
        <w:spacing w:after="0" w:line="225" w:lineRule="exact"/>
        <w:rPr>
          <w:sz w:val="20"/>
          <w:szCs w:val="20"/>
          <w:color w:val="auto"/>
        </w:rPr>
      </w:pPr>
    </w:p>
    <w:p>
      <w:pPr>
        <w:jc w:val="both"/>
        <w:ind w:left="700" w:right="59"/>
        <w:spacing w:after="0" w:line="301" w:lineRule="auto"/>
        <w:rPr>
          <w:sz w:val="20"/>
          <w:szCs w:val="20"/>
          <w:color w:val="auto"/>
        </w:rPr>
      </w:pPr>
      <w:r>
        <w:rPr>
          <w:rFonts w:ascii="Arial" w:cs="Arial" w:eastAsia="Arial" w:hAnsi="Arial"/>
          <w:sz w:val="16"/>
          <w:szCs w:val="16"/>
          <w:color w:val="auto"/>
        </w:rPr>
        <w:t>Cash and cash equivalents are stated at fair value. The Company considers all highly liquid investments purchased with original maturities of three months or less at the time of purchase to be cash equivalents. Marketable securities, primarily consisting of U.S. Government and agency securities with original maturities greater than three months but less than one year when purchased, are classified as available-for-sale, and are stated at fair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79"/>
        <w:spacing w:after="0" w:line="277" w:lineRule="auto"/>
        <w:rPr>
          <w:sz w:val="20"/>
          <w:szCs w:val="20"/>
          <w:color w:val="auto"/>
        </w:rPr>
      </w:pPr>
      <w:r>
        <w:rPr>
          <w:rFonts w:ascii="Arial" w:cs="Arial" w:eastAsia="Arial" w:hAnsi="Arial"/>
          <w:sz w:val="18"/>
          <w:szCs w:val="18"/>
          <w:color w:val="auto"/>
        </w:rPr>
        <w:t>value. Unrealized gains and losses on marketable securities are excluded from earnings and reported as a component of other comprehensive income (loss).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left="700" w:right="59"/>
        <w:spacing w:after="0" w:line="270"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to achieve a consistent application of revenue recognition within the U.S., resulting in a single revenue model to be applied by reporting companies under U.S. GAAP. Under the new model, recognition of revenue occurs when a customer obtains control of promised goods or services in an amount that reflects the consideration to which the entity expects to be entitled in exchange for those goods or services. In addition, the revised guidance required that reporting companies disclose the nature, amount, timing, and uncertainty of revenue and cash flows arising from contracts with customers. The Company adopted this standard on January 1, 2019 using the full retrospective approach. The adoption of the new standard did not have a material impact on the financial statements.</w:t>
      </w:r>
    </w:p>
    <w:p>
      <w:pPr>
        <w:spacing w:after="0" w:line="181" w:lineRule="exact"/>
        <w:rPr>
          <w:sz w:val="20"/>
          <w:szCs w:val="20"/>
          <w:color w:val="auto"/>
        </w:rPr>
      </w:pPr>
    </w:p>
    <w:p>
      <w:pPr>
        <w:jc w:val="both"/>
        <w:ind w:left="700" w:right="59"/>
        <w:spacing w:after="0" w:line="255"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The new standard clarifies the definition of a business to assist entities with evaluating whether transactions should be accounted for as acquisitions (or disposals) of assets or businesses. The new standard is effective for the Company for fiscal years beginning after December 15, 2018 and interim periods within annual periods beginning after December 15, 2019. The Company adopted this guidance effective January 1, 2019, which did not have a material impact on the Company’s financial statements.</w:t>
      </w:r>
    </w:p>
    <w:p>
      <w:pPr>
        <w:spacing w:after="0" w:line="192" w:lineRule="exact"/>
        <w:rPr>
          <w:sz w:val="20"/>
          <w:szCs w:val="20"/>
          <w:color w:val="auto"/>
        </w:rPr>
      </w:pPr>
    </w:p>
    <w:p>
      <w:pPr>
        <w:jc w:val="both"/>
        <w:ind w:left="700" w:right="59"/>
        <w:spacing w:after="0" w:line="254" w:lineRule="auto"/>
        <w:rPr>
          <w:sz w:val="20"/>
          <w:szCs w:val="20"/>
          <w:color w:val="auto"/>
        </w:rPr>
      </w:pPr>
      <w:r>
        <w:rPr>
          <w:rFonts w:ascii="Arial" w:cs="Arial" w:eastAsia="Arial" w:hAnsi="Arial"/>
          <w:sz w:val="18"/>
          <w:szCs w:val="18"/>
          <w:color w:val="auto"/>
        </w:rPr>
        <w:t xml:space="preserve">In March 2018, the FASB issued ASU No. 2018-05, </w:t>
      </w:r>
      <w:r>
        <w:rPr>
          <w:rFonts w:ascii="Arial" w:cs="Arial" w:eastAsia="Arial" w:hAnsi="Arial"/>
          <w:sz w:val="18"/>
          <w:szCs w:val="18"/>
          <w:i w:val="1"/>
          <w:iCs w:val="1"/>
          <w:color w:val="auto"/>
        </w:rPr>
        <w:t>Income Taxes (ASC 740)</w:t>
      </w:r>
      <w:r>
        <w:rPr>
          <w:rFonts w:ascii="Arial" w:cs="Arial" w:eastAsia="Arial" w:hAnsi="Arial"/>
          <w:sz w:val="18"/>
          <w:szCs w:val="18"/>
          <w:color w:val="auto"/>
        </w:rPr>
        <w:t>, to conform to SEC Staff Accounting Bulletin No. 118 (“SAB 118”). The standard was issued to allow registrants to record provisional amounts during a measurement period not to extend beyond one year from the enactment date in instances when a registrant does not have the necessary information available, prepared, or analyzed in reasonable detail to complete the accounting for certain income tax effects of the Tax Cuts and Jobs Act (the “Tax Reform Act”). The standard was effective upon issuance. The adoption of this guidance did not have a material impact on the Company’s financial statements.</w:t>
      </w:r>
    </w:p>
    <w:p>
      <w:pPr>
        <w:spacing w:after="0" w:line="195" w:lineRule="exact"/>
        <w:rPr>
          <w:sz w:val="20"/>
          <w:szCs w:val="20"/>
          <w:color w:val="auto"/>
        </w:rPr>
      </w:pPr>
    </w:p>
    <w:p>
      <w:pPr>
        <w:jc w:val="both"/>
        <w:ind w:left="700" w:right="59"/>
        <w:spacing w:after="0" w:line="279"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Compensation—Stock Compensation (ASC 718): Improvements</w:t>
      </w:r>
      <w:r>
        <w:rPr>
          <w:rFonts w:ascii="Arial" w:cs="Arial" w:eastAsia="Arial" w:hAnsi="Arial"/>
          <w:sz w:val="17"/>
          <w:szCs w:val="17"/>
          <w:color w:val="auto"/>
        </w:rPr>
        <w:t xml:space="preserve"> </w:t>
      </w:r>
      <w:r>
        <w:rPr>
          <w:rFonts w:ascii="Arial" w:cs="Arial" w:eastAsia="Arial" w:hAnsi="Arial"/>
          <w:sz w:val="17"/>
          <w:szCs w:val="17"/>
          <w:i w:val="1"/>
          <w:iCs w:val="1"/>
          <w:color w:val="auto"/>
        </w:rPr>
        <w:t>to Employee Share-Based Payment Accounting</w:t>
      </w:r>
      <w:r>
        <w:rPr>
          <w:rFonts w:ascii="Arial" w:cs="Arial" w:eastAsia="Arial" w:hAnsi="Arial"/>
          <w:sz w:val="17"/>
          <w:szCs w:val="17"/>
          <w:color w:val="auto"/>
        </w:rPr>
        <w:t>, which changes the accounting for share-based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with nonemployees. The Company adopted this guidance effective January 1, 2019. The adoption of this guidance did not have a material impact on the Company’s financial statements.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Accounting Pronouncements Issued but Not Yet Adopted</w:t>
      </w:r>
    </w:p>
    <w:p>
      <w:pPr>
        <w:spacing w:after="0" w:line="225" w:lineRule="exact"/>
        <w:rPr>
          <w:sz w:val="20"/>
          <w:szCs w:val="20"/>
          <w:color w:val="auto"/>
        </w:rPr>
      </w:pPr>
    </w:p>
    <w:p>
      <w:pPr>
        <w:jc w:val="both"/>
        <w:ind w:left="700" w:right="59"/>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In November 2019, the FASB most recently voted to defer the effective date of ASU 2016-02 for certain entities. As the Company will lose its emerging growth company status as of December 31, 2020, the new standard will be effective for the Company for the fiscal year beginning January 1, 2020. The Company plans to adopt the new standard using the modified retrospective approach of all leases entered into before the effective date. The Company is currently evaluating the impact this ASU will have on its financial statements.</w:t>
      </w:r>
    </w:p>
    <w:p>
      <w:pPr>
        <w:spacing w:after="0" w:line="181" w:lineRule="exact"/>
        <w:rPr>
          <w:sz w:val="20"/>
          <w:szCs w:val="20"/>
          <w:color w:val="auto"/>
        </w:rPr>
      </w:pPr>
    </w:p>
    <w:p>
      <w:pPr>
        <w:jc w:val="both"/>
        <w:ind w:left="700" w:right="59"/>
        <w:spacing w:after="0" w:line="291"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 — Goodwill and Other — Internal-Use Software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(Subtopic 350-40): Customer’s Accounting for Implementation Costs Incurred in a Cloud Computing Arrangement That Is a Service Contract, </w:t>
      </w:r>
      <w:r>
        <w:rPr>
          <w:rFonts w:ascii="Arial" w:cs="Arial" w:eastAsia="Arial" w:hAnsi="Arial"/>
          <w:sz w:val="16"/>
          <w:szCs w:val="16"/>
          <w:color w:val="auto"/>
        </w:rPr>
        <w:t>to determine which implementation costs to capitalize as assets.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will lose its emerging growth company status as of December 31, 2020, the new standard will be effective for the Company for the fiscal year beginning January 1, 2020. Early adoption of the amendments is permitted, including adoption in any interim period, for all entities and should be applied either retrospectively or prospectively to all implementation costs incurred after the date of adoption. The Company is currently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59"/>
        <w:spacing w:after="0" w:line="308" w:lineRule="auto"/>
        <w:rPr>
          <w:sz w:val="20"/>
          <w:szCs w:val="20"/>
          <w:color w:val="auto"/>
        </w:rPr>
      </w:pPr>
      <w:r>
        <w:rPr>
          <w:rFonts w:ascii="Arial" w:cs="Arial" w:eastAsia="Arial" w:hAnsi="Arial"/>
          <w:sz w:val="17"/>
          <w:szCs w:val="17"/>
          <w:color w:val="auto"/>
        </w:rPr>
        <w:t>reviewing its cloud computing arrangements to evaluate the impact of adoption of the final guidance but does not expect that the pending adoption of this ASU will have a material effect on its financial statements.</w:t>
      </w:r>
    </w:p>
    <w:p>
      <w:pPr>
        <w:spacing w:after="0" w:line="146" w:lineRule="exact"/>
        <w:rPr>
          <w:sz w:val="20"/>
          <w:szCs w:val="20"/>
          <w:color w:val="auto"/>
        </w:rPr>
      </w:pPr>
    </w:p>
    <w:p>
      <w:pPr>
        <w:jc w:val="both"/>
        <w:ind w:left="700" w:right="59"/>
        <w:spacing w:after="0" w:line="288"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Credit Losses on Financial Instruments, </w:t>
      </w:r>
      <w:r>
        <w:rPr>
          <w:rFonts w:ascii="Arial" w:cs="Arial" w:eastAsia="Arial" w:hAnsi="Arial"/>
          <w:sz w:val="16"/>
          <w:szCs w:val="16"/>
          <w:color w:val="auto"/>
        </w:rPr>
        <w:t>which replaces the incurred loss impairment methodology in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U.S. GAAP with a methodology that reflects expected credit losses and requires consideration of a broader range of reasonable and supportable information to inform credit loss estimates. In July 2019, the FASB voted to defer the effective date of the standard to fiscal years beginning after December 15, 2019 for most public companies and fiscal years beginning after December 15, 2022 for private companies and public companies who elect to use the extended transition period for complying with new or revised accounting standards applicable to private companies. As the Company will lose its emerging growth company status as of December 31, 2020, the ASU will be effective for the Company for the fiscal year beginning January 1, 2020. The Company is currently evaluating the impact this ASU will have on its financial statements.</w:t>
      </w:r>
    </w:p>
    <w:p>
      <w:pPr>
        <w:spacing w:after="0" w:line="168" w:lineRule="exact"/>
        <w:rPr>
          <w:sz w:val="20"/>
          <w:szCs w:val="20"/>
          <w:color w:val="auto"/>
        </w:rPr>
      </w:pPr>
    </w:p>
    <w:p>
      <w:pPr>
        <w:ind w:left="700" w:right="59"/>
        <w:spacing w:after="0" w:line="25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Taxes</w:t>
      </w:r>
      <w:r>
        <w:rPr>
          <w:rFonts w:ascii="Arial" w:cs="Arial" w:eastAsia="Arial" w:hAnsi="Arial"/>
          <w:sz w:val="18"/>
          <w:szCs w:val="18"/>
          <w:color w:val="auto"/>
        </w:rPr>
        <w:t>. The standard is intended to simplify the accounting for income taxes by removing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exceptions to the general principles in Topic 740, as well as improve consistent application of and simplify GAAP for other areas of Topic 740 by clarifying and amending existing guidance. As the Company will lose its emerging growth company status as of December 31, 2020, the new standard will be effective for the Company for the fiscal year beginning January 1, 2021. The Company is currently evaluating the impact this ASU will have on its financial statements.</w:t>
      </w:r>
    </w:p>
    <w:p>
      <w:pPr>
        <w:spacing w:after="0" w:line="218" w:lineRule="exact"/>
        <w:rPr>
          <w:sz w:val="20"/>
          <w:szCs w:val="20"/>
          <w:color w:val="auto"/>
        </w:rPr>
      </w:pPr>
    </w:p>
    <w:p>
      <w:pPr>
        <w:ind w:left="700" w:right="6619" w:hanging="650"/>
        <w:spacing w:after="0" w:line="603" w:lineRule="auto"/>
        <w:tabs>
          <w:tab w:leader="none" w:pos="682"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Revenue </w:t>
      </w:r>
      <w:r>
        <w:rPr>
          <w:rFonts w:ascii="Arial" w:cs="Arial" w:eastAsia="Arial" w:hAnsi="Arial"/>
          <w:sz w:val="15"/>
          <w:szCs w:val="15"/>
          <w:b w:val="1"/>
          <w:bCs w:val="1"/>
          <w:i w:val="1"/>
          <w:iCs w:val="1"/>
          <w:color w:val="auto"/>
        </w:rPr>
        <w:t>Disaggregated revenue</w:t>
      </w:r>
    </w:p>
    <w:p>
      <w:pPr>
        <w:spacing w:after="0" w:line="1" w:lineRule="exact"/>
        <w:rPr>
          <w:rFonts w:ascii="Arial" w:cs="Arial" w:eastAsia="Arial" w:hAnsi="Arial"/>
          <w:sz w:val="15"/>
          <w:szCs w:val="15"/>
          <w:b w:val="1"/>
          <w:bCs w:val="1"/>
          <w:color w:val="auto"/>
        </w:rPr>
      </w:pPr>
    </w:p>
    <w:p>
      <w:pPr>
        <w:ind w:left="700"/>
        <w:spacing w:after="0"/>
        <w:rPr>
          <w:rFonts w:ascii="Arial" w:cs="Arial" w:eastAsia="Arial" w:hAnsi="Arial"/>
          <w:sz w:val="15"/>
          <w:szCs w:val="15"/>
          <w:b w:val="1"/>
          <w:bCs w:val="1"/>
          <w:color w:val="auto"/>
        </w:rPr>
      </w:pPr>
      <w:r>
        <w:rPr>
          <w:rFonts w:ascii="Arial" w:cs="Arial" w:eastAsia="Arial" w:hAnsi="Arial"/>
          <w:sz w:val="18"/>
          <w:szCs w:val="18"/>
          <w:color w:val="auto"/>
        </w:rPr>
        <w:t>The following table disaggregates revenue by service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4"/>
          </w:tcPr>
          <w:p>
            <w:pPr>
              <w:jc w:val="right"/>
              <w:ind w:right="155"/>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4"/>
          </w:tcPr>
          <w:p>
            <w:pPr>
              <w:jc w:val="right"/>
              <w:ind w:right="37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6"/>
              </w:rPr>
              <w:t>June 30,</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Fertility benefit services revenue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46,271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45,696</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105,704</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Pharmacy benefit services revenue</w:t>
            </w:r>
          </w:p>
        </w:tc>
        <w:tc>
          <w:tcPr>
            <w:tcW w:w="1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8"/>
              </w:rPr>
              <w:t>18,334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10,472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39,925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revenue</w:t>
            </w:r>
          </w:p>
        </w:tc>
        <w:tc>
          <w:tcPr>
            <w:tcW w:w="1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8"/>
              </w:rPr>
              <w:t>64,605</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56,168</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145,629</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103,365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80" w:hanging="630"/>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00" w:lineRule="exact"/>
        <w:rPr>
          <w:rFonts w:ascii="Arial" w:cs="Arial" w:eastAsia="Arial" w:hAnsi="Arial"/>
          <w:sz w:val="18"/>
          <w:szCs w:val="18"/>
          <w:b w:val="1"/>
          <w:bCs w:val="1"/>
          <w:color w:val="auto"/>
        </w:rPr>
      </w:pPr>
    </w:p>
    <w:p>
      <w:pPr>
        <w:spacing w:after="0" w:line="245" w:lineRule="exact"/>
        <w:rPr>
          <w:rFonts w:ascii="Arial" w:cs="Arial" w:eastAsia="Arial" w:hAnsi="Arial"/>
          <w:sz w:val="18"/>
          <w:szCs w:val="18"/>
          <w:b w:val="1"/>
          <w:bCs w:val="1"/>
          <w:color w:val="auto"/>
        </w:rPr>
      </w:pPr>
    </w:p>
    <w:p>
      <w:pPr>
        <w:jc w:val="both"/>
        <w:ind w:left="700" w:right="59"/>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fair value of financial instruments is determined based on assumptions that market participants would use when pricing an asset or liability at the balance sheet date. Certain assets are categorized based on the following fair value hierarchy of market participant assumptions:</w:t>
      </w:r>
    </w:p>
    <w:p>
      <w:pPr>
        <w:spacing w:after="0" w:line="183" w:lineRule="exact"/>
        <w:rPr>
          <w:rFonts w:ascii="Arial" w:cs="Arial" w:eastAsia="Arial" w:hAnsi="Arial"/>
          <w:sz w:val="18"/>
          <w:szCs w:val="18"/>
          <w:b w:val="1"/>
          <w:bCs w:val="1"/>
          <w:color w:val="auto"/>
        </w:rPr>
      </w:pPr>
    </w:p>
    <w:p>
      <w:pPr>
        <w:ind w:left="700" w:right="7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1 — Unadjusted quoted prices in active markets that are accessible at the measurement date for identical assets or liabilities.</w:t>
      </w:r>
    </w:p>
    <w:p>
      <w:pPr>
        <w:spacing w:after="0" w:line="170"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7"/>
          <w:szCs w:val="17"/>
          <w:color w:val="auto"/>
        </w:rPr>
        <w:t>Level 2 — Inputs, other than quoted prices in active markets, that are observable either directly or indirectly.</w:t>
      </w:r>
    </w:p>
    <w:p>
      <w:pPr>
        <w:spacing w:after="0" w:line="236" w:lineRule="exact"/>
        <w:rPr>
          <w:rFonts w:ascii="Arial" w:cs="Arial" w:eastAsia="Arial" w:hAnsi="Arial"/>
          <w:sz w:val="18"/>
          <w:szCs w:val="18"/>
          <w:b w:val="1"/>
          <w:bCs w:val="1"/>
          <w:color w:val="auto"/>
        </w:rPr>
      </w:pPr>
    </w:p>
    <w:p>
      <w:pPr>
        <w:ind w:left="700" w:right="7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3 — Prices or valuation techniques that require inputs that are both significant to the fair value of the asset or liability and supported by little or no market activity.</w:t>
      </w:r>
    </w:p>
    <w:p>
      <w:pPr>
        <w:spacing w:after="0" w:line="170" w:lineRule="exact"/>
        <w:rPr>
          <w:rFonts w:ascii="Arial" w:cs="Arial" w:eastAsia="Arial" w:hAnsi="Arial"/>
          <w:sz w:val="18"/>
          <w:szCs w:val="18"/>
          <w:b w:val="1"/>
          <w:bCs w:val="1"/>
          <w:color w:val="auto"/>
        </w:rPr>
      </w:pPr>
    </w:p>
    <w:p>
      <w:pPr>
        <w:ind w:left="700" w:right="7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uses observable market data when available, and minimizes the use of unobservable inputs when determining fair value</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59"/>
        <w:spacing w:after="0" w:line="279" w:lineRule="auto"/>
        <w:rPr>
          <w:sz w:val="20"/>
          <w:szCs w:val="20"/>
          <w:color w:val="auto"/>
        </w:rPr>
      </w:pPr>
      <w:r>
        <w:rPr>
          <w:rFonts w:ascii="Arial" w:cs="Arial" w:eastAsia="Arial" w:hAnsi="Arial"/>
          <w:sz w:val="17"/>
          <w:szCs w:val="17"/>
          <w:color w:val="auto"/>
        </w:rPr>
        <w:t>As of June 30, 2020, the Company had $92.7 million, in financial assets held in money market accounts and U.S. treasury bills, all of which were classified as Level 1 in the fair value hierarchy. The Company measured these assets at fair value. The Company classified these assets as Level 1 because the values of these assets are determined using unadjusted quoted prices in active markets for identical assets.</w:t>
      </w:r>
    </w:p>
    <w:p>
      <w:pPr>
        <w:spacing w:after="0" w:line="171" w:lineRule="exact"/>
        <w:rPr>
          <w:sz w:val="20"/>
          <w:szCs w:val="20"/>
          <w:color w:val="auto"/>
        </w:rPr>
      </w:pPr>
    </w:p>
    <w:p>
      <w:pPr>
        <w:jc w:val="both"/>
        <w:ind w:left="700" w:right="79"/>
        <w:spacing w:after="0" w:line="277" w:lineRule="auto"/>
        <w:rPr>
          <w:sz w:val="20"/>
          <w:szCs w:val="20"/>
          <w:color w:val="auto"/>
        </w:rPr>
      </w:pPr>
      <w:r>
        <w:rPr>
          <w:rFonts w:ascii="Arial" w:cs="Arial" w:eastAsia="Arial" w:hAnsi="Arial"/>
          <w:sz w:val="18"/>
          <w:szCs w:val="18"/>
          <w:color w:val="auto"/>
        </w:rPr>
        <w:t>As of June 30, 2020 and December 31, 2019, the Company did not have any assets or liabilities classified as Level 2 or Level 3 in the fair value hierarchy.</w:t>
      </w:r>
    </w:p>
    <w:p>
      <w:pPr>
        <w:spacing w:after="0" w:line="166" w:lineRule="exact"/>
        <w:rPr>
          <w:sz w:val="20"/>
          <w:szCs w:val="20"/>
          <w:color w:val="auto"/>
        </w:rPr>
      </w:pPr>
    </w:p>
    <w:p>
      <w:pPr>
        <w:ind w:left="680" w:hanging="630"/>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rFonts w:ascii="Arial" w:cs="Arial" w:eastAsia="Arial" w:hAnsi="Arial"/>
          <w:sz w:val="18"/>
          <w:szCs w:val="18"/>
          <w:b w:val="1"/>
          <w:bCs w:val="1"/>
          <w:color w:val="auto"/>
        </w:rPr>
      </w:pPr>
    </w:p>
    <w:p>
      <w:pPr>
        <w:jc w:val="both"/>
        <w:ind w:left="700" w:right="59"/>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June 2018, the Company entered into a loan and security agreement with Silicon Valley Bank for a revolving line of credit up to $15.0 million based upon an advance rate of 80% on “eligible” accounts receivable to fund its working capital and other general corporate needs, which loan agreement was amended in April 2019, January 2020 and June 2020 (as amended, the “SVB Line of Credit”). Eligible accounts receivable is defined in the loan agreement as accounts billed with aging 90 days or less and excludes accounts receivable due for member copayments, coinsurance, and deductibles.</w:t>
      </w:r>
    </w:p>
    <w:p>
      <w:pPr>
        <w:spacing w:after="0" w:line="192" w:lineRule="exact"/>
        <w:rPr>
          <w:rFonts w:ascii="Arial" w:cs="Arial" w:eastAsia="Arial" w:hAnsi="Arial"/>
          <w:sz w:val="18"/>
          <w:szCs w:val="18"/>
          <w:b w:val="1"/>
          <w:bCs w:val="1"/>
          <w:color w:val="auto"/>
        </w:rPr>
      </w:pPr>
    </w:p>
    <w:p>
      <w:pPr>
        <w:jc w:val="both"/>
        <w:ind w:left="700" w:right="59"/>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Company is required to pay a revolving line commitment fee of $225,000 in three equal annual installments of $75,000 starting on the one-year anniversary of the SVB Line of Credit. The Company made the first installment payment of $75,000 in June 2019 and accrues this cost monthly. The SVB Line of Credit matures in June 2021. When the Company holds unrestricted cash balances greater than $5.0 million interest accrues at a floating rate per annum equal to the greater of prime rate or 4.75%. If the unrestricted cash balance is less than $5.0 million interest accrues at a floating rate per annum equal to the greater of prime rate plus 0.5% or 4.75%, with interest payable monthly. Interest is paid based upon the borrowed funds.</w:t>
      </w:r>
    </w:p>
    <w:p>
      <w:pPr>
        <w:spacing w:after="0" w:line="177" w:lineRule="exact"/>
        <w:rPr>
          <w:rFonts w:ascii="Arial" w:cs="Arial" w:eastAsia="Arial" w:hAnsi="Arial"/>
          <w:sz w:val="18"/>
          <w:szCs w:val="18"/>
          <w:b w:val="1"/>
          <w:bCs w:val="1"/>
          <w:color w:val="auto"/>
        </w:rPr>
      </w:pPr>
    </w:p>
    <w:p>
      <w:pPr>
        <w:jc w:val="both"/>
        <w:ind w:left="700" w:right="59"/>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SVB Line of Credit contains customary affirmative covenants, financial covenants, as well as negative covenants that, among other things, restrict the Company’s ability to incur additional indebtedness (including guarantees of certain obligations); create liens; engage in mergers, consolidations, liquidations and dissolutions; sell assets; maintain collateral; pay dividends or make other payments in respect of capital stock; make acquisitions; make investments, loans and advances; enter into transactions with affiliates; make payments with respect to or modify subordinated debt instruments; and enter into agreements with negative pledge clauses or clauses restricting subsidiary distributions. The financial covenant requires the Company to achieve a specified minimum quarterly revenue as defined by the SVB Line of Credit.</w:t>
      </w:r>
    </w:p>
    <w:p>
      <w:pPr>
        <w:spacing w:after="0" w:line="178" w:lineRule="exact"/>
        <w:rPr>
          <w:rFonts w:ascii="Arial" w:cs="Arial" w:eastAsia="Arial" w:hAnsi="Arial"/>
          <w:sz w:val="18"/>
          <w:szCs w:val="18"/>
          <w:b w:val="1"/>
          <w:bCs w:val="1"/>
          <w:color w:val="auto"/>
        </w:rPr>
      </w:pPr>
    </w:p>
    <w:p>
      <w:pPr>
        <w:ind w:left="740" w:right="79" w:hanging="45"/>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was in compliance with all requirements and covenants of the revolving credit facility as of June 30, 2020 and December 31, 2019.</w:t>
      </w:r>
    </w:p>
    <w:p>
      <w:pPr>
        <w:spacing w:after="0" w:line="170" w:lineRule="exact"/>
        <w:rPr>
          <w:rFonts w:ascii="Arial" w:cs="Arial" w:eastAsia="Arial" w:hAnsi="Arial"/>
          <w:sz w:val="18"/>
          <w:szCs w:val="18"/>
          <w:b w:val="1"/>
          <w:bCs w:val="1"/>
          <w:color w:val="auto"/>
        </w:rPr>
      </w:pPr>
    </w:p>
    <w:p>
      <w:pPr>
        <w:jc w:val="both"/>
        <w:ind w:left="700" w:right="59"/>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 of both June 30, 2020 and December 31, 2019, the Company had $0 drawn on the SVB Line of Credit. The Company recorded interest expense on the SVB Line of Credit of $37,000 and $166,000 in the six months ended June 30, 2020 and 2019, respectively.</w:t>
      </w:r>
    </w:p>
    <w:p>
      <w:pPr>
        <w:spacing w:after="0" w:line="179" w:lineRule="exact"/>
        <w:rPr>
          <w:rFonts w:ascii="Arial" w:cs="Arial" w:eastAsia="Arial" w:hAnsi="Arial"/>
          <w:sz w:val="18"/>
          <w:szCs w:val="18"/>
          <w:b w:val="1"/>
          <w:bCs w:val="1"/>
          <w:color w:val="auto"/>
        </w:rPr>
      </w:pPr>
    </w:p>
    <w:p>
      <w:pPr>
        <w:ind w:left="640" w:hanging="590"/>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Warrants</w:t>
      </w:r>
    </w:p>
    <w:p>
      <w:pPr>
        <w:spacing w:after="0" w:line="229" w:lineRule="exact"/>
        <w:rPr>
          <w:sz w:val="20"/>
          <w:szCs w:val="20"/>
          <w:color w:val="auto"/>
        </w:rPr>
      </w:pPr>
    </w:p>
    <w:p>
      <w:pPr>
        <w:jc w:val="both"/>
        <w:ind w:left="700" w:right="59"/>
        <w:spacing w:after="0" w:line="273" w:lineRule="auto"/>
        <w:rPr>
          <w:sz w:val="20"/>
          <w:szCs w:val="20"/>
          <w:color w:val="auto"/>
        </w:rPr>
      </w:pPr>
      <w:r>
        <w:rPr>
          <w:rFonts w:ascii="Arial" w:cs="Arial" w:eastAsia="Arial" w:hAnsi="Arial"/>
          <w:sz w:val="17"/>
          <w:szCs w:val="17"/>
          <w:color w:val="auto"/>
        </w:rPr>
        <w:t>In connection with the IPO on October 25, 3019, the convertible preferred warrants converted to common stock warrants. Therefore, as of June 30, 2020 and December 31, 2019 the Company had no outstanding convertible preferred warrants. Prior to the conversion, the convertible preferred stock warrants were valued using the IPO price $13.00 per common share less the exercise price of $1.73 per common share. During the three months ended December 31, 2019, 482,661 common stock warrants were exercised for 441,307 shares of common stock at a weighted-average exercise price of $1.59 per common share.</w:t>
      </w:r>
    </w:p>
    <w:p>
      <w:pPr>
        <w:spacing w:after="0" w:line="178" w:lineRule="exact"/>
        <w:rPr>
          <w:sz w:val="20"/>
          <w:szCs w:val="20"/>
          <w:color w:val="auto"/>
        </w:rPr>
      </w:pPr>
    </w:p>
    <w:p>
      <w:pPr>
        <w:jc w:val="both"/>
        <w:ind w:left="700" w:right="79"/>
        <w:spacing w:after="0" w:line="342" w:lineRule="auto"/>
        <w:rPr>
          <w:sz w:val="20"/>
          <w:szCs w:val="20"/>
          <w:color w:val="auto"/>
        </w:rPr>
      </w:pPr>
      <w:r>
        <w:rPr>
          <w:rFonts w:ascii="Arial" w:cs="Arial" w:eastAsia="Arial" w:hAnsi="Arial"/>
          <w:sz w:val="16"/>
          <w:szCs w:val="16"/>
          <w:color w:val="auto"/>
        </w:rPr>
        <w:t>The Company recognized the warrants at fair value at the time of issuance and remeasured the warrants at their fair value on a recurring basis thereafter. Given the deemed liquidation provisions of the underlying convertible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59"/>
        <w:spacing w:after="0" w:line="308" w:lineRule="auto"/>
        <w:rPr>
          <w:sz w:val="20"/>
          <w:szCs w:val="20"/>
          <w:color w:val="auto"/>
        </w:rPr>
      </w:pPr>
      <w:r>
        <w:rPr>
          <w:rFonts w:ascii="Arial" w:cs="Arial" w:eastAsia="Arial" w:hAnsi="Arial"/>
          <w:sz w:val="17"/>
          <w:szCs w:val="17"/>
          <w:color w:val="auto"/>
        </w:rPr>
        <w:t>preferred stock, the convertible preferred stock warrant liabilities are recorded at fair value and are subject to remeasurement at each balance sheet date. The Company calculates the warrants’ fair value as follows:</w:t>
      </w:r>
    </w:p>
    <w:p>
      <w:pPr>
        <w:spacing w:after="0" w:line="146" w:lineRule="exact"/>
        <w:rPr>
          <w:sz w:val="20"/>
          <w:szCs w:val="20"/>
          <w:color w:val="auto"/>
        </w:rPr>
      </w:pPr>
    </w:p>
    <w:p>
      <w:pPr>
        <w:ind w:left="1680" w:hanging="334"/>
        <w:spacing w:after="0"/>
        <w:tabs>
          <w:tab w:leader="none" w:pos="1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Company’s equity value is estimated using the market approach.</w:t>
      </w:r>
    </w:p>
    <w:p>
      <w:pPr>
        <w:spacing w:after="0" w:line="225" w:lineRule="exact"/>
        <w:rPr>
          <w:rFonts w:ascii="Arial" w:cs="Arial" w:eastAsia="Arial" w:hAnsi="Arial"/>
          <w:sz w:val="18"/>
          <w:szCs w:val="18"/>
          <w:color w:val="auto"/>
        </w:rPr>
      </w:pPr>
    </w:p>
    <w:p>
      <w:pPr>
        <w:ind w:left="1680" w:right="79" w:hanging="334"/>
        <w:spacing w:after="0" w:line="293" w:lineRule="auto"/>
        <w:tabs>
          <w:tab w:leader="none" w:pos="168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Company’s equity value is then allocated among classes of its capital structure, including Series B convertible preferred shares. The allocation is performed using the Option Pricing Methodology. This method treats securities as options with the Company. The allocation is used to determine the value of Series B convertible preferred shares, as well as the Series B convertible preferred stock warrants. The Company assumes that any exercise of the warrants would be to purchase Series B convertible preferred shares, and assumes scenarios where the warrants will not be exercised.</w:t>
      </w:r>
    </w:p>
    <w:p>
      <w:pPr>
        <w:spacing w:after="0" w:line="160" w:lineRule="exact"/>
        <w:rPr>
          <w:rFonts w:ascii="Arial" w:cs="Arial" w:eastAsia="Arial" w:hAnsi="Arial"/>
          <w:sz w:val="16"/>
          <w:szCs w:val="16"/>
          <w:color w:val="auto"/>
        </w:rPr>
      </w:pPr>
    </w:p>
    <w:p>
      <w:pPr>
        <w:ind w:left="600" w:hanging="550"/>
        <w:spacing w:after="0"/>
        <w:tabs>
          <w:tab w:leader="none" w:pos="6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Arbitration/Litigation</w:t>
      </w:r>
    </w:p>
    <w:p>
      <w:pPr>
        <w:spacing w:after="0" w:line="225" w:lineRule="exact"/>
        <w:rPr>
          <w:sz w:val="20"/>
          <w:szCs w:val="20"/>
          <w:color w:val="auto"/>
        </w:rPr>
      </w:pPr>
    </w:p>
    <w:p>
      <w:pPr>
        <w:jc w:val="both"/>
        <w:ind w:left="700" w:right="59"/>
        <w:spacing w:after="0" w:line="287" w:lineRule="auto"/>
        <w:rPr>
          <w:sz w:val="20"/>
          <w:szCs w:val="20"/>
          <w:color w:val="auto"/>
        </w:rPr>
      </w:pPr>
      <w:r>
        <w:rPr>
          <w:rFonts w:ascii="Arial" w:cs="Arial" w:eastAsia="Arial" w:hAnsi="Arial"/>
          <w:sz w:val="16"/>
          <w:szCs w:val="16"/>
          <w:color w:val="auto"/>
        </w:rPr>
        <w:t>On January 14, 2019, a vendor filed a Demand for Arbitration and Statement of Claim against the Company (“Demand”) for alleged breach of the November 10, 2017 Preferred Specialty Pharmacy Agreement (“Agreement”) between the Company and the vendor. On March 13, 2019, the Company terminated the Agreement for material breach by the vendor. On April 3, 2019, the vendor filed a Second Amended Demand for Arbitration (“SAD”) for breach of the Agreement. The vendor seeks damages, fees, interest and cost. Pursuant to a schedule set forth by the Arbitration Panel, on May 3, 2019, the Company filed a Motion to Dismiss the SAD. That Motion was fully briefed on June 14, 2019 and was decided on July 31, 2019. The Arbitration Panel dismissed two of the vendor’s four claims. The Company believes the vendor’s claims are without merit and intends to vigorously defend against the claims in the Arbitration. Due to the inherent uncertainties of litigation, the Company cannot predict the outcome of the actions at this time and can give no assurances that the asserted claims will not have a material adverse effect on the financial position or results of operations of the Company.</w:t>
      </w:r>
    </w:p>
    <w:p>
      <w:pPr>
        <w:spacing w:after="0" w:line="172" w:lineRule="exact"/>
        <w:rPr>
          <w:sz w:val="20"/>
          <w:szCs w:val="20"/>
          <w:color w:val="auto"/>
        </w:rPr>
      </w:pPr>
    </w:p>
    <w:p>
      <w:pPr>
        <w:jc w:val="both"/>
        <w:ind w:left="700" w:right="59"/>
        <w:spacing w:after="0" w:line="308" w:lineRule="auto"/>
        <w:rPr>
          <w:sz w:val="20"/>
          <w:szCs w:val="20"/>
          <w:color w:val="auto"/>
        </w:rPr>
      </w:pPr>
      <w:r>
        <w:rPr>
          <w:rFonts w:ascii="Arial" w:cs="Arial" w:eastAsia="Arial" w:hAnsi="Arial"/>
          <w:sz w:val="17"/>
          <w:szCs w:val="17"/>
          <w:color w:val="auto"/>
        </w:rPr>
        <w:t>The Company believes there is no other litigation pending that could have, individually or in the aggregate, a material adverse effect on the Company’s financial position, results of operations, or cash flows.</w:t>
      </w:r>
    </w:p>
    <w:p>
      <w:pPr>
        <w:spacing w:after="0" w:line="142" w:lineRule="exact"/>
        <w:rPr>
          <w:sz w:val="20"/>
          <w:szCs w:val="20"/>
          <w:color w:val="auto"/>
        </w:rPr>
      </w:pPr>
    </w:p>
    <w:p>
      <w:pPr>
        <w:ind w:left="640" w:hanging="590"/>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229" w:lineRule="exact"/>
        <w:rPr>
          <w:sz w:val="20"/>
          <w:szCs w:val="20"/>
          <w:color w:val="auto"/>
        </w:rPr>
      </w:pPr>
    </w:p>
    <w:p>
      <w:pPr>
        <w:jc w:val="both"/>
        <w:ind w:left="700" w:right="59"/>
        <w:spacing w:after="0" w:line="342" w:lineRule="auto"/>
        <w:rPr>
          <w:sz w:val="20"/>
          <w:szCs w:val="20"/>
          <w:color w:val="auto"/>
        </w:rPr>
      </w:pPr>
      <w:r>
        <w:rPr>
          <w:rFonts w:ascii="Arial" w:cs="Arial" w:eastAsia="Arial" w:hAnsi="Arial"/>
          <w:sz w:val="16"/>
          <w:szCs w:val="16"/>
          <w:color w:val="auto"/>
        </w:rPr>
        <w:t>During March, June and November 2017, the Company raised approximately $15.0 million through the issuance of 8,691,179 shares of its Series B convertible preferred stock at $1.73 per share to new and existing investors.</w:t>
      </w:r>
    </w:p>
    <w:p>
      <w:pPr>
        <w:spacing w:after="0" w:line="124" w:lineRule="exact"/>
        <w:rPr>
          <w:sz w:val="20"/>
          <w:szCs w:val="20"/>
          <w:color w:val="auto"/>
        </w:rPr>
      </w:pPr>
    </w:p>
    <w:p>
      <w:pPr>
        <w:jc w:val="both"/>
        <w:ind w:left="700" w:right="59"/>
        <w:spacing w:after="0" w:line="279" w:lineRule="auto"/>
        <w:rPr>
          <w:sz w:val="20"/>
          <w:szCs w:val="20"/>
          <w:color w:val="auto"/>
        </w:rPr>
      </w:pPr>
      <w:r>
        <w:rPr>
          <w:rFonts w:ascii="Arial" w:cs="Arial" w:eastAsia="Arial" w:hAnsi="Arial"/>
          <w:sz w:val="17"/>
          <w:szCs w:val="17"/>
          <w:color w:val="auto"/>
        </w:rPr>
        <w:t>In June 2018, the Company redeemed and retired 1,202,196 shares of Series B convertible preferred stock from a former employee pursuant to its contractual right of first refusal at a purchase price of $2.5 million. The difference of $425,000 between the purchase price (at $2.04 per share) and the carrying value (at $1.73 per share) has been recorded as a dividend in accumulated deficit as of December 31, 2018.</w:t>
      </w:r>
    </w:p>
    <w:p>
      <w:pPr>
        <w:spacing w:after="0" w:line="171" w:lineRule="exact"/>
        <w:rPr>
          <w:sz w:val="20"/>
          <w:szCs w:val="20"/>
          <w:color w:val="auto"/>
        </w:rPr>
      </w:pPr>
    </w:p>
    <w:p>
      <w:pPr>
        <w:jc w:val="both"/>
        <w:ind w:left="700" w:right="59"/>
        <w:spacing w:after="0" w:line="308" w:lineRule="auto"/>
        <w:rPr>
          <w:sz w:val="20"/>
          <w:szCs w:val="20"/>
          <w:color w:val="auto"/>
        </w:rPr>
      </w:pPr>
      <w:r>
        <w:rPr>
          <w:rFonts w:ascii="Arial" w:cs="Arial" w:eastAsia="Arial" w:hAnsi="Arial"/>
          <w:sz w:val="17"/>
          <w:szCs w:val="17"/>
          <w:color w:val="auto"/>
        </w:rPr>
        <w:t>In conjunction with the above convertible preferred stock redemption, certain stockholders purchased convertible preferred stock and common stock from the same former employee at the same price per share.</w:t>
      </w:r>
    </w:p>
    <w:p>
      <w:pPr>
        <w:spacing w:after="0" w:line="146" w:lineRule="exact"/>
        <w:rPr>
          <w:sz w:val="20"/>
          <w:szCs w:val="20"/>
          <w:color w:val="auto"/>
        </w:rPr>
      </w:pPr>
    </w:p>
    <w:p>
      <w:pPr>
        <w:jc w:val="both"/>
        <w:ind w:left="700" w:right="59"/>
        <w:spacing w:after="0" w:line="257" w:lineRule="auto"/>
        <w:rPr>
          <w:sz w:val="20"/>
          <w:szCs w:val="20"/>
          <w:color w:val="auto"/>
        </w:rPr>
      </w:pPr>
      <w:r>
        <w:rPr>
          <w:rFonts w:ascii="Arial" w:cs="Arial" w:eastAsia="Arial" w:hAnsi="Arial"/>
          <w:sz w:val="18"/>
          <w:szCs w:val="18"/>
          <w:color w:val="auto"/>
        </w:rPr>
        <w:t>In connection with the transactions above, an outstanding severance liability was settled. As the total paid by the stockholders to the former employee was in excess of the common stock and preferred stock fair value, this premium was deemed consideration paid on behalf of the Company for the settlement of the severance liability. As such, the Company has accounted for this excess paid of $414,000 as a non-cash contribution in additional paid in capital.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79"/>
        <w:spacing w:after="0" w:line="308" w:lineRule="auto"/>
        <w:rPr>
          <w:sz w:val="20"/>
          <w:szCs w:val="20"/>
          <w:color w:val="auto"/>
        </w:rPr>
      </w:pPr>
      <w:r>
        <w:rPr>
          <w:rFonts w:ascii="Arial" w:cs="Arial" w:eastAsia="Arial" w:hAnsi="Arial"/>
          <w:sz w:val="17"/>
          <w:szCs w:val="17"/>
          <w:color w:val="auto"/>
        </w:rPr>
        <w:t>The authorized, issued and outstanding shares, and liquidation preference of the Company’s convertible preferred stock as of the dates indicated were as follows (in thousands, except for share and per share data):</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tcBorders>
              <w:bottom w:val="single" w:sz="8" w:color="auto"/>
            </w:tcBorders>
            <w:gridSpan w:val="7"/>
          </w:tcPr>
          <w:p>
            <w:pPr>
              <w:ind w:left="940"/>
              <w:spacing w:after="0"/>
              <w:rPr>
                <w:sz w:val="20"/>
                <w:szCs w:val="20"/>
                <w:color w:val="auto"/>
              </w:rPr>
            </w:pPr>
            <w:r>
              <w:rPr>
                <w:rFonts w:ascii="Arial" w:cs="Arial" w:eastAsia="Arial" w:hAnsi="Arial"/>
                <w:sz w:val="14"/>
                <w:szCs w:val="14"/>
                <w:b w:val="1"/>
                <w:bCs w:val="1"/>
                <w:color w:val="auto"/>
                <w:w w:val="93"/>
              </w:rPr>
              <w:t>As of June 30, 2020</w:t>
            </w: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5"/>
              </w:rPr>
              <w:t>Authorized</w:t>
            </w:r>
          </w:p>
        </w:tc>
        <w:tc>
          <w:tcPr>
            <w:tcW w:w="102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7"/>
              </w:rPr>
              <w:t>Issued and</w:t>
            </w:r>
          </w:p>
        </w:tc>
        <w:tc>
          <w:tcPr>
            <w:tcW w:w="2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Aggregate</w:t>
            </w: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10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358"/>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Convertible Preferred Stock:</w:t>
            </w:r>
          </w:p>
        </w:tc>
        <w:tc>
          <w:tcPr>
            <w:tcW w:w="9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100,000,000</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7"/>
          </w:tcPr>
          <w:p>
            <w:pPr>
              <w:ind w:left="920"/>
              <w:spacing w:after="0"/>
              <w:rPr>
                <w:sz w:val="20"/>
                <w:szCs w:val="20"/>
                <w:color w:val="auto"/>
              </w:rPr>
            </w:pPr>
            <w:r>
              <w:rPr>
                <w:rFonts w:ascii="Arial" w:cs="Arial" w:eastAsia="Arial" w:hAnsi="Arial"/>
                <w:sz w:val="14"/>
                <w:szCs w:val="14"/>
                <w:b w:val="1"/>
                <w:bCs w:val="1"/>
                <w:color w:val="auto"/>
                <w:w w:val="95"/>
              </w:rPr>
              <w:t>As of June 30, 2019</w:t>
            </w: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Authorized</w:t>
            </w:r>
          </w:p>
        </w:tc>
        <w:tc>
          <w:tcPr>
            <w:tcW w:w="102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7"/>
              </w:rPr>
              <w:t>Issued and</w:t>
            </w:r>
          </w:p>
        </w:tc>
        <w:tc>
          <w:tcPr>
            <w:tcW w:w="2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0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Shares</w:t>
            </w:r>
          </w:p>
        </w:tc>
        <w:tc>
          <w:tcPr>
            <w:tcW w:w="14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358"/>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Convertible Preferred Stock:</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Series A Preferred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69,930,070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15,384,798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$ 20,000</w:t>
            </w:r>
          </w:p>
        </w:tc>
        <w:tc>
          <w:tcPr>
            <w:tcW w:w="0" w:type="dxa"/>
            <w:vAlign w:val="bottom"/>
          </w:tcPr>
          <w:p>
            <w:pPr>
              <w:spacing w:after="0"/>
              <w:rPr>
                <w:sz w:val="1"/>
                <w:szCs w:val="1"/>
                <w:color w:val="auto"/>
              </w:rPr>
            </w:pPr>
          </w:p>
        </w:tc>
      </w:tr>
      <w:tr>
        <w:trPr>
          <w:trHeight w:val="216"/>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Series B Preferred</w:t>
            </w:r>
          </w:p>
        </w:tc>
        <w:tc>
          <w:tcPr>
            <w:tcW w:w="980" w:type="dxa"/>
            <w:vAlign w:val="bottom"/>
          </w:tcPr>
          <w:p>
            <w:pPr>
              <w:jc w:val="right"/>
              <w:spacing w:after="0"/>
              <w:rPr>
                <w:sz w:val="20"/>
                <w:szCs w:val="20"/>
                <w:color w:val="auto"/>
              </w:rPr>
            </w:pPr>
            <w:r>
              <w:rPr>
                <w:rFonts w:ascii="Arial" w:cs="Arial" w:eastAsia="Arial" w:hAnsi="Arial"/>
                <w:sz w:val="18"/>
                <w:szCs w:val="18"/>
                <w:color w:val="auto"/>
                <w:w w:val="89"/>
              </w:rPr>
              <w:t>245,000,000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50,043,290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86,369</w:t>
            </w:r>
          </w:p>
        </w:tc>
        <w:tc>
          <w:tcPr>
            <w:tcW w:w="0" w:type="dxa"/>
            <w:vAlign w:val="bottom"/>
          </w:tcPr>
          <w:p>
            <w:pPr>
              <w:spacing w:after="0"/>
              <w:rPr>
                <w:sz w:val="1"/>
                <w:szCs w:val="1"/>
                <w:color w:val="auto"/>
              </w:rPr>
            </w:pPr>
          </w:p>
        </w:tc>
      </w:tr>
      <w:tr>
        <w:trPr>
          <w:trHeight w:val="209"/>
        </w:trPr>
        <w:tc>
          <w:tcPr>
            <w:tcW w:w="58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314,930,070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65,428,088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106,369</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80" w:hanging="630"/>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rFonts w:ascii="Arial" w:cs="Arial" w:eastAsia="Arial" w:hAnsi="Arial"/>
          <w:sz w:val="18"/>
          <w:szCs w:val="18"/>
          <w:b w:val="1"/>
          <w:bCs w:val="1"/>
          <w:color w:val="auto"/>
        </w:rPr>
      </w:pPr>
    </w:p>
    <w:p>
      <w:pPr>
        <w:ind w:left="700" w:right="7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stock-based compensation expense, which was included in the statements of operations as follows (in thousands):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w w:val="96"/>
              </w:rPr>
              <w:t>Three Months Ended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5"/>
          </w:tcPr>
          <w:p>
            <w:pPr>
              <w:jc w:val="right"/>
              <w:ind w:right="334"/>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r>
      <w:tr>
        <w:trPr>
          <w:trHeight w:val="142"/>
        </w:trPr>
        <w:tc>
          <w:tcPr>
            <w:tcW w:w="50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Selling and marketing</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r>
      <w:tr>
        <w:trPr>
          <w:trHeight w:val="210"/>
        </w:trPr>
        <w:tc>
          <w:tcPr>
            <w:tcW w:w="5040" w:type="dxa"/>
            <w:vAlign w:val="bottom"/>
          </w:tcPr>
          <w:p>
            <w:pPr>
              <w:ind w:left="100"/>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3,541</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w:t>
            </w: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780" w:hanging="730"/>
        <w:spacing w:after="0"/>
        <w:tabs>
          <w:tab w:leader="none" w:pos="7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700" w:right="59"/>
        <w:spacing w:after="0" w:line="293" w:lineRule="auto"/>
        <w:rPr>
          <w:sz w:val="20"/>
          <w:szCs w:val="20"/>
          <w:color w:val="auto"/>
        </w:rPr>
      </w:pPr>
      <w:r>
        <w:rPr>
          <w:rFonts w:ascii="Arial" w:cs="Arial" w:eastAsia="Arial" w:hAnsi="Arial"/>
          <w:sz w:val="16"/>
          <w:szCs w:val="16"/>
          <w:color w:val="auto"/>
        </w:rPr>
        <w:t>For the six months ended June 30, 2020 and 2019, the Company calculated its year-to-date provision for income taxes by applying the estimated annual effective tax rate to the year-to-date profit from operations before income taxes and adjusts the provision for income taxes for discrete tax items recorded in the period. The Company updates its estimate of its annual effective tax rate at the end of each quarterly period. The estimate takes into account annual forecasted income before income taxes and any significant permanent tax items. During the six months ended June 30, 2020 and 2019, the Company recorded a provision of $116,000 and $64,000, respectively.</w:t>
      </w:r>
    </w:p>
    <w:p>
      <w:pPr>
        <w:spacing w:after="0" w:line="376" w:lineRule="exact"/>
        <w:rPr>
          <w:sz w:val="20"/>
          <w:szCs w:val="20"/>
          <w:color w:val="auto"/>
        </w:rPr>
      </w:pPr>
    </w:p>
    <w:p>
      <w:pPr>
        <w:ind w:left="760" w:hanging="710"/>
        <w:spacing w:after="0"/>
        <w:tabs>
          <w:tab w:leader="none" w:pos="7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Net Earnings Per Share</w:t>
      </w:r>
    </w:p>
    <w:p>
      <w:pPr>
        <w:spacing w:after="0" w:line="229" w:lineRule="exact"/>
        <w:rPr>
          <w:sz w:val="20"/>
          <w:szCs w:val="20"/>
          <w:color w:val="auto"/>
        </w:rPr>
      </w:pPr>
    </w:p>
    <w:p>
      <w:pPr>
        <w:jc w:val="both"/>
        <w:ind w:left="700" w:right="59"/>
        <w:spacing w:after="0" w:line="279" w:lineRule="auto"/>
        <w:rPr>
          <w:sz w:val="20"/>
          <w:szCs w:val="20"/>
          <w:color w:val="auto"/>
        </w:rPr>
      </w:pPr>
      <w:r>
        <w:rPr>
          <w:rFonts w:ascii="Arial" w:cs="Arial" w:eastAsia="Arial" w:hAnsi="Arial"/>
          <w:sz w:val="17"/>
          <w:szCs w:val="17"/>
          <w:color w:val="auto"/>
        </w:rPr>
        <w:t>Basic net income per share attributable to common stockholders is calculated by dividing the net income attributable to common stockholders by the weighted-average number of shares of common stock outstanding for the period. The Company adjusts its net income attributable to common stockholders to reflect the impact of deemed dividends recorded for convertible preferred stock during the period.</w:t>
      </w:r>
    </w:p>
    <w:p>
      <w:pPr>
        <w:spacing w:after="0" w:line="171" w:lineRule="exact"/>
        <w:rPr>
          <w:sz w:val="20"/>
          <w:szCs w:val="20"/>
          <w:color w:val="auto"/>
        </w:rPr>
      </w:pPr>
    </w:p>
    <w:p>
      <w:pPr>
        <w:jc w:val="both"/>
        <w:ind w:left="700" w:right="59"/>
        <w:spacing w:after="0" w:line="301" w:lineRule="auto"/>
        <w:rPr>
          <w:sz w:val="20"/>
          <w:szCs w:val="20"/>
          <w:color w:val="auto"/>
        </w:rPr>
      </w:pPr>
      <w:r>
        <w:rPr>
          <w:rFonts w:ascii="Arial" w:cs="Arial" w:eastAsia="Arial" w:hAnsi="Arial"/>
          <w:sz w:val="16"/>
          <w:szCs w:val="16"/>
          <w:color w:val="auto"/>
        </w:rPr>
        <w:t>Holders of the Company’s convertible preferred stock were entitled to receive noncumulative dividends, prior and in preference to any declaration or payment of any dividend on common stock and thereafter participate pro rata on an as-converted basis with the common stockholders in any distributions to common stockholders and were therefore considered to be participating securities. As a result, the Company calculated the net income per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59"/>
        <w:spacing w:after="0" w:line="273" w:lineRule="auto"/>
        <w:rPr>
          <w:sz w:val="20"/>
          <w:szCs w:val="20"/>
          <w:color w:val="auto"/>
        </w:rPr>
      </w:pPr>
      <w:r>
        <w:rPr>
          <w:rFonts w:ascii="Arial" w:cs="Arial" w:eastAsia="Arial" w:hAnsi="Arial"/>
          <w:sz w:val="17"/>
          <w:szCs w:val="17"/>
          <w:color w:val="auto"/>
        </w:rPr>
        <w:t>share using the two-class method. Accordingly, the net income attributable to common stockholders is derived from the net income for the period and, in periods in which the Company has net income attributable to common stockholders, an adjustment is made for the allocations of undistributed earnings to participating securities based on their outstanding stockholder rights. Under the two-class method, net loss attributable to common stockholders is not allocated to the convertible preferred stock as the convertible preferred stockholders did not have a contractual obligation to share in the Company’s losses.</w:t>
      </w:r>
    </w:p>
    <w:p>
      <w:pPr>
        <w:spacing w:after="0" w:line="178" w:lineRule="exact"/>
        <w:rPr>
          <w:sz w:val="20"/>
          <w:szCs w:val="20"/>
          <w:color w:val="auto"/>
        </w:rPr>
      </w:pPr>
    </w:p>
    <w:p>
      <w:pPr>
        <w:jc w:val="both"/>
        <w:ind w:left="700" w:right="59"/>
        <w:spacing w:after="0" w:line="289" w:lineRule="auto"/>
        <w:rPr>
          <w:sz w:val="20"/>
          <w:szCs w:val="20"/>
          <w:color w:val="auto"/>
        </w:rPr>
      </w:pPr>
      <w:r>
        <w:rPr>
          <w:rFonts w:ascii="Arial" w:cs="Arial" w:eastAsia="Arial" w:hAnsi="Arial"/>
          <w:sz w:val="16"/>
          <w:szCs w:val="16"/>
          <w:color w:val="auto"/>
        </w:rPr>
        <w:t>Diluted net income attributable to common stockholders is computed by adjusting income attributable to common stockholders to allocate undistributed earnings based on the potential impact of dilutive securities, including outstanding stock options, convertible preferred stock, convertible preferred stock warrants, and common stock warrants. Diluted net income per share attributable to common stockholders is computed by dividing the diluted net income attributable to common stockholders by the weighted average number of common shares outstanding for the period, including common stock equivalents. In periods when the Company has incurred a net loss, convertible preferred stock, options to purchase common stock, convertible preferred stock warrants, and common stock warrants are considered common stock equivalents but have been excluded from the calculation of diluted net loss per share attributable to common stockholders as their effect is antidilutive.</w:t>
      </w:r>
    </w:p>
    <w:p>
      <w:pPr>
        <w:spacing w:after="0" w:line="166" w:lineRule="exact"/>
        <w:rPr>
          <w:sz w:val="20"/>
          <w:szCs w:val="20"/>
          <w:color w:val="auto"/>
        </w:rPr>
      </w:pPr>
    </w:p>
    <w:p>
      <w:pPr>
        <w:jc w:val="both"/>
        <w:ind w:left="700" w:right="59"/>
        <w:spacing w:after="0" w:line="308" w:lineRule="auto"/>
        <w:rPr>
          <w:sz w:val="20"/>
          <w:szCs w:val="20"/>
          <w:color w:val="auto"/>
        </w:rPr>
      </w:pPr>
      <w:r>
        <w:rPr>
          <w:rFonts w:ascii="Arial" w:cs="Arial" w:eastAsia="Arial" w:hAnsi="Arial"/>
          <w:sz w:val="17"/>
          <w:szCs w:val="17"/>
          <w:color w:val="auto"/>
        </w:rPr>
        <w:t>A reconciliation of net income available to common stockholders and the number of shares in the calculation of basic and diluted net loss per share follows (in thousands, except share and per share amounts):</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Borders>
              <w:bottom w:val="single" w:sz="8" w:color="auto"/>
            </w:tcBorders>
            <w:gridSpan w:val="5"/>
          </w:tcPr>
          <w:p>
            <w:pPr>
              <w:jc w:val="center"/>
              <w:ind w:left="621"/>
              <w:spacing w:after="0"/>
              <w:rPr>
                <w:sz w:val="20"/>
                <w:szCs w:val="20"/>
                <w:color w:val="auto"/>
              </w:rPr>
            </w:pPr>
            <w:r>
              <w:rPr>
                <w:rFonts w:ascii="Arial" w:cs="Arial" w:eastAsia="Arial" w:hAnsi="Arial"/>
                <w:sz w:val="14"/>
                <w:szCs w:val="14"/>
                <w:b w:val="1"/>
                <w:bCs w:val="1"/>
                <w:color w:val="auto"/>
                <w:w w:val="91"/>
              </w:rPr>
              <w:t>June 30</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Basic earnings per common share:</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4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bottom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6"/>
        </w:trPr>
        <w:tc>
          <w:tcPr>
            <w:tcW w:w="46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100"/>
              <w:spacing w:after="0"/>
              <w:rPr>
                <w:sz w:val="20"/>
                <w:szCs w:val="20"/>
                <w:color w:val="auto"/>
              </w:rPr>
            </w:pPr>
            <w:r>
              <w:rPr>
                <w:rFonts w:ascii="Arial" w:cs="Arial" w:eastAsia="Arial" w:hAnsi="Arial"/>
                <w:sz w:val="16"/>
                <w:szCs w:val="16"/>
                <w:color w:val="auto"/>
              </w:rPr>
              <w:t>Net income (loss)</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(1,812)</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1,520</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2,245</w:t>
            </w:r>
          </w:p>
        </w:tc>
        <w:tc>
          <w:tcPr>
            <w:tcW w:w="120" w:type="dxa"/>
            <w:vAlign w:val="bottom"/>
          </w:tcPr>
          <w:p>
            <w:pPr>
              <w:spacing w:after="0"/>
              <w:rPr>
                <w:sz w:val="17"/>
                <w:szCs w:val="17"/>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Less: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200"/>
              <w:spacing w:after="0"/>
              <w:rPr>
                <w:sz w:val="20"/>
                <w:szCs w:val="20"/>
                <w:color w:val="auto"/>
              </w:rPr>
            </w:pPr>
            <w:r>
              <w:rPr>
                <w:rFonts w:ascii="Arial" w:cs="Arial" w:eastAsia="Arial" w:hAnsi="Arial"/>
                <w:sz w:val="16"/>
                <w:szCs w:val="16"/>
                <w:color w:val="auto"/>
              </w:rPr>
              <w:t>Deemed dividends on convertible preferred stock</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(1,520)</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Undistributed earnings to participating securities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Net income (loss) attributable to common stockholders</w:t>
            </w:r>
          </w:p>
        </w:tc>
        <w:tc>
          <w:tcPr>
            <w:tcW w:w="1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(1,812)</w:t>
            </w:r>
          </w:p>
        </w:tc>
        <w:tc>
          <w:tcPr>
            <w:tcW w:w="14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2,245</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Denominator: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2"/>
              </w:rPr>
              <w:t>Weighted-average shares used in computing basic net income (loss)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per share attributable to common stockholders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85,281,151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5,172,209</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84,909,692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5,164,564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0" w:type="dxa"/>
            <w:vAlign w:val="bottom"/>
          </w:tcPr>
          <w:p>
            <w:pPr>
              <w:ind w:left="100"/>
              <w:spacing w:after="0" w:line="173" w:lineRule="exact"/>
              <w:rPr>
                <w:sz w:val="20"/>
                <w:szCs w:val="20"/>
                <w:color w:val="auto"/>
              </w:rPr>
            </w:pPr>
            <w:r>
              <w:rPr>
                <w:rFonts w:ascii="Arial" w:cs="Arial" w:eastAsia="Arial" w:hAnsi="Arial"/>
                <w:sz w:val="16"/>
                <w:szCs w:val="16"/>
                <w:color w:val="auto"/>
              </w:rPr>
              <w:t>Basic net income (loss) per share attributable to common</w:t>
            </w:r>
          </w:p>
        </w:tc>
        <w:tc>
          <w:tcPr>
            <w:tcW w:w="2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(0.02)</w:t>
            </w: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15"/>
                <w:szCs w:val="15"/>
                <w:color w:val="auto"/>
              </w:rPr>
            </w:pPr>
          </w:p>
        </w:tc>
        <w:tc>
          <w:tcPr>
            <w:tcW w:w="140" w:type="dxa"/>
            <w:vAlign w:val="bottom"/>
            <w:gridSpan w:val="2"/>
            <w:vMerge w:val="restart"/>
          </w:tcPr>
          <w:p>
            <w:pPr>
              <w:jc w:val="right"/>
              <w:ind w:right="9"/>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00" w:type="dxa"/>
            <w:vAlign w:val="bottom"/>
          </w:tcPr>
          <w:p>
            <w:pPr>
              <w:ind w:left="100"/>
              <w:spacing w:after="0"/>
              <w:rPr>
                <w:sz w:val="20"/>
                <w:szCs w:val="20"/>
                <w:color w:val="auto"/>
              </w:rPr>
            </w:pPr>
            <w:r>
              <w:rPr>
                <w:rFonts w:ascii="Arial" w:cs="Arial" w:eastAsia="Arial" w:hAnsi="Arial"/>
                <w:sz w:val="16"/>
                <w:szCs w:val="16"/>
                <w:color w:val="auto"/>
              </w:rPr>
              <w:t>stockholders</w:t>
            </w:r>
          </w:p>
        </w:tc>
        <w:tc>
          <w:tcPr>
            <w:tcW w:w="24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6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6"/>
                <w:szCs w:val="16"/>
                <w:b w:val="1"/>
                <w:bCs w:val="1"/>
                <w:color w:val="auto"/>
              </w:rPr>
              <w:t>Diluted earnings per common share: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200"/>
              <w:spacing w:after="0"/>
              <w:rPr>
                <w:sz w:val="20"/>
                <w:szCs w:val="20"/>
                <w:color w:val="auto"/>
              </w:rPr>
            </w:pPr>
            <w:r>
              <w:rPr>
                <w:rFonts w:ascii="Arial" w:cs="Arial" w:eastAsia="Arial" w:hAnsi="Arial"/>
                <w:sz w:val="16"/>
                <w:szCs w:val="16"/>
                <w:color w:val="auto"/>
              </w:rPr>
              <w:t>Net income (loss) attributable to common stockholders</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(1,812)</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2,245</w:t>
            </w:r>
          </w:p>
        </w:tc>
        <w:tc>
          <w:tcPr>
            <w:tcW w:w="120" w:type="dxa"/>
            <w:vAlign w:val="bottom"/>
          </w:tcPr>
          <w:p>
            <w:pPr>
              <w:spacing w:after="0"/>
              <w:rPr>
                <w:sz w:val="17"/>
                <w:szCs w:val="17"/>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7"/>
              </w:rPr>
              <w:t>Adjustments to undistributed earnings of participating securities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Diluted net income (loss) attributable to common stockholders</w:t>
            </w:r>
          </w:p>
        </w:tc>
        <w:tc>
          <w:tcPr>
            <w:tcW w:w="1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(1,812)</w:t>
            </w:r>
          </w:p>
        </w:tc>
        <w:tc>
          <w:tcPr>
            <w:tcW w:w="14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2,245</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Denominator: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9"/>
              </w:rPr>
              <w:t>Weighted-average shares used in computing diluted net income</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(loss) per share attributable to common stockholder</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85,281,151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5,172,209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84,909,692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5,164,564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Effect of dilutive securities</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13,977,498</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0" w:type="dxa"/>
            <w:vAlign w:val="bottom"/>
            <w:shd w:val="clear" w:color="auto" w:fill="CCEEFF"/>
          </w:tcPr>
          <w:p>
            <w:pPr>
              <w:ind w:left="100"/>
              <w:spacing w:after="0" w:line="173" w:lineRule="exact"/>
              <w:rPr>
                <w:sz w:val="20"/>
                <w:szCs w:val="20"/>
                <w:color w:val="auto"/>
              </w:rPr>
            </w:pPr>
            <w:r>
              <w:rPr>
                <w:rFonts w:ascii="Arial" w:cs="Arial" w:eastAsia="Arial" w:hAnsi="Arial"/>
                <w:sz w:val="16"/>
                <w:szCs w:val="16"/>
                <w:color w:val="auto"/>
                <w:w w:val="99"/>
              </w:rPr>
              <w:t>Weighted-average shares used in computing diluted net income</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(loss) per share attributable to common stockholders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85,281,151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5,172,209</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98,887,190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5,164,564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0" w:type="dxa"/>
            <w:vAlign w:val="bottom"/>
          </w:tcPr>
          <w:p>
            <w:pPr>
              <w:ind w:left="200"/>
              <w:spacing w:after="0" w:line="173" w:lineRule="exact"/>
              <w:rPr>
                <w:sz w:val="20"/>
                <w:szCs w:val="20"/>
                <w:color w:val="auto"/>
              </w:rPr>
            </w:pPr>
            <w:r>
              <w:rPr>
                <w:rFonts w:ascii="Arial" w:cs="Arial" w:eastAsia="Arial" w:hAnsi="Arial"/>
                <w:sz w:val="16"/>
                <w:szCs w:val="16"/>
                <w:color w:val="auto"/>
              </w:rPr>
              <w:t>Diluted net income (loss) per share attributable to common</w:t>
            </w:r>
          </w:p>
        </w:tc>
        <w:tc>
          <w:tcPr>
            <w:tcW w:w="2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(0.02)</w:t>
            </w: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5"/>
                <w:szCs w:val="15"/>
                <w:color w:val="auto"/>
              </w:rPr>
            </w:pPr>
          </w:p>
        </w:tc>
        <w:tc>
          <w:tcPr>
            <w:tcW w:w="140" w:type="dxa"/>
            <w:vAlign w:val="bottom"/>
            <w:gridSpan w:val="2"/>
            <w:vMerge w:val="restart"/>
          </w:tcPr>
          <w:p>
            <w:pPr>
              <w:jc w:val="right"/>
              <w:ind w:right="9"/>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00" w:type="dxa"/>
            <w:vAlign w:val="bottom"/>
          </w:tcPr>
          <w:p>
            <w:pPr>
              <w:ind w:left="200"/>
              <w:spacing w:after="0"/>
              <w:rPr>
                <w:sz w:val="20"/>
                <w:szCs w:val="20"/>
                <w:color w:val="auto"/>
              </w:rPr>
            </w:pPr>
            <w:r>
              <w:rPr>
                <w:rFonts w:ascii="Arial" w:cs="Arial" w:eastAsia="Arial" w:hAnsi="Arial"/>
                <w:sz w:val="16"/>
                <w:szCs w:val="16"/>
                <w:color w:val="auto"/>
              </w:rPr>
              <w:t>stockholders</w:t>
            </w:r>
          </w:p>
        </w:tc>
        <w:tc>
          <w:tcPr>
            <w:tcW w:w="2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59"/>
        <w:spacing w:after="0" w:line="263" w:lineRule="auto"/>
        <w:rPr>
          <w:sz w:val="20"/>
          <w:szCs w:val="20"/>
          <w:color w:val="auto"/>
        </w:rPr>
      </w:pPr>
      <w:r>
        <w:rPr>
          <w:rFonts w:ascii="Arial" w:cs="Arial" w:eastAsia="Arial" w:hAnsi="Arial"/>
          <w:sz w:val="18"/>
          <w:szCs w:val="18"/>
          <w:color w:val="auto"/>
        </w:rPr>
        <w:t>The following weighted-average outstanding shares of potentially dilutive securities were excluded from the computation of diluted loss per share attributable to common stockholders for the period presented because including them would have been antidilutive:</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00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Three Months Ended</w:t>
            </w:r>
          </w:p>
        </w:tc>
        <w:tc>
          <w:tcPr>
            <w:tcW w:w="180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120" w:type="dxa"/>
            <w:vAlign w:val="bottom"/>
          </w:tcPr>
          <w:p>
            <w:pPr>
              <w:spacing w:after="0"/>
              <w:rPr>
                <w:sz w:val="14"/>
                <w:szCs w:val="14"/>
                <w:color w:val="auto"/>
              </w:rPr>
            </w:pPr>
          </w:p>
        </w:tc>
        <w:tc>
          <w:tcPr>
            <w:tcW w:w="2000" w:type="dxa"/>
            <w:vAlign w:val="bottom"/>
            <w:tcBorders>
              <w:bottom w:val="single" w:sz="8" w:color="auto"/>
            </w:tcBorders>
            <w:gridSpan w:val="3"/>
          </w:tcPr>
          <w:p>
            <w:pPr>
              <w:jc w:val="right"/>
              <w:ind w:right="672"/>
              <w:spacing w:after="0"/>
              <w:rPr>
                <w:sz w:val="20"/>
                <w:szCs w:val="20"/>
                <w:color w:val="auto"/>
              </w:rPr>
            </w:pPr>
            <w:r>
              <w:rPr>
                <w:rFonts w:ascii="Arial" w:cs="Arial" w:eastAsia="Arial" w:hAnsi="Arial"/>
                <w:sz w:val="14"/>
                <w:szCs w:val="14"/>
                <w:b w:val="1"/>
                <w:bCs w:val="1"/>
                <w:color w:val="auto"/>
              </w:rPr>
              <w:t>June 30,</w:t>
            </w:r>
          </w:p>
        </w:tc>
        <w:tc>
          <w:tcPr>
            <w:tcW w:w="180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4"/>
                <w:szCs w:val="14"/>
                <w:b w:val="1"/>
                <w:bCs w:val="1"/>
                <w:color w:val="auto"/>
              </w:rPr>
              <w:t>June 30,</w:t>
            </w:r>
          </w:p>
        </w:tc>
      </w:tr>
      <w:tr>
        <w:trPr>
          <w:trHeight w:val="142"/>
        </w:trPr>
        <w:tc>
          <w:tcPr>
            <w:tcW w:w="51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65,428,088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65,428,088</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12,287,845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11,486,484</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411,299</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10,969,062</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under ESPP</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133,381</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85,269</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103,652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100,268</w:t>
            </w:r>
          </w:p>
        </w:tc>
      </w:tr>
      <w:tr>
        <w:trPr>
          <w:trHeight w:val="216"/>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Warrants to purchase convertible preferred stock</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1,213,659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1,139,465</w:t>
            </w:r>
          </w:p>
        </w:tc>
      </w:tr>
      <w:tr>
        <w:trPr>
          <w:trHeight w:val="210"/>
        </w:trPr>
        <w:tc>
          <w:tcPr>
            <w:tcW w:w="5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12,467,397</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78,231,883</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496,568</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77,636,883</w:t>
            </w:r>
          </w:p>
        </w:tc>
      </w:tr>
      <w:tr>
        <w:trPr>
          <w:trHeight w:val="20"/>
        </w:trPr>
        <w:tc>
          <w:tcPr>
            <w:tcW w:w="5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right="21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financial statements and the related notes and other financial information included elsewhere in this Quarterly Report on Form 10-Q and our Annual Report on Form 10-K, filed with the Securities and Exchange Commission, or the SEC, on March 10, 2020. In addition to historical financial information, the following discussion contains forward-looking statements that reflect our plans, estimates, and beliefs. Our actual results could differ materially from those expressed or implied by such forward-looking statements. Important factors that could cause or contribute to these differences include, but are not limited to, those identified below and those discussed in the section titled “Risk Factors” under Part II, Item 1A in this Quarterly Report on Form 10-Q.</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envision a world where anyone who wants to have a child can do so. Our mission is to make dreams of parenthood come true through healthy, timely and supported fertility journeys. Through our differentiated approach to benefits plan design, patient education and support and active network management, our clients’ employees are able to pursue the most effective treatment from the best physicians and achieve optimal outcomes.</w:t>
      </w:r>
    </w:p>
    <w:p>
      <w:pPr>
        <w:spacing w:after="0" w:line="17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Progyny is a leading benefits management company specializing in fertility and family building benefits solutions in the United States. Our clients include many of the nation’s most prominent employers across a broad array of industries. We launched our fertility benefits solution in 2016 with our first five employer clients, and we have grown our base of clients to over 130. We have retained substantially all of our clients since inception, and our member satisfaction over that same time period is evidenced by our most recent industry-leading Net Promoter Score, or NPS, of +72 for our fertility benefits solution and +80 for our integrated pharmacy benefits solution, Progyny Rx. We currently provide coverage to approximately 2.2 million employees and their partners (known in our industry as covered lives), who we refer to as our members. We have achieved this growth by demonstrating that our purpose-built, data-driven and disruptive platform consistently delivers superior clinical outcomes in a cost-efficient manner while driving exceptional client and member satisfaction. Our members experience healthier pregnancies and superior rates of pregnancy and live births, as well as reduced rates of miscarriages and multiple births, saving valuable time and money and limiting personal and professional disruption.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vMerge w:val="restart"/>
          </w:tcPr>
          <w:p>
            <w:pPr>
              <w:jc w:val="center"/>
              <w:ind w:right="170"/>
              <w:spacing w:after="0"/>
              <w:rPr>
                <w:sz w:val="20"/>
                <w:szCs w:val="20"/>
                <w:color w:val="auto"/>
              </w:rPr>
            </w:pPr>
            <w:r>
              <w:rPr>
                <w:rFonts w:ascii="Arial" w:cs="Arial" w:eastAsia="Arial" w:hAnsi="Arial"/>
                <w:sz w:val="14"/>
                <w:szCs w:val="14"/>
                <w:b w:val="1"/>
                <w:bCs w:val="1"/>
                <w:color w:val="auto"/>
                <w:w w:val="96"/>
              </w:rPr>
              <w:t>Progyny In-Network</w:t>
            </w:r>
          </w:p>
        </w:tc>
        <w:tc>
          <w:tcPr>
            <w:tcW w:w="150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6"/>
              </w:rPr>
              <w:t>Progyny In-Network</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jc w:val="center"/>
              <w:ind w:right="210"/>
              <w:spacing w:after="0"/>
              <w:rPr>
                <w:sz w:val="20"/>
                <w:szCs w:val="20"/>
                <w:color w:val="auto"/>
              </w:rPr>
            </w:pPr>
            <w:r>
              <w:rPr>
                <w:rFonts w:ascii="Arial" w:cs="Arial" w:eastAsia="Arial" w:hAnsi="Arial"/>
                <w:sz w:val="14"/>
                <w:szCs w:val="14"/>
                <w:b w:val="1"/>
                <w:bCs w:val="1"/>
                <w:color w:val="auto"/>
                <w:w w:val="90"/>
              </w:rPr>
              <w:t>National Averages</w:t>
            </w:r>
          </w:p>
        </w:tc>
        <w:tc>
          <w:tcPr>
            <w:tcW w:w="1580" w:type="dxa"/>
            <w:vAlign w:val="bottom"/>
            <w:gridSpan w:val="2"/>
            <w:vMerge w:val="continue"/>
          </w:tcPr>
          <w:p>
            <w:pPr>
              <w:spacing w:after="0"/>
              <w:rPr>
                <w:sz w:val="12"/>
                <w:szCs w:val="12"/>
                <w:color w:val="auto"/>
              </w:rPr>
            </w:pPr>
          </w:p>
        </w:tc>
        <w:tc>
          <w:tcPr>
            <w:tcW w:w="150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5"/>
              </w:rPr>
              <w:t>Provider Clinic</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7"/>
              </w:rPr>
              <w:t>Provider Clinic</w:t>
            </w:r>
          </w:p>
        </w:tc>
        <w:tc>
          <w:tcPr>
            <w:tcW w:w="150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88"/>
              </w:rPr>
              <w:t>Averages</w:t>
            </w:r>
          </w:p>
        </w:tc>
        <w:tc>
          <w:tcPr>
            <w:tcW w:w="0" w:type="dxa"/>
            <w:vAlign w:val="bottom"/>
          </w:tcPr>
          <w:p>
            <w:pPr>
              <w:spacing w:after="0"/>
              <w:rPr>
                <w:sz w:val="1"/>
                <w:szCs w:val="1"/>
                <w:color w:val="auto"/>
              </w:rPr>
            </w:pPr>
          </w:p>
        </w:tc>
      </w:tr>
      <w:tr>
        <w:trPr>
          <w:trHeight w:val="148"/>
        </w:trPr>
        <w:tc>
          <w:tcPr>
            <w:tcW w:w="3520" w:type="dxa"/>
            <w:vAlign w:val="bottom"/>
            <w:gridSpan w:val="4"/>
            <w:vMerge w:val="restart"/>
          </w:tcPr>
          <w:p>
            <w:pPr>
              <w:ind w:left="900"/>
              <w:spacing w:after="0"/>
              <w:rPr>
                <w:sz w:val="20"/>
                <w:szCs w:val="20"/>
                <w:color w:val="auto"/>
              </w:rPr>
            </w:pPr>
            <w:r>
              <w:rPr>
                <w:rFonts w:ascii="Arial" w:cs="Arial" w:eastAsia="Arial" w:hAnsi="Arial"/>
                <w:sz w:val="14"/>
                <w:szCs w:val="14"/>
                <w:b w:val="1"/>
                <w:bCs w:val="1"/>
                <w:color w:val="auto"/>
              </w:rPr>
              <w:t>Outcome</w:t>
            </w:r>
          </w:p>
        </w:tc>
        <w:tc>
          <w:tcPr>
            <w:tcW w:w="144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6"/>
              </w:rPr>
              <w:t>for All Provider</w:t>
            </w:r>
          </w:p>
        </w:tc>
        <w:tc>
          <w:tcPr>
            <w:tcW w:w="158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88"/>
              </w:rPr>
              <w:t>Averages</w:t>
            </w:r>
          </w:p>
        </w:tc>
        <w:tc>
          <w:tcPr>
            <w:tcW w:w="150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4"/>
              </w:rPr>
              <w:t>for Progyny</w:t>
            </w:r>
          </w:p>
        </w:tc>
        <w:tc>
          <w:tcPr>
            <w:tcW w:w="0" w:type="dxa"/>
            <w:vAlign w:val="bottom"/>
          </w:tcPr>
          <w:p>
            <w:pPr>
              <w:spacing w:after="0"/>
              <w:rPr>
                <w:sz w:val="1"/>
                <w:szCs w:val="1"/>
                <w:color w:val="auto"/>
              </w:rPr>
            </w:pPr>
          </w:p>
        </w:tc>
      </w:tr>
      <w:tr>
        <w:trPr>
          <w:trHeight w:val="171"/>
        </w:trPr>
        <w:tc>
          <w:tcPr>
            <w:tcW w:w="3520" w:type="dxa"/>
            <w:vAlign w:val="bottom"/>
            <w:gridSpan w:val="4"/>
            <w:vMerge w:val="continue"/>
          </w:tcPr>
          <w:p>
            <w:pPr>
              <w:spacing w:after="0"/>
              <w:rPr>
                <w:sz w:val="14"/>
                <w:szCs w:val="14"/>
                <w:color w:val="auto"/>
              </w:rPr>
            </w:pPr>
          </w:p>
        </w:tc>
        <w:tc>
          <w:tcPr>
            <w:tcW w:w="144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1"/>
              </w:rPr>
              <w:t>Clinics</w:t>
            </w:r>
          </w:p>
        </w:tc>
        <w:tc>
          <w:tcPr>
            <w:tcW w:w="15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3"/>
              </w:rPr>
              <w:t>for All Patients</w:t>
            </w:r>
          </w:p>
        </w:tc>
        <w:tc>
          <w:tcPr>
            <w:tcW w:w="150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5"/>
              </w:rPr>
              <w:t>Members Only</w:t>
            </w:r>
            <w:r>
              <w:rPr>
                <w:rFonts w:ascii="Arial" w:cs="Arial" w:eastAsia="Arial" w:hAnsi="Arial"/>
                <w:sz w:val="10"/>
                <w:szCs w:val="10"/>
                <w:b w:val="1"/>
                <w:bCs w:val="1"/>
                <w:color w:val="auto"/>
                <w:w w:val="95"/>
              </w:rPr>
              <w:t>(3)</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248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Single embryo transfer rate</w:t>
            </w:r>
            <w:r>
              <w:rPr>
                <w:rFonts w:ascii="Arial" w:cs="Arial" w:eastAsia="Arial" w:hAnsi="Arial"/>
                <w:sz w:val="24"/>
                <w:szCs w:val="24"/>
                <w:color w:val="auto"/>
                <w:vertAlign w:val="superscript"/>
              </w:rPr>
              <w:t>(1)</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20" w:type="dxa"/>
            <w:vAlign w:val="bottom"/>
            <w:gridSpan w:val="3"/>
          </w:tcPr>
          <w:p>
            <w:pPr>
              <w:spacing w:after="0" w:line="216" w:lineRule="exact"/>
              <w:rPr>
                <w:sz w:val="20"/>
                <w:szCs w:val="20"/>
                <w:color w:val="auto"/>
              </w:rPr>
            </w:pPr>
            <w:r>
              <w:rPr>
                <w:rFonts w:ascii="Arial" w:cs="Arial" w:eastAsia="Arial" w:hAnsi="Arial"/>
                <w:sz w:val="17"/>
                <w:szCs w:val="17"/>
                <w:color w:val="auto"/>
              </w:rPr>
              <w:t>Pregnancy rate per IVF transfer</w:t>
            </w:r>
            <w:r>
              <w:rPr>
                <w:rFonts w:ascii="Arial" w:cs="Arial" w:eastAsia="Arial" w:hAnsi="Arial"/>
                <w:sz w:val="25"/>
                <w:szCs w:val="25"/>
                <w:color w:val="auto"/>
                <w:vertAlign w:val="superscript"/>
              </w:rPr>
              <w:t>(1)</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52.4 %</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color w:val="auto"/>
              </w:rPr>
              <w:t>54.0 %</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59.9 %</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Miscarriage rate</w:t>
            </w:r>
            <w:r>
              <w:rPr>
                <w:rFonts w:ascii="Arial" w:cs="Arial" w:eastAsia="Arial" w:hAnsi="Arial"/>
                <w:sz w:val="25"/>
                <w:szCs w:val="25"/>
                <w:color w:val="auto"/>
                <w:vertAlign w:val="superscript"/>
              </w:rPr>
              <w:t>(1)</w:t>
            </w:r>
          </w:p>
        </w:tc>
        <w:tc>
          <w:tcPr>
            <w:tcW w:w="1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19.0 %</w:t>
            </w:r>
          </w:p>
        </w:tc>
        <w:tc>
          <w:tcPr>
            <w:tcW w:w="1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18.7 %</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20" w:type="dxa"/>
            <w:vAlign w:val="bottom"/>
            <w:gridSpan w:val="3"/>
          </w:tcPr>
          <w:p>
            <w:pPr>
              <w:spacing w:after="0" w:line="216" w:lineRule="exact"/>
              <w:rPr>
                <w:sz w:val="20"/>
                <w:szCs w:val="20"/>
                <w:color w:val="auto"/>
              </w:rPr>
            </w:pPr>
            <w:r>
              <w:rPr>
                <w:rFonts w:ascii="Arial" w:cs="Arial" w:eastAsia="Arial" w:hAnsi="Arial"/>
                <w:sz w:val="17"/>
                <w:szCs w:val="17"/>
                <w:color w:val="auto"/>
              </w:rPr>
              <w:t>Live birth rate</w:t>
            </w:r>
            <w:r>
              <w:rPr>
                <w:rFonts w:ascii="Arial" w:cs="Arial" w:eastAsia="Arial" w:hAnsi="Arial"/>
                <w:sz w:val="25"/>
                <w:szCs w:val="25"/>
                <w:color w:val="auto"/>
                <w:vertAlign w:val="superscript"/>
              </w:rPr>
              <w:t>(2)</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42.1 %</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color w:val="auto"/>
              </w:rPr>
              <w:t>43.7 %</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51.9 %</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IVF multiples rate</w:t>
            </w:r>
            <w:r>
              <w:rPr>
                <w:rFonts w:ascii="Arial" w:cs="Arial" w:eastAsia="Arial" w:hAnsi="Arial"/>
                <w:sz w:val="25"/>
                <w:szCs w:val="25"/>
                <w:color w:val="auto"/>
                <w:vertAlign w:val="superscript"/>
              </w:rPr>
              <w:t>(2)</w:t>
            </w:r>
          </w:p>
        </w:tc>
        <w:tc>
          <w:tcPr>
            <w:tcW w:w="1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12.2 %</w:t>
            </w:r>
          </w:p>
        </w:tc>
        <w:tc>
          <w:tcPr>
            <w:tcW w:w="1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11.2 %</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108"/>
        </w:trPr>
        <w:tc>
          <w:tcPr>
            <w:tcW w:w="9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20" w:right="319" w:hanging="322"/>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Calculated based on the Society for Assisted Reproductive Technology, or SART, 2017 National Summary Report, finalized in 2020.</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Calculated based on CDC, 2018 National Summary and Clinic Data Sets, published in 2020.</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Calculated based on the 12-month period ended December 31, 2019.</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b w:val="1"/>
          <w:bCs w:val="1"/>
          <w:i w:val="1"/>
          <w:iCs w:val="1"/>
          <w:color w:val="auto"/>
        </w:rPr>
        <w:t>Fertility Benefits Solution</w:t>
      </w:r>
      <w:r>
        <w:rPr>
          <w:rFonts w:ascii="Arial" w:cs="Arial" w:eastAsia="Arial" w:hAnsi="Arial"/>
          <w:sz w:val="17"/>
          <w:szCs w:val="17"/>
          <w:color w:val="auto"/>
        </w:rPr>
        <w:t>. Our fertility benefits solution includes providing members with access to effective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cost-efficient fertility treatments through our Smart Cycle plan design. Smart Cycles are proprietary treatment bundles designed by us to include those medical services available to our members through our selective network of high-quality fertility specialists. Medical services under our Smart Cycles include everything needed for a comprehensive fertility treatment cycle, including all necessary diagnostic testing and access to the latest technology (e.g., in the case of in vitro fertilization, or IVF, preimplantation genetic testing). We currently offer 17 different Smart Cycle treatment bundles, which may be used in various combinations depending on the member’s need. Each Smart Cycle treatment bundle has a separate unit value (i.e., some have fractional values and some have whole values). Our clients contract to purchase a cumulative Smart Cycle unit value per eligible member. These can range from one to an unlimited unit value. Members, in consultation with their Patient Care Advocates, or PCAs, can choose their preferred provider clinics within our network and utilize the specific Smart Cycle treatment bundles necessary for the treatment pathway they determine throughout their fertility journey.</w:t>
      </w:r>
    </w:p>
    <w:p>
      <w:pPr>
        <w:spacing w:after="0" w:line="179"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addition, we provide care management services as part of our fertility benefits solution, which include active management of our selective network of high-quality fertility specialists, real-time member eligibility and treatment authorization, member-facing digital solutions, detailed quarterly reporting for our clients supported by our dedicated account management teams and end-to-end comprehensive concierge member support provided by our in-house staff of PCAs. Clients can also add adoption and surrogacy reimbursement programs as part of this solution.</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b w:val="1"/>
          <w:bCs w:val="1"/>
          <w:i w:val="1"/>
          <w:iCs w:val="1"/>
          <w:color w:val="auto"/>
        </w:rPr>
        <w:t xml:space="preserve">Progyny Rx. </w:t>
      </w:r>
      <w:r>
        <w:rPr>
          <w:rFonts w:ascii="Arial" w:cs="Arial" w:eastAsia="Arial" w:hAnsi="Arial"/>
          <w:sz w:val="18"/>
          <w:szCs w:val="18"/>
          <w:color w:val="auto"/>
        </w:rPr>
        <w:t>We went live with our integrated pharmacy benefits solution in 2018. Progyny Rx can only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purchased by clients that purchase our fertility benefits solution. Progyny Rx provides our members with 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spacing w:after="0" w:line="19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b w:val="1"/>
          <w:bCs w:val="1"/>
          <w:i w:val="1"/>
          <w:iCs w:val="1"/>
          <w:color w:val="auto"/>
        </w:rPr>
        <w:t xml:space="preserve">Our Clients. </w:t>
      </w:r>
      <w:r>
        <w:rPr>
          <w:rFonts w:ascii="Arial" w:cs="Arial" w:eastAsia="Arial" w:hAnsi="Arial"/>
          <w:sz w:val="18"/>
          <w:szCs w:val="18"/>
          <w:color w:val="auto"/>
        </w:rPr>
        <w:t>We currently serve over 130 employers in the United States across more than 25 industries.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 clients, who are industry leaders across both high-growth and mature industries and who range in size from 1,000 to 250,000 employees, represent 2.2 million covered lives.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Model</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clients primarily contract with us to provide our fertility benefits solution and, where added on by our clients, our Progyny Rx solution. Our revenue has both a utilization-based component and a population-based component, as follows:</w:t>
      </w:r>
    </w:p>
    <w:p>
      <w:pPr>
        <w:spacing w:after="0" w:line="184" w:lineRule="exact"/>
        <w:rPr>
          <w:sz w:val="20"/>
          <w:szCs w:val="20"/>
          <w:color w:val="auto"/>
        </w:rPr>
      </w:pPr>
    </w:p>
    <w:p>
      <w:pPr>
        <w:jc w:val="both"/>
        <w:ind w:left="1020" w:right="79" w:hanging="322"/>
        <w:spacing w:after="0" w:line="254"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Utilization Component. </w:t>
      </w:r>
      <w:r>
        <w:rPr>
          <w:rFonts w:ascii="Arial" w:cs="Arial" w:eastAsia="Arial" w:hAnsi="Arial"/>
          <w:sz w:val="18"/>
          <w:szCs w:val="18"/>
          <w:color w:val="auto"/>
        </w:rPr>
        <w:t>Clients pay us for the fertility benefits and Progyny Rx solutions utilized by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With respect to the fertility benefits solution, we bill clients for Smart Cycles in accordance with our bundled case rates, which vary by the type of fertility service rendered and clinic location. Case rates include all third-party fertility specialists, anesthesiology and laboratory services, as well as all of our care management services. With respect to Progyny Rx, we bill the client for the fertility medication dispensed to their employees in connection with the authorized fertility treatments. Medication fees also include our formulary management, drug utilization review and cost containment services and other care management services.</w:t>
      </w:r>
    </w:p>
    <w:p>
      <w:pPr>
        <w:spacing w:after="0" w:line="191" w:lineRule="exact"/>
        <w:rPr>
          <w:rFonts w:ascii="Arial" w:cs="Arial" w:eastAsia="Arial" w:hAnsi="Arial"/>
          <w:sz w:val="18"/>
          <w:szCs w:val="18"/>
          <w:color w:val="auto"/>
        </w:rPr>
      </w:pPr>
    </w:p>
    <w:p>
      <w:pPr>
        <w:jc w:val="both"/>
        <w:ind w:left="1020" w:right="79" w:hanging="322"/>
        <w:spacing w:after="0" w:line="275"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Population-Based Component. </w:t>
      </w:r>
      <w:r>
        <w:rPr>
          <w:rFonts w:ascii="Arial" w:cs="Arial" w:eastAsia="Arial" w:hAnsi="Arial"/>
          <w:sz w:val="17"/>
          <w:szCs w:val="17"/>
          <w:color w:val="auto"/>
        </w:rPr>
        <w:t>Clients who purchase our fertility benefits solution also typically pay us a 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 per month fee, or PEPM fee, which is population-based. This allows us to provide access to our PCAs for fertility and family building education and guidance and other digital tools to all of our members, regardless of whether they ultimately pursue fertility treatment. PEPM fees represented 2% and 1% of our total revenue for the six months ended June 30, 2020 and 2019, respectively.</w:t>
      </w:r>
    </w:p>
    <w:p>
      <w:pPr>
        <w:spacing w:after="0" w:line="176"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Our revenue in a given year is determined by both the utilization of our fertility benefits and Progyny Rx solutions by our members and the number of members enrolled in our clients’ benefits plans. Each year, we contract directly with new clients for our fertility benefits solution and, where added by the client, our Progyny Rx solution. Given that the majority of our clients contract with us for a January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benefits plan start date, our sales cycle follows the conventional healthcare benefits cycle, which largely concludes by the end of October of the prior year to allow for benefits education and annual open enrollment to occur in November. For some clients that are considering a start date later in the year, the sales cycle can extend through the next year.</w:t>
      </w:r>
    </w:p>
    <w:p>
      <w:pPr>
        <w:spacing w:after="0" w:line="206" w:lineRule="exact"/>
        <w:rPr>
          <w:sz w:val="20"/>
          <w:szCs w:val="20"/>
          <w:color w:val="auto"/>
        </w:rPr>
      </w:pPr>
    </w:p>
    <w:p>
      <w:pPr>
        <w:jc w:val="both"/>
        <w:ind w:left="60" w:right="59" w:firstLine="648"/>
        <w:spacing w:after="0" w:line="344" w:lineRule="auto"/>
        <w:rPr>
          <w:sz w:val="20"/>
          <w:szCs w:val="20"/>
          <w:color w:val="auto"/>
        </w:rPr>
      </w:pPr>
      <w:r>
        <w:rPr>
          <w:rFonts w:ascii="Arial" w:cs="Arial" w:eastAsia="Arial" w:hAnsi="Arial"/>
          <w:sz w:val="16"/>
          <w:szCs w:val="16"/>
          <w:color w:val="auto"/>
        </w:rPr>
        <w:t>Similarly, for existing clients, any changes in plan designs are typically elected by the end of October so that clients can inform their employees of the benefits during the open enrollment period ahead of a January 1</w:t>
      </w:r>
      <w:r>
        <w:rPr>
          <w:rFonts w:ascii="Arial" w:cs="Arial" w:eastAsia="Arial" w:hAnsi="Arial"/>
          <w:sz w:val="23"/>
          <w:szCs w:val="23"/>
          <w:color w:val="auto"/>
          <w:vertAlign w:val="superscript"/>
        </w:rPr>
        <w:t>st</w:t>
      </w:r>
      <w:r>
        <w:rPr>
          <w:rFonts w:ascii="Arial" w:cs="Arial" w:eastAsia="Arial" w:hAnsi="Arial"/>
          <w:sz w:val="16"/>
          <w:szCs w:val="16"/>
          <w:color w:val="auto"/>
        </w:rPr>
        <w:t xml:space="preserve"> plan year start.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Operational and Business Metrics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addition to the measures presented in our financial statements, we use the following key operational and business metrics to evaluate our business, measure our performance, develop financial forecasts, and make strategic decisions.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Member and Client Base</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Our addressable market is primarily large self-insured employers. There are approximately 8,000 self-insured employers in the United States (excluding quasi-governmental entities, such as universities and school systems, and labor unions) who have a minimum of 1,000 employees, representing approximately 69 million potential covered lives in total. Our current member base of 2.2 million represents only 3% of our total market opportunity. We intend to continue to drive new client acquisition by investing significantly in sales and marketing to engage, educate and drive awareness of the unmet need around fertility solutions among benefits executives. We also increase brand awareness and adoption with employers by leveraging our strong relationships with benefits consultants. In particular, we are focused on expanding the number of clients with more than 2,500 covered lives. As of June 30, 2020 and 2019, we served 134 and 80 clients, respectively, representing approximately 2,157,000 and 1,321,600 members, respectively.</w:t>
      </w:r>
    </w:p>
    <w:p>
      <w:pPr>
        <w:spacing w:after="0" w:line="181"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Importantly, as we have continued to grow, we have meaningfully diversified our client base across more than 25 different industries currently from just two industries when we launched our fertility benefits solution in 2016. We are expanding our client base within each industry and have an industry-specific strategy that enables us to most effectively target our addressable market. Because our clients within an industry compete with each other for employees, we believe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our solutions are increasingly viewed as an important way for them to differentiate from, or remain competitive with, one another. Additionally, we believe that our expanding presence has resulted in a heightened awareness of the need to offer fertility benefits and has informed the market of the value we provide to our clients and our members, which we believe also helps facilitate growth. In addition, we are continuously utilizing our established client relationships to evaluate other potential fertility solutions that could benefit our members and simultaneously drive growth. Our ability to attract new clients will depend on a number of factors, including the effectiveness and pricing of our solutions, offerings of our competitors, the effectiveness of our marketing efforts to drive awareness and the demand for fertility benefits solutions overall. We define a client as an organization for which we have an active contract in the period indicated. We count each organization we contract with as a single client including divisions, segments or subsidiaries of larger organizations to the extent we contract separately with them.</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Benefits Utilization</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 key driver of our revenue is the number of members we serve and the rate at which they utilize their fertility benefits. As our client base has grown, our membership has grown from approximately 110,000 members in 2016 when we launched our fertility benefits solution to 2.2 million members at June 30, 2020.</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highlights the number of assisted reproductive treatment, or ART, cycles performed for</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Progyny members and the member utilization rates for each of the periods presented:</w:t>
      </w:r>
    </w:p>
    <w:p>
      <w:pPr>
        <w:spacing w:after="0" w:line="216" w:lineRule="exact"/>
        <w:rPr>
          <w:sz w:val="20"/>
          <w:szCs w:val="20"/>
          <w:color w:val="auto"/>
        </w:rPr>
      </w:pPr>
    </w:p>
    <w:p>
      <w:pPr>
        <w:jc w:val="center"/>
        <w:ind w:left="4920"/>
        <w:spacing w:after="0"/>
        <w:rPr>
          <w:sz w:val="20"/>
          <w:szCs w:val="20"/>
          <w:color w:val="auto"/>
        </w:rPr>
      </w:pPr>
      <w:r>
        <w:rPr>
          <w:rFonts w:ascii="Arial" w:cs="Arial" w:eastAsia="Arial" w:hAnsi="Arial"/>
          <w:sz w:val="14"/>
          <w:szCs w:val="14"/>
          <w:b w:val="1"/>
          <w:bCs w:val="1"/>
          <w:color w:val="auto"/>
        </w:rPr>
        <w:t>Six Months Ended</w:t>
      </w:r>
    </w:p>
    <w:p>
      <w:pPr>
        <w:jc w:val="center"/>
        <w:ind w:left="492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2240" w:type="dxa"/>
            <w:vAlign w:val="bottom"/>
            <w:tcBorders>
              <w:bottom w:val="single" w:sz="8" w:color="CCEEFF"/>
            </w:tcBorders>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CCEEFF"/>
            </w:tcBorders>
          </w:tcPr>
          <w:p>
            <w:pPr>
              <w:spacing w:after="0"/>
              <w:rPr>
                <w:sz w:val="12"/>
                <w:szCs w:val="12"/>
                <w:color w:val="auto"/>
              </w:rPr>
            </w:pPr>
          </w:p>
        </w:tc>
      </w:tr>
      <w:tr>
        <w:trPr>
          <w:trHeight w:val="210"/>
        </w:trPr>
        <w:tc>
          <w:tcPr>
            <w:tcW w:w="562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Assisted Reproductive Treatment (ART) Cycles</w:t>
            </w:r>
            <w:r>
              <w:rPr>
                <w:rFonts w:ascii="Arial" w:cs="Arial" w:eastAsia="Arial" w:hAnsi="Arial"/>
                <w:sz w:val="24"/>
                <w:szCs w:val="24"/>
                <w:color w:val="auto"/>
                <w:vertAlign w:val="superscript"/>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7,877</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660" w:type="dxa"/>
            <w:vAlign w:val="bottom"/>
            <w:shd w:val="clear" w:color="auto" w:fill="CCEEFF"/>
          </w:tcPr>
          <w:p>
            <w:pPr>
              <w:spacing w:after="0"/>
              <w:rPr>
                <w:sz w:val="18"/>
                <w:szCs w:val="18"/>
                <w:color w:val="auto"/>
              </w:rPr>
            </w:pPr>
          </w:p>
        </w:tc>
      </w:tr>
      <w:tr>
        <w:trPr>
          <w:trHeight w:val="216"/>
        </w:trPr>
        <w:tc>
          <w:tcPr>
            <w:tcW w:w="562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Utilization - All Members</w:t>
            </w:r>
            <w:r>
              <w:rPr>
                <w:rFonts w:ascii="Arial" w:cs="Arial" w:eastAsia="Arial" w:hAnsi="Arial"/>
                <w:sz w:val="25"/>
                <w:szCs w:val="25"/>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0.66%</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0.86%</w:t>
            </w:r>
          </w:p>
        </w:tc>
        <w:tc>
          <w:tcPr>
            <w:tcW w:w="660" w:type="dxa"/>
            <w:vAlign w:val="bottom"/>
          </w:tcPr>
          <w:p>
            <w:pPr>
              <w:spacing w:after="0"/>
              <w:rPr>
                <w:sz w:val="18"/>
                <w:szCs w:val="18"/>
                <w:color w:val="auto"/>
              </w:rPr>
            </w:pPr>
          </w:p>
        </w:tc>
      </w:tr>
      <w:tr>
        <w:trPr>
          <w:trHeight w:val="216"/>
        </w:trPr>
        <w:tc>
          <w:tcPr>
            <w:tcW w:w="56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Utilization - Female Only</w:t>
            </w:r>
            <w:r>
              <w:rPr>
                <w:rFonts w:ascii="Arial" w:cs="Arial" w:eastAsia="Arial" w:hAnsi="Arial"/>
                <w:sz w:val="25"/>
                <w:szCs w:val="25"/>
                <w:color w:val="auto"/>
                <w:vertAlign w:val="superscript"/>
              </w:rPr>
              <w:t>(2)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660" w:type="dxa"/>
            <w:vAlign w:val="bottom"/>
            <w:shd w:val="clear" w:color="auto" w:fill="CCEEFF"/>
          </w:tcPr>
          <w:p>
            <w:pPr>
              <w:spacing w:after="0"/>
              <w:rPr>
                <w:sz w:val="18"/>
                <w:szCs w:val="18"/>
                <w:color w:val="auto"/>
              </w:rPr>
            </w:pPr>
          </w:p>
        </w:tc>
      </w:tr>
      <w:tr>
        <w:trPr>
          <w:trHeight w:val="128"/>
        </w:trPr>
        <w:tc>
          <w:tcPr>
            <w:tcW w:w="2240" w:type="dxa"/>
            <w:vAlign w:val="bottom"/>
            <w:tcBorders>
              <w:bottom w:val="single" w:sz="8" w:color="auto"/>
            </w:tcBorders>
          </w:tcPr>
          <w:p>
            <w:pPr>
              <w:spacing w:after="0"/>
              <w:rPr>
                <w:sz w:val="11"/>
                <w:szCs w:val="11"/>
                <w:color w:val="auto"/>
              </w:rPr>
            </w:pPr>
          </w:p>
        </w:tc>
        <w:tc>
          <w:tcPr>
            <w:tcW w:w="3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r>
    </w:tbl>
    <w:p>
      <w:pPr>
        <w:spacing w:after="0" w:line="94" w:lineRule="exact"/>
        <w:rPr>
          <w:sz w:val="20"/>
          <w:szCs w:val="20"/>
          <w:color w:val="auto"/>
        </w:rPr>
      </w:pPr>
    </w:p>
    <w:p>
      <w:pPr>
        <w:ind w:left="380" w:right="79" w:hanging="330"/>
        <w:spacing w:after="0" w:line="277" w:lineRule="auto"/>
        <w:tabs>
          <w:tab w:leader="none" w:pos="38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Represents the number of ART cycles performed, including IVF with a fresh embryo transfer, IVF freeze all cycles/embryo banking, frozen embryo transfers and egg freezing.</w:t>
      </w:r>
    </w:p>
    <w:p>
      <w:pPr>
        <w:spacing w:after="0" w:line="21" w:lineRule="exact"/>
        <w:rPr>
          <w:rFonts w:ascii="Arial" w:cs="Arial" w:eastAsia="Arial" w:hAnsi="Arial"/>
          <w:sz w:val="18"/>
          <w:szCs w:val="18"/>
          <w:color w:val="231F20"/>
        </w:rPr>
      </w:pPr>
    </w:p>
    <w:p>
      <w:pPr>
        <w:jc w:val="both"/>
        <w:ind w:left="380" w:right="79" w:hanging="330"/>
        <w:spacing w:after="0" w:line="255" w:lineRule="auto"/>
        <w:tabs>
          <w:tab w:leader="none" w:pos="38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Represents the member utilization rate for all services, including but not limited to, ART cycles, initial consultations, IUIs and genetic testing. The utilization rate for all members includes all unique members (female and male) who utilize the benefit during that period while the utilization rate for female only includes only unique females who utilize the benefit during that period. For the purposes of calculating utilization rates in any given period, the results reflect the number of unique members utilizing the benefit for that period. Individual periods cannot be combined as member treatments may span multiple periods.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 on our Business</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On March 11, 2020, the World Health Organization designated the recent novel coronavirus, or COVID-19, as a global pandemic. COVID-19 has significantly impacted various markets around the world, including the United States. Public and private sector policies and initiatives to reduce the transmission of COVID-19 have varied significantly across the United States, but as of June 30, 2020, a significant percentage of the U.S. population remained subject to meaningful restrictions on activities, which included limitations on the operation of non-essential businesses including healthcare procedures considered to be non-urgent, requirements that individuals remain in or close to their homes, school closures, limitations on large gatherings, travel restrictions and other policies to promote or enforce physical distancing. As described below, these restrictions and our responses to them are significantly impacting how our members use our services, access our providers, and how our employees work and provide services to our clients and members, resulting in an impact on our revenue.</w:t>
      </w:r>
    </w:p>
    <w:p>
      <w:pPr>
        <w:spacing w:after="0" w:line="18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Employee safety is our first priority, and as a result, we have implemented a remote working policy for all of our employees. Although we recently re-opened our corporate offices for a small group of employees, the majority of our employees continue to work remotely. We are also working closely with all of our clients, members, providers and other external business partners. We believe we have sufficient liquidity to satisfy our cash needs, however, we continue to</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evaluate and take action, as necessary, to preserve adequate liquidity and ensure that our business can continue to operate during these uncertain times.</w:t>
      </w:r>
    </w:p>
    <w:p>
      <w:pPr>
        <w:spacing w:after="0" w:line="17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Most of the policies and initiatives referenced above were implemented during the latter part of the first quarter of 2020. In the six months ended June 30, 2020, the COVID-19 pandemic had a material negative impact on our operating results. In particular, the outbreak and preventative measures taken to contain COVID-19 negatively impacted our members’ access to care due to a temporary unavailability of the full range of fertility treatments at our provider clinics.</w:t>
      </w:r>
    </w:p>
    <w:p>
      <w:pPr>
        <w:spacing w:after="0" w:line="157"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On March 17, 2020, the American Society for Reproductive Medicine, or ASRM, issued guidelines recommending the suspension of new treatment cycles. As a result, the significant majority of our members were unable to complete diagnostics or initiate new treatment cycles, and our volumes declined precipitously as of that date. ASRM then updated its guidelines on April 24, 2020 and reaffirmed on May 11, 2020, providing fertility clinics with a path for the safe and gradual resumption of patient care. Additionally, many state and local governments have begun to ease stay-at-home orders and allowing for the resumption of non-emergent medical procedures. Many of our clinics have started to resume services and member utilization rates toward the end of the second quarter of 2020 were approximately 90% of our normal levels, however, the timing of the resumption of services at clinics across the country, as well as the length of time it will take both clinics and patients to fully return to normal practice volumes, remains uncertain.</w:t>
      </w:r>
    </w:p>
    <w:p>
      <w:pPr>
        <w:spacing w:after="0" w:line="166"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full extent to which the COVID-19 pandemic will directly or indirectly impact our business, future results of operations and financial condition will depend on future developments that are highly uncertain and cannot be accurately predicted, including new information that may emerge concerning COVID-19, the actions taken to contain it or treat its impact and the economic impact on local, regional and national markets. We will continue to evaluate the nature and extent of these potential impacts to our business, results of operations and liquidity.</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For additional information on the various risks posed by the COVID-19 pandemic, please read Part II, Item 1A.</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Risk Factors included in this Quarterly Report on Form 10-Q.</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Revenue includes fertility benefits solution revenue, pharmacy benefits solution revenue and PEPM fees.</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Benefits Solution Revenue</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Fertility benefits solution revenue primarily represents utilization of our fertility benefits solution. Our client contracts are typically for a three-year term and pricing for this solution is established for each Smart Cycle treatment bundle, based in part on when the client first became a client and the number of members covered under the solution. Fertility benefits solution revenue includes amounts we receive directly from members, including deductibles, co-insurance and co-payments associated with the treatments under the fertility benefits solution. Revenue is recognized based on the negotiated price with our clients and includes the portion to be paid directly by the member. Revenue is recognized when the Smart Cycle is completed for a member. Revenue is also accrued for authorized Smart Cycles rendered based on member appointments scheduled with a fertility specialist in our network but for which no claim has yet been reported, net of an allowance for appointment cancellations and service changes.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Benefits Solution Revenue</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Pharmacy benefits solution revenue primarily represents utilization of Progyny Rx. For clients who contract for the fertility benefits solution, we offer an add-on, separate, fully integrated pharmacy benefits solution designed by us. Progyny Rx provides our members with access to our formulary plan design, simplified authorization, prescription fulfillment and timely delivery of the medications used during treatment through our network of specialty pharmacies, as well as provides our members with medication administration training and other pharmacy support services. Prescription drugs are dispensed by our contracted mail order specialty pharmacies. Revenue related to the dispensing of prescription drugs by the specialty pharmacies in our network includes the prescription fees negotiated with our clients, including the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portion that we collect directly from members (deductibles, co-insurance and co-payments). The contractual fees agreed to with our clients are inclusive of the cost of the prescription drug from our specialty providers, less any applicable discounts, as well as the related clinical and care management services. Revenue from these arrangements are recognized when the drugs are dispensed. This solution was introduced in the marketplace in the third quarter of 2017 and went live with a select number of clients in January 1, 2018.</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Per employee per month (PEPM) fee</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Clients who purchase our fertility benefits solution also pay us a population based PEPM fee which provides access to our PCAs for fertility and family building education and guidance and other digital tools for all of our covered members, regardless of whether or not they ultimately pursue fertility treatment. We earn a PEPM fee for the majority of our clients. Revenue from the PEPM fee is billed and recognized monthly based upon the contractual fee and the number of employees at that specific client for that month.</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Our cost of services has three primary components: (1) fertility benefit services; (2) pharmacy benefit services; and (3) vendor rebates.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 Services</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Fertility benefit services costs include: (1) fees paid to provider clinics within our network, labs and anesthesiologists; (2) costs incurred (including salaries, bonuses, benefits, stock-based compensation, other related costs, and an allocation of our general overhead, depreciation and amortization) for those employees associated with our care management service functions: Provider Account Management, PCA and Provider Relations teams; and (3) and related information technology support costs. Our contracts with provider clinics are typically for a term of one to two years.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 Services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Pharmacy benefit services costs include: (1) the fees for prescription drugs dispensed and clinical services provided during the reporting period by our specialty pharmacy partners; (2) costs incurred (including salaries, bonuses, benefits, stock-based compensation, other related costs, and an allocation of our general overhead, depreciation and amortization) for those employees associated with our care management service functions: PCA and Provider Relations teams; and (3) related information technology support costs. Contracts with the specialty pharmacies are typically for a term of one year.</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Vendor Rebates</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We receive a rebate on certain medications purchased by our specialty pharmacies. Our contractual arrangements with pharmaceutical manufacturers provide for us to receive a rebate from established list prices, which is paid subsequent to dispensing. These rebates are recorded as a reduction to cost of services when prescriptions are dispensed.</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Gross profit is total revenue less total cost of services. Gross margin is gross profit expressed as a percentage of total revenue. We expect that gross profit and gross margin will continue to be affected by various factors including the geographic location where treatments are performed, as well as pricing with each of our clients, provider clinics, labs, specialty pharmacies and pharmaceutical companies, all of which are negotiated separately, have different contracting start and end dates and durations which are not coterminous with each other. Additionally, staffing levels necessary to deliver our care management services will continue to grow as we continue to add clients and their associated members.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operating expenses consist of sales and marketing and general and administrative expenses.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Sales and marketing expense consists primarily of employee related costs, including salaries, bonuses, commissions, benefits, stock-based compensation, other related costs, and an allocation of our general overhead, depreciation and amortization for those employees associated with sales and marketing. These expenses also include third-party consulting services, advertising, marketing, promotional events, and brand awareness activities. We expect sales and marketing expense to continue to increase in absolute dollars as we continue to invest and grow our business.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General and administrative expense consists primarily of employee related costs, including salaries, bonuses, benefits, stock-based compensation, other related costs, and an allocation of our general overhead, depreciation and amortization for those employees associated with general and administrative services such as executive, legal, human resources, information technology, accounting, and finance. These expenses also include third-party consulting services and facilities costs. We anticipate that we will incur additional costs (including a step up in public company related expenses) for employees and professional fees and insurance and related third-party consulting services on an ongoing basis as a public company.</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Other income (expense) includes investment income, interest income (expense), and a preferred stock warrant valuation adjustment.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We are subject to income taxes in the United States. As of June 30, 2020 and December 31, 2019, we recorded a full valuation allowance for our deferred tax assets based on our historical loss and the uncertainty regarding our ability to project future taxable income. In future periods, if we are able to generate income, we may reduce or eliminate the valuation allowance.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revenue for those periods: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156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56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6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3"/>
          </w:tcPr>
          <w:p>
            <w:pPr>
              <w:jc w:val="right"/>
              <w:ind w:right="174"/>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64,605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56,168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145,629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103,365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Cost of services</w:t>
            </w:r>
            <w:r>
              <w:rPr>
                <w:rFonts w:ascii="Arial" w:cs="Arial" w:eastAsia="Arial" w:hAnsi="Arial"/>
                <w:sz w:val="25"/>
                <w:szCs w:val="25"/>
                <w:color w:val="auto"/>
                <w:vertAlign w:val="superscript"/>
              </w:rPr>
              <w:t>(1)</w:t>
            </w:r>
          </w:p>
        </w:tc>
        <w:tc>
          <w:tcPr>
            <w:tcW w:w="17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52,650</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44,716</w:t>
            </w:r>
          </w:p>
        </w:tc>
        <w:tc>
          <w:tcPr>
            <w:tcW w:w="2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117,072</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7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11,955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11,452</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28,557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00"/>
              <w:spacing w:after="0" w:line="216"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5"/>
                <w:szCs w:val="25"/>
                <w:color w:val="auto"/>
                <w:vertAlign w:val="superscript"/>
              </w:rPr>
              <w:t>(1)</w:t>
            </w:r>
          </w:p>
        </w:tc>
        <w:tc>
          <w:tcPr>
            <w:tcW w:w="17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3,117</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6,875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5"/>
                <w:szCs w:val="25"/>
                <w:color w:val="auto"/>
                <w:vertAlign w:val="superscript"/>
              </w:rPr>
              <w:t>(1)</w:t>
            </w:r>
          </w:p>
        </w:tc>
        <w:tc>
          <w:tcPr>
            <w:tcW w:w="17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10,167</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5,981</w:t>
            </w:r>
          </w:p>
        </w:tc>
        <w:tc>
          <w:tcPr>
            <w:tcW w:w="2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19,643</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17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13,775</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9,098</w:t>
            </w:r>
          </w:p>
        </w:tc>
        <w:tc>
          <w:tcPr>
            <w:tcW w:w="2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26,518</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7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income (expense), net</w:t>
            </w:r>
          </w:p>
        </w:tc>
        <w:tc>
          <w:tcPr>
            <w:tcW w:w="17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2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7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Provision for income taxes</w:t>
            </w:r>
          </w:p>
        </w:tc>
        <w:tc>
          <w:tcPr>
            <w:tcW w:w="17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Includes stock-based compensation expense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00" w:type="dxa"/>
            <w:vAlign w:val="bottom"/>
            <w:gridSpan w:val="8"/>
          </w:tcPr>
          <w:p>
            <w:pPr>
              <w:ind w:lef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7"/>
          </w:tcPr>
          <w:p>
            <w:pPr>
              <w:jc w:val="center"/>
              <w:ind w:right="720"/>
              <w:spacing w:after="0"/>
              <w:rPr>
                <w:sz w:val="20"/>
                <w:szCs w:val="20"/>
                <w:color w:val="auto"/>
              </w:rPr>
            </w:pPr>
            <w:r>
              <w:rPr>
                <w:rFonts w:ascii="Arial" w:cs="Arial" w:eastAsia="Arial" w:hAnsi="Arial"/>
                <w:sz w:val="14"/>
                <w:szCs w:val="14"/>
                <w:b w:val="1"/>
                <w:bCs w:val="1"/>
                <w:color w:val="auto"/>
                <w:w w:val="92"/>
              </w:rPr>
              <w:t>June 30,</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3"/>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4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1,151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1,124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60" w:type="dxa"/>
            <w:vAlign w:val="bottom"/>
            <w:tcBorders>
              <w:bottom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3,314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09"/>
        </w:trPr>
        <w:tc>
          <w:tcPr>
            <w:tcW w:w="4200" w:type="dxa"/>
            <w:vAlign w:val="bottom"/>
            <w:gridSpan w:val="2"/>
          </w:tcPr>
          <w:p>
            <w:pPr>
              <w:spacing w:after="0" w:line="207"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3,541</w:t>
            </w: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1,012</w:t>
            </w:r>
          </w:p>
        </w:tc>
        <w:tc>
          <w:tcPr>
            <w:tcW w:w="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5,590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9"/>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gridSpan w:val="8"/>
          </w:tcPr>
          <w:p>
            <w:pPr>
              <w:ind w:lef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2"/>
              </w:rPr>
              <w:t>June 30,</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4"/>
        </w:trPr>
        <w:tc>
          <w:tcPr>
            <w:tcW w:w="4600" w:type="dxa"/>
            <w:vAlign w:val="bottom"/>
            <w:gridSpan w:val="4"/>
          </w:tcPr>
          <w:p>
            <w:pPr>
              <w:spacing w:after="0"/>
              <w:rPr>
                <w:sz w:val="20"/>
                <w:szCs w:val="20"/>
                <w:color w:val="auto"/>
              </w:rPr>
            </w:pPr>
            <w:r>
              <w:rPr>
                <w:rFonts w:ascii="Arial" w:cs="Arial" w:eastAsia="Arial" w:hAnsi="Arial"/>
                <w:sz w:val="18"/>
                <w:szCs w:val="18"/>
                <w:b w:val="1"/>
                <w:bCs w:val="1"/>
                <w:color w:val="auto"/>
                <w:w w:val="89"/>
              </w:rPr>
              <w:t>Statements of Operations Data, as a percentage of revenue:</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100 %</w:t>
            </w:r>
          </w:p>
        </w:tc>
        <w:tc>
          <w:tcPr>
            <w:tcW w:w="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services</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82</w:t>
            </w:r>
          </w:p>
        </w:tc>
        <w:tc>
          <w:tcPr>
            <w:tcW w:w="2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 – Adjusted EBITDA</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Adjusted EBITDA is a supplemental financial measure that is not required by, or presented in accordance with accounting principles generally accepted in the United States, or U.S. GAAP. We believe that Adjusted EBITDA, when taken together with our U.S. GAAP financial results,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evaluating our operating performance, and for internal planning and forecasting purposes.</w:t>
      </w:r>
    </w:p>
    <w:p>
      <w:pPr>
        <w:spacing w:after="0" w:line="178"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Adjusted EBITDA is presented for supplemental informational purposes only, has limitations as an analytical tool and should not be considered in isolation or as a substitute for financial information presented in accordance with U.S. GAAP. Some of the limitations of Adjusted EBITDA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interest expense, net; (5) it does not consider the impact of any stock warrant valuation adjustment; (6) it does not reflect tax payments that may represent a reduction in cash available to us; and (7) it does not include legal fees that may be payable in connection with a vendor arbitration. In addition, our Adjusted EBITDA may not be comparable to similarly titled measures of other companies because they may not calculate Adjusted EBITDA in the same manner as we calculate the measure, limiting its usefulness as a comparative measure. Because of these limitations, when evaluating our performance, you should consider Adjusted EBITDA alongside other financial performance measures, including our net income from continuing operations and other U.S. GAAP results.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calculate Adjusted EBITDA as net income (loss), adjusted to exclude depreciation and amortization, stock-based compensation expense, other income, interest (income) expense, net, convertible preferred stock warrant valuation adjustment, provision for income taxes, and legal fees associated with a vendor arbitration. The following table presents a reconciliation of Adjusted EBITDA to net income for each of the periods indicated:</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bottom w:val="single" w:sz="8" w:color="auto"/>
            </w:tcBorders>
            <w:gridSpan w:val="4"/>
          </w:tcPr>
          <w:p>
            <w:pPr>
              <w:jc w:val="center"/>
              <w:ind w:left="394"/>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Borders>
              <w:bottom w:val="single" w:sz="8" w:color="auto"/>
            </w:tcBorders>
            <w:gridSpan w:val="4"/>
          </w:tcPr>
          <w:p>
            <w:pPr>
              <w:jc w:val="center"/>
              <w:ind w:left="374"/>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4"/>
          </w:tcPr>
          <w:p>
            <w:pPr>
              <w:jc w:val="right"/>
              <w:ind w:right="194"/>
              <w:spacing w:after="0" w:line="129"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4,041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Add:</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1,012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1,529</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income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100"/>
              <w:spacing w:after="0"/>
              <w:rPr>
                <w:sz w:val="20"/>
                <w:szCs w:val="20"/>
                <w:color w:val="auto"/>
              </w:rPr>
            </w:pPr>
            <w:r>
              <w:rPr>
                <w:rFonts w:ascii="Arial" w:cs="Arial" w:eastAsia="Arial" w:hAnsi="Arial"/>
                <w:sz w:val="18"/>
                <w:szCs w:val="18"/>
                <w:color w:val="auto"/>
              </w:rPr>
              <w:t>Interest (income) expense, net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Convertible preferred stock warrant valuation adjustment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100"/>
              <w:spacing w:after="0"/>
              <w:rPr>
                <w:sz w:val="20"/>
                <w:szCs w:val="20"/>
                <w:color w:val="auto"/>
              </w:rPr>
            </w:pPr>
            <w:r>
              <w:rPr>
                <w:rFonts w:ascii="Arial" w:cs="Arial" w:eastAsia="Arial" w:hAnsi="Arial"/>
                <w:sz w:val="18"/>
                <w:szCs w:val="18"/>
                <w:color w:val="auto"/>
              </w:rPr>
              <w:t>Provision for income taxes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Legal fees associated with a vendor arbitration</w:t>
            </w:r>
            <w:r>
              <w:rPr>
                <w:rFonts w:ascii="Arial" w:cs="Arial" w:eastAsia="Arial" w:hAnsi="Arial"/>
                <w:sz w:val="25"/>
                <w:szCs w:val="25"/>
                <w:color w:val="auto"/>
                <w:vertAlign w:val="superscript"/>
              </w:rPr>
              <w:t>(a)</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Non-deferred IPO costs</w:t>
            </w:r>
          </w:p>
        </w:tc>
        <w:tc>
          <w:tcPr>
            <w:tcW w:w="5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5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4,575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10,153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8,929</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9"/>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80" w:lineRule="exact"/>
        <w:rPr>
          <w:sz w:val="20"/>
          <w:szCs w:val="20"/>
          <w:color w:val="auto"/>
        </w:rPr>
      </w:pPr>
    </w:p>
    <w:p>
      <w:pPr>
        <w:jc w:val="both"/>
        <w:ind w:left="380" w:right="79" w:hanging="330"/>
        <w:spacing w:after="0" w:line="263"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engaged in other activities and transactions that can impact our net income. In recent periods, these other items included, but were not limited to, legal fees related to an arbitration resulting from our termination of an agreement with a specialty pharmacy vendor.</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Three Months Ended June 30, 2020 and 2019</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9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Three Months</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9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Ended June 30,</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$64,605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$56,168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Revenue increased by $8.4 million, or 15%, for the three months ended June 30, 2020 compared to the three months ended June 30, 2019. This increase is primarily due to a $0.6 million, or 1% increase, in revenue from our fertility benefits solution and a $7.9 million or 75% increase in revenue from our Progyny Rx solution. The increase in revenue from our fertility benefits solution was primarily due to the increase in the number of clients and covered lives. The increase in revenue from our Progyny Rx solution was also driven by the number of clients and covered lives that added Progyny Rx benefit. Progyny Rx revenue growth outpaces the fertility benefits revenue due to the fact that Progyny Rx went live with only a select number of clients on January 1, 2018 and has continued to add both new and existing fertility benefit solution clients since its initial launch. Our revenue growth for the three months ended June 30, 2020 was negatively impacted by COVID-19.</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17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Three Months</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Ended June 30,</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spacing w:after="0"/>
              <w:rPr>
                <w:sz w:val="20"/>
                <w:szCs w:val="20"/>
                <w:color w:val="auto"/>
              </w:rPr>
            </w:pPr>
            <w:r>
              <w:rPr>
                <w:rFonts w:ascii="Arial" w:cs="Arial" w:eastAsia="Arial" w:hAnsi="Arial"/>
                <w:sz w:val="14"/>
                <w:szCs w:val="14"/>
                <w:b w:val="1"/>
                <w:bCs w:val="1"/>
                <w:color w:val="auto"/>
                <w:w w:val="90"/>
              </w:rPr>
              <w:t>thousands)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$52,650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$44,716</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Cost of services increased by $7.9 million, or 18%, for the three months ended June 30, 2020 compared to the three months ended June 30, 2019 primarily due to an increase in medical treatment and pharmacy prescription costs associated with fertility treatments delivered.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Three Months</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Ended June 30,</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jc w:val="right"/>
              <w:ind w:right="59"/>
              <w:spacing w:after="0"/>
              <w:rPr>
                <w:sz w:val="20"/>
                <w:szCs w:val="20"/>
                <w:color w:val="auto"/>
              </w:rPr>
            </w:pPr>
            <w:r>
              <w:rPr>
                <w:rFonts w:ascii="Arial" w:cs="Arial" w:eastAsia="Arial" w:hAnsi="Arial"/>
                <w:sz w:val="14"/>
                <w:szCs w:val="14"/>
                <w:b w:val="1"/>
                <w:bCs w:val="1"/>
                <w:color w:val="auto"/>
                <w:w w:val="71"/>
              </w:rPr>
              <w:t>thousands)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$11,955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$11,452</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Gross margin</w:t>
            </w:r>
          </w:p>
        </w:tc>
        <w:tc>
          <w:tcPr>
            <w:tcW w:w="700" w:type="dxa"/>
            <w:vAlign w:val="bottom"/>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Gross profit increased by $0.5 million, or 4%, for the three months ended June 30, 2020 compared to the three months ended June 30, 2019.</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Gross margin decreased 190 basis points for the three months ended June 30, 2020 compared to the three months ended June 30, 2019 primarily due to our decision to keep all of our care management staff in place during the pause in treatments caused by COVID-19. This decision was made in anticipation of the resumption in services across regions, as well as the corresponding ramp up toward normal service levels.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Three Months</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Ended June 30,</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jc w:val="right"/>
              <w:ind w:right="62"/>
              <w:spacing w:after="0"/>
              <w:rPr>
                <w:sz w:val="20"/>
                <w:szCs w:val="20"/>
                <w:color w:val="auto"/>
              </w:rPr>
            </w:pPr>
            <w:r>
              <w:rPr>
                <w:rFonts w:ascii="Arial" w:cs="Arial" w:eastAsia="Arial" w:hAnsi="Arial"/>
                <w:sz w:val="14"/>
                <w:szCs w:val="14"/>
                <w:b w:val="1"/>
                <w:bCs w:val="1"/>
                <w:color w:val="auto"/>
                <w:w w:val="71"/>
              </w:rPr>
              <w:t>thousands)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$3,608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Sales and marketing expense increased by $0.5 million, or 16%, for the three months ended June 30, 2020 compared to the three months ended June 30, 2019. This increase was primarily due to a $0.9 million increase in personnel-related costs (including a $0.7 million increase in stock-based compensation) relating to additional headcount and commissions for sales and marketing functions, which was partially offset by decreased tradeshow and travel expenses due to COVID-19.</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Three Months</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Ended June 30,</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jc w:val="right"/>
              <w:ind w:right="62"/>
              <w:spacing w:after="0"/>
              <w:rPr>
                <w:sz w:val="20"/>
                <w:szCs w:val="20"/>
                <w:color w:val="auto"/>
              </w:rPr>
            </w:pPr>
            <w:r>
              <w:rPr>
                <w:rFonts w:ascii="Arial" w:cs="Arial" w:eastAsia="Arial" w:hAnsi="Arial"/>
                <w:sz w:val="14"/>
                <w:szCs w:val="14"/>
                <w:b w:val="1"/>
                <w:bCs w:val="1"/>
                <w:color w:val="auto"/>
                <w:w w:val="71"/>
              </w:rPr>
              <w:t>thousands)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$10,167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General and administrative expense increased by $4.2 million, or 70%, for the three months ended June 30, 2020 compared to the three months ended June 30, 2019. This increase was primarily due to a $2.3 million increase in personnel-</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related costs (including a $1.1 million increase in stock-based compensation) relating to additional headcount for general and administrative functions, a $0.3 million increase in legal costs for a vendor arbitration, a $0.6 million increase in bad debt expense, and a $1.1 million increase in insurance costs.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Three Months</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Ended June 30,</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spacing w:after="0"/>
              <w:rPr>
                <w:sz w:val="20"/>
                <w:szCs w:val="20"/>
                <w:color w:val="auto"/>
              </w:rPr>
            </w:pPr>
            <w:r>
              <w:rPr>
                <w:rFonts w:ascii="Arial" w:cs="Arial" w:eastAsia="Arial" w:hAnsi="Arial"/>
                <w:sz w:val="14"/>
                <w:szCs w:val="14"/>
                <w:b w:val="1"/>
                <w:bCs w:val="1"/>
                <w:color w:val="auto"/>
                <w:w w:val="90"/>
              </w:rPr>
              <w:t>thousands)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($770)</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Other income (expense), net improved by $0.8 million for the three months ended June 30, 2020 compared to the three months ended June 30, 2019 primarily due to the impact in 2019 of a $0.6 million charge related to the fair value adjustment of the preferred stock warrants and a decrease of $0.2 million in interest expense for the three months ended June 30, 2020. The preferred stock warrants were converted to common stock warrants as of the IPO and therefore were no longer subject to a mark to market adjustment.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0" w:lineRule="exact"/>
        <w:rPr>
          <w:sz w:val="20"/>
          <w:szCs w:val="20"/>
          <w:color w:val="auto"/>
        </w:rPr>
      </w:pPr>
    </w:p>
    <w:p>
      <w:pPr>
        <w:spacing w:after="0" w:line="39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26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5"/>
              </w:rPr>
              <w:t>Three Months</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260" w:type="dxa"/>
            <w:vAlign w:val="bottom"/>
            <w:tcBorders>
              <w:bottom w:val="single" w:sz="8" w:color="auto"/>
            </w:tcBorders>
            <w:gridSpan w:val="4"/>
          </w:tcPr>
          <w:p>
            <w:pPr>
              <w:jc w:val="center"/>
              <w:ind w:left="228"/>
              <w:spacing w:after="0"/>
              <w:rPr>
                <w:sz w:val="20"/>
                <w:szCs w:val="20"/>
                <w:color w:val="auto"/>
              </w:rPr>
            </w:pPr>
            <w:r>
              <w:rPr>
                <w:rFonts w:ascii="Arial" w:cs="Arial" w:eastAsia="Arial" w:hAnsi="Arial"/>
                <w:sz w:val="14"/>
                <w:szCs w:val="14"/>
                <w:b w:val="1"/>
                <w:bCs w:val="1"/>
                <w:color w:val="auto"/>
                <w:w w:val="93"/>
              </w:rPr>
              <w:t>Ended June 30,</w:t>
            </w: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380" w:type="dxa"/>
            <w:vAlign w:val="bottom"/>
            <w:gridSpan w:val="2"/>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900" w:type="dxa"/>
            <w:vAlign w:val="bottom"/>
            <w:gridSpan w:val="3"/>
          </w:tcPr>
          <w:p>
            <w:pPr>
              <w:ind w:left="140"/>
              <w:spacing w:after="0"/>
              <w:rPr>
                <w:sz w:val="20"/>
                <w:szCs w:val="20"/>
                <w:color w:val="auto"/>
              </w:rPr>
            </w:pPr>
            <w:r>
              <w:rPr>
                <w:rFonts w:ascii="Arial" w:cs="Arial" w:eastAsia="Arial" w:hAnsi="Arial"/>
                <w:sz w:val="14"/>
                <w:szCs w:val="14"/>
                <w:b w:val="1"/>
                <w:bCs w:val="1"/>
                <w:color w:val="auto"/>
              </w:rPr>
              <w:t>(dollars in</w:t>
            </w:r>
          </w:p>
        </w:tc>
        <w:tc>
          <w:tcPr>
            <w:tcW w:w="7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w w:val="71"/>
              </w:rPr>
              <w:t>thousands)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jc w:val="right"/>
              <w:ind w:right="4928"/>
              <w:spacing w:after="0"/>
              <w:rPr>
                <w:sz w:val="20"/>
                <w:szCs w:val="20"/>
                <w:color w:val="auto"/>
              </w:rPr>
            </w:pPr>
            <w:r>
              <w:rPr>
                <w:rFonts w:ascii="Arial" w:cs="Arial" w:eastAsia="Arial" w:hAnsi="Arial"/>
                <w:sz w:val="18"/>
                <w:szCs w:val="18"/>
                <w:color w:val="auto"/>
                <w:w w:val="89"/>
              </w:rPr>
              <w:t>Provision for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No provision was recorded for the three months ended June 30, 2020 The provision for federal and state income taxes recorded for the three months ended June 30, 2019 was $0.1 million.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Six Months Ended June 30, 2020 and 2019</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9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Six Months</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9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Ended June 30,</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80" w:type="dxa"/>
            <w:vAlign w:val="bottom"/>
          </w:tcPr>
          <w:p>
            <w:pPr>
              <w:spacing w:after="0"/>
              <w:rPr>
                <w:sz w:val="15"/>
                <w:szCs w:val="15"/>
                <w:color w:val="auto"/>
              </w:rPr>
            </w:pPr>
          </w:p>
        </w:tc>
        <w:tc>
          <w:tcPr>
            <w:tcW w:w="740" w:type="dxa"/>
            <w:vAlign w:val="bottom"/>
          </w:tcPr>
          <w:p>
            <w:pPr>
              <w:jc w:val="right"/>
              <w:ind w:right="144"/>
              <w:spacing w:after="0"/>
              <w:rPr>
                <w:sz w:val="20"/>
                <w:szCs w:val="20"/>
                <w:color w:val="auto"/>
              </w:rPr>
            </w:pPr>
            <w:r>
              <w:rPr>
                <w:rFonts w:ascii="Arial" w:cs="Arial" w:eastAsia="Arial" w:hAnsi="Arial"/>
                <w:sz w:val="13"/>
                <w:szCs w:val="13"/>
                <w:b w:val="1"/>
                <w:bCs w:val="1"/>
                <w:color w:val="auto"/>
                <w:w w:val="71"/>
              </w:rPr>
              <w:t>thousands)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$145,629</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$103,365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Revenue increased by $42.3 million, or 41%, for the six months ended June 30, 2020 compared to the six months ended June 30, 2019. This increase is primarily due to a $19.6 million, or 23% increase, in revenue from our fertility benefits solution and a $22.6 million or 131% increase in revenue from our Progyny Rx solution. The increase in revenue from our fertility benefits solution was primarily due to the increase in the number of clients and covered lives. The increase in revenue from our Progyny Rx solution was also driven by the number of clients and covered lives that added Progyny Rx benefit. Progyny Rx revenue growth outpaces the fertility benefits revenue due to the fact that Progyny Rx went live with only a select number of clients on January 1, 2018 and has continued to add both new and existing fertility benefit solution clients since its initial launch. Our revenue growth for the six months ended June 30, 2020 was negatively impacted by COVID-19.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8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Six Months</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8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Ended June 30,</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8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w w:val="87"/>
              </w:rPr>
              <w:t>thousands)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$117,072</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$81,949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Cost of services increased by $35.1 million, or 43%, for the six months ended June 30, 2020 compared to the six months ended June 30, 2019 primarily due to an increase in medical treatment and pharmacy prescription costs associated with fertility treatments delivered.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Six Months</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7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Ended June 30,</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0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jc w:val="right"/>
              <w:ind w:right="39"/>
              <w:spacing w:after="0"/>
              <w:rPr>
                <w:sz w:val="20"/>
                <w:szCs w:val="20"/>
                <w:color w:val="auto"/>
              </w:rPr>
            </w:pPr>
            <w:r>
              <w:rPr>
                <w:rFonts w:ascii="Arial" w:cs="Arial" w:eastAsia="Arial" w:hAnsi="Arial"/>
                <w:sz w:val="14"/>
                <w:szCs w:val="14"/>
                <w:b w:val="1"/>
                <w:bCs w:val="1"/>
                <w:color w:val="auto"/>
                <w:w w:val="74"/>
              </w:rPr>
              <w:t>thousands)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$28,557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$21,416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700" w:type="dxa"/>
            <w:vAlign w:val="bottom"/>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Gross profit increased by $7.1 million, or 33%, for the six months ended June 30, 2020 compared to the six months ended June 30, 2019.</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Gross margin decreased 110 basis points for the six months ended June 30, 2020 compared to the six months ended June 30, 2019 primarily due to our decision to keep all of our care management staff in place during the pause in treatments caused by COVID-19. This decision was made in anticipation of the resumption in services across regions, as well as the corresponding ramp up toward normal service levels.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Six Months</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7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Ended June 30,</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0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jc w:val="right"/>
              <w:ind w:right="42"/>
              <w:spacing w:after="0"/>
              <w:rPr>
                <w:sz w:val="20"/>
                <w:szCs w:val="20"/>
                <w:color w:val="auto"/>
              </w:rPr>
            </w:pPr>
            <w:r>
              <w:rPr>
                <w:rFonts w:ascii="Arial" w:cs="Arial" w:eastAsia="Arial" w:hAnsi="Arial"/>
                <w:sz w:val="14"/>
                <w:szCs w:val="14"/>
                <w:b w:val="1"/>
                <w:bCs w:val="1"/>
                <w:color w:val="auto"/>
                <w:w w:val="74"/>
              </w:rPr>
              <w:t>thousands)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$6,875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Sales and marketing expense increased by $1.4 million, or 26%, for the six months ended June 30, 2020 compared to the six months ended June 30, 2019. This increase was primarily due to a $1.6 million increase in personnel-related costs (including a $1.0 million increase in stock-based compensation) relating to additional headcount and commissions for sales and marketing functions, which was partially offset by lower travel and other overhead costs.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Six Months</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7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Ended June 30,</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0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spacing w:after="0"/>
              <w:rPr>
                <w:sz w:val="20"/>
                <w:szCs w:val="20"/>
                <w:color w:val="auto"/>
              </w:rPr>
            </w:pPr>
            <w:r>
              <w:rPr>
                <w:rFonts w:ascii="Arial" w:cs="Arial" w:eastAsia="Arial" w:hAnsi="Arial"/>
                <w:sz w:val="14"/>
                <w:szCs w:val="14"/>
                <w:b w:val="1"/>
                <w:bCs w:val="1"/>
                <w:color w:val="auto"/>
                <w:w w:val="90"/>
              </w:rPr>
              <w:t>thousands)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$19,643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$10,489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General and administrative expense increased by $9.2 million, or 87%, for the six months ended June 30, 2020 compared to the six months ended June 30, 2019. This increase was primarily as a result of a $4.3 million increase in personnel-related costs (including a $2.1 million increase in stock-based compensation) as a result of additional headcount for general and administrative functions, a $0.8 million increase in legal costs for a vendor arbitration, a $1.4 million increase in bad debt expense, and a $2.2 million increase in insurance costs, and a $0.5 million increase in other related general and administrative expenses.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00" w:lineRule="exact"/>
        <w:rPr>
          <w:sz w:val="20"/>
          <w:szCs w:val="20"/>
          <w:color w:val="auto"/>
        </w:rPr>
      </w:pP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Six Months</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7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Ended June 30,</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0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(dollars in</w:t>
            </w:r>
          </w:p>
        </w:tc>
        <w:tc>
          <w:tcPr>
            <w:tcW w:w="700" w:type="dxa"/>
            <w:vAlign w:val="bottom"/>
          </w:tcPr>
          <w:p>
            <w:pPr>
              <w:jc w:val="right"/>
              <w:ind w:right="42"/>
              <w:spacing w:after="0"/>
              <w:rPr>
                <w:sz w:val="20"/>
                <w:szCs w:val="20"/>
                <w:color w:val="auto"/>
              </w:rPr>
            </w:pPr>
            <w:r>
              <w:rPr>
                <w:rFonts w:ascii="Arial" w:cs="Arial" w:eastAsia="Arial" w:hAnsi="Arial"/>
                <w:sz w:val="14"/>
                <w:szCs w:val="14"/>
                <w:b w:val="1"/>
                <w:bCs w:val="1"/>
                <w:color w:val="auto"/>
                <w:w w:val="74"/>
              </w:rPr>
              <w:t>thousands)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Other income (expense), net improved by $1.7 million for the six months ended June 30, 2020 compared to the six months ended June 30, 2019 primarily due to the impact in 2019 of a $1.2 million charge related to the fair value adjustment of the preferred stock warrants and an increase of $0.3 million in investment and interest income for the six months ended June 30, 2020. The preferred stock warrants were converted to common stock warrants as of the IPO and therefore were no longer subject to a mark to market adjustment.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0" w:lineRule="exact"/>
        <w:rPr>
          <w:sz w:val="20"/>
          <w:szCs w:val="20"/>
          <w:color w:val="auto"/>
        </w:rPr>
      </w:pP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80" w:type="dxa"/>
            <w:vAlign w:val="bottom"/>
            <w:gridSpan w:val="4"/>
          </w:tcPr>
          <w:p>
            <w:pPr>
              <w:ind w:left="440"/>
              <w:spacing w:after="0"/>
              <w:rPr>
                <w:sz w:val="20"/>
                <w:szCs w:val="20"/>
                <w:color w:val="auto"/>
              </w:rPr>
            </w:pPr>
            <w:r>
              <w:rPr>
                <w:rFonts w:ascii="Arial" w:cs="Arial" w:eastAsia="Arial" w:hAnsi="Arial"/>
                <w:sz w:val="14"/>
                <w:szCs w:val="14"/>
                <w:b w:val="1"/>
                <w:bCs w:val="1"/>
                <w:color w:val="auto"/>
              </w:rPr>
              <w:t>Six Months</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780" w:type="dxa"/>
            <w:vAlign w:val="bottom"/>
            <w:gridSpan w:val="4"/>
          </w:tcPr>
          <w:p>
            <w:pPr>
              <w:ind w:left="300"/>
              <w:spacing w:after="0"/>
              <w:rPr>
                <w:sz w:val="20"/>
                <w:szCs w:val="20"/>
                <w:color w:val="auto"/>
              </w:rPr>
            </w:pPr>
            <w:r>
              <w:rPr>
                <w:rFonts w:ascii="Arial" w:cs="Arial" w:eastAsia="Arial" w:hAnsi="Arial"/>
                <w:sz w:val="14"/>
                <w:szCs w:val="14"/>
                <w:b w:val="1"/>
                <w:bCs w:val="1"/>
                <w:color w:val="auto"/>
              </w:rPr>
              <w:t>Ended June 30,</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0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jc w:val="right"/>
              <w:ind w:right="42"/>
              <w:spacing w:after="0"/>
              <w:rPr>
                <w:sz w:val="20"/>
                <w:szCs w:val="20"/>
                <w:color w:val="auto"/>
              </w:rPr>
            </w:pPr>
            <w:r>
              <w:rPr>
                <w:rFonts w:ascii="Arial" w:cs="Arial" w:eastAsia="Arial" w:hAnsi="Arial"/>
                <w:sz w:val="14"/>
                <w:szCs w:val="14"/>
                <w:b w:val="1"/>
                <w:bCs w:val="1"/>
                <w:color w:val="auto"/>
                <w:w w:val="74"/>
              </w:rPr>
              <w:t>thousands)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7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$116</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For the six months ended June 30, 2020 six months ended June 30, 2019 we recorded a provision for state income taxes of $0.1 million and $0.1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7"/>
          <w:szCs w:val="17"/>
          <w:color w:val="auto"/>
        </w:rPr>
        <w:t>As of June 30, 2020, we had $49.4 million of cash and cash equivalents, $42.0 million of marketable securities, and $15.0 million of cash available on the revolving line of credit with Silicon Valley Bank. Since inception, we have financed our operations primarily through sales of our solutions and the net proceeds we have received from sales of equity securities as further detailed below. Our cash and cash equivalents and working capital are affected by the timing of payments to third party providers and collections from clients and have increased as our revenue has increased. In particular, during the ramp up and onboarding of new clients who typically begin their benefits plan year as of January 1</w:t>
      </w:r>
      <w:r>
        <w:rPr>
          <w:rFonts w:ascii="Arial" w:cs="Arial" w:eastAsia="Arial" w:hAnsi="Arial"/>
          <w:sz w:val="25"/>
          <w:szCs w:val="25"/>
          <w:color w:val="auto"/>
          <w:vertAlign w:val="superscript"/>
        </w:rPr>
        <w:t>st</w:t>
      </w:r>
      <w:r>
        <w:rPr>
          <w:rFonts w:ascii="Arial" w:cs="Arial" w:eastAsia="Arial" w:hAnsi="Arial"/>
          <w:sz w:val="17"/>
          <w:szCs w:val="17"/>
          <w:color w:val="auto"/>
        </w:rPr>
        <w:t>, our accounts receivable has historically increased more than our accounts payable, accrued expenses and other current liabilities in the early part of each calendar year. Historically, these timing impacts have reversed throughout the remainder of the fiscal year. Accordingly, our working capital, and its impact on cash flow from operations, can fluctuate materially from period to period.</w:t>
      </w:r>
    </w:p>
    <w:p>
      <w:pPr>
        <w:spacing w:after="0" w:line="139"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On October 29, 2019, we completed our IPO in which we issued and sold 6,700,000 shares of our common stock at a public offering price of $13.00 per share. We received net proceeds of approximately $77.6 million from the IPO, after deducting underwriters’ discounts and commissions of $5.9 million and offering costs of $3.6 million. For additional information, See Note 1 – Business and Basis of Presentation to our financial statements included in Part I, Item 1 of this Quarterly Report on Form 10-Q. We believe that our existing cash and cash equivalents, including the proceeds from our IPO, cash flow from operations and the cash available on the revolving line of credit will be sufficient to support working capital and capital expenditure requirements for at least the next 12 months. Our future capital requirements will depend on many factors, including sales of our solutions and client renewals, the timing and the amount of cash received from clients, the expansion of our sales and marketing activities and the continuing market adoption of our solutions.</w:t>
      </w:r>
    </w:p>
    <w:p>
      <w:pPr>
        <w:spacing w:after="0" w:line="112"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Other than the impact on our revenues and the related cash flows resulting from the various restrictions on activities due to the COVID-19 pandemic, our sources and uses of cash were not otherwise materially impacted by the COVID-19 pandemic in the three months ended June 30, 2020 and, to date, we have not identified any material liquidity deficiencies as a result of the COVID-19 pandemic. Based on the information currently available to us, we do not expect the COVID-19 pandemic to have a material impact on our liquidity. We will continue to monitor and assess the impact the COVID-19 pandemic may have on our business and financial results. In addition, while the potential impact and duration of the COVID-19 pandemic on the global economy and our business in particular may be difficult to assess or predict, the pandemic has resulted in, and may continue to result in, significant disruption of global financial markets, reducing our ability to access capital, which could negatively affect our liquidity in the future. If the disruption persists and deepens, we could experience an inability to access additional capital, which could in the future negatively affect our operations.</w:t>
      </w:r>
    </w:p>
    <w:p>
      <w:pPr>
        <w:spacing w:after="0" w:line="11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22"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June 2018, we entered into an agreement with Silicon Valley Bank to replace our then-outstanding term loan with a revolving line of credit of up to $15.0 million that will mature on June 8, 2021, which agreement was amended in April 2019, January 2020 and June 2020. The available revolving line of credit is based upon an advance rate of 80% of “eligible” accounts receivable and may be used to fund our working capital and other general corporate needs. Eligible accounts receivable includes accounts billed with aging 90 days or less and excludes accounts receivable due for member copayments, coinsurance, and deductibles. When we hold unrestricted cash balances greater than $5.0 million, interest accrues at a floating rate per annum equal to the greater of prime rate or 4.75%. If the unrestricted cash balance is less than $5.0 million, interest accrues at a floating rate per annum equal to the greater of prime rate plus 0.5% or 4.75%, with interest payable monthly. The line of credit contains customary affirmative and negative covenants, as well as a financial covenant that requires us to achieve a specified minimum quarterly revenue as defined in the agreement. As of June 30, 2020 and December 31, 2019, we were in compliance with all requirements and covenants of the revolving credit facility.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cash flows from continuing operations for the periods presented:</w:t>
      </w:r>
    </w:p>
    <w:p>
      <w:pPr>
        <w:spacing w:after="0" w:line="176"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Six Months Ended</w:t>
      </w:r>
    </w:p>
    <w:p>
      <w:pPr>
        <w:ind w:left="76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operating activities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(42,770)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 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Net increase (decrease) in cash and cash equivalents from continuing operations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(30,991)</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Net cash provided by operating activities was $14.3 million for the six months ended June 30, 2020, primarily consisting of a $2.2 million net income from continuing operations adjusted for certain non-cash items, which include $5.6 million of stock-based compensation expense, $1.0 million of depreciation and amortization, $2.5 million from bad debt expense, and $0.1 million of tax and interest expense. Changes in operating assets and liabilities resulted in cash used in operating activities from increases in accounts receivable of $20.4 million, more than offset by cash provided by operating activities from increases in accounts payable of $12.8 million and accrued expenses and other current liabilities of $8.5 million, and decreases in prepaid assets and other current assets of $1.7 million and other noncurrent assets and liabilities of $0.3 million. These changes are a result of the impact of revenue growth and our operating results as well as the timing of payments to third party providers and collections from customers.</w:t>
      </w:r>
    </w:p>
    <w:p>
      <w:pPr>
        <w:spacing w:after="0" w:line="12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Net cash used in operating activities was $1.9 million for the six months ended June 30, 2019, primarily consisting of a $4.0 million net income from continuing operations adjusted for certain non-cash items, which include $1.5 million of stock-based compensation, a $1.2 million change in fair value of warrant liabilities, $1.1 million of depreciation and amortization, and $1.1 million from bad debt expense. Changes in operating assets and liabilities resulted in cash used in operating activities from increases in accounts receivable of $22.0 million, prepaid assets and other current assets of $0.4 million, and noncurrent assets and liabilities of $0.1 million, partially offset by cash provided by operating activities from increases in accounts payable of $7.5 million and accrued expenses and other current liabilities of $4.1 million. These changes are as a result of the impact of revenue growth and our operating results as well as the timing of payments to third party providers and collections from customers.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Net cash used in investing activities from continuing operations was $42.8 million and $0.3 million for the six months ended June 30, 2020 and June 30, 2019, respectively. During the six months ended June 30, 2020, the net cash used primary consisted of investments of $42.0 million in marketable securities. The remainder of the activity consists of purchases of computers, software, and leasehold improvements, including leasehold improvements of $0.6 million during 2020 associated with the buildout of our new corporate office which was occupied in February 2020.</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Net cash used in financing activities was $2.6 million for the six months ended June 30, 2020, consisting of payments of $0.8 million for IPO costs, payments of $4.1 million for employee taxes related to equity awards, partially offset by $1.4 million in proceeds from stock option exercises and $0.9 million in proceeds from employee stock purchase plan.</w:t>
      </w:r>
    </w:p>
    <w:p>
      <w:pPr>
        <w:spacing w:after="0" w:line="133"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Net cash provided by financing activities was $2.2 million for the six months ended June 30, 2019 primarily related to cash provided from net draws on our revolving line of credit with Silicon Valley Bank offset by $0.7 million payments related to IPO costs.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Other than changes which occur in the ordinary course of business, as of June 30, 2020, there were no significant changes to the contractual obligations reported in our Annual Report on Form 10-K for the year ended December 31, 2019.</w:t>
      </w: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of June 30, 2020 and December 31, 2019, we did not have any off-balance sheet arrangements, except for operating leases entered into in the normal course of business.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Our financial statements and accompanying notes have been prepared in accordance with U.S. GAAP. The preparation of these financial statements requires us to make estimates and assumptions that affect the amounts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The future effects of the COVID-19 pandemic on our results of operations, cash flows, and financial position are unclear, however, we believe we have made reasonable estimates and assumptions in preparing the financial statements. Actual results may differ from these estimates. To the extent that there are material differences between these estimates and our actual results, our future financial statements will be affected.</w:t>
      </w:r>
    </w:p>
    <w:p>
      <w:pPr>
        <w:spacing w:after="0" w:line="11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For additional information about our critical accounting policies and estimates, see the disclosure included in our Annual Report on Form 10-K as well as Note 1 – Business and Basis of Presentation and Note 2 Summary of Significant Accounting Policies in the notes to the financial statements included in Part I, Item 1, of this Quarterly Report on Form 10-Q.</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For a full discussion of recently adopted accounting pronouncements, see Note 2 – Summary of Significant Accounting Policies, to the financial statements included in Part 1, Item 1 of this Quarterly Report on Form 10-Q.</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 Status</w:t>
      </w:r>
    </w:p>
    <w:p>
      <w:pPr>
        <w:spacing w:after="0" w:line="17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until the earlier of the date we (1) are no longer an emerging growth company or (2) affirmatively and irrevocably opt out of the extended transition period provided in the JOBS Act. As a result, our financial statements may not be comparable to companies that comply with new or revised accounting pronouncements as of public company effective dates. Based on the market value of our common stock held by non-affiliates as of June 30, 2020, we will cease to qualify as an emerging growth company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As of June 30, 2020, we had cash and cash equivalents of $49.4 million and marketable securities of $42.0 million. Interest-earning instruments carry a degree of interest rate risk. We do not enter into investments for trading or speculative purposes and have not used any derivative financial instruments to manage our interest rate risk exposure. Our investments are exposed to market risk due to a fluctuation in interest rates, which may affect our interest income and the fair market value of our investments. A hypothetical 10% change in interest rates would not result in a material impact on our financial statements.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 Rate Risk</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8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the evaluation of our disclosure controls and procedures, our principal executive officer and principal financial officer concluded that, as of June 30, 2020, our disclosure controls and procedures were effective at the reasonable assurance level.</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There were no changes in our internal control over financial reporting identified in management’s evaluation pursuant to Rules 13a-15(d) or 15d-15(d) of the Exchange Act during the quarter ended June 30, 2020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On January 14, 2019, a vendor filed a Demand for Arbitration and Statement of Claim against us for alleged breach of the November 10, 2017 Preferred Specialty Pharmacy Agreement, or the Agreement, between us and the vendor. On March 13, 2019, we terminated the Agreement for material breach with the vendor. On April 3, 2019, the vendor filed a Second Amended Demand for Arbitration, or SAD, for breach of the Agreement. The vendor is seeking $25.0 million in damages, fees, interest and costs. The alleged damages are not quantified or factually supported in the SAD. Pursuant to a schedule set forth by the Arbitration Panel, on May 3, 2019, we filed a Motion to Dismiss the SAD. That Motion to Dismiss was fully briefed on June 14, 2019 and was decided on July 31, 2019. The Arbitration Panel dismissed two of the vendor’s four claims. We believe the vendor’s remaining claims are without merit and intend to vigorously defend against the claims in the arbitration.</w:t>
      </w:r>
    </w:p>
    <w:p>
      <w:pPr>
        <w:spacing w:after="0" w:line="181"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believe there is no other litigation pending that could have, individually or in the aggregate, a material adverse effect on our financial position, results of operations, or cash flows. However, in addition to the matter described above, we may, from time to time, be involved in various legal proceedings arising from the normal course of business activities. Defending such proceedings is costly and can impose a significant burden on management and employees. The results of litigation cannot be predicted with certainty, and regardless of the outcome, litigation can have an adverse impact on us because of defense and settlement costs, diversion of management resources and other factors.</w:t>
      </w:r>
    </w:p>
    <w:p>
      <w:pPr>
        <w:spacing w:after="0" w:line="160"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all of the information in this Quarterly Report on Form 10-Q, including the section titled “Cautionary Note Regarding Forward-Looking Statements” and “Management’s Discussion and Analysis of Financial Condition and Results of Operation” and our financial statements and the accompanying notes included elsewhere in this Quarterly Report on Form 10-Q. Any of the following risks could materially and adversely affect our business, financial condition and results of operations, the actual outcome of matters as to which forward-looking statements are made in this Quarterly Report on Form 10-Q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The recent COVID-19 pandemic has had, and similar health epidemics could in the future have, an adverse impact on our business, operations, and the markets and communities in which we and our clients, members and providers operate.</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business and operations have been adversely affected by the recent COVID-19 pandemic, which has impacted the markets and communities in which we and our clients, members and providers operate. Since December 2019, when COVID-19 was first reported, the virus has spread to countries worldwide, including the United States and more specifically, New York, New York, where our primary office is located.</w:t>
      </w:r>
    </w:p>
    <w:p>
      <w:pPr>
        <w:spacing w:after="0" w:line="18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 ongoing COVID-19 pandemic has adversely impacted, and may continue to adversely impact, many aspects of our business. Our providers have and may continue to delay new fertility cycles because they operate in areas acutely affected by the COVID-19 pandemic or in order to conserve medical resources for non-fertility related medical treatments. Our members do and may continue to live in communities that are acutely affected by the COVID-19 pandemic and have and may not want to continue or begin new fertility cycles during the pandemic. Furthermore, as certain of our potential clients experience downturns or uncertainty in their own business operations and revenue because of the economic effects resulting from the spread of COVID-19, they have and may continue to decrease their spending on health benefits and delay or cancel implementation of fertility benefits. Each of these factors could affect our utilization rates and the number of members enrolled in our clients’ benefit plans.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COVID-19 pandemic has been declared a national emergency. In response to the COVID-19 pandemic, many state, local, and foreign governments have put in place, and continue to enforce in whole or in part, and may at any time choose to fully reinstate, quarantines, executive orders, shelter-in-place orders, and similar government orders and restrictions in order to control the spread of the disease. Such orders or restrictions, or the perception that such orders or restrictions could occur or reoccur, have resulted in business closures, work stoppages, slowdowns and delays, work-from-home policies, travel restrictions, and cancellation or postponement of events, among other effects that could negatively impact productivity and disrupt our operations and those of our clients, members and providers.</w:t>
      </w:r>
    </w:p>
    <w:p>
      <w:pPr>
        <w:spacing w:after="0" w:line="16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In light of the uncertainty and rapidly evolving situation relating to the spread of COVID-19 and in compliance with shelter-in-place orders and other government executive orders directing that all non-essential businesses close their physical operations, we implemented a work-from-home policy for all of our employees. Although we recently re-opened our offices for a small group of employees, the majority of our employees continue to work remotely. We may take further actions that alter our operations as may be required by federal, state, or local authorities, or which we determine are in the best interests of our business, our employees and the communities we serve. While most of our operations can be performed remotely, there is no guarantee that we will be as effective while working remotely because our team is dispersed, many employees may have additional personal needs to attend to (such as looking after children as a result of school closures or family who become sick), and employees may become sick themselves and be unable to work. Decreased effectiveness of our team could adversely affect our results due to our inability to meet in person with potential clients, longer time periods to complete implementation of new clients, longer time to respond to members, extended timelines for data collection and review and a corresponding reduction in growth, or other decreases in productivity that could seriously harm our business. In addition, working remotely could increase our cybersecurity risk and make us more susceptible to communication disruptions, which could adversely impact our business operations or delay necessary interactions with our clients, member, providers and other third parties. Furthermore, we may decide to postpone or cancel planned investments in our business in response to changes in our business as a result of the spread of COVID-19, which may impact our member utilization and rate of growth, either of which could seriously harm our business.</w:t>
      </w:r>
    </w:p>
    <w:p>
      <w:pPr>
        <w:spacing w:after="0" w:line="174"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addition, while the potential impact and duration of the COVID-19 pandemic on the global economy and our business in particular may be difficult to assess or predict, the pandemic has resulted in, and may continue to result in, significant disruption of global financial markets, reducing our ability to access capital, which could negatively affect our liquidity in the future. 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to expand our customer base and develop and expand our sales and marketing capabilities, and may impact our ability to comply with the financial covenant relating to revenue targets in our loan agreement with Silicon Valley Bank if a material economic downturn results in substantially lower revenue than expected under our annual financial projections.</w:t>
      </w:r>
    </w:p>
    <w:p>
      <w:pPr>
        <w:spacing w:after="0" w:line="18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global impact of COVID-19 continues to rapidly evolve, and we will continue to monitor the situation closely. The ultimate impact of the COVID-19 pandemic or a similar health epidemic is highly uncertain and subject to change. We do not yet know the full extent of potential delays or impacts on our business, operations, or the global economy as a whole. While the spread of COVID-19 may eventually be contained or mitigated, there is no guarantee that a future outbreak of this or any other widespread epidemics will not occur, or that the global economy will recover, either of which could seriously harm our business.</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fail to meet our publicly announced guidance or other expectations about our business and future operating results, which would cause our stock price to decline.</w:t>
      </w:r>
    </w:p>
    <w:p>
      <w:pPr>
        <w:spacing w:after="0" w:line="170"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We have provided and may continue to provide guidance about our business and future operating results. On August 5, 2020, we issued guidance for the third quarter of 2020 and the full year 2020, as well as a preliminary revenue projection for 2021. In developing this guidance, our management must make certain assumptions and judgments about its future performance. Some of those key assumptions relate to the impact of the COVID-19 pandemic and the associated economic uncertainty on our business and the timing and scope of economic recovery globally and the timing of the resumption of fertility services at clinics across the country, as well as how long it will take both clinics and patients to return to normal practice volumes, which are inherently difficult to predict. This guidance, which consists of forward-looking statements, is qualified by, and subject to, such assumptions, estimates and expectations as of the date such</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guidance is given. While presented with numerical specificity, this guidance is necessarily speculative in nature, and is inherently subject to significant business, economic and competitive uncertainties and contingencies, many of which are beyond our control and are based upon specific assumptions with respect to future business decisions or economic conditions, some of which may change. Accordingly, our guidance is only an estimate of what management believes is realizable as of the date of release of such guidance.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and financial market conditions caused by the COVID-19 pandemic, and which could adversely affect our business and future operating results. There are no comparable recent events that provide insights as to the probable effect of the COVID-19 pandemic, and, as a result, the ultimate impact of the COVID-19 outbreak is highly uncertain and subject to change. We are relying on the reports and models of economic and medical experts in making assumptions relating to the duration of this crisis and predictions as to timing and pace of any future economic recovery. If these models are incorrect or incomplete, or if we fail to accurately predict the full impact that the COVID-19 pandemic will have on all aspects of our business, the guidance and other forward-looking statements we provide may also be incorrect or incomplete. Furthermore, if we make downward revisions of our previously announced guidance, or if our publicly announced guidance of future operating results fails to meet expectations of securities analysts, investors or other interested parties, the price of our common stock would decline.</w:t>
      </w:r>
    </w:p>
    <w:p>
      <w:pPr>
        <w:spacing w:after="0" w:line="17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fertility market in which we participate is competitive, and if we do not continue to compete effectively, our results of operations could be harmed.</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 market for our solutions is competitive and is likely to attract increased competition, which could make it hard for us to succeed. We compete on the basis of several factors, including the comprehensiveness of our benefits solutions and the Smart Cycle (our unique approach to benefits plan design which ensures that members always have coverage for a full treatment cycle as their access to treatment is not limited by a dollar maximum that could be exhausted mid-treatment), superior clinical outcomes, access for all employee groups (including LGBTQ+ and single mothers by choice), equitable access to care across geographies, quality of the member experience and comprehensive member support, access to our selective Center of Excellence (our proprietary, credentialed network of high-quality fertility specialists), data reporting and sharing and access to an integrated pharmacy solution. While we do not believe any single competitor offers a similarly robust and integrated fertility and family building benefits solution, we compete primarily with health insurance companies and benefits administrators that also provide fertility benefits management services as part of their overall healthcare coverage. These competitors include all conventional health insurers, such as UnitedHealthcare, Cigna, Aetna and members of the Blue Cross Blue Shield Association. Other competitors that currently provide fertility benefits management services to employers include WIN Fertility and Optum Fertility Solutions. We also compete with benefits managers that are new to the industry that do not have integrated health insurance carrier solutions, such as Carrot Fertility and Maven Clinic, which currently offer employees post-tax reimbursement programs for fertility benefits.</w:t>
      </w:r>
    </w:p>
    <w:p>
      <w:pPr>
        <w:spacing w:after="0" w:line="16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As we market our solutions to potential clients that currently utilize other vendors to manage their employees’ fertility benefits, we may fail to convince their internal stakeholders that our offerings and our model are superior to their current solutions. Some of our competitors are more established, benefit from greater brand recognition and have substantially greater financial, technical and marketing resources. Our competitors may seek to develop or integrate solutions and services that may become more efficient or appealing to our existing and potential clients. For example, fertility-focused pharmacy benefits managers, or PBMs, could emerge that would compete with Progyny Rx. In addition, we believe one of our key competitive advantages is our purpose-built, data-driven platform. While we do not believe any competitors have developed a similarly robust data collection, analysis and reporting process at this time, current or future competitors may be successful in doing so in the future.</w:t>
      </w:r>
    </w:p>
    <w:p>
      <w:pPr>
        <w:spacing w:after="0" w:line="18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In addition, we believe that there is growing awareness of the demand for fertility benefits. As the fertility benefits field gains more attention, more competitors may be drawn into the market. We also could be adversely affected if we fail to identify or effectively respond to changes in market dynamics. As a result of any of these factors, we may not be able to continue to compete successfully against our current or future competitors, and this competition could result in the failure of our platform to continue to maintain market acceptance, which would harm our business, financial condition and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a history of operating losses and may not sustain profitability in the future.</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experienced net losses from 2015 to 2019. Our net loss from continuing operations was $(8.6) million and $(5.1) million for the years ended December 31, 2019 and 2018, respectively. While we have experienced significant revenue growth since 2016, we are not certain whether we will obtain sufficient levels of sales to sustain our growth or maintain profitability in the future. We also expect our costs and expenses to increase in future periods, which could negatively affect our future results of operations if our revenue does not increase. In particular, we intend to continue to incrementally expand our sales and client account management teams to educate potential clients and drive new client adoption, as well as enhance the scope of Progyny benefits within our existing client base. We also expect to incur additional costs as we introduce new solutions and services to enhance our comprehensive fertility offering. We will also face increased compliance costs associated with growth, the expansion of our client base and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sustain profitability, the value of our business and common stock may significantly decrease.</w:t>
      </w:r>
    </w:p>
    <w:p>
      <w:pPr>
        <w:spacing w:after="0" w:line="17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with our current platform of solutions, which makes it difficult to predict our future results of operations.</w:t>
      </w:r>
    </w:p>
    <w:p>
      <w:pPr>
        <w:spacing w:after="0" w:line="17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went live with our fertility benefits solution in 2016 and Progyny Rx in 2018. As a result of our limited operating history with the current platform of solutions, as well as a limited amount of time serving a majority of our client base,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decline for a number of reasons, including slowing demand for our solutions and fertility benefits in general, change in utilization trends by our members, general economic slowdown, an increase in unemployment, an increase in competition, changes to health care trends and regulations, changes to science relating to the fertility market, a decrease in the growth of the fertility market, or our failure, for any reason, to continue to take advantage of growth opportunities.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7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clients, our business, financial condition and results of operations would be adversely affected.</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To increase our revenue, we must continue to attract new clients. Our ability to do so depends in large part on the success of our sales and marketing efforts, and the success of attracting industry leaders in diversified sectors, which could prompt others in the same sectors to follow suit to remain competitive. Potential clients may seek out other options; therefore, we must demonstrate that our solutions are valuable and superior to alternatives. If we fail to provide high-quality solutions and convince clients of the benefits of our model and value proposition, we may not be able to attract new clients. The market for our solutions could decline or grow more slowly than we expect due to general economic conditions, outbreaks of contagious diseases including the COVID-19 pandemic, a decrease in business investments, including spending on employee benefits, and other factors. If the markets for our solutions decline or grow more slowly than we expect, or if the number of clients that contract with us for our solutions declines or fails to increase as we expect, our financial results could be harmed. As the markets in which we participate mature, fertility solutions and services evolve and competitors begin to enter into the market and introduce differentiated solutions or services that are perceived to compete with our solutions, particularly if such competing solutions are adopted by an industry leader in a particular sector, our ability to sell our solutions could be impaired. As a result of these and other factors, we may be unable to attract new clients, which would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2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As part of our growth strategy, we are focused on retaining and expanding our services within our existing client base. A client can expand the fertility benefits they offer to their employees a number of ways, including by adding egg freezing or increasing the number of Smart Cycle units under their benefits plan (i.e., from two to three Smart Cycles per household). For example, 6% of our existing 2019 clients increased their Smart Cycle benefit for their 2020 benefits plan year. In addition, our fertility benefits solution clients can purchase our add-on Progyny Rx solution. We went live with Progyny Rx in 2018 and 70% of our clients have now launched this solution, including approximately 75% of the clients we signed in 2019.</w:t>
      </w:r>
    </w:p>
    <w:p>
      <w:pPr>
        <w:spacing w:after="0" w:line="19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Factors that may affect our ability to retain our existing clients and sell additional solutions to them include, but are not limited to, the following:</w:t>
      </w:r>
    </w:p>
    <w:p>
      <w:pPr>
        <w:spacing w:after="0" w:line="170" w:lineRule="exact"/>
        <w:rPr>
          <w:sz w:val="20"/>
          <w:szCs w:val="20"/>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 timeliness and outcomes of our solutions;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price, timeliness, outcome, performance and functionality of competing solutions;</w:t>
      </w:r>
    </w:p>
    <w:p>
      <w:pPr>
        <w:spacing w:after="0" w:line="225" w:lineRule="exact"/>
        <w:rPr>
          <w:rFonts w:ascii="Arial" w:cs="Arial" w:eastAsia="Arial" w:hAnsi="Arial"/>
          <w:sz w:val="18"/>
          <w:szCs w:val="18"/>
          <w:color w:val="auto"/>
        </w:rPr>
      </w:pPr>
    </w:p>
    <w:p>
      <w:pPr>
        <w:ind w:left="700" w:right="659" w:hanging="326"/>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and appropriately expand our Center of Excellence network of high-quality fertility specialists;</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offer complementary solutions and services that will enhance our comprehensive fertility offering;</w:t>
      </w:r>
    </w:p>
    <w:p>
      <w:pPr>
        <w:spacing w:after="0" w:line="236" w:lineRule="exact"/>
        <w:rPr>
          <w:rFonts w:ascii="Arial" w:cs="Arial" w:eastAsia="Arial" w:hAnsi="Arial"/>
          <w:sz w:val="17"/>
          <w:szCs w:val="17"/>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healthcare laws, regulations or trends;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material increase in unemployment rate;</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business environment of our clients and, in particular, reduction in our clients’ headcount; and</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consolidation of our clients, resulting in a change to their benefits program or a shift to one of our competitors.</w:t>
      </w:r>
    </w:p>
    <w:p>
      <w:pPr>
        <w:spacing w:after="0" w:line="237"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Any of the above factors, alone or together, could negatively affect our ability to retain existing clients and sell additional solutions to them, which would have an adverse effect on our business, revenue growth and results of operations.</w:t>
      </w:r>
    </w:p>
    <w:p>
      <w:pPr>
        <w:spacing w:after="0" w:line="12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Our largest clients account for a significant portion of our revenue and a significant number of our clients are in the technology industry. The loss of one or more of these clients or changes within the technology industry could negatively impact our business, financial condition and results of operations.</w:t>
      </w:r>
    </w:p>
    <w:p>
      <w:pPr>
        <w:spacing w:after="0" w:line="16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currently serve over 130 employers in the United States across more than 25 industries. For the six months ended June 30, 2020 and 2019, each of our largest two clients represented more than 10% of our total revenue. One of our clients accounted for 18% and 17% of our total revenue, for the six months ended June 30, 2020 and 2019, respectively. In addition, another client accounted for 17% of our revenue for the six months ended June 30, 2020. Engagement with these clients is generally covered through contracts that are multi-year in duration. One or more of these clients may terminate early or decline to renew their existing contracts with us upon expiration and any such termination or failure to renew could have a negative impact on our revenue and compromise our growth strategy. In addition, we generate a significant portion of our revenue from clients in the technology industry. Any of a variety of changes in that industry, including changes in economic conditions, mergers or consolidations, reduced spending on benefits programs and other factors, could adversely affect our business, financial condition and results of operations.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Changes in the health insurance market could harm our business, financial condition and results of operations.</w:t>
      </w:r>
    </w:p>
    <w:p>
      <w:pPr>
        <w:spacing w:after="0" w:line="248"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The market for private health insurance in the United States is evolving and, as our solutions are integrated with health insurance plans offered by insurance carriers for our clients, our future financial performance will depend in part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on the growth in this market. Changes and developments in the health insurance system in the United States, including taxability of medical benefits like ours, could reduce demand for our solutions and harm our business. For example, there has been an ongoing national debate relating to the health care reimbursement system in the United States. Some members of Congress have introduced proposals that would create a new single payor national health insurance program for all United States residents, others have proposed more incremental approaches such as creating a new public health insurance plan option as a supplement to private sources of coverage. In the event that laws, regulations or rules that eliminate or reduce private sources of health insurance or require such benefits to be taxable are adopted, the subsequent impact on the insurance carriers may in turn adversely impact our ability to accurately forecast future results and harm our business, financial condition and results of operations.</w:t>
      </w:r>
    </w:p>
    <w:p>
      <w:pPr>
        <w:spacing w:after="0" w:line="1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health benefits industry may be subject to negative publicity, which could adversely affect our business, financial condition and results of operations.</w:t>
      </w:r>
    </w:p>
    <w:p>
      <w:pPr>
        <w:spacing w:after="0" w:line="17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health benefits industry may be subject to negative publicity, which can arise from, among other things, increases in premium rates, industry consolidation, cost of care initiatives, drug prices and the ongoing debate over the Patient Protection and Affordable Care Act, as amended by the Health Care and Education Reconciliation Act, or collectively the ACA. There remain judicial and Congressional challenges to certain aspects of the ACA, as well as efforts by the Trump administration to repeal or replace certain aspects of the ACA. Further, the United States Supreme Court announced on March 2, 2020 that it will consolidate two cases regarding the constitutionality of the ACA. It is unclear when such oral arguments are to be held and when a decision is expected to be made. In addition, negative publicity may result in increased regulation and legislative review of industry practices, which may further increase our costs of doing business and adversely affect our profitability. For example, PBM programs and drug rebates have recently been criticized as leading to a lack of transparency about the true cost of a drug, and this negative publicity may lead to regulatory changes that could potentially affect our business and operations. Negative public perception or publicity of the health benefits industry in general, the insurance carriers with whom we integrate our solutions, or us could adversely affect our business, financial condition and results of operations.</w:t>
      </w:r>
    </w:p>
    <w:p>
      <w:pPr>
        <w:spacing w:after="0" w:line="18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our computer systems, or those of our provider clinics, specialty pharmacies or other downstream vendors lag, fail or suffer security breaches, we may incur a material disruption of our services, which could materially impact our business and the results of operations</w:t>
      </w:r>
      <w:r>
        <w:rPr>
          <w:rFonts w:ascii="Arial" w:cs="Arial" w:eastAsia="Arial" w:hAnsi="Arial"/>
          <w:sz w:val="18"/>
          <w:szCs w:val="18"/>
          <w:i w:val="1"/>
          <w:iCs w:val="1"/>
          <w:color w:val="auto"/>
        </w:rPr>
        <w:t>.</w:t>
      </w:r>
    </w:p>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cloud-based systems, to support business processes as well as internal and external communications. Our success therefore is dependent in part on our ability to secure, integrate, develop, redesign and enhance our (or contract with vendors to provide) technology systems that support our business strategy initiatives and processes in a compliant, secure, and cost and resource efficient manner. If we or our provider clinics, specialty pharmacies or other downstream vendors have an issue with our or their respective technology systems, it may result in a disruption to our operations or downstream disruption to our relationships with our clients or our selective network of high-quality fertility specialists. Additionally, if we choose to insource any of the services currently handled by a third party, it may result in technological or operational disruptions.</w:t>
      </w:r>
    </w:p>
    <w:p>
      <w:pPr>
        <w:spacing w:after="0" w:line="196"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addition, despite the implementation of security measures, our internal computer systems, and those of our provider clinics, specialty pharmacies or other downstream vendors, are potentially vulnerable to damage from malicious intrusion, malware, computer viruses, unauthorized access, natural disasters, terrorism, war and telecommunication and electrical failures. While we are not aware that we have experienced any such system failure, accident or security breach to date, if such an event were to occur and cause interruptions in our operations, it could result in a material disruption to our ability to deliver our solutions. In addition, to the extent that any disruption or security breach were to result in a loss or inappropriate disclosure of confidential information, we could incur liability. See “—Risks Related to Government Regulation—We operate in a highly regulated industry and must comply with a significant number of complex and evolving requirements—Data Protection and Breaches.”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 significant change in the utilization of our solutions could have an adverse effect on our business, financial condition and results of operations.</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We do not control or impact the level of utilization of our solutions for each of our clients, in particular for newer clients. A significant reduction in the number of members using our solutions could adversely affect our business, financial condition and results of operations. Factors that have and could continue to contribute to a reduction in the use of our solutions include: reductions in workforce by existing clients; general economic downturn that results in business failures and high unemployment rates; outbreaks of contagious diseases including the COVID-19 pandemic; employers no longer offering comprehensive health coverage or offering alternative solutions such as coverage on a voluntary, employee-funded basis; federal and state regulatory changes; changes to taxability of medical benefits; failure to adapt and respond effectively to changing medical landscape, changing regulations, changing client needs, requirements or preferences; premium increases and benefits changes; negative publicity, through social media or otherwise and news coverage.</w:t>
      </w:r>
    </w:p>
    <w:p>
      <w:pPr>
        <w:spacing w:after="0" w:line="16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It is also difficult for us to predict the level of utilization of our services at the member level. If the actual utilization of our services by members is significantly greater than budgeted, the client may be responsible for corresponding costs that exceed its planned expenditure. If we cannot help our clients accurately predict the level of utilization by their employees, our clients may turn to alternative solutions, and our business and profitability would be adversely impacted.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Our clients rely on our client account management personnel and our members rely on our PCAs to resolve issues and realize the full benefits that our solutions and services provide. High-quality support is also important for the renewal and expansion of our services to existing clients. The importance of our support functions will increase as we expand our business and pursue new clients. If we do not help our clients quickly resolve issues and provide effective ongoing support, our ability to maintain and expand our offerings to existing and new clients could suffer, and our reputation with existing or potential clients could suffer. Further, to the extent that we are unsuccessful in hiring, training and retaining adequate PCAs and client account management personnel, our ability to provide adequate and timely support to our members and clients would be negatively impacted, and our members’ and clients’ satisfaction with our solutions and services would be adversely affected.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Our marketing efforts depend significantly on our ability to receive positive references from our existing clients.</w:t>
      </w:r>
    </w:p>
    <w:p>
      <w:pPr>
        <w:spacing w:after="0" w:line="24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marketing efforts depend significantly on our ability to call on our current clients to provide positive references to new, potential clients. Given our limited number of long-term clients, the loss or dissatisfaction of any client could substantially harm our brand and reputation, inhibit the market adoption of our offering and impair our ability to attract new clients and maintain existing clients. Any of these consequences could have an adverse effect on our business, financial condition and results of operations.</w:t>
      </w:r>
    </w:p>
    <w:p>
      <w:pPr>
        <w:spacing w:after="0" w:line="18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marketing and sales capabilities could harm our ability to increase our client base and achieve broader market acceptance of solutions we provide.</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Our ability to increase our client base and achieve broader market acceptance of solutions we provide will depend to a significant extent on our ability to expand our marketing and sales capabilities. We plan to continue expanding our direct sales force and to dedicate significant resources to sales and marketing programs, including direct sales, inside sales, targeted direct marketing, advertising, digital marketing, e-newsletter and conference sponsorships. All of these efforts will require us to invest significant financial and other resources. Our business and results of operations could be harmed if our sales and marketing efforts do not generate significant increases in revenue. We may not achieve anticipated revenue growth from expanding our sales and marketing efforts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future revenue may not grow at the rates they historically have, or at all.</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have experienced significant growth since the launch of our fertility benefits solution in 2016. Revenue and our client base may not grow at the same rates they historically have, or they may decline in the future. Our future growth will depend, in part, on our ability to:</w:t>
      </w:r>
    </w:p>
    <w:p>
      <w:pPr>
        <w:spacing w:after="0" w:line="184" w:lineRule="exact"/>
        <w:rPr>
          <w:sz w:val="20"/>
          <w:szCs w:val="20"/>
          <w:color w:val="auto"/>
        </w:rPr>
      </w:pPr>
    </w:p>
    <w:p>
      <w:pPr>
        <w:ind w:left="700" w:hanging="32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attract new clients and maintain existing clients;</w:t>
      </w:r>
    </w:p>
    <w:p>
      <w:pPr>
        <w:spacing w:after="0" w:line="225" w:lineRule="exact"/>
        <w:rPr>
          <w:rFonts w:ascii="Arial" w:cs="Arial" w:eastAsia="Arial" w:hAnsi="Arial"/>
          <w:sz w:val="18"/>
          <w:szCs w:val="18"/>
          <w:color w:val="auto"/>
        </w:rPr>
      </w:pPr>
    </w:p>
    <w:p>
      <w:pPr>
        <w:ind w:left="700" w:right="239" w:hanging="326"/>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our solutions and services effectively so that we are able to attract new clients, expand sales to our existing clients and maintain profitability;</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provide our clients and members with client support that meets their needs, including through dedicated PCAs;</w:t>
      </w:r>
    </w:p>
    <w:p>
      <w:pPr>
        <w:spacing w:after="0" w:line="248" w:lineRule="exact"/>
        <w:rPr>
          <w:rFonts w:ascii="Arial" w:cs="Arial" w:eastAsia="Arial" w:hAnsi="Arial"/>
          <w:sz w:val="16"/>
          <w:szCs w:val="16"/>
          <w:color w:val="auto"/>
        </w:rPr>
      </w:pPr>
    </w:p>
    <w:p>
      <w:pPr>
        <w:ind w:left="700" w:right="559" w:hanging="326"/>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successful collection of member cost shares and other applicable receivable balances directly from members;</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retain and maintain relationships with high-quality and respected fertility specialists;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 and retain highly qualified personnel to support all clients and members;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satisfactory relationships with insurance carriers; and</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awareness of our brand and successfully compete with other companies.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may not successfully accomplish all or any of these objectives, which may affect our future revenue, and which makes it difficult for us to forecast our future results of operations. In addition, if the assumptions that we use to plan our business are incorrect or change in reaction to changes in our market, it may be difficult for us to maintain profitability. You should not rely on our revenue for any prior quarterly or annual periods as any indication of our future revenue or revenue growth.</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addition, we expect to continue to expend substantial financial and other resources on:</w:t>
      </w:r>
    </w:p>
    <w:p>
      <w:pPr>
        <w:spacing w:after="0" w:line="225" w:lineRule="exact"/>
        <w:rPr>
          <w:sz w:val="20"/>
          <w:szCs w:val="20"/>
          <w:color w:val="auto"/>
        </w:rPr>
      </w:pP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and marketing;</w:t>
      </w:r>
    </w:p>
    <w:p>
      <w:pPr>
        <w:spacing w:after="0" w:line="198" w:lineRule="exact"/>
        <w:rPr>
          <w:rFonts w:ascii="Arial" w:cs="Arial" w:eastAsia="Arial" w:hAnsi="Arial"/>
          <w:sz w:val="18"/>
          <w:szCs w:val="18"/>
          <w:color w:val="auto"/>
        </w:rPr>
      </w:pPr>
    </w:p>
    <w:p>
      <w:pPr>
        <w:ind w:left="700" w:right="279" w:hanging="326"/>
        <w:spacing w:after="0" w:line="27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 and</w:t>
      </w:r>
    </w:p>
    <w:p>
      <w:pPr>
        <w:spacing w:after="0" w:line="129" w:lineRule="exact"/>
        <w:rPr>
          <w:rFonts w:ascii="Arial" w:cs="Arial" w:eastAsia="Arial" w:hAnsi="Arial"/>
          <w:sz w:val="18"/>
          <w:szCs w:val="18"/>
          <w:color w:val="auto"/>
        </w:rPr>
      </w:pPr>
    </w:p>
    <w:p>
      <w:pPr>
        <w:ind w:left="700" w:right="779" w:hanging="326"/>
        <w:spacing w:after="0" w:line="27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13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These investments may not result in increased revenue growth in our business. If we are unable to increase our revenue at a rate sufficient to offset the expected increase in our costs, our business, financial position, and results of operations will be harmed, and we may not be able to maintain profitability over the long term. Additionally, we may encounter unforeseen operating expenses, difficulties, complications, delays and other unknown factors that may result in losses in future periods.</w:t>
      </w:r>
    </w:p>
    <w:p>
      <w:pPr>
        <w:spacing w:after="0" w:line="18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If our revenue growth does not meet our expectations in future periods, we may not maintain profitability in the future, our business, financial position and results of operations may be harmed.</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the estimates and assumptions we use to determine the size of the target markets for our services are inaccurate, our future growth rate may be impacted and our business would be harmed.</w:t>
      </w:r>
    </w:p>
    <w:p>
      <w:pPr>
        <w:spacing w:after="0" w:line="170"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Market opportunity estimates and growth forecasts are subject to significant uncertainty and are based on assumptions and estimates that may not prove to be accurate. Furthermore, the healthcare industry is rapidly evolving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markets for fertility benefits management and the related fertility pharmacy benefits management are relatively immature. Market opportunity estimates and growth forecasts, including those we have generated ourselves, are subject to significant uncertainty and are based on assumptions and estimates that may not prove to be accurate, including the risks described herein. Even if the markets in which we compete achieve the forecasted growth, our business could fail to grow at similar rates, if at all.</w:t>
      </w:r>
    </w:p>
    <w:p>
      <w:pPr>
        <w:spacing w:after="0" w:line="188"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estimates of the market opportunity for our services are based on the assumption that the purpose-built, data-driven and disruptive fertility benefits platform with the Smart Cycle plan design we offer will be attractive to employers. Employers may pursue alternatives or may not see the value in providing enhanced fertility-related coverage and services to their employees. In addition, we believe we are expanding the size of the fertility market as we enhance demand and increase awareness for fertility benefits. If these assumptions prove inaccurate, or if the increase in awareness of fertility benefits attracts potential competitors to enter the market and results in greater competition, our business, financial condition and results of operations could be adversely affected.</w:t>
      </w:r>
    </w:p>
    <w:p>
      <w:pPr>
        <w:spacing w:after="0" w:line="177"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It is difficult to predict member utilization rates and demand for our solutions, the entry of competitive solutions or the future growth rate and size of the fertility market, and more specifically the fertility benefits management market and the pharmacy benefits management market. The expansion of the fertility market depends on a number of factors, including, but not limited to: the continued trend of individuals starting families later in life, increase in number of single mothers by choice, adoption of non-traditional paths to parenthood and continued de-stigmatization of infertility. Further, the expansion of the fertility benefits management market and the pharmacy benefits market both depend on a number of factors, including, but not limited to: the continued trends of a competitive workforce with employers competing for talent based on benefits that they provide and employers’ focus on benefits to attract and retain top talent.</w:t>
      </w:r>
    </w:p>
    <w:p>
      <w:pPr>
        <w:spacing w:after="0" w:line="16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If fertility benefits management or pharmacy benefits management do not continue to achieve market acceptance, or if there is a reduction in demand caused by a lack of client or member acceptance, a reduction in employers’ focus on enhancing benefits to employees, weakening economic conditions, data security or privacy concerns, governmental regulation, competing offerings or otherwise, the market for our solutions and services might not continue to develop or might develop more slowly than we expect, which would adversely affect our business, financial condition and results of operations.</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manage our growth, and if we are not able to grow efficiently, our business, financial condition and results of operations could be harmed</w:t>
      </w:r>
      <w:r>
        <w:rPr>
          <w:rFonts w:ascii="Arial" w:cs="Arial" w:eastAsia="Arial" w:hAnsi="Arial"/>
          <w:sz w:val="18"/>
          <w:szCs w:val="18"/>
          <w:b w:val="1"/>
          <w:bCs w:val="1"/>
          <w:color w:val="auto"/>
        </w:rPr>
        <w:t>.</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As usage of our solutions grows, we will need to devote additional resources to improving and maintaining our infrastructure. In addition, we will need to appropriately scale our internal business systems and our client account management and member services personnel to serve our growing client base. Any failure of or delay in these efforts could result in reduced client and member satisfaction, resulting in decreased sales to new clients and lower renewal and utilization rates by existing clients, which could hurt our revenue growth and our reputation. Even if we are successful in these efforts, they will require the dedication of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and such failures could harm our business, financial condition and results of operations.</w:t>
      </w:r>
    </w:p>
    <w:p>
      <w:pPr>
        <w:spacing w:after="0" w:line="181"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Unfavorable conditions in our industry or the United States economy, or reductions in employee benefits spending, could limit our ability to grow our business and negatively affect our results of operations.</w:t>
      </w:r>
    </w:p>
    <w:p>
      <w:pPr>
        <w:spacing w:after="0" w:line="14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Unfavorable changes in our industry or in the United States economy could have a negative effect on our and our clients’ and potential clients’ results of operations. Negative conditions in the general economy in the United States, including conditions resulting from changes in gross domestic product growth, financial and credit market fluctuations, international trade relations, political turmoil, natural catastrophes, outbreaks of contagious diseases including the COVID-19 pandemic, warfare and terrorist attacks on the United States, could cause a decrease in business investments, including spending on employee benefits, and negatively affect the growth of our business. In addition, unfavorable economic conditions could result in the cancellation by certain clients, a reduction in their number of employees or material defaults by members on their cost share, particularly if they lose their employer coverage and do not replace it with a health benefit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plan that provides fertility coverage. Further, economic conditions including interest rate fluctuations, changes in capital market conditions and regulatory changes, such as the taxability of medical benefits like ours, may affect our ability to obtain necessary financing on acceptable terms. In addition, the increased pace of consolidation in the healthcare industry may result in competitors with greater market power. We cannot predict the timing, strength, or duration of any economic slowdown, instability, or recovery, generally or within any particular industry.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Seasonality may cause fluctuations in our sales and results of operations.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7"/>
          <w:szCs w:val="17"/>
          <w:color w:val="auto"/>
        </w:rPr>
        <w:t>Our business experiences moderate seasonality in revenue with a slightly higher proportion of revenue during the second half of the year as compared with the first half. Given that the majority of our clients contract with us for a January 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benefits plan start date and that the average cost of treatments earlier in the overall treatment process is somewhat lower than the average cost as treatment progresses, our revenue from treatment services tend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We expect that this seasonality will continue to affect our revenue and results of operations in the future as we continue to target larger enterprise clients.</w:t>
      </w:r>
    </w:p>
    <w:p>
      <w:pPr>
        <w:spacing w:after="0" w:line="19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In addition, the seasonality of our businesses could create cash flow management risks if we do not adequately anticipate and plan for periods of comparatively decreased cash flow, which could negatively impact our ability to execute on our strategy, which in turn could harm our results of operations. Accordingly, our results for any particular quarter may vary for a number of reasons, and we caution investors to evaluate our quarterly results in light of these factors.</w:t>
      </w:r>
    </w:p>
    <w:p>
      <w:pPr>
        <w:spacing w:after="0" w:line="157"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If our new solutions and services are not adopted by our clients or members, or if we fail to innovate and develop new offerings that are adopted by our clients, our revenue and results of operations may be adversely affected.</w:t>
      </w:r>
    </w:p>
    <w:p>
      <w:pPr>
        <w:spacing w:after="0" w:line="124"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To date, we have derived a substantial majority of our revenue from sales of our fertility benefits and Progyny Rx solutions. As we operate in an evolving industry, our long-term results of operations and continued growth will depend on our ability to successfully develop and market new successful solutions and services to our clients. If our existing clients and members do not value and/or are not willing to make additional payments for such new solutions or services, it could adversely affect our business, financial condition and results of operations. If we are unable to predict clients’ or members’ preferences, if the markets in which we participate change, including in response to government regulation, or if we are unable to modify our solutions and services on a timely basis, we may lose clients. Our results of operations would also suffer if our innovations are not responsive to the needs of the members, appropriately timed with market opportunity or effectively brought to market.</w:t>
      </w:r>
    </w:p>
    <w:p>
      <w:pPr>
        <w:spacing w:after="0" w:line="1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fail to adapt and respond effectively to the changing medical landscape, changing regulations, changing client needs, requirements or preferences, our offerings may become less competitive.</w:t>
      </w:r>
    </w:p>
    <w:p>
      <w:pPr>
        <w:spacing w:after="0" w:line="17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market in which we compete is subject to a changing medical landscape and changing regulations, as well as changing client needs, requirements and preferences. The success of our business will depend, in part, on our ability to adapt and respond effectively to these changes on a timely basis. Our business strategy may not effectively respond to these changes, and we may fail to recognize and position ourselves to capitalize upon market opportunities. We may not have sufficient advance notice and resources to develop and effectively implement an alternative strategy. There may be scientific or clinical changes that require us to change our solutions or that make our solutions, including the Smart Cycles, less competitive in the marketplace. If there are sensitivities to our model or our existing competitors and new entrants create new disruptive business models and/or develop new solutions that clients and members prefer to our solutions, we may lose clients and members, and our results of operations, cash flows and/or prospects may be adversely affected. The future performance of our business will depend in large part on our ability to design and implement market appropriate strategic initiatives, some of which will occur over several years in a dynamic industry. If these initiatives do not achieve their objectives, our results of operations could be adversely affected.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client base will be impaired and our business, financial condition and results of operations may suffer.</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We believe that maintaining and enhancing the Progyny brand is important to support the marketing and sale of our existing and future solutions to new clients and expand sales of our solutions to existing clients. We also believe that the importance of brand recognition will increase as competition in our market increases. Successfully maintaining and enhancing our brand will depend largely on the effectiveness of our marketing efforts, our ability to provide reliable services that continue to meet the needs of our clients at competitive prices, our ability to maintain our clients’ trust, our ability to continue to develop new solutions, and our ability to successfully differentiate our platform from competitive solutions and services. Our brand promotion activities may not generate client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66"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If we fail to retain and motivate members of our management team or other key employees, or fail to attract additional qualified personnel to support our operations, our business and future growth prospects could be harmed.</w:t>
      </w:r>
    </w:p>
    <w:p>
      <w:pPr>
        <w:spacing w:after="0" w:line="10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success and future growth depend largely upon the continued services of our management team and our other key employees.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w:t>
      </w:r>
    </w:p>
    <w:p>
      <w:pPr>
        <w:spacing w:after="0" w:line="19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to execute our growth plan, we must attract and retain highly qualified personnel. Competition for these personnel is intense, especially for experienced sales and client account management personnel. There is no guarantee we will be able to attract such personnel or that competition among potential employers will not result in increased salaries or other benefits.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could be harmed. Further, if members of our management and other key personnel in critical functions across our organization are unable to perform their duties or have limited availability due to COVID-19, we may not be able to execute on our business strategy and/or our operations may be negatively impacted.</w:t>
      </w:r>
    </w:p>
    <w:p>
      <w:pPr>
        <w:spacing w:after="0" w:line="16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and competitive position may be harmed.</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mission we are pursuing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Our success is dependent upon our continued ability to maintain a selective Center of Excellence, our proprietary, credentialed network of high-quality fertility specialists. Fertility specialists could refuse to contract, demand higher payments or take other actions that could result in higher medical costs, less attractive service for our members or difficulty meeting regulatory or accreditation requirements. Identifying high-quality fertility specialists, credentialing and negotiating contracts with them and evaluating, monitoring and maintaining our network, requires significant time and resources. If we are not successful in maintaining our relationships with top fertility specialists, these fertility specialists may refuse to renew their contracts with us, and potential competitors may be effective in onboarding these or other high-quality fertility specialists to create a similarly high-quality network. There may be additional shifts in the fertility specialty provider space as the fertility market matures, and high-quality fertility specialists may become more demanding in re-negotiating to remain in our network. Our ability to develop and maintain satisfactory relationships with high-quality fertility specialists also may be negatively impacted by other factors not associated with us, such as regulatory changes impacting providers or consolidation activity among hospitals, physician groups and healthcare providers. In addition, certain organizations of physicians, such as practice management companies (which group together physician practices for administrative efficiency), may change the way in which healthcare providers do business with us and may compete directly with us, which could adversely affect our business, financial condition and results of operations.</w:t>
      </w:r>
    </w:p>
    <w:p>
      <w:pPr>
        <w:spacing w:after="0" w:line="167"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addition, the perceived value of our solutions and our reputation may be negatively impacted if the services provided by one or more of our fertility specialists are not satisfactory to our members, including as a result of provider error that could result in litigation. For example, if a provider within our network experiences an issue with their cryopreservation techniques or releases sensitive information of our members, we could incur additional expenses and it could give rise to litigation against us. Any such issue with one of our providers may expose us to public scrutiny, adversely affect our brand and reputation, expose us to litigation or regulatory action, and otherwise make our operations vulnerable. Further, if a fertility specialist provides services that result in less than favorable outcomes, this could cause us to fail to meet our contractually guaranteed specified service metrics, and we could be obligated to provide the client with a fee reduction. The failure to maintain our selective network of high-quality fertility specialists or the failure of those specialists to meet and exceed our members’ expectations, may result in a loss of or inability to grow or maintain our client base, which could adversely affect our business, financial condition and results of operations.</w:t>
      </w:r>
    </w:p>
    <w:p>
      <w:pPr>
        <w:spacing w:after="0" w:line="17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and monitoring of, third parties, including vendors, as well as insurance carriers.</w:t>
      </w:r>
    </w:p>
    <w:p>
      <w:pPr>
        <w:spacing w:after="0" w:line="170"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order to grow our business, we anticipate that we will continue to depend on our relationships with third parties, including vendors and insurance carriers. As the fertility management market and our client base grow, if we do not successfully maintain our relationships with insurance carriers, they may make integration more difficult or expensive, such as implementing an onerous fee structure in exchange for our ability to continue to integrate our solutions with their platforms. If we are unsuccessful in establishing or maintaining our relationships with third parties, our ability to compete in the marketplace or to grow our revenue could be impaired and our results of operations may suffer.</w:t>
      </w:r>
    </w:p>
    <w:p>
      <w:pPr>
        <w:spacing w:after="0" w:line="16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addition, our arrangements with these third parties may expose us to public scrutiny, adversely affect our brand and reputation, expose us to litigation or regulatory action, and otherwise make our operations vulnerable if we fail to adequately monitor their performance or if they fail to meet their contractual obligations to us or to comply with applicable laws or regulations.</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fail to maintain an efficient pharmacy distribution network or if there is a disruption to our distribution network, our business, financial condition and results of operations could suffer.</w:t>
      </w:r>
    </w:p>
    <w:p>
      <w:pPr>
        <w:spacing w:after="0" w:line="170"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The timely delivery of fertility prescriptions is essential for fertility treatments. If prescriptions are delivered late, the delay may result in postponement of a member’s treatment cycle and member dissatisfaction with our solutions. We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believe that our ability to maintain and grow the adoption of Progyny Rx is highly dependent on our success in maintaining an efficient pharmacy distribution network and our record of on-time delivery. If we are unable to maintain an efficient pharmacy distribution network, or if a significant disruption thereto should occur, the use of Progyny Rx may decline due to the inability to timely deliver prescription to members, which could cause our business, financial condition and results of operations to suffer.</w:t>
      </w:r>
    </w:p>
    <w:p>
      <w:pPr>
        <w:spacing w:after="0" w:line="188"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If we lose our relationship with one or more key pharmaceutical manufacturers, or if the rebates provided by pharmaceutical manufactures decline, our business and results of operations could be adversely affected.</w:t>
      </w:r>
    </w:p>
    <w:p>
      <w:pPr>
        <w:spacing w:after="0" w:line="14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maintain contractual relationships with select pharmaceutical manufacturers which provide us with access to limited distribution specialty pharmaceutical rebates for drugs we purchase. The consolidation of pharmaceutical manufacturers, the shortages of drugs provided by such manufacturers, the termination or material alteration of our contractual relationships, or our failure to renew such contracts on favorable terms could have a material adverse effect on our business and results of operations. In addition, PBM programs have been the subject of debate in federal and state legislatures and various other public and governmental forums. Adoption of new laws, rules or regulations or changes in, or new interpretations of, existing laws, rules or regulations, relating to any of these programs could materially adversely affect our business and results of operations.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marketing efforts depend on our ability to maintain our relationship with benefits consultants.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pre-existing long-term relationships with industry participants and benefits executives at large employers. If we fail to maintain our relationship with the benefits consultants, our marketing efforts, business and profitability would be adversely impacted.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exposed to credit risk from our members</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collect copayments, coinsurance and deductibles directly from members. We do not require collateral for such receivables. Our failure to collect a significant portion of the amount due on such receivables directly from members could adversely affect our business, financial condition and results of operations.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operate in a highly regulated industry and must comply with a significant number of complex and evolving requirements.</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have attempted to structure our operations to comply with laws, regulations and other requirements applicable to us directly and to our clients and vendors, but there can be no assurance that our operations will not be challenged or impacted by regulatory authorities or enforcement initiatives. We have been, and in the future may become, involved in governmental investigations, audits, reviews and assessments. Any determination by a court or agency that our solutions or services violate, or cause our clients to violate, applicable laws, regulations or other requirements could subject us or our clients to significant administrative, civil or criminal penalties. Such a determination also could require us to change or terminate portions of our business, disqualify us from serving clients that do business with government entities, or cause us to refund some or all of our service fees or otherwise compensate our clients. In addition, failure to satisfy laws, regulations or other requirements could adversely affect demand for our solutions and could force us to expend significant capital, research and development and other resources to address the failure. Even an unsuccessful challenge by regulatory and other authorities or parties could be expensive and time-consuming, could result in loss of business, exposure to adverse publicity, and injury to our reputation and could adversely affect our ability to retain and attract clients. If we fail to comply with applicable laws, regulations and other requirements, our business, financial condition and results of operations could be adversely affected. Such non-compliance could also require significant investment to address and may prove costly. There are several additional federal and state statutes, regulations, guidance and contractual provisions related</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to or impacting the healthcare industry that may apply to our business activities directly or indirectly, including, but not limited to:</w:t>
      </w:r>
    </w:p>
    <w:p>
      <w:pPr>
        <w:spacing w:after="0" w:line="170" w:lineRule="exact"/>
        <w:rPr>
          <w:sz w:val="20"/>
          <w:szCs w:val="20"/>
          <w:color w:val="auto"/>
        </w:rPr>
      </w:pPr>
    </w:p>
    <w:p>
      <w:pPr>
        <w:jc w:val="both"/>
        <w:ind w:left="1020" w:right="79" w:hanging="322"/>
        <w:spacing w:after="0" w:line="286" w:lineRule="auto"/>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Licensing and Licensed Personnel</w:t>
      </w:r>
      <w:r>
        <w:rPr>
          <w:rFonts w:ascii="Arial" w:cs="Arial" w:eastAsia="Arial" w:hAnsi="Arial"/>
          <w:sz w:val="16"/>
          <w:szCs w:val="16"/>
          <w:color w:val="auto"/>
        </w:rPr>
        <w:t>. Many states have licensure or registration requirements for entities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acting as a third-party administrator, or TPA, and PBMs. The scope of these laws differs from state to state, and the application of such laws to the activities of TPAs and PBMs is often unclear. Given the nature and scope of the solutions and services that we provide, we are required to maintain TPA and PBM licenses and registrations in certain jurisdictions and to ensure that such licenses and registrations are in good standing on an annual basis. We are licensed, have licensure applications pending before appropriate regulatory bodies, are exempt from licensure or registration, or are otherwise authorized under such laws in those states in which we provide our TPA and PBM services. These licenses require us to comply with the rules and regulations of the governmental bodies that issued such licenses. Our failure to comply with such rules and regulations could result in significant administrative penalties, the suspension of a license, or the loss of a license, all of which could negatively impact our business. Additionally, from time to time, legislation is considered that would purport to declare a PBM a fiduciary with respect to its clients. While the validity of such laws is questionable and we do not believe any such laws are currently in effect, we cannot predict what effect, if any, such statutes, if enacted, may have on our business and financial results.</w:t>
      </w:r>
    </w:p>
    <w:p>
      <w:pPr>
        <w:spacing w:after="0" w:line="170" w:lineRule="exact"/>
        <w:rPr>
          <w:rFonts w:ascii="Arial" w:cs="Arial" w:eastAsia="Arial" w:hAnsi="Arial"/>
          <w:sz w:val="16"/>
          <w:szCs w:val="16"/>
          <w:color w:val="auto"/>
        </w:rPr>
      </w:pPr>
    </w:p>
    <w:p>
      <w:pPr>
        <w:jc w:val="both"/>
        <w:ind w:left="1020" w:right="59"/>
        <w:spacing w:after="0" w:line="269" w:lineRule="auto"/>
        <w:rPr>
          <w:rFonts w:ascii="Arial" w:cs="Arial" w:eastAsia="Arial" w:hAnsi="Arial"/>
          <w:sz w:val="16"/>
          <w:szCs w:val="16"/>
          <w:color w:val="auto"/>
        </w:rPr>
      </w:pPr>
      <w:r>
        <w:rPr>
          <w:rFonts w:ascii="Arial" w:cs="Arial" w:eastAsia="Arial" w:hAnsi="Arial"/>
          <w:sz w:val="17"/>
          <w:szCs w:val="17"/>
          <w:color w:val="auto"/>
        </w:rPr>
        <w:t>Separately, states impose licensing requirements on insurers, risk-bearing entities, and insurance agents, as well as those entities that provide utilization review services. We do not believe that the nature of our services requires us to be licensed under applicable state law. We are unable to predict, however, how our services may be viewed by regulators over time, how these laws and regulations will be interpreted, or the full extent of their application. If a regulatory authority in any state determines that the nature of our business requires that we be licensed under applicable state laws, we may need to restructure our business to comply with any related requirements, such as maintaining adequate reserves, creating new compliance processes, hiring additional personnel to manage regulatory compliance, and paying additional regulatory fees, which could adversely affect our results of operation. Additionally, we may need to cease operations until we are able to obtain appropriate licensure, which may adversely affect our revenue for a period of time that we cannot estimate.</w:t>
      </w:r>
    </w:p>
    <w:p>
      <w:pPr>
        <w:spacing w:after="0" w:line="181" w:lineRule="exact"/>
        <w:rPr>
          <w:rFonts w:ascii="Arial" w:cs="Arial" w:eastAsia="Arial" w:hAnsi="Arial"/>
          <w:sz w:val="16"/>
          <w:szCs w:val="16"/>
          <w:color w:val="auto"/>
        </w:rPr>
      </w:pPr>
    </w:p>
    <w:p>
      <w:pPr>
        <w:jc w:val="both"/>
        <w:ind w:left="1020" w:right="59"/>
        <w:spacing w:after="0" w:line="270" w:lineRule="auto"/>
        <w:rPr>
          <w:rFonts w:ascii="Arial" w:cs="Arial" w:eastAsia="Arial" w:hAnsi="Arial"/>
          <w:sz w:val="16"/>
          <w:szCs w:val="16"/>
          <w:color w:val="auto"/>
        </w:rPr>
      </w:pPr>
      <w:r>
        <w:rPr>
          <w:rFonts w:ascii="Arial" w:cs="Arial" w:eastAsia="Arial" w:hAnsi="Arial"/>
          <w:sz w:val="17"/>
          <w:szCs w:val="17"/>
          <w:color w:val="auto"/>
        </w:rPr>
        <w:t>In addition, we employ PCAs to support and guide our members as part of our fertility benefits management services. The PCAs do not provide any licensed healthcare services, and in turn, are not licensed by any regulatory body to provide these services. We otherwise do not employ individuals to provide any healthcare services requiring licensure. If a professional board in any state determines that the services provided by our employed PCAs require a license to be provided, we may need to conduct additional training and credentialing, replace staff, obtain additional insurance, and pay increased salaries, which could adversely affect our results of operation. We may additionally need to suspend the PCA services we provide while our personnel obtains the necessary licensure, which may adversely affect our relationships with our clients and members and cause us to be in breach of our contracts.</w:t>
      </w:r>
    </w:p>
    <w:p>
      <w:pPr>
        <w:spacing w:after="0" w:line="180" w:lineRule="exact"/>
        <w:rPr>
          <w:rFonts w:ascii="Arial" w:cs="Arial" w:eastAsia="Arial" w:hAnsi="Arial"/>
          <w:sz w:val="16"/>
          <w:szCs w:val="16"/>
          <w:color w:val="auto"/>
        </w:rPr>
      </w:pPr>
    </w:p>
    <w:p>
      <w:pPr>
        <w:jc w:val="both"/>
        <w:ind w:left="1020" w:right="79" w:hanging="322"/>
        <w:spacing w:after="0" w:line="286" w:lineRule="auto"/>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HIPAA Privacy and Security Requirements</w:t>
      </w:r>
      <w:r>
        <w:rPr>
          <w:rFonts w:ascii="Arial" w:cs="Arial" w:eastAsia="Arial" w:hAnsi="Arial"/>
          <w:sz w:val="16"/>
          <w:szCs w:val="16"/>
          <w:color w:val="auto"/>
        </w:rPr>
        <w:t>. There are numerous federal and state laws and regulations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to the privacy and security of health information. In particular, regulations promulgated pursuant to the Health Insurance Portability and Accountability Act of 1996, or HIPAA, establish privacy and security standards that limit the use and disclosure of certain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The privacy regulations established under HIPAA also provide patients with rights related to understanding and controlling how their protected health information is used and disclosed. As a provider of services to entities subject to HIPAA, we are directly subject to certain provisions of the regulations as a “Business Associate.” When acting as a Business Associate under HIPAA, to the extent permitted by applicable privacy regulations and contracts and associated Business Associate Agreements with our clients, we are permitted to use and disclose protected health information to perform our services and for other limited purposes, but other uses and disclosures, such as marketing communications, require written authorization from the patient or must meet an exception</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20" w:right="79"/>
        <w:spacing w:after="0" w:line="277" w:lineRule="auto"/>
        <w:rPr>
          <w:sz w:val="20"/>
          <w:szCs w:val="20"/>
          <w:color w:val="auto"/>
        </w:rPr>
      </w:pPr>
      <w:r>
        <w:rPr>
          <w:rFonts w:ascii="Arial" w:cs="Arial" w:eastAsia="Arial" w:hAnsi="Arial"/>
          <w:sz w:val="18"/>
          <w:szCs w:val="18"/>
          <w:color w:val="auto"/>
        </w:rPr>
        <w:t>specified under the privacy regulations. We also have downstream Business Associates, which provide us with services and are also subject to HIPAA regulations.</w:t>
      </w:r>
    </w:p>
    <w:p>
      <w:pPr>
        <w:spacing w:after="0" w:line="170" w:lineRule="exact"/>
        <w:rPr>
          <w:sz w:val="20"/>
          <w:szCs w:val="20"/>
          <w:color w:val="auto"/>
        </w:rPr>
      </w:pPr>
    </w:p>
    <w:p>
      <w:pPr>
        <w:jc w:val="both"/>
        <w:ind w:left="1020" w:right="59"/>
        <w:spacing w:after="0" w:line="267" w:lineRule="auto"/>
        <w:rPr>
          <w:sz w:val="20"/>
          <w:szCs w:val="20"/>
          <w:color w:val="auto"/>
        </w:rPr>
      </w:pPr>
      <w:r>
        <w:rPr>
          <w:rFonts w:ascii="Arial" w:cs="Arial" w:eastAsia="Arial" w:hAnsi="Arial"/>
          <w:sz w:val="17"/>
          <w:szCs w:val="17"/>
          <w:color w:val="auto"/>
        </w:rPr>
        <w:t>If we, or any of our downstream Business Associates, are unable to properly protect the privacy and security of protected health information entrusted to us, we could be found to have breached our contracts with our clients and be subject to investigation by the U.S. Department of Health and Human Services, or HHS, Office for Civil Rights, or OCR. In the event OCR finds that we have failed to comply with applicable HIPAA privacy and security standards, we could face civil and criminal penalties. In addition, OCR performs compliance audits of Covered Entities and Business Associates in order to proactively enforce the HIPAA privacy and security standards. OCR has become an increasingly active regulator and has signaled its intention to continue this trend. OCR has the discretion to impose penalties and may require companies to enter into resolution agreements and corrective action plans which impose ongoing compliance requirements. OCR enforcement activity, or a third-party audit related to a HIPAA incident regarding us or a third-party vendor,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 policies, processes and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HIPAA compliance initiatives from time to time.</w:t>
      </w:r>
    </w:p>
    <w:p>
      <w:pPr>
        <w:spacing w:after="0" w:line="185" w:lineRule="exact"/>
        <w:rPr>
          <w:sz w:val="20"/>
          <w:szCs w:val="20"/>
          <w:color w:val="auto"/>
        </w:rPr>
      </w:pPr>
    </w:p>
    <w:p>
      <w:pPr>
        <w:jc w:val="both"/>
        <w:ind w:left="1020" w:right="79" w:hanging="322"/>
        <w:spacing w:after="0" w:line="268"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b w:val="1"/>
          <w:bCs w:val="1"/>
          <w:i w:val="1"/>
          <w:iCs w:val="1"/>
          <w:color w:val="auto"/>
        </w:rPr>
        <w:t>Other Privacy and Security Requirements</w:t>
      </w:r>
      <w:r>
        <w:rPr>
          <w:rFonts w:ascii="Arial" w:cs="Arial" w:eastAsia="Arial" w:hAnsi="Arial"/>
          <w:sz w:val="17"/>
          <w:szCs w:val="17"/>
          <w:color w:val="auto"/>
        </w:rPr>
        <w:t>. In addition to HIPAA, numerous other federal and state laws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 the collection, dissemination, use, access to and confidentiality of personal information, some of which may be applicable to our business. Certain federal and state laws protect types of personal information that may be viewed as particularly sensitive. For example, New York’s Public Health Law, Article 27-F protects information that could reveal confidential HIV-related information about an individual. In many cases, state laws are more restrictive than, and not preempted by, HIPAA, and may allow personal rights of action with respect to privacy or security breaches, as well as fines. State laws are contributing to increased enforcement activity and may also be subject to interpretation by various courts and other governmental authorities. Further, California recently enacted the CCPA, which went into operation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79" w:lineRule="exact"/>
        <w:rPr>
          <w:rFonts w:ascii="Arial" w:cs="Arial" w:eastAsia="Arial" w:hAnsi="Arial"/>
          <w:sz w:val="17"/>
          <w:szCs w:val="17"/>
          <w:color w:val="auto"/>
        </w:rPr>
      </w:pPr>
    </w:p>
    <w:p>
      <w:pPr>
        <w:jc w:val="both"/>
        <w:ind w:left="1020" w:right="59"/>
        <w:spacing w:after="0" w:line="287" w:lineRule="auto"/>
        <w:rPr>
          <w:rFonts w:ascii="Arial" w:cs="Arial" w:eastAsia="Arial" w:hAnsi="Arial"/>
          <w:sz w:val="17"/>
          <w:szCs w:val="17"/>
          <w:color w:val="auto"/>
        </w:rPr>
      </w:pPr>
      <w:r>
        <w:rPr>
          <w:rFonts w:ascii="Arial" w:cs="Arial" w:eastAsia="Arial" w:hAnsi="Arial"/>
          <w:sz w:val="16"/>
          <w:szCs w:val="16"/>
          <w:color w:val="auto"/>
        </w:rPr>
        <w:t>Certain of our solutions and services involve the transmission and storage of client and member data in various jurisdictions, which subjects the operation of those solutions and services to privacy or data protection laws and regulations in those jurisdictions. While we believe these solutions and services comply with current regulatory and security requirements in the jurisdictions in which we provide these solutions and services, there can be no assurance that such requirements will not change or that we will not otherwise be subject to legal or regulatory actions. These laws and regulations are rapidly evolving and changing, and could have an adverse impact on our operations. These laws and regulations are subject to uncertainty in how they may be interpreted and enforced by government authorities and regulators. The costs of compliance with, and the other burdens imposed by, these and other laws or regulatory actions may increase our operational costs, prevent us from providing our solutions, and/or impact our ability to invest in or jointly develop our solutions. We also may face audits or investigations by one or more government agencies relating to our compliance with these laws and regulations. An adverse outcome under any such investigation or audit</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20" w:right="59"/>
        <w:spacing w:after="0" w:line="290" w:lineRule="auto"/>
        <w:rPr>
          <w:sz w:val="20"/>
          <w:szCs w:val="20"/>
          <w:color w:val="auto"/>
        </w:rPr>
      </w:pPr>
      <w:r>
        <w:rPr>
          <w:rFonts w:ascii="Arial" w:cs="Arial" w:eastAsia="Arial" w:hAnsi="Arial"/>
          <w:sz w:val="16"/>
          <w:szCs w:val="16"/>
          <w:color w:val="auto"/>
        </w:rPr>
        <w:t>could result in fines, penalties, other liability, or could result in adverse publicity or a loss of reputation, and adversely affect our business. Any failure or perceived failure by us or by our solutions to comply with these laws and regulations may subject us to legal or regulatory actions, damage our reputation or adversely affect our ability to provide our solutions in the jurisdiction that has enacted the applicable law or regulation. Moreover, if these laws and regulations change, or are interpreted and applied in a manner that is inconsistent with our policies and processes or the operation of our solutions, we may need to expend resources in order to change our business operations, policies and processes or the manner in which we provide our solutions. This could adversely affect our business, financial condition and results of operations.</w:t>
      </w:r>
    </w:p>
    <w:p>
      <w:pPr>
        <w:spacing w:after="0" w:line="165" w:lineRule="exact"/>
        <w:rPr>
          <w:sz w:val="20"/>
          <w:szCs w:val="20"/>
          <w:color w:val="auto"/>
        </w:rPr>
      </w:pPr>
    </w:p>
    <w:p>
      <w:pPr>
        <w:jc w:val="both"/>
        <w:ind w:left="1020" w:right="79" w:hanging="322"/>
        <w:spacing w:after="0" w:line="269"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b w:val="1"/>
          <w:bCs w:val="1"/>
          <w:i w:val="1"/>
          <w:iCs w:val="1"/>
          <w:color w:val="auto"/>
        </w:rPr>
        <w:t>Data Protection and Breaches</w:t>
      </w:r>
      <w:r>
        <w:rPr>
          <w:rFonts w:ascii="Arial" w:cs="Arial" w:eastAsia="Arial" w:hAnsi="Arial"/>
          <w:sz w:val="17"/>
          <w:szCs w:val="17"/>
          <w:color w:val="auto"/>
        </w:rPr>
        <w:t>. In recent years, there have been a number of well-publicized data breaches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involving the improper dissemination of personal information of individuals both within and outside of the healthcare industry. Laws in all 50 states require businesses to provide notice to clients whose personally identifiable information has been disclosed as a result of a data breach. The laws are not consistent, and compliance in the event of a widespread data breach is costly. States are also constantly amending existing laws, requiring attention to frequently changing regulatory requirements. Most states require holders of personal information to maintain safeguards and take certain actions in response to a data breach, such as providing prompt notification of the breach to affected individuals or the state’s attorney general. In some states, these laws are limited to electronic data, but states increasingly are enacting or considering stricter and broader requirements.</w:t>
      </w:r>
    </w:p>
    <w:p>
      <w:pPr>
        <w:spacing w:after="0" w:line="185" w:lineRule="exact"/>
        <w:rPr>
          <w:rFonts w:ascii="Arial" w:cs="Arial" w:eastAsia="Arial" w:hAnsi="Arial"/>
          <w:sz w:val="17"/>
          <w:szCs w:val="17"/>
          <w:color w:val="auto"/>
        </w:rPr>
      </w:pPr>
    </w:p>
    <w:p>
      <w:pPr>
        <w:jc w:val="both"/>
        <w:ind w:left="1020" w:right="59"/>
        <w:spacing w:after="0" w:line="270" w:lineRule="auto"/>
        <w:rPr>
          <w:rFonts w:ascii="Arial" w:cs="Arial" w:eastAsia="Arial" w:hAnsi="Arial"/>
          <w:sz w:val="17"/>
          <w:szCs w:val="17"/>
          <w:color w:val="auto"/>
        </w:rPr>
      </w:pPr>
      <w:r>
        <w:rPr>
          <w:rFonts w:ascii="Arial" w:cs="Arial" w:eastAsia="Arial" w:hAnsi="Arial"/>
          <w:sz w:val="17"/>
          <w:szCs w:val="17"/>
          <w:color w:val="auto"/>
        </w:rPr>
        <w:t>Additionally, under HIPAA, Covered Entities must report breaches of unsecured protected health information to affected individuals without unreasonable delay, not to exceed 60 days following discovery of the breach by a Covered Entity or its agents. Notification also must be made to OCR and, in certain circumstances involving large breaches, to the media. Business Associates must report breaches of unsecured protected health information to Covered Entities within 60 days of discovery of the breach by the Business Associate or its agents or such shorter period as set forth in the applicable Business Associate Agreement. A non-permitted use or disclosure of protected health information is presumed to be a breach under HIPAA unless the Covered Entity or Business Associate establishes that there is a low probability the information has been compromised consistent with requirements enumerated in HIPAA.</w:t>
      </w:r>
    </w:p>
    <w:p>
      <w:pPr>
        <w:spacing w:after="0" w:line="180" w:lineRule="exact"/>
        <w:rPr>
          <w:rFonts w:ascii="Arial" w:cs="Arial" w:eastAsia="Arial" w:hAnsi="Arial"/>
          <w:sz w:val="17"/>
          <w:szCs w:val="17"/>
          <w:color w:val="auto"/>
        </w:rPr>
      </w:pPr>
    </w:p>
    <w:p>
      <w:pPr>
        <w:jc w:val="both"/>
        <w:ind w:left="1020" w:right="59"/>
        <w:spacing w:after="0" w:line="285" w:lineRule="auto"/>
        <w:rPr>
          <w:rFonts w:ascii="Arial" w:cs="Arial" w:eastAsia="Arial" w:hAnsi="Arial"/>
          <w:sz w:val="17"/>
          <w:szCs w:val="17"/>
          <w:color w:val="auto"/>
        </w:rPr>
      </w:pPr>
      <w:r>
        <w:rPr>
          <w:rFonts w:ascii="Arial" w:cs="Arial" w:eastAsia="Arial" w:hAnsi="Arial"/>
          <w:sz w:val="16"/>
          <w:szCs w:val="16"/>
          <w:color w:val="auto"/>
        </w:rPr>
        <w:t>Despite our security management efforts with respect to physical and technological safeguards, employee training, vendor (and sub-vendor) controls and contractual relationships, our infrastructure, data or other operation centers and systems used in our business operations, including the internet and related systems of our vendors (including vendors to whom we outsource data hosting, storage and processing functions) are vulnerable to, and from time to time experience, unauthorized access to data and/or breaches of confidential information due to a variety of causes. Techniques used to obtain unauthorized access to or compromise systems change frequently, are becoming increasingly sophisticated and complex, and are often not detected until after an incident has occurred. As a result, we might not be able to anticipate these techniques, implement adequate preventive measures, or immediately detect a potential compromise. If our security measures, some of which are managed by third parties, or the security measures of our service providers or vendors, are breached or fail, it is possible that unauthorized or illegal access to or acquisition, disclosure, use or processing of personal information, confidential information, or other sensitive client, member, or employee data, including HIPAA-regulated protected health information, may occur. A 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w:t>
      </w:r>
    </w:p>
    <w:p>
      <w:pPr>
        <w:spacing w:after="0" w:line="389" w:lineRule="exact"/>
        <w:rPr>
          <w:rFonts w:ascii="Arial" w:cs="Arial" w:eastAsia="Arial" w:hAnsi="Arial"/>
          <w:sz w:val="17"/>
          <w:szCs w:val="17"/>
          <w:color w:val="auto"/>
        </w:rPr>
      </w:pPr>
    </w:p>
    <w:p>
      <w:pPr>
        <w:jc w:val="both"/>
        <w:ind w:left="1020" w:right="59"/>
        <w:spacing w:after="0" w:line="296" w:lineRule="auto"/>
        <w:rPr>
          <w:rFonts w:ascii="Arial" w:cs="Arial" w:eastAsia="Arial" w:hAnsi="Arial"/>
          <w:sz w:val="17"/>
          <w:szCs w:val="17"/>
          <w:color w:val="auto"/>
        </w:rPr>
      </w:pPr>
      <w:r>
        <w:rPr>
          <w:rFonts w:ascii="Arial" w:cs="Arial" w:eastAsia="Arial" w:hAnsi="Arial"/>
          <w:sz w:val="16"/>
          <w:szCs w:val="16"/>
          <w:color w:val="auto"/>
        </w:rPr>
        <w:t>If our security measures, or those of our service providers or vendors, were to be breached or fail, our reputation could be severely damaged, adversely affecting client or investor confidence. As a result, clients may curtail their use of or stop using our offering and our business may suffer. In addition, we could face litigation, damages for contract breach, penalties and regulatory actions for violation of HIPAA and other laws or regulations applicable to data protection and significant costs for remediation and for measures to</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20" w:right="59"/>
        <w:spacing w:after="0" w:line="269" w:lineRule="auto"/>
        <w:rPr>
          <w:sz w:val="20"/>
          <w:szCs w:val="20"/>
          <w:color w:val="auto"/>
        </w:rPr>
      </w:pPr>
      <w:r>
        <w:rPr>
          <w:rFonts w:ascii="Arial" w:cs="Arial" w:eastAsia="Arial" w:hAnsi="Arial"/>
          <w:sz w:val="17"/>
          <w:szCs w:val="17"/>
          <w:color w:val="auto"/>
        </w:rPr>
        <w:t>prevent future occurrences. In addition, any potential security breach could result in increased costs associated with liability for stolen assets or information, repairing system damage that may have been caused by such breaches,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us or our industry or clients, which could cause us to lose clients or partners and adversely affect our operations and future prospects. While we maintain cyber insurance covering certain security and privacy damages and claim expenses, we may not carry insurance or maintain coverage sufficient to compensate for all liability and such insurance may not be available for renewal on acceptable terms or at all, and in any event, insurance coverage would not address the reputational damage that could result from a security incident.</w:t>
      </w:r>
    </w:p>
    <w:p>
      <w:pPr>
        <w:spacing w:after="0" w:line="179" w:lineRule="exact"/>
        <w:rPr>
          <w:sz w:val="20"/>
          <w:szCs w:val="20"/>
          <w:color w:val="auto"/>
        </w:rPr>
      </w:pPr>
    </w:p>
    <w:p>
      <w:pPr>
        <w:jc w:val="both"/>
        <w:ind w:left="1020" w:right="79" w:hanging="322"/>
        <w:spacing w:after="0" w:line="287"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HIPAA Transaction and Identifier Standards</w:t>
      </w:r>
      <w:r>
        <w:rPr>
          <w:rFonts w:ascii="Arial" w:cs="Arial" w:eastAsia="Arial" w:hAnsi="Arial"/>
          <w:sz w:val="16"/>
          <w:szCs w:val="16"/>
          <w:color w:val="auto"/>
        </w:rPr>
        <w:t>. HIPAA and its implementing regulations mandate format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 content standards and provider identifier standards (known as the National Provider Identifier) that must be used in certain electronic transactions, such as claims, payment advice and eligibility inquiries. HHS has established standards that health plans must use for electronic fund transfers with providers, has established operating rules for certain transactions, and is in the process of establishing operating rules to promote uniformity in the implementation of the remaining types of covered transactions. The ACA also requires HHS to establish standards for health claims attachment transactions. HHS has modified the standards for electronic healthcare transactions (e.g., eligibility, claims submission and payment and electronic remittance) from Version 4010/4010A to Version 5010. Further, HHS now requires the use of updated standard code sets for diagnoses and procedures known as the ICD-10 code sets. Enforcement of compliance with these standards falls under HHS and is carried out by CMS.</w:t>
      </w:r>
    </w:p>
    <w:p>
      <w:pPr>
        <w:spacing w:after="0" w:line="171" w:lineRule="exact"/>
        <w:rPr>
          <w:rFonts w:ascii="Arial" w:cs="Arial" w:eastAsia="Arial" w:hAnsi="Arial"/>
          <w:sz w:val="16"/>
          <w:szCs w:val="16"/>
          <w:color w:val="auto"/>
        </w:rPr>
      </w:pPr>
    </w:p>
    <w:p>
      <w:pPr>
        <w:jc w:val="both"/>
        <w:ind w:left="1020" w:right="59"/>
        <w:spacing w:after="0" w:line="272" w:lineRule="auto"/>
        <w:rPr>
          <w:rFonts w:ascii="Arial" w:cs="Arial" w:eastAsia="Arial" w:hAnsi="Arial"/>
          <w:sz w:val="16"/>
          <w:szCs w:val="16"/>
          <w:color w:val="auto"/>
        </w:rPr>
      </w:pPr>
      <w:r>
        <w:rPr>
          <w:rFonts w:ascii="Arial" w:cs="Arial" w:eastAsia="Arial" w:hAnsi="Arial"/>
          <w:sz w:val="17"/>
          <w:szCs w:val="17"/>
          <w:color w:val="auto"/>
        </w:rPr>
        <w:t>In the event new requirements are imposed, we will be required to modify our systems and processes to accommodate these changes. We will seek to modify our systems and processes as needed to prepare for and implement changes to the transaction standards, code sets operating rules and identifier requirements; however, we may not be successful in responding to these changes, and any responsive changes we make to our systems and processes may result in errors or otherwise negatively impact our service levels. In addition, the compliance dates for new or modified transaction standards, operating rules and identifiers may overlap, which may further burden our resources.</w:t>
      </w:r>
    </w:p>
    <w:p>
      <w:pPr>
        <w:spacing w:after="0" w:line="177" w:lineRule="exact"/>
        <w:rPr>
          <w:rFonts w:ascii="Arial" w:cs="Arial" w:eastAsia="Arial" w:hAnsi="Arial"/>
          <w:sz w:val="16"/>
          <w:szCs w:val="16"/>
          <w:color w:val="auto"/>
        </w:rPr>
      </w:pPr>
    </w:p>
    <w:p>
      <w:pPr>
        <w:jc w:val="both"/>
        <w:ind w:left="1020" w:right="79" w:hanging="322"/>
        <w:spacing w:after="0" w:line="291"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Fraud and Abuse Laws</w:t>
      </w:r>
      <w:r>
        <w:rPr>
          <w:rFonts w:ascii="Arial" w:cs="Arial" w:eastAsia="Arial" w:hAnsi="Arial"/>
          <w:sz w:val="16"/>
          <w:szCs w:val="16"/>
          <w:color w:val="auto"/>
        </w:rPr>
        <w:t>. Many of our clients, insurance carriers, and network healthcare providers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impacted directly and indirectly by certain fraud and abuse laws, including the federal Anti-Kickback Statute, the Physician Self-Referral Law, commonly referred to as the Stark Law, and the False Claims Act, as well as their state equivalents. Because the solutions and services we provide are not reimbursed by government healthcare payors, such fraud and abuse laws generally do not directly apply to our business, however, some laws may be applicable. For example, certain states have anti-kickback and false claims laws that may be broader in scope than analogous federal laws and may apply regardless of payor.</w:t>
      </w:r>
    </w:p>
    <w:p>
      <w:pPr>
        <w:spacing w:after="0" w:line="166" w:lineRule="exact"/>
        <w:rPr>
          <w:rFonts w:ascii="Arial" w:cs="Arial" w:eastAsia="Arial" w:hAnsi="Arial"/>
          <w:sz w:val="16"/>
          <w:szCs w:val="16"/>
          <w:color w:val="auto"/>
        </w:rPr>
      </w:pPr>
    </w:p>
    <w:p>
      <w:pPr>
        <w:jc w:val="both"/>
        <w:ind w:left="1020" w:right="59"/>
        <w:spacing w:after="0" w:line="287" w:lineRule="auto"/>
        <w:rPr>
          <w:rFonts w:ascii="Arial" w:cs="Arial" w:eastAsia="Arial" w:hAnsi="Arial"/>
          <w:sz w:val="16"/>
          <w:szCs w:val="16"/>
          <w:color w:val="auto"/>
        </w:rPr>
      </w:pPr>
      <w:r>
        <w:rPr>
          <w:rFonts w:ascii="Arial" w:cs="Arial" w:eastAsia="Arial" w:hAnsi="Arial"/>
          <w:sz w:val="16"/>
          <w:szCs w:val="16"/>
          <w:color w:val="auto"/>
        </w:rPr>
        <w:t>The laws, regulations and other requirements in this area are both broad and vague and judicial interpretation can also be inconsistent. We review our practices with regulatory experts in an effort to comply with all applicable laws, regulatory and other requirements. However, we are unable to predict how these laws, regulations and other requirements will be interpreted or the full extent of their application, particularly to services that are not directly reimbursed by federal healthcare programs. Any determination by a federal or state regulatory authority that any of our activities or those of our clients or vendors violate any of these laws or regulations could subject us to significant administrative, civil or criminal penalties, damages, disgorgement, monetary fines or imprisonment, require us to enter into corporate integrity agreements or similar agreements with ongoing compliance obligations, disqualify us from providing services to clients that are, or do business with, government programs and/or have an adverse impact on our business, financial condition and results of operations. Even an unsuccessful challenge by a regulatory authority of our activities could result in adverse publicity and could require a costly response from us.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20" w:right="79" w:hanging="322"/>
        <w:spacing w:after="0" w:line="284"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ERISA Regulation</w:t>
      </w:r>
      <w:r>
        <w:rPr>
          <w:rFonts w:ascii="Arial" w:cs="Arial" w:eastAsia="Arial" w:hAnsi="Arial"/>
          <w:sz w:val="16"/>
          <w:szCs w:val="16"/>
          <w:color w:val="auto"/>
        </w:rPr>
        <w:t>. The Employee Retirement Income Security Act of 1974, or ERISA, regulates certain</w:t>
      </w:r>
      <w:r>
        <w:rPr>
          <w:rFonts w:ascii="Arial" w:cs="Arial" w:eastAsia="Arial" w:hAnsi="Arial"/>
          <w:sz w:val="16"/>
          <w:szCs w:val="16"/>
          <w:b w:val="1"/>
          <w:bCs w:val="1"/>
          <w:i w:val="1"/>
          <w:iCs w:val="1"/>
          <w:color w:val="auto"/>
        </w:rPr>
        <w:t xml:space="preserve"> aspects </w:t>
      </w:r>
      <w:r>
        <w:rPr>
          <w:rFonts w:ascii="Arial" w:cs="Arial" w:eastAsia="Arial" w:hAnsi="Arial"/>
          <w:sz w:val="16"/>
          <w:szCs w:val="16"/>
          <w:color w:val="auto"/>
        </w:rPr>
        <w:t>of employee pension and health benefits plans, including self-funded corporate health plans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sponsored by our clients, with which we have agreements to provide TPA services. As part of our agreements with a number of these clients, we offer PBM services through Progyny Rx. We believe the conduct of our business vis-à-vis these plans is not generally subject to the fiduciary obligations of ERISA. However, there can be no assurance the United States Department of Labor, or the DOL, which is the agency that enforces ERISA, would not in the future assert that the fiduciary obligations imposed by ERISA apply to certain aspects of our operations or courts would not reach such a ruling in private ERISA litigation. In addition to its fiduciary provisions, ERISA has broad preemptive effect and has been held to preempt state laws imposing transparency requirements on PBMs. ERISA also imposes civil and criminal liability on service providers to health plans subject to ERISA and certain other persons with relationships to such plans if certain forms of illegal or prohibited remuneration are made or received by such service providers or other persons. These provisions of ERISA are similar, but not identical, to the healthcare anti-kickback laws described above, although ERISA lacks the statutory and regulatory “safe harbor” exceptions incorporated into the healthcare anti-kickback laws. Like the healthcare anti-kickback laws, the corresponding provisions of ERISA are broadly written and their application to particular cases can be uncertain. Employee benefits plans subject to ERISA are subject to certain rules, published by the DOL, including certain reporting requirements for direct and indirect compensation received by plan service providers. However, many self-funded health plans such as the plans that we have contracts with are exempt from these reporting requirements under current law. At this time, we are unable to predict whether the DOL will issue additional regulations or guidance on reporting or which additional regulations, if any, may be proposed in formal rulemaking by the DOL.</w:t>
      </w:r>
    </w:p>
    <w:p>
      <w:pPr>
        <w:spacing w:after="0" w:line="179" w:lineRule="exact"/>
        <w:rPr>
          <w:rFonts w:ascii="Arial" w:cs="Arial" w:eastAsia="Arial" w:hAnsi="Arial"/>
          <w:sz w:val="16"/>
          <w:szCs w:val="16"/>
          <w:color w:val="auto"/>
        </w:rPr>
      </w:pPr>
    </w:p>
    <w:p>
      <w:pPr>
        <w:jc w:val="both"/>
        <w:ind w:left="1020" w:right="79" w:hanging="322"/>
        <w:spacing w:after="0" w:line="287"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Prompt Pay Laws</w:t>
      </w:r>
      <w:r>
        <w:rPr>
          <w:rFonts w:ascii="Arial" w:cs="Arial" w:eastAsia="Arial" w:hAnsi="Arial"/>
          <w:sz w:val="16"/>
          <w:szCs w:val="16"/>
          <w:color w:val="auto"/>
        </w:rPr>
        <w:t>. Certain states have laws regulating the amount of time that may elapse from when a third-party payor receives a claim for services rendered to when those services are paid. These “prompt pay” laws may impact us as well as our clients and insurance carriers. Under these “prompt pay” laws, we may be obligated to pay healthcare providers within established time periods, and such time periods may be shorter than existing contracted terms and/or via electronic transfer. In many states, we are deemed to be exempt from the prompt pay laws, however, we seek to comply with them in each state in which we do business to the extent applicable, and our efforts include the use of controls such as policies and processing systems that ensure we pay claims as quickly as possible and contract language related to timeframes permitted by applicable law. If we do not make payments to healthcare providers in a timely fashion consistent with prompt pay laws, we may be required to pay interest in addition to any amounts owed to such providers. In addition, our reputation may be harmed and our contractual obligations to certain clients may be breached, causing us to lose revenue or otherwise pay penalties under such contracts.</w:t>
      </w:r>
    </w:p>
    <w:p>
      <w:pPr>
        <w:spacing w:after="0" w:line="167" w:lineRule="exact"/>
        <w:rPr>
          <w:rFonts w:ascii="Arial" w:cs="Arial" w:eastAsia="Arial" w:hAnsi="Arial"/>
          <w:sz w:val="16"/>
          <w:szCs w:val="16"/>
          <w:color w:val="auto"/>
        </w:rPr>
      </w:pPr>
    </w:p>
    <w:p>
      <w:pPr>
        <w:jc w:val="both"/>
        <w:ind w:left="1020" w:right="79" w:hanging="322"/>
        <w:spacing w:after="0" w:line="285"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Network Adequacy and Access Requirements</w:t>
      </w:r>
      <w:r>
        <w:rPr>
          <w:rFonts w:ascii="Arial" w:cs="Arial" w:eastAsia="Arial" w:hAnsi="Arial"/>
          <w:sz w:val="16"/>
          <w:szCs w:val="16"/>
          <w:color w:val="auto"/>
        </w:rPr>
        <w:t>. Network adequacy and access laws require health plans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maintain a network of healthcare providers sufficient to deliver the benefits they contract to provide to their enrollees. In light of the increase in “narrow networks”, there has been a legislative push to ensure that commercial payors contract with a sufficient number of healthcare providers to create an “adequate network.” Additionally, a majority of states now have some form of legislation affecting our payor clients’ ability to limit access to a provider network or remove a provider from the network. Such legislation may require our clients to admit any healthcare provider including any pharmacy provider willing to meet the plan’s price and other terms for network participation (“any willing provider” legislation) or may provide that a provider may not be removed from a network except in compliance with certain procedures (“due process” legislation). Further, to ensure network adequacy and quality, a network may seek to accredit its healthcare providers through any number of accrediting bodies, such as the National Committee for Quality Assurance, or NCQA, and the Utilization Review Accreditation Commission. We follow NCQA standards to credential the health providers with whom we contract to provide services within our network, and engage Council for Affordable Quality Healthcare to conduct provider credentialing where required. Should any of the states we operate in determine that our network of providers does not meet adequacy or access requirements, we may be subject to administrative penalties and other administrative actions, as well as private litigation. In addition, if we are unable to contract with a sufficient number of providers, we may become subject to administrative penalties or enforcement actions from state regulatory agencies, litigation from consumers, and may be in breach of certain contractual covenants with our partners.</w:t>
      </w:r>
    </w:p>
    <w:p>
      <w:pPr>
        <w:sectPr>
          <w:pgSz w:w="11900" w:h="16838" w:orient="portrait"/>
          <w:cols w:equalWidth="0" w:num="1">
            <w:col w:w="9019"/>
          </w:cols>
          <w:pgMar w:left="1440" w:top="517" w:right="1440"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1020" w:right="79" w:hanging="322"/>
        <w:spacing w:after="0" w:line="269"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Consumer Protection Laws</w:t>
      </w:r>
      <w:r>
        <w:rPr>
          <w:rFonts w:ascii="Arial" w:cs="Arial" w:eastAsia="Arial" w:hAnsi="Arial"/>
          <w:sz w:val="17"/>
          <w:szCs w:val="17"/>
          <w:color w:val="auto"/>
        </w:rPr>
        <w:t>. Federal and state consumer protection laws are being applied increasingly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Federal Trade Commission, or FTC, Federal Communications Commission, or FCC,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users of our services that describe how we handle personal information and choices consumers may have about the way we handle personal information. If such information that we publish is considered untrue, we may be subject to claims of unfair or deceptive trade practices, which could lead to significant liabilities and consequences, including, costs of defending against litigation, settling claims and loss of willingness of current and future clients to work with us.</w:t>
      </w:r>
    </w:p>
    <w:p>
      <w:pPr>
        <w:spacing w:after="0" w:line="181" w:lineRule="exact"/>
        <w:rPr>
          <w:rFonts w:ascii="Arial" w:cs="Arial" w:eastAsia="Arial" w:hAnsi="Arial"/>
          <w:sz w:val="17"/>
          <w:szCs w:val="17"/>
          <w:color w:val="auto"/>
        </w:rPr>
      </w:pPr>
    </w:p>
    <w:p>
      <w:pPr>
        <w:jc w:val="both"/>
        <w:ind w:left="1020" w:right="79" w:hanging="322"/>
        <w:spacing w:after="0" w:line="272"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Restrictions on Communication</w:t>
      </w:r>
      <w:r>
        <w:rPr>
          <w:rFonts w:ascii="Arial" w:cs="Arial" w:eastAsia="Arial" w:hAnsi="Arial"/>
          <w:sz w:val="17"/>
          <w:szCs w:val="17"/>
          <w:color w:val="auto"/>
        </w:rPr>
        <w:t>. Communications with our members increasingly may be subject to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restricted by laws and regulations governing communications via telephone, fax, text, and email. We also use email and social media platforms as marketing tools. For example, we maintain social media accounts. As laws and regulations, including FTC enforcement, rapidly evolve to govern the use of these platforms and devices, the failure by us, our employees or third parties acting at our direction to abide by applicable laws and regulations in the use of these platforms and devices could adversely impact our business, financial condition and results of operations or subject us to fines or other penalties.</w:t>
      </w:r>
    </w:p>
    <w:p>
      <w:pPr>
        <w:spacing w:after="0" w:line="177"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2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All of our revenue is derived from the healthcare industry, which is highly regulated and subject to changing political, legislative, regulatory and other influences. Healthcare laws and regulations are rapidly evolving and may change significantly in the future. For example, while ACA does not directly regulate our business as a benefit area, it does affect the coverage and plan designs that are or will be provided by certain insurance carriers and certain of our clients, taxability of such plans, as well as the overall reimbursement and drug pricing environment for healthcare providers. There remain judicial and Congressional challenges to certain aspects of the ACA, as well as efforts by the Trump administration to repeal or replace certain aspects of the ACA. Further, the United States Supreme Court announced on March 2, 2020 that it will consolidate two cases regarding the constitutionality of the ACA. It is unclear when a decision is expected to be made. Health reform efforts, including reforms to the ACA, and measures that would expand the role of government-sponsored coverage, including single payer or so-called “Medicare-for-All” proposals, which could have far-reaching implications for the healthcare industry if enacted.</w:t>
      </w:r>
    </w:p>
    <w:p>
      <w:pPr>
        <w:spacing w:after="0" w:line="18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are unable to predict the full impact of health reform initiatives on our operations in light of the uncertainty regarding whether, when and how the ACA will be further changed, what alternative reforms (including single payer proposals), if any, may be enacted, the timing of enactment and implementation of alternative provisions and the impact of alternative provisions on various healthcare industry participants.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Government regulation, industry standards and other requirements create risks and challenges with respect to our compliance efforts and our business strategies.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healthcare industry is highly regulated and subject to frequently changing laws, regulations, industry standards and other requirements. Many healthcare laws and regulations are complex, and their application to specific solutions, services and relationships may not be clear. Because our clients are subject to various requirements, we may be impacted as a result of our contractual obligations even when we are not directly subject to such requirements. In particular, many existing healthcare laws and regulations, when enacted, did not anticipate the solutions and services that we provide, and these laws and regulations may be applied to our solutions and services in ways that we do not anticipate. The ACA, efforts to repeal or materially change the ACA, and other federal and state efforts to reform or revise aspects of the healthcare industry or to revise or create additional legal or and regulatory requirements could impact our operations, the use of our solutions and services, and our ability to market new solutions and services, or could create unexpected liabilities for us. There have also been a number of reform efforts around PBMs including pricing and transparency which could</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affect our business. We also may be impacted by laws, industry standards and other requirements that are not specific to the healthcare industry, such as consumer protection laws and payment card industry standards. These requirements may impact our operations and, if not followed, could result in fines, penalties and other liabilities and adverse publicity and injury to our reputation.</w:t>
      </w:r>
    </w:p>
    <w:p>
      <w:pPr>
        <w:spacing w:after="0" w:line="187"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0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While we operate only in the United States, we remain subject to the U.S. Foreign Corrupt Practices Act, U.S. domestic 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If we expand our business and sales outside the United States and to the public sector, we may engage with business partners and third-party intermediaries to market our services and to obtain for us the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8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 which could adversely affect our business, financial condition and results of operations.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Any potential sales to government entities are subject to a number of challenges and risks.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may sell our services or solutions to U.S. federal, state, and local government, and agency, clients.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offerings is dependent on many factors outside our control, including general economic conditions, public sector budgetary constraints and funding authorizations, and general political priorities, with funding reductions or delays adversely affecting public sector demand for our offerings.</w:t>
      </w:r>
    </w:p>
    <w:p>
      <w:pPr>
        <w:spacing w:after="0" w:line="19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Further, governmental and highly regulated entities may demand contract terms that differ from our standard arrangements. Such entities may have statutory, contractual, or other legal rights to terminate contracts with us or our partners due to a default or for other reasons. Any such termination may adversely affect our reputation, business, financial condition and results of operations.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70"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Our success depends in part on our ability to protect our brand and proprietary trade secret and confidential information, including unpatented know-how, technology and other proprietary information, maintaining, defending and enforcing our intellectual property rights. We rely on our agreements with our clients, and non-disclosure and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confidentiality agreements with employees and third parties, and our trademarks, trade secrets, and copyrights to protect our intellectual property rights. However, any of these parties may breach such agreements and disclose our proprietary information, and we may not be able to obtain adequate remedies for such breaches. There is no assurance that we will be able to obtain, maintain, defend and enforce our intellectual property rights, or that such intellectual property rights will not be challenged, narrowed, held unenforceable or circumvented. Therefore, these legal protections and precautions may not prevent infringement, misappropriation or other violations of our intellectual property. Any litigation and any infringement, misappropriation or other violations of our intellectual property could hinder our ability to market and sell our solutions, and our business, financial condition and results of operations could be adversely affected.</w:t>
      </w:r>
    </w:p>
    <w:p>
      <w:pPr>
        <w:spacing w:after="0" w:line="16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spacing w:after="0" w:line="184"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Third parties may allege that our products and services, or the conduct of our business, infringe, misappropriate or otherwise violate such third party’s intellectual property rights. Even if such claims are without merit, defending such claims would cause us to incur substantial expenses and could cause us to pay substantial damages or seek a costly license if we are found to be infringing, misappropriating, or otherwise violating a third party’s intellectual property rights. If we are unable to enter into a license on acceptable terms or at all, we could be forced to cease some aspect of our business operations or be forced to redesign our products or services so that we no longer infringe the third-party intellectual property rights, which may result in significant cost and delay to us, or which redesign could be technically infeasible. Even if resolved in our favor, litigation or other legal proceedings relating to intellectual property claims may cause us to incur significant expenses and could distract our employees and management personnel from their normal responsibilities.</w:t>
      </w:r>
    </w:p>
    <w:p>
      <w:pPr>
        <w:spacing w:after="0" w:line="16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Moreover,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third parties, including such individual’s former employer.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9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Furthermore, we currently own registered trademarks. In addition,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will need to build name recognition by potential collaborators or clients in our markets of interest.</w:t>
      </w:r>
    </w:p>
    <w:p>
      <w:pPr>
        <w:spacing w:after="0" w:line="15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Any litigation against us could be costly and time-consuming to defend and could harm our business, financial condition and results of operations.</w:t>
      </w:r>
    </w:p>
    <w:p>
      <w:pPr>
        <w:spacing w:after="0" w:line="17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We are currently in arbitration with a former vendor who alleges a breach of our contract with such vendor, as described in Part II, Item 1. “Legal Proceedings” of this Quarterly Report on Form 10-Q. We are unable to predict the outcome of any of these legal proceedings. Such proceedings might result in substantial costs, regardless of the outcome,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condition and results of operations.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84"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may in the future seek to acquire or invest in businesses, joint ventures, products and services, or technologies that we believe could complement or expand our platform,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services, personnel or operations of the acquired companies, particularly if the key personnel of the acquired company choose not to work for us, they are operationally difficult to integrate, or we have difficulty retaining the clients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or we fail to successfully integrate such businesses into our own, our business, financial condition and results of operations may be adversely affected or we may be exposed to unknown risks or liabilities.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December 2017 U.S. federal tax reform may subject us to potential adverse tax consequences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Tax Cuts and Jobs Act, or the Tax Act, enacted in December 2017, among other things, includes changes to U.S. federal tax rates, imposes additional limitations on the deductibility of interest, has both positive and negative changes to the utilization of future net operating loss carryforwards, allows for the expensing of certain capital expenditures, and puts into effect the migration from a “worldwide” system of taxation to a “quasi-territorial system”. Our net deferred tax assets and liabilities and valuation allowance have been revalued at the U.S. corporate rate, which the Tax Act reduced to 21%. We continue to examine the impact this tax reform legislation may have on our business. The impact of this tax reform on holders of our common stock is uncertain and could be adverse.</w:t>
      </w:r>
    </w:p>
    <w:p>
      <w:pPr>
        <w:spacing w:after="0" w:line="177" w:lineRule="exact"/>
        <w:rPr>
          <w:sz w:val="20"/>
          <w:szCs w:val="20"/>
          <w:color w:val="auto"/>
        </w:rPr>
      </w:pPr>
    </w:p>
    <w:p>
      <w:pPr>
        <w:jc w:val="center"/>
        <w:ind w:right="1219"/>
        <w:spacing w:after="0"/>
        <w:rPr>
          <w:sz w:val="20"/>
          <w:szCs w:val="20"/>
          <w:color w:val="auto"/>
        </w:rPr>
      </w:pPr>
      <w:r>
        <w:rPr>
          <w:rFonts w:ascii="Arial" w:cs="Arial" w:eastAsia="Arial" w:hAnsi="Arial"/>
          <w:sz w:val="15"/>
          <w:szCs w:val="15"/>
          <w:b w:val="1"/>
          <w:bCs w:val="1"/>
          <w:i w:val="1"/>
          <w:iCs w:val="1"/>
          <w:color w:val="auto"/>
        </w:rPr>
        <w:t>Changes in our effective tax rate or tax liability may have an adverse effect on our results of operations.</w:t>
      </w:r>
    </w:p>
    <w:p>
      <w:pPr>
        <w:spacing w:after="0" w:line="26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effective tax rate could increase due to several factors, including, but not limited to:</w:t>
      </w:r>
    </w:p>
    <w:p>
      <w:pPr>
        <w:spacing w:after="0" w:line="225" w:lineRule="exact"/>
        <w:rPr>
          <w:sz w:val="20"/>
          <w:szCs w:val="20"/>
          <w:color w:val="auto"/>
        </w:rPr>
      </w:pPr>
    </w:p>
    <w:p>
      <w:pPr>
        <w:ind w:left="700" w:right="199" w:hanging="32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that have differing statutory tax rates;</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 including the Tax Act;</w:t>
      </w:r>
    </w:p>
    <w:p>
      <w:pPr>
        <w:spacing w:after="0" w:line="225" w:lineRule="exact"/>
        <w:rPr>
          <w:rFonts w:ascii="Arial" w:cs="Arial" w:eastAsia="Arial" w:hAnsi="Arial"/>
          <w:sz w:val="18"/>
          <w:szCs w:val="18"/>
          <w:color w:val="auto"/>
        </w:rPr>
      </w:pPr>
    </w:p>
    <w:p>
      <w:pPr>
        <w:ind w:left="700" w:right="379" w:hanging="326"/>
        <w:spacing w:after="0" w:line="263"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83" w:lineRule="exact"/>
        <w:rPr>
          <w:rFonts w:ascii="Arial" w:cs="Arial" w:eastAsia="Arial" w:hAnsi="Arial"/>
          <w:sz w:val="18"/>
          <w:szCs w:val="18"/>
          <w:color w:val="auto"/>
        </w:rPr>
      </w:pPr>
    </w:p>
    <w:p>
      <w:pPr>
        <w:ind w:left="700" w:hanging="32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outcome of future tax audits, examinations, or administrative appeals; and</w:t>
      </w:r>
    </w:p>
    <w:p>
      <w:pPr>
        <w:spacing w:after="0" w:line="225" w:lineRule="exact"/>
        <w:rPr>
          <w:rFonts w:ascii="Arial" w:cs="Arial" w:eastAsia="Arial" w:hAnsi="Arial"/>
          <w:sz w:val="18"/>
          <w:szCs w:val="18"/>
          <w:color w:val="auto"/>
        </w:rPr>
      </w:pPr>
    </w:p>
    <w:p>
      <w:pPr>
        <w:ind w:left="700" w:right="1939" w:hanging="326"/>
        <w:spacing w:after="0" w:line="623" w:lineRule="auto"/>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limitations or adverse findings regarding our ability to do business in some jurisdictions. Any of these developments could have an adverse effect on our results of operations.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Certain U.S. state tax authorities may assert that we have a state nexus and seek to impose state and local income taxes which could adversely affect our results of operations.</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currently file state income tax returns in certain states. There is a risk that certain state tax authorities where we do not currently file a state income tax return could assert that we are liable for state and local income taxes based upon income or gross receipts allocable to such states. States are becoming increasingly aggressive in asserting a nexus for state income tax purposes. We could be subject to state and local taxation, including penalties and interest attributable to prior periods, if a state tax authority in which we do not currently file a state income tax return successfully asserts that our activities give rise to a taxable nexus. Such tax assessments, penalties and interest may adversely affect our results of operations.</w:t>
      </w:r>
    </w:p>
    <w:p>
      <w:pPr>
        <w:spacing w:after="0" w:line="19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not be able to utilize a significant portion of our net operating loss or research tax credit carryforwards, which could adversely affect our profitability.</w:t>
      </w:r>
    </w:p>
    <w:p>
      <w:pPr>
        <w:spacing w:after="0" w:line="17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As of December 31, 2019, we had federal and state net operating loss carryforwards of approximately $92 million and $71 million, respectively, due to prior period losses, some of which, if not utilized, will begin to expire in 2031 for federal and state purposes. Under the Tax Cuts and Jobs Act, or the U.S. Tax Act (as amended by the Coronavirus Aid, Relief, and Economic Security Act, or CARES Act), the use of our federal net operating loss carryforwards generated during the year ended December 31, 2019 is limited to 80% of our taxable income in any future taxable year beginning after December 31, 2020, although such losses may be carried forward indefinitely. Federal and California research and development tax credit carryforwards are approximately $729,000 and $830,000, respectively. The federal research and development tax credits begin to expire in 2030, and the California research and development tax credits have no expiration date. These net operating loss and research tax credit carryforwards could expire unused and be unavailable to offset future income tax liabilities, which could adversely affect our profitability.</w:t>
      </w:r>
    </w:p>
    <w:p>
      <w:pPr>
        <w:spacing w:after="0" w:line="16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addition, under Section 382 of the Internal Revenue Code of 1986, as amended, our ability to utilize net operating loss carryforwards or other tax attributes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Any future ownership change, which could be outside of our control, could also have a material effect on the use of our net operating loss carryforwards or other tax attributes, which could adversely affect our profitability.</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17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Accounting principles generally accepted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157"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For example, in February 2016, the FASB issued ASU No. 2016-02, Leases (Topic 842).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 an “emerging growth company,” we are allowed under the JOBS Act to delay adoption of new or revised accounting pronouncements applicable to public companies until such pronouncements are made applicable to private companies. The adoption of new or revised accounting principles may require us to make changes to our systems, processes and control, which could have a significant effect on our reported financial results, cause unexpected financial reporting fluctuations, retroactively affect previously reported results or require us to make costly changes to our operational processes and accounting systems upon or following the adoption of these standards.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our financial statements and accompanying notes included elsewhere in this Quarterly Report on Form 10-Q. We base our estimates on historical experience and on various other assumptions that we believe to be reasonable under the circumstances, as provided in Part II, Item 7. “Management’s Discussion and Analysis of Financial Condition and Results of Operations-Critical Accounting Policies and Estimates” of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used in preparing our financial statements include those related to the determination of fair value of our common stock, estimates of accounts receivable relating to member copayments and revenue recognition relating to services rendered but for which no claim has yet been reported,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market price of our common stock may be highly volatile and may fluctuate or decline substantially as a result of a variety of factors, some of which are beyond our control, including, but not limited to:</w:t>
      </w:r>
    </w:p>
    <w:p>
      <w:pPr>
        <w:spacing w:after="0" w:line="170" w:lineRule="exact"/>
        <w:rPr>
          <w:sz w:val="20"/>
          <w:szCs w:val="20"/>
          <w:color w:val="auto"/>
        </w:rPr>
      </w:pPr>
    </w:p>
    <w:p>
      <w:pPr>
        <w:ind w:left="700" w:hanging="32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or results of operations;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pricing of our solutions and services;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 and solutions;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business developments, acquisitions, or new offerings;</w:t>
      </w:r>
    </w:p>
    <w:p>
      <w:pPr>
        <w:spacing w:after="0" w:line="236" w:lineRule="exact"/>
        <w:rPr>
          <w:rFonts w:ascii="Arial" w:cs="Arial" w:eastAsia="Arial" w:hAnsi="Arial"/>
          <w:sz w:val="17"/>
          <w:szCs w:val="17"/>
          <w:color w:val="auto"/>
        </w:rPr>
      </w:pPr>
    </w:p>
    <w:p>
      <w:pPr>
        <w:ind w:left="700" w:hanging="32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data breaches of our company, providers, vendors or pharmacies;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future sales of our common stock by us or our stockholders, as well as the anticipation of lock-up releases;</w:t>
      </w:r>
    </w:p>
    <w:p>
      <w:pPr>
        <w:spacing w:after="0" w:line="236" w:lineRule="exact"/>
        <w:rPr>
          <w:rFonts w:ascii="Arial" w:cs="Arial" w:eastAsia="Arial" w:hAnsi="Arial"/>
          <w:sz w:val="17"/>
          <w:szCs w:val="17"/>
          <w:color w:val="auto"/>
        </w:rPr>
      </w:pPr>
    </w:p>
    <w:p>
      <w:pPr>
        <w:ind w:left="700" w:hanging="32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Broad market and industry fluctuations, as well as general economic, political, regulatory, and market conditions, including those related to the recent COVID-19 pandemic, may also negatively impact the market price of our common stock. Fluctuations in our quarterly operating results and the price of our common stock may be particularly pronounced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the current economic environment due to the uncertainty caused by and the unprecedented nature of the current COVID-19 pandemic. These and other factors may cause the market price and demand for our common stock to fluctuate substantially, which may limit or prevent investors from readily selling their shares of common stock and may otherwise negatively affect the liquidity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An active public trading market for our common stock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results of operations may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184" w:lineRule="exact"/>
        <w:rPr>
          <w:sz w:val="20"/>
          <w:szCs w:val="20"/>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demand for or pricing of our solutions;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attract new clients;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retain our existing clients;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client expansion rates;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clients’ budgets and in the timing of their budget cycles and purchasing decisions;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 and healthcare costs;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sales and marketing expenses;</w:t>
      </w:r>
    </w:p>
    <w:p>
      <w:pPr>
        <w:spacing w:after="0" w:line="225"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and timing of non-cash expenses, including stock-based compensation, goodwill impairments and other non-cash charges;</w:t>
      </w:r>
    </w:p>
    <w:p>
      <w:pPr>
        <w:spacing w:after="0" w:line="170"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170"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conditions, as well as economic conditions specifically affecting industries in which our clients participate, including those related to the recent COVID-19 pandemic;</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the competitive dynamics of our market, including consolidation among competitors or clients; and</w:t>
      </w:r>
    </w:p>
    <w:p>
      <w:pPr>
        <w:spacing w:after="0" w:line="236" w:lineRule="exact"/>
        <w:rPr>
          <w:rFonts w:ascii="Arial" w:cs="Arial" w:eastAsia="Arial" w:hAnsi="Arial"/>
          <w:sz w:val="17"/>
          <w:szCs w:val="17"/>
          <w:color w:val="auto"/>
        </w:rPr>
      </w:pPr>
    </w:p>
    <w:p>
      <w:pPr>
        <w:ind w:left="700" w:right="79" w:hanging="32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solutions and services.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Any of these and other factors, or the cumulative effect of some of these factors, may cause our results of operations to vary significantly. For example, the full impact of the COVID-19 pandemic is unknown at this time, but could result in adverse changes in our results of operations for an unknown period of time as the virus and its related political, social and economic impacts spread.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19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6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are required, pursuant to Section 404 of the Sarbanes-Oxley Act, or Section 404, to furnish a report by management on, among other things, the effectiveness of our internal control over financial reporting and our independent registered public accounting firm will be required to attest to the effectiveness of our internal control over financial reporting for the fiscal year ending December 31, 2020. We have already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will require that we incur substantial accounting expenses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6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For example, in connection with our audit of the fiscal year 2018 consolidated financial statements, we and our independent registered public accounting firm identified one material weakness in our controls related to the lack of review and oversight over financial reporting, which we determined we had remediated as of December 31, 2019.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Future sales of our common stock in the public market could cause the market price of our common stock to decline.</w:t>
      </w:r>
    </w:p>
    <w:p>
      <w:pPr>
        <w:spacing w:after="0" w:line="260"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8"/>
          <w:szCs w:val="18"/>
          <w:color w:val="auto"/>
        </w:rPr>
        <w:t>Future 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87"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All of our directors and officers and the holders of substantially all of our capital stock and securities convertible into our capital stock were subject to lock-up agreements that restricted their ability to transfer shares of our capital stock through the end of the day on April 21, 2020. These lock-up agreements have expired and, as a result, a substantial number of our shares are now generally freely tradable, subject, in the case of sales by our affiliates, to the volume limitations and other provisions of Rule 144 under the Securities Act. If holders of these shares sell, or indicate an intent to sell, substantial amounts of our common stock in the public market, the trading price of our common stock could decline significantly.</w:t>
      </w:r>
    </w:p>
    <w:p>
      <w:pPr>
        <w:spacing w:after="0" w:line="164" w:lineRule="exact"/>
        <w:rPr>
          <w:sz w:val="20"/>
          <w:szCs w:val="20"/>
          <w:color w:val="auto"/>
        </w:rPr>
      </w:pPr>
    </w:p>
    <w:p>
      <w:pPr>
        <w:ind w:left="60" w:right="119" w:firstLine="648"/>
        <w:spacing w:after="0" w:line="342" w:lineRule="auto"/>
        <w:rPr>
          <w:sz w:val="20"/>
          <w:szCs w:val="20"/>
          <w:color w:val="auto"/>
        </w:rPr>
      </w:pPr>
      <w:r>
        <w:rPr>
          <w:rFonts w:ascii="Arial" w:cs="Arial" w:eastAsia="Arial" w:hAnsi="Arial"/>
          <w:sz w:val="16"/>
          <w:szCs w:val="16"/>
          <w:color w:val="auto"/>
        </w:rPr>
        <w:t>In addition, we have registered all of the shares of common stock issuable upon exercise of outstanding options or other equity awards we may grant in the future, for public resale under the Securities Act. Accordingly, these shares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277" w:lineRule="auto"/>
        <w:rPr>
          <w:sz w:val="20"/>
          <w:szCs w:val="20"/>
          <w:color w:val="auto"/>
        </w:rPr>
      </w:pPr>
      <w:r>
        <w:rPr>
          <w:rFonts w:ascii="Arial" w:cs="Arial" w:eastAsia="Arial" w:hAnsi="Arial"/>
          <w:sz w:val="18"/>
          <w:szCs w:val="18"/>
          <w:color w:val="auto"/>
        </w:rPr>
        <w:t>are eligible for sale in the public market to the extent such options are exercised, and in compliance with applicable securities laws.</w:t>
      </w:r>
    </w:p>
    <w:p>
      <w:pPr>
        <w:spacing w:after="0" w:line="170"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Further, holders of a substantial number of shares of our common stock have rights, subject to certain conditions, to require us to file registration statements covering the sale of their shares or to include their shares in registration statements that we may file for ourselves or other stockholders.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r>
        <w:rPr>
          <w:rFonts w:ascii="Arial" w:cs="Arial" w:eastAsia="Arial" w:hAnsi="Arial"/>
          <w:sz w:val="18"/>
          <w:szCs w:val="18"/>
          <w:i w:val="1"/>
          <w:iCs w:val="1"/>
          <w:color w:val="auto"/>
        </w:rPr>
        <w:t>.</w:t>
      </w:r>
    </w:p>
    <w:p>
      <w:pPr>
        <w:spacing w:after="0" w:line="17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businesses, joint ventures, products and services,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the market price and trading volume of our common stock could decline.</w:t>
      </w:r>
    </w:p>
    <w:p>
      <w:pPr>
        <w:spacing w:after="0" w:line="170"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market price and trading volume of our common stock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w:t>
      </w:r>
    </w:p>
    <w:p>
      <w:pPr>
        <w:spacing w:after="0" w:line="17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0"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will no longer qualify as an “emerging growth company” as of December 31, 2020 and, as a result, we will no longer be able to avail ourselves of certain reduced reporting and disclosure requirements.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are currently an “emerging growth company” as defined in the JOBS Act and we have taken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financial statements may not be comparable to the financial statements of issuers who are required to comply with the effective dates for new or revised accounting standards that are applicable to public companies, which may make our common stock less attractive to investors. It is possible that investors have found or will continue to find our common stock less attractive in light of the fact that we have relied on certain of these exemptions.</w:t>
      </w:r>
    </w:p>
    <w:p>
      <w:pPr>
        <w:spacing w:after="0" w:line="179"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Based on the market value of our common stock held by non-affiliates as of June 30, 2020, we will cease to qualify as an emerging growth company, effective as of December 31, 2020. We will no longer be able to take advantage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of any of the exemptions from various reporting requirements that are applicable to other public companies that are not “emerging growth companies” as described above, and we will no longer be able to use the extended transition period for complying with new or revised accounting standards. We expect that the loss of our “emerging growth company” status and compliance with these additional requirements will substantially increase our legal and financial compliance costs. In addition, any failure to comply with these additional requirements in a timely manner, or at all, could have an adverse effect on our business and results of operations and could cause a decline in the price of our common stock.</w:t>
      </w:r>
    </w:p>
    <w:p>
      <w:pPr>
        <w:spacing w:after="0" w:line="164"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124"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which we expect to further increase as we transition out of “emerging growth company” status. Based on the market value of our common stock held by non-affiliates as of June 30, 2020, we will cease to qualify as an emerging growth company, effective as of December 31, 2020. The Sarbanes-Oxley Act, the Dodd-Frank Wall Street Reform and Consumer Protection Act, the listing requirements of the Nasdaq Stock Market, or Nasdaq, and other applicable securities rules and regulations impose various requirements on public companies. Our management and other personnel devote a substantial amount of time to compliance with these requirements. Moreover, these rules and regulations increase our legal and financial compliance costs and make some activities more time- consuming and costly. We cannot predict or estimate the amount of additional costs we will incur as a public company or the specific timing of such costs.</w:t>
      </w:r>
    </w:p>
    <w:p>
      <w:pPr>
        <w:spacing w:after="0" w:line="16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184" w:lineRule="exact"/>
        <w:rPr>
          <w:sz w:val="20"/>
          <w:szCs w:val="20"/>
          <w:color w:val="auto"/>
        </w:rPr>
      </w:pPr>
    </w:p>
    <w:p>
      <w:pPr>
        <w:ind w:left="700" w:right="99" w:hanging="326"/>
        <w:spacing w:after="0" w:line="263"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83" w:lineRule="exact"/>
        <w:rPr>
          <w:rFonts w:ascii="Arial" w:cs="Arial" w:eastAsia="Arial" w:hAnsi="Arial"/>
          <w:sz w:val="18"/>
          <w:szCs w:val="18"/>
          <w:color w:val="auto"/>
        </w:rPr>
      </w:pPr>
    </w:p>
    <w:p>
      <w:pPr>
        <w:ind w:left="700" w:right="239" w:hanging="326"/>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be effected at a duly called annual or special meeting and not by written consent;</w:t>
      </w:r>
    </w:p>
    <w:p>
      <w:pPr>
        <w:spacing w:after="0" w:line="170" w:lineRule="exact"/>
        <w:rPr>
          <w:rFonts w:ascii="Arial" w:cs="Arial" w:eastAsia="Arial" w:hAnsi="Arial"/>
          <w:sz w:val="18"/>
          <w:szCs w:val="18"/>
          <w:color w:val="auto"/>
        </w:rPr>
      </w:pPr>
    </w:p>
    <w:p>
      <w:pPr>
        <w:ind w:left="700" w:right="179" w:hanging="326"/>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170"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170" w:lineRule="exact"/>
        <w:rPr>
          <w:rFonts w:ascii="Arial" w:cs="Arial" w:eastAsia="Arial" w:hAnsi="Arial"/>
          <w:sz w:val="18"/>
          <w:szCs w:val="18"/>
          <w:color w:val="auto"/>
        </w:rPr>
      </w:pPr>
    </w:p>
    <w:p>
      <w:pPr>
        <w:ind w:left="700" w:right="419" w:hanging="326"/>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225" w:lineRule="exact"/>
        <w:rPr>
          <w:rFonts w:ascii="Arial" w:cs="Arial" w:eastAsia="Arial" w:hAnsi="Arial"/>
          <w:sz w:val="18"/>
          <w:szCs w:val="18"/>
          <w:color w:val="auto"/>
        </w:rPr>
      </w:pPr>
    </w:p>
    <w:p>
      <w:pPr>
        <w:ind w:left="700" w:right="459" w:hanging="326"/>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our directors may be removed for cause only upon the vote of at least 662/3% of our outstanding shares of voting stock;</w:t>
      </w:r>
    </w:p>
    <w:p>
      <w:pPr>
        <w:spacing w:after="0" w:line="170" w:lineRule="exact"/>
        <w:rPr>
          <w:rFonts w:ascii="Arial" w:cs="Arial" w:eastAsia="Arial" w:hAnsi="Arial"/>
          <w:sz w:val="18"/>
          <w:szCs w:val="18"/>
          <w:color w:val="auto"/>
        </w:rPr>
      </w:pPr>
    </w:p>
    <w:p>
      <w:pPr>
        <w:ind w:left="700" w:right="139" w:hanging="326"/>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559" w:hanging="326"/>
        <w:spacing w:after="0" w:line="308" w:lineRule="auto"/>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require the approval of our Board of Directors or the holders of at least 662/3% of our outstanding shares of voting stock to amend our bylaws and certain provisions of our certificate of incorporation.</w:t>
      </w:r>
    </w:p>
    <w:p>
      <w:pPr>
        <w:spacing w:after="0" w:line="146"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181"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employees.</w:t>
      </w:r>
    </w:p>
    <w:p>
      <w:pPr>
        <w:spacing w:after="0" w:line="171"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Our amended and restated certificate of incorporation provides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 lack jurisdiction, the federal district court for the District of Delaware) will be the sole and exclusive forum for the following types of actions or proceedings under Delaware statutory or common law: (1) any derivative action or proceeding brought on our behalf; (2) any action asserting a breach of a fiduciary duty owed by any current or former director, officer or other employee, to us or our stockholders; (3) any action or proceeding asserting a claim against us or any of our current or former directors, officers or other employees, arising out of or pursuant to any provisions of the Delaware General Corporation Law, our amended and restated certificate of incorporation, or our amended and restated bylaws; (4) or any action or proceeding to interpret, apply, enforce or determine the validity of our amended and restated certificate of incorporation or our amended and restated bylaws; (5) any action or proceeding as to which the Delaware General Corporation Law confers jurisdiction on the Court of Chancery of the State of Delaware; or (6) any action asserting a claim against us, or any of our directors, officers or other employees, that is governed by the internal affairs doctrine, in all cases to the fullest extent permitted by law and subject to the court’s having personal jurisdiction over the indispensable parties named as defendants. For the avoidance of doubt, these choice of forum provisions will not apply to suits brought to enforce a duty or liability created by the Securities Act, the Exchange Act or any other claim for which the federal courts have exclusive jurisdiction. In particular, Section 22 of the Securities Act creates concurrent jurisdiction for federal and state courts over all such Securities Act actions.</w:t>
      </w:r>
    </w:p>
    <w:p>
      <w:pPr>
        <w:spacing w:after="0" w:line="190"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These choice of forum provisions may limit a stockholder’s ability to bring a claim in a judicial forum that it finds favorable for disputes with us or our directors, officers, or other employees and may discourage these types of lawsuits. A stockholder may, nevertheless, seek to bring a claim in a venue other than that designated in our amended and restated certificate of incorporation. In such instance we would expect to vigorously assert the validity and enforceability of the exclusive forum provisions, which may require significant additional costs. Furthermore, if a court were to find the choice of forum provisions contained in our amended and restated certificate of incorporation to be inapplicable or unenforceable in an action, we may incur additional costs associated with resolving such action in other jurisdictions.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On October 29, 2019, in connection with our IPO, we issued and sold 6,700,000 shares of our common stock and certain of our selling stockholders offered and sold 4,800,000 shares of our common stock at a price to the public of $13.00 per share resulting in net proceeds to us of $77.6 million, after deducting the underwriting discount of $5.9 million and offering expenses of $3.6 million. All of the shares issued and sold in our IPO were registered under the Securities Act pursuant to a registration statement on Form S-1 (File No. 333-233965), which was declared effective by the SEC on October 24, 2019. The net proceeds of $77.6 million from our IPO have been invested in investment grade, interest-bearing instruments. There has been no material change in the expected use of the net proceeds from our IPO as described in our final prospectus, filed with the SEC on October 25, 2019 pursuant to Rule 424(b) relating to our Registration Statement.</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Incorporated by Reference</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Filed/Furnished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gridSpan w:val="18"/>
            <w:vMerge w:val="restart"/>
          </w:tcPr>
          <w:p>
            <w:pPr>
              <w:ind w:left="1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0"/>
                <w:szCs w:val="10"/>
                <w:color w:val="auto"/>
              </w:rPr>
            </w:pPr>
          </w:p>
        </w:tc>
        <w:tc>
          <w:tcPr>
            <w:tcW w:w="5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Form</w:t>
            </w:r>
          </w:p>
        </w:tc>
        <w:tc>
          <w:tcPr>
            <w:tcW w:w="9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File No.</w:t>
            </w:r>
          </w:p>
        </w:tc>
        <w:tc>
          <w:tcPr>
            <w:tcW w:w="7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Exhibit</w:t>
            </w:r>
          </w:p>
        </w:tc>
        <w:tc>
          <w:tcPr>
            <w:tcW w:w="1780" w:type="dxa"/>
            <w:vAlign w:val="bottom"/>
          </w:tcPr>
          <w:p>
            <w:pPr>
              <w:ind w:left="220"/>
              <w:spacing w:after="0" w:line="119" w:lineRule="exact"/>
              <w:rPr>
                <w:sz w:val="20"/>
                <w:szCs w:val="20"/>
                <w:color w:val="auto"/>
              </w:rPr>
            </w:pPr>
            <w:r>
              <w:rPr>
                <w:rFonts w:ascii="Arial" w:cs="Arial" w:eastAsia="Arial" w:hAnsi="Arial"/>
                <w:sz w:val="13"/>
                <w:szCs w:val="13"/>
                <w:b w:val="1"/>
                <w:bCs w:val="1"/>
                <w:color w:val="auto"/>
              </w:rPr>
              <w:t>Filing</w:t>
            </w: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18"/>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7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Date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line="169"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640" w:type="dxa"/>
            <w:vAlign w:val="bottom"/>
            <w:tcBorders>
              <w:bottom w:val="single" w:sz="8" w:color="0000EE"/>
            </w:tcBorders>
            <w:gridSpan w:val="7"/>
          </w:tcPr>
          <w:p>
            <w:pPr>
              <w:spacing w:after="0" w:line="169" w:lineRule="exact"/>
              <w:rPr>
                <w:rFonts w:ascii="Arial" w:cs="Arial" w:eastAsia="Arial" w:hAnsi="Arial"/>
                <w:sz w:val="18"/>
                <w:szCs w:val="18"/>
                <w:color w:val="0000EE"/>
                <w:w w:val="85"/>
              </w:rPr>
            </w:pPr>
            <w:hyperlink r:id="rId89">
              <w:r>
                <w:rPr>
                  <w:rFonts w:ascii="Arial" w:cs="Arial" w:eastAsia="Arial" w:hAnsi="Arial"/>
                  <w:sz w:val="18"/>
                  <w:szCs w:val="18"/>
                  <w:color w:val="0000EE"/>
                  <w:w w:val="85"/>
                </w:rPr>
                <w:t>Amended and Restated</w:t>
              </w:r>
            </w:hyperlink>
          </w:p>
        </w:tc>
        <w:tc>
          <w:tcPr>
            <w:tcW w:w="800" w:type="dxa"/>
            <w:vAlign w:val="bottom"/>
            <w:gridSpan w:val="13"/>
          </w:tcPr>
          <w:p>
            <w:pPr>
              <w:spacing w:after="0"/>
              <w:rPr>
                <w:sz w:val="14"/>
                <w:szCs w:val="14"/>
                <w:color w:val="auto"/>
              </w:rPr>
            </w:pPr>
          </w:p>
        </w:tc>
        <w:tc>
          <w:tcPr>
            <w:tcW w:w="660" w:type="dxa"/>
            <w:vAlign w:val="bottom"/>
            <w:gridSpan w:val="2"/>
          </w:tcPr>
          <w:p>
            <w:pPr>
              <w:ind w:left="100"/>
              <w:spacing w:after="0" w:line="169" w:lineRule="exact"/>
              <w:rPr>
                <w:sz w:val="20"/>
                <w:szCs w:val="20"/>
                <w:color w:val="auto"/>
              </w:rPr>
            </w:pPr>
            <w:r>
              <w:rPr>
                <w:rFonts w:ascii="Arial" w:cs="Arial" w:eastAsia="Arial" w:hAnsi="Arial"/>
                <w:sz w:val="18"/>
                <w:szCs w:val="18"/>
                <w:color w:val="auto"/>
              </w:rPr>
              <w:t>8-K</w:t>
            </w:r>
          </w:p>
        </w:tc>
        <w:tc>
          <w:tcPr>
            <w:tcW w:w="920" w:type="dxa"/>
            <w:vAlign w:val="bottom"/>
          </w:tcPr>
          <w:p>
            <w:pPr>
              <w:jc w:val="right"/>
              <w:spacing w:after="0" w:line="169" w:lineRule="exact"/>
              <w:rPr>
                <w:sz w:val="20"/>
                <w:szCs w:val="20"/>
                <w:color w:val="auto"/>
              </w:rPr>
            </w:pPr>
            <w:r>
              <w:rPr>
                <w:rFonts w:ascii="Arial" w:cs="Arial" w:eastAsia="Arial" w:hAnsi="Arial"/>
                <w:sz w:val="18"/>
                <w:szCs w:val="18"/>
                <w:color w:val="auto"/>
                <w:w w:val="97"/>
              </w:rPr>
              <w:t>001-39100</w:t>
            </w:r>
          </w:p>
        </w:tc>
        <w:tc>
          <w:tcPr>
            <w:tcW w:w="740" w:type="dxa"/>
            <w:vAlign w:val="bottom"/>
          </w:tcPr>
          <w:p>
            <w:pPr>
              <w:jc w:val="right"/>
              <w:ind w:right="379"/>
              <w:spacing w:after="0" w:line="169" w:lineRule="exact"/>
              <w:rPr>
                <w:sz w:val="20"/>
                <w:szCs w:val="20"/>
                <w:color w:val="auto"/>
              </w:rPr>
            </w:pPr>
            <w:r>
              <w:rPr>
                <w:rFonts w:ascii="Arial" w:cs="Arial" w:eastAsia="Arial" w:hAnsi="Arial"/>
                <w:sz w:val="18"/>
                <w:szCs w:val="18"/>
                <w:color w:val="auto"/>
              </w:rPr>
              <w:t>3.1</w:t>
            </w:r>
          </w:p>
        </w:tc>
        <w:tc>
          <w:tcPr>
            <w:tcW w:w="1780" w:type="dxa"/>
            <w:vAlign w:val="bottom"/>
          </w:tcPr>
          <w:p>
            <w:pPr>
              <w:ind w:left="220"/>
              <w:spacing w:after="0" w:line="169" w:lineRule="exact"/>
              <w:rPr>
                <w:sz w:val="20"/>
                <w:szCs w:val="20"/>
                <w:color w:val="auto"/>
              </w:rPr>
            </w:pPr>
            <w:r>
              <w:rPr>
                <w:rFonts w:ascii="Arial" w:cs="Arial" w:eastAsia="Arial" w:hAnsi="Arial"/>
                <w:sz w:val="18"/>
                <w:szCs w:val="18"/>
                <w:color w:val="auto"/>
              </w:rPr>
              <w:t>10/31/2019</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1"/>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Certificate of Incorporation of</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89">
              <w:r>
                <w:rPr>
                  <w:rFonts w:ascii="Arial" w:cs="Arial" w:eastAsia="Arial" w:hAnsi="Arial"/>
                  <w:sz w:val="18"/>
                  <w:szCs w:val="18"/>
                  <w:color w:val="0000EE"/>
                  <w:w w:val="89"/>
                </w:rPr>
                <w:t>Progyny, Inc.</w:t>
              </w:r>
            </w:hyperlink>
          </w:p>
        </w:tc>
        <w:tc>
          <w:tcPr>
            <w:tcW w:w="1200" w:type="dxa"/>
            <w:vAlign w:val="bottom"/>
            <w:tcBorders>
              <w:top w:val="single" w:sz="8" w:color="0000EE"/>
            </w:tcBorders>
            <w:gridSpan w:val="12"/>
          </w:tcPr>
          <w:p>
            <w:pPr>
              <w:spacing w:after="0"/>
              <w:rPr>
                <w:sz w:val="17"/>
                <w:szCs w:val="17"/>
                <w:color w:val="auto"/>
              </w:rPr>
            </w:pPr>
          </w:p>
        </w:tc>
        <w:tc>
          <w:tcPr>
            <w:tcW w:w="30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3.2</w:t>
            </w:r>
          </w:p>
        </w:tc>
        <w:tc>
          <w:tcPr>
            <w:tcW w:w="160" w:type="dxa"/>
            <w:vAlign w:val="bottom"/>
          </w:tcPr>
          <w:p>
            <w:pPr>
              <w:spacing w:after="0"/>
              <w:rPr>
                <w:sz w:val="17"/>
                <w:szCs w:val="17"/>
                <w:color w:val="auto"/>
              </w:rPr>
            </w:pPr>
          </w:p>
        </w:tc>
        <w:tc>
          <w:tcPr>
            <w:tcW w:w="232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90">
              <w:r>
                <w:rPr>
                  <w:rFonts w:ascii="Arial" w:cs="Arial" w:eastAsia="Arial" w:hAnsi="Arial"/>
                  <w:sz w:val="18"/>
                  <w:szCs w:val="18"/>
                  <w:color w:val="0000EE"/>
                  <w:w w:val="89"/>
                </w:rPr>
                <w:t>Amended and Restated By-laws</w:t>
              </w:r>
            </w:hyperlink>
          </w:p>
        </w:tc>
        <w:tc>
          <w:tcPr>
            <w:tcW w:w="140" w:type="dxa"/>
            <w:vAlign w:val="bottom"/>
            <w:gridSpan w:val="2"/>
          </w:tcPr>
          <w:p>
            <w:pPr>
              <w:spacing w:after="0"/>
              <w:rPr>
                <w:sz w:val="17"/>
                <w:szCs w:val="17"/>
                <w:color w:val="auto"/>
              </w:rPr>
            </w:pPr>
          </w:p>
        </w:tc>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S-1</w:t>
            </w:r>
          </w:p>
        </w:tc>
        <w:tc>
          <w:tcPr>
            <w:tcW w:w="166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7"/>
              </w:rPr>
              <w:t>333-2339653.4</w:t>
            </w:r>
          </w:p>
        </w:tc>
        <w:tc>
          <w:tcPr>
            <w:tcW w:w="1780" w:type="dxa"/>
            <w:vAlign w:val="bottom"/>
          </w:tcPr>
          <w:p>
            <w:pPr>
              <w:ind w:left="220"/>
              <w:spacing w:after="0" w:line="196" w:lineRule="exact"/>
              <w:rPr>
                <w:sz w:val="20"/>
                <w:szCs w:val="20"/>
                <w:color w:val="auto"/>
              </w:rPr>
            </w:pPr>
            <w:r>
              <w:rPr>
                <w:rFonts w:ascii="Arial" w:cs="Arial" w:eastAsia="Arial" w:hAnsi="Arial"/>
                <w:sz w:val="18"/>
                <w:szCs w:val="18"/>
                <w:color w:val="auto"/>
              </w:rPr>
              <w:t>9/27/2019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1"/>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of Progyny, Inc.</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4.1</w:t>
            </w:r>
          </w:p>
        </w:tc>
        <w:tc>
          <w:tcPr>
            <w:tcW w:w="160" w:type="dxa"/>
            <w:vAlign w:val="bottom"/>
          </w:tcPr>
          <w:p>
            <w:pPr>
              <w:spacing w:after="0"/>
              <w:rPr>
                <w:sz w:val="17"/>
                <w:szCs w:val="17"/>
                <w:color w:val="auto"/>
              </w:rPr>
            </w:pPr>
          </w:p>
        </w:tc>
        <w:tc>
          <w:tcPr>
            <w:tcW w:w="16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91">
              <w:r>
                <w:rPr>
                  <w:rFonts w:ascii="Arial" w:cs="Arial" w:eastAsia="Arial" w:hAnsi="Arial"/>
                  <w:sz w:val="18"/>
                  <w:szCs w:val="18"/>
                  <w:color w:val="0000EE"/>
                  <w:w w:val="90"/>
                </w:rPr>
                <w:t>Form of common stock</w:t>
              </w:r>
            </w:hyperlink>
          </w:p>
        </w:tc>
        <w:tc>
          <w:tcPr>
            <w:tcW w:w="780" w:type="dxa"/>
            <w:vAlign w:val="bottom"/>
            <w:gridSpan w:val="12"/>
          </w:tcPr>
          <w:p>
            <w:pPr>
              <w:spacing w:after="0"/>
              <w:rPr>
                <w:sz w:val="17"/>
                <w:szCs w:val="17"/>
                <w:color w:val="auto"/>
              </w:rPr>
            </w:pPr>
          </w:p>
        </w:tc>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S-1/A</w:t>
            </w:r>
          </w:p>
        </w:tc>
        <w:tc>
          <w:tcPr>
            <w:tcW w:w="166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7"/>
              </w:rPr>
              <w:t>333-2339654.1</w:t>
            </w:r>
          </w:p>
        </w:tc>
        <w:tc>
          <w:tcPr>
            <w:tcW w:w="1780" w:type="dxa"/>
            <w:vAlign w:val="bottom"/>
          </w:tcPr>
          <w:p>
            <w:pPr>
              <w:ind w:left="220"/>
              <w:spacing w:after="0" w:line="196" w:lineRule="exact"/>
              <w:rPr>
                <w:sz w:val="20"/>
                <w:szCs w:val="20"/>
                <w:color w:val="auto"/>
              </w:rPr>
            </w:pPr>
            <w:r>
              <w:rPr>
                <w:rFonts w:ascii="Arial" w:cs="Arial" w:eastAsia="Arial" w:hAnsi="Arial"/>
                <w:sz w:val="18"/>
                <w:szCs w:val="18"/>
                <w:color w:val="auto"/>
              </w:rPr>
              <w:t>10/15/2019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1"/>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certificate</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7"/>
                <w:szCs w:val="17"/>
                <w:color w:val="auto"/>
              </w:rPr>
            </w:pPr>
          </w:p>
        </w:tc>
        <w:tc>
          <w:tcPr>
            <w:tcW w:w="2460" w:type="dxa"/>
            <w:vAlign w:val="bottom"/>
            <w:gridSpan w:val="21"/>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Form of 2013 Preferred Stock</w:t>
              </w:r>
            </w:hyperlink>
          </w:p>
        </w:tc>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S-1/A</w:t>
            </w:r>
          </w:p>
        </w:tc>
        <w:tc>
          <w:tcPr>
            <w:tcW w:w="166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7"/>
              </w:rPr>
              <w:t>333-2339654.2</w:t>
            </w:r>
          </w:p>
        </w:tc>
        <w:tc>
          <w:tcPr>
            <w:tcW w:w="1780" w:type="dxa"/>
            <w:vAlign w:val="bottom"/>
          </w:tcPr>
          <w:p>
            <w:pPr>
              <w:ind w:left="220"/>
              <w:spacing w:after="0" w:line="196" w:lineRule="exact"/>
              <w:rPr>
                <w:sz w:val="20"/>
                <w:szCs w:val="20"/>
                <w:color w:val="auto"/>
              </w:rPr>
            </w:pPr>
            <w:r>
              <w:rPr>
                <w:rFonts w:ascii="Arial" w:cs="Arial" w:eastAsia="Arial" w:hAnsi="Arial"/>
                <w:sz w:val="18"/>
                <w:szCs w:val="18"/>
                <w:color w:val="auto"/>
              </w:rPr>
              <w:t>10/15/2019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Warrant.</w:t>
              </w:r>
            </w:hyperlink>
          </w:p>
        </w:tc>
        <w:tc>
          <w:tcPr>
            <w:tcW w:w="32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4.3</w:t>
            </w:r>
          </w:p>
        </w:tc>
        <w:tc>
          <w:tcPr>
            <w:tcW w:w="160" w:type="dxa"/>
            <w:vAlign w:val="bottom"/>
          </w:tcPr>
          <w:p>
            <w:pPr>
              <w:spacing w:after="0"/>
              <w:rPr>
                <w:sz w:val="17"/>
                <w:szCs w:val="17"/>
                <w:color w:val="auto"/>
              </w:rPr>
            </w:pPr>
          </w:p>
        </w:tc>
        <w:tc>
          <w:tcPr>
            <w:tcW w:w="2460" w:type="dxa"/>
            <w:vAlign w:val="bottom"/>
            <w:gridSpan w:val="21"/>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Form of 2014 Preferred Stock</w:t>
              </w:r>
            </w:hyperlink>
          </w:p>
        </w:tc>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S-1/A</w:t>
            </w:r>
          </w:p>
        </w:tc>
        <w:tc>
          <w:tcPr>
            <w:tcW w:w="166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7"/>
              </w:rPr>
              <w:t>333-2339654.3</w:t>
            </w:r>
          </w:p>
        </w:tc>
        <w:tc>
          <w:tcPr>
            <w:tcW w:w="1780" w:type="dxa"/>
            <w:vAlign w:val="bottom"/>
          </w:tcPr>
          <w:p>
            <w:pPr>
              <w:ind w:left="220"/>
              <w:spacing w:after="0" w:line="196" w:lineRule="exact"/>
              <w:rPr>
                <w:sz w:val="20"/>
                <w:szCs w:val="20"/>
                <w:color w:val="auto"/>
              </w:rPr>
            </w:pPr>
            <w:r>
              <w:rPr>
                <w:rFonts w:ascii="Arial" w:cs="Arial" w:eastAsia="Arial" w:hAnsi="Arial"/>
                <w:sz w:val="18"/>
                <w:szCs w:val="18"/>
                <w:color w:val="auto"/>
              </w:rPr>
              <w:t>10/15/2019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Warrant.</w:t>
              </w:r>
            </w:hyperlink>
          </w:p>
        </w:tc>
        <w:tc>
          <w:tcPr>
            <w:tcW w:w="32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4.4</w:t>
            </w:r>
          </w:p>
        </w:tc>
        <w:tc>
          <w:tcPr>
            <w:tcW w:w="160" w:type="dxa"/>
            <w:vAlign w:val="bottom"/>
          </w:tcPr>
          <w:p>
            <w:pPr>
              <w:spacing w:after="0"/>
              <w:rPr>
                <w:sz w:val="17"/>
                <w:szCs w:val="17"/>
                <w:color w:val="auto"/>
              </w:rPr>
            </w:pPr>
          </w:p>
        </w:tc>
        <w:tc>
          <w:tcPr>
            <w:tcW w:w="2460" w:type="dxa"/>
            <w:vAlign w:val="bottom"/>
            <w:gridSpan w:val="21"/>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Form of 2015 Preferred Stock</w:t>
              </w:r>
            </w:hyperlink>
          </w:p>
        </w:tc>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S-1/A</w:t>
            </w:r>
          </w:p>
        </w:tc>
        <w:tc>
          <w:tcPr>
            <w:tcW w:w="166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7"/>
              </w:rPr>
              <w:t>333-2339654.4</w:t>
            </w:r>
          </w:p>
        </w:tc>
        <w:tc>
          <w:tcPr>
            <w:tcW w:w="1780" w:type="dxa"/>
            <w:vAlign w:val="bottom"/>
          </w:tcPr>
          <w:p>
            <w:pPr>
              <w:ind w:left="220"/>
              <w:spacing w:after="0" w:line="196" w:lineRule="exact"/>
              <w:rPr>
                <w:sz w:val="20"/>
                <w:szCs w:val="20"/>
                <w:color w:val="auto"/>
              </w:rPr>
            </w:pPr>
            <w:r>
              <w:rPr>
                <w:rFonts w:ascii="Arial" w:cs="Arial" w:eastAsia="Arial" w:hAnsi="Arial"/>
                <w:sz w:val="18"/>
                <w:szCs w:val="18"/>
                <w:color w:val="auto"/>
              </w:rPr>
              <w:t>10/15/2019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Warrant.</w:t>
              </w:r>
            </w:hyperlink>
          </w:p>
        </w:tc>
        <w:tc>
          <w:tcPr>
            <w:tcW w:w="32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4.5</w:t>
            </w:r>
          </w:p>
        </w:tc>
        <w:tc>
          <w:tcPr>
            <w:tcW w:w="160" w:type="dxa"/>
            <w:vAlign w:val="bottom"/>
          </w:tcPr>
          <w:p>
            <w:pPr>
              <w:spacing w:after="0"/>
              <w:rPr>
                <w:sz w:val="17"/>
                <w:szCs w:val="17"/>
                <w:color w:val="auto"/>
              </w:rPr>
            </w:pPr>
          </w:p>
        </w:tc>
        <w:tc>
          <w:tcPr>
            <w:tcW w:w="190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r:id="rId95">
              <w:r>
                <w:rPr>
                  <w:rFonts w:ascii="Arial" w:cs="Arial" w:eastAsia="Arial" w:hAnsi="Arial"/>
                  <w:sz w:val="18"/>
                  <w:szCs w:val="18"/>
                  <w:color w:val="0000EE"/>
                  <w:w w:val="87"/>
                </w:rPr>
                <w:t>Warrant to Purchase Stock</w:t>
              </w:r>
            </w:hyperlink>
          </w:p>
        </w:tc>
        <w:tc>
          <w:tcPr>
            <w:tcW w:w="560" w:type="dxa"/>
            <w:vAlign w:val="bottom"/>
            <w:gridSpan w:val="9"/>
          </w:tcPr>
          <w:p>
            <w:pPr>
              <w:spacing w:after="0"/>
              <w:rPr>
                <w:sz w:val="17"/>
                <w:szCs w:val="17"/>
                <w:color w:val="auto"/>
              </w:rPr>
            </w:pPr>
          </w:p>
        </w:tc>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S-1/A</w:t>
            </w:r>
          </w:p>
        </w:tc>
        <w:tc>
          <w:tcPr>
            <w:tcW w:w="166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7"/>
              </w:rPr>
              <w:t>333-2339654.5</w:t>
            </w:r>
          </w:p>
        </w:tc>
        <w:tc>
          <w:tcPr>
            <w:tcW w:w="1780" w:type="dxa"/>
            <w:vAlign w:val="bottom"/>
          </w:tcPr>
          <w:p>
            <w:pPr>
              <w:ind w:left="220"/>
              <w:spacing w:after="0" w:line="196" w:lineRule="exact"/>
              <w:rPr>
                <w:sz w:val="20"/>
                <w:szCs w:val="20"/>
                <w:color w:val="auto"/>
              </w:rPr>
            </w:pPr>
            <w:r>
              <w:rPr>
                <w:rFonts w:ascii="Arial" w:cs="Arial" w:eastAsia="Arial" w:hAnsi="Arial"/>
                <w:sz w:val="18"/>
                <w:szCs w:val="18"/>
                <w:color w:val="auto"/>
              </w:rPr>
              <w:t>10/15/2019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1"/>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issued to Silicon Valley Bank</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tcBorders>
              <w:top w:val="single" w:sz="8" w:color="0000EE"/>
            </w:tcBorders>
            <w:gridSpan w:val="13"/>
          </w:tcPr>
          <w:p>
            <w:pPr>
              <w:spacing w:after="0"/>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dated October 9, 2013.</w:t>
              </w:r>
            </w:hyperlink>
          </w:p>
        </w:tc>
        <w:tc>
          <w:tcPr>
            <w:tcW w:w="360" w:type="dxa"/>
            <w:vAlign w:val="bottom"/>
            <w:gridSpan w:val="8"/>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6"/>
                <w:szCs w:val="16"/>
                <w:color w:val="auto"/>
              </w:rPr>
            </w:pPr>
          </w:p>
        </w:tc>
        <w:tc>
          <w:tcPr>
            <w:tcW w:w="1860" w:type="dxa"/>
            <w:vAlign w:val="bottom"/>
            <w:tcBorders>
              <w:bottom w:val="single" w:sz="8" w:color="0000EE"/>
            </w:tcBorders>
            <w:gridSpan w:val="11"/>
          </w:tcPr>
          <w:p>
            <w:pPr>
              <w:spacing w:after="0" w:line="190"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Amendments to Loan and</w:t>
              </w:r>
            </w:hyperlink>
          </w:p>
        </w:tc>
        <w:tc>
          <w:tcPr>
            <w:tcW w:w="600" w:type="dxa"/>
            <w:vAlign w:val="bottom"/>
            <w:gridSpan w:val="10"/>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1"/>
          </w:tcPr>
          <w:p>
            <w:pPr>
              <w:spacing w:after="0" w:line="196" w:lineRule="exact"/>
              <w:rPr>
                <w:rFonts w:ascii="Arial" w:cs="Arial" w:eastAsia="Arial" w:hAnsi="Arial"/>
                <w:sz w:val="18"/>
                <w:szCs w:val="18"/>
                <w:color w:val="0000EE"/>
                <w:w w:val="94"/>
              </w:rPr>
            </w:pPr>
            <w:hyperlink w:anchor="page72">
              <w:r>
                <w:rPr>
                  <w:rFonts w:ascii="Arial" w:cs="Arial" w:eastAsia="Arial" w:hAnsi="Arial"/>
                  <w:sz w:val="18"/>
                  <w:szCs w:val="18"/>
                  <w:color w:val="0000EE"/>
                  <w:w w:val="94"/>
                </w:rPr>
                <w:t>Security Agreement, dated as of</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tcBorders>
              <w:top w:val="single" w:sz="8" w:color="0000EE"/>
            </w:tcBorders>
            <w:gridSpan w:val="18"/>
          </w:tcPr>
          <w:p>
            <w:pPr>
              <w:spacing w:after="0" w:line="196" w:lineRule="exact"/>
              <w:rPr>
                <w:rFonts w:ascii="Arial" w:cs="Arial" w:eastAsia="Arial" w:hAnsi="Arial"/>
                <w:sz w:val="18"/>
                <w:szCs w:val="18"/>
                <w:color w:val="0000EE"/>
                <w:w w:val="94"/>
              </w:rPr>
            </w:pPr>
            <w:hyperlink w:anchor="page72">
              <w:r>
                <w:rPr>
                  <w:rFonts w:ascii="Arial" w:cs="Arial" w:eastAsia="Arial" w:hAnsi="Arial"/>
                  <w:sz w:val="18"/>
                  <w:szCs w:val="18"/>
                  <w:color w:val="0000EE"/>
                  <w:w w:val="94"/>
                </w:rPr>
                <w:t>June 8, 2018, between Silicon</w:t>
              </w:r>
            </w:hyperlink>
          </w:p>
        </w:tc>
        <w:tc>
          <w:tcPr>
            <w:tcW w:w="16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40" w:type="dxa"/>
            <w:vAlign w:val="bottom"/>
            <w:tcBorders>
              <w:top w:val="single" w:sz="8" w:color="0000EE"/>
            </w:tcBorders>
            <w:gridSpan w:val="15"/>
          </w:tcPr>
          <w:p>
            <w:pPr>
              <w:spacing w:after="0"/>
              <w:rPr>
                <w:rFonts w:ascii="Arial" w:cs="Arial" w:eastAsia="Arial" w:hAnsi="Arial"/>
                <w:sz w:val="18"/>
                <w:szCs w:val="18"/>
                <w:u w:val="single" w:color="auto"/>
                <w:color w:val="0000EE"/>
                <w:w w:val="95"/>
              </w:rPr>
            </w:pPr>
            <w:hyperlink w:anchor="page72">
              <w:r>
                <w:rPr>
                  <w:rFonts w:ascii="Arial" w:cs="Arial" w:eastAsia="Arial" w:hAnsi="Arial"/>
                  <w:sz w:val="18"/>
                  <w:szCs w:val="18"/>
                  <w:u w:val="single" w:color="auto"/>
                  <w:color w:val="0000EE"/>
                  <w:w w:val="95"/>
                </w:rPr>
                <w:t>Valley Bank and Registrant.</w:t>
              </w:r>
            </w:hyperlink>
          </w:p>
        </w:tc>
        <w:tc>
          <w:tcPr>
            <w:tcW w:w="320" w:type="dxa"/>
            <w:vAlign w:val="bottom"/>
            <w:gridSpan w:val="6"/>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31.1</w:t>
            </w:r>
          </w:p>
        </w:tc>
        <w:tc>
          <w:tcPr>
            <w:tcW w:w="160" w:type="dxa"/>
            <w:vAlign w:val="bottom"/>
          </w:tcPr>
          <w:p>
            <w:pPr>
              <w:spacing w:after="0"/>
              <w:rPr>
                <w:sz w:val="16"/>
                <w:szCs w:val="16"/>
                <w:color w:val="auto"/>
              </w:rPr>
            </w:pPr>
          </w:p>
        </w:tc>
        <w:tc>
          <w:tcPr>
            <w:tcW w:w="2460" w:type="dxa"/>
            <w:vAlign w:val="bottom"/>
            <w:gridSpan w:val="21"/>
          </w:tcPr>
          <w:p>
            <w:pPr>
              <w:spacing w:after="0" w:line="190" w:lineRule="exact"/>
              <w:rPr>
                <w:rFonts w:ascii="Arial" w:cs="Arial" w:eastAsia="Arial" w:hAnsi="Arial"/>
                <w:sz w:val="18"/>
                <w:szCs w:val="18"/>
                <w:color w:val="0000EE"/>
                <w:w w:val="99"/>
              </w:rPr>
            </w:pPr>
            <w:hyperlink w:anchor="page92">
              <w:r>
                <w:rPr>
                  <w:rFonts w:ascii="Arial" w:cs="Arial" w:eastAsia="Arial" w:hAnsi="Arial"/>
                  <w:sz w:val="18"/>
                  <w:szCs w:val="18"/>
                  <w:color w:val="0000EE"/>
                  <w:w w:val="99"/>
                </w:rPr>
                <w:t>Certification of Chief Executive</w:t>
              </w:r>
            </w:hyperlink>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Officer pursuant to Exchange</w:t>
              </w:r>
            </w:hyperlink>
          </w:p>
        </w:tc>
        <w:tc>
          <w:tcPr>
            <w:tcW w:w="180" w:type="dxa"/>
            <w:vAlign w:val="bottom"/>
            <w:tcBorders>
              <w:top w:val="single" w:sz="8" w:color="0000EE"/>
            </w:tcBorders>
            <w:gridSpan w:val="4"/>
          </w:tcPr>
          <w:p>
            <w:pPr>
              <w:spacing w:after="0"/>
              <w:rPr>
                <w:sz w:val="17"/>
                <w:szCs w:val="17"/>
                <w:color w:val="auto"/>
              </w:rPr>
            </w:pPr>
          </w:p>
        </w:tc>
        <w:tc>
          <w:tcPr>
            <w:tcW w:w="16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21"/>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Act Rule 13a-14(a).</w:t>
              </w:r>
            </w:hyperlink>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31.2</w:t>
            </w:r>
          </w:p>
        </w:tc>
        <w:tc>
          <w:tcPr>
            <w:tcW w:w="160" w:type="dxa"/>
            <w:vAlign w:val="bottom"/>
          </w:tcPr>
          <w:p>
            <w:pPr>
              <w:spacing w:after="0"/>
              <w:rPr>
                <w:sz w:val="16"/>
                <w:szCs w:val="16"/>
                <w:color w:val="auto"/>
              </w:rPr>
            </w:pPr>
          </w:p>
        </w:tc>
        <w:tc>
          <w:tcPr>
            <w:tcW w:w="2260" w:type="dxa"/>
            <w:vAlign w:val="bottom"/>
            <w:tcBorders>
              <w:bottom w:val="single" w:sz="8" w:color="0000EE"/>
            </w:tcBorders>
            <w:gridSpan w:val="17"/>
          </w:tcPr>
          <w:p>
            <w:pPr>
              <w:spacing w:after="0" w:line="190" w:lineRule="exact"/>
              <w:rPr>
                <w:rFonts w:ascii="Arial" w:cs="Arial" w:eastAsia="Arial" w:hAnsi="Arial"/>
                <w:sz w:val="18"/>
                <w:szCs w:val="18"/>
                <w:color w:val="0000EE"/>
                <w:w w:val="93"/>
              </w:rPr>
            </w:pPr>
            <w:hyperlink w:anchor="page93">
              <w:r>
                <w:rPr>
                  <w:rFonts w:ascii="Arial" w:cs="Arial" w:eastAsia="Arial" w:hAnsi="Arial"/>
                  <w:sz w:val="18"/>
                  <w:szCs w:val="18"/>
                  <w:color w:val="0000EE"/>
                  <w:w w:val="93"/>
                </w:rPr>
                <w:t>Certification of Chief Financial</w:t>
              </w:r>
            </w:hyperlink>
          </w:p>
        </w:tc>
        <w:tc>
          <w:tcPr>
            <w:tcW w:w="20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93">
              <w:r>
                <w:rPr>
                  <w:rFonts w:ascii="Arial" w:cs="Arial" w:eastAsia="Arial" w:hAnsi="Arial"/>
                  <w:sz w:val="18"/>
                  <w:szCs w:val="18"/>
                  <w:color w:val="0000EE"/>
                  <w:w w:val="90"/>
                </w:rPr>
                <w:t>Officer pursuant to Exchange</w:t>
              </w:r>
            </w:hyperlink>
          </w:p>
        </w:tc>
        <w:tc>
          <w:tcPr>
            <w:tcW w:w="34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21"/>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Act Rule 13a-14(a).</w:t>
              </w:r>
            </w:hyperlink>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32.1</w:t>
            </w:r>
          </w:p>
        </w:tc>
        <w:tc>
          <w:tcPr>
            <w:tcW w:w="160" w:type="dxa"/>
            <w:vAlign w:val="bottom"/>
          </w:tcPr>
          <w:p>
            <w:pPr>
              <w:spacing w:after="0"/>
              <w:rPr>
                <w:sz w:val="16"/>
                <w:szCs w:val="16"/>
                <w:color w:val="auto"/>
              </w:rPr>
            </w:pPr>
          </w:p>
        </w:tc>
        <w:tc>
          <w:tcPr>
            <w:tcW w:w="2460" w:type="dxa"/>
            <w:vAlign w:val="bottom"/>
            <w:gridSpan w:val="21"/>
          </w:tcPr>
          <w:p>
            <w:pPr>
              <w:spacing w:after="0" w:line="190" w:lineRule="exact"/>
              <w:rPr>
                <w:rFonts w:ascii="Arial" w:cs="Arial" w:eastAsia="Arial" w:hAnsi="Arial"/>
                <w:sz w:val="18"/>
                <w:szCs w:val="18"/>
                <w:color w:val="0000EE"/>
              </w:rPr>
            </w:pPr>
            <w:hyperlink w:anchor="page94">
              <w:r>
                <w:rPr>
                  <w:rFonts w:ascii="Arial" w:cs="Arial" w:eastAsia="Arial" w:hAnsi="Arial"/>
                  <w:sz w:val="18"/>
                  <w:szCs w:val="18"/>
                  <w:color w:val="0000EE"/>
                </w:rPr>
                <w:t>Certification of Principal</w:t>
              </w:r>
            </w:hyperlink>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1"/>
          </w:tcPr>
          <w:p>
            <w:pPr>
              <w:spacing w:after="0" w:line="196" w:lineRule="exact"/>
              <w:rPr>
                <w:rFonts w:ascii="Arial" w:cs="Arial" w:eastAsia="Arial" w:hAnsi="Arial"/>
                <w:sz w:val="18"/>
                <w:szCs w:val="18"/>
                <w:color w:val="0000EE"/>
                <w:w w:val="95"/>
              </w:rPr>
            </w:pPr>
            <w:hyperlink w:anchor="page94">
              <w:r>
                <w:rPr>
                  <w:rFonts w:ascii="Arial" w:cs="Arial" w:eastAsia="Arial" w:hAnsi="Arial"/>
                  <w:sz w:val="18"/>
                  <w:szCs w:val="18"/>
                  <w:color w:val="0000EE"/>
                  <w:w w:val="95"/>
                </w:rPr>
                <w:t>Executive Officer pursuant to 18</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40" w:type="dxa"/>
            <w:vAlign w:val="bottom"/>
            <w:tcBorders>
              <w:top w:val="single" w:sz="8" w:color="0000EE"/>
            </w:tcBorders>
            <w:gridSpan w:val="20"/>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U.S.C. Section 1350.</w:t>
              </w:r>
            </w:hyperlink>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32.2</w:t>
            </w:r>
          </w:p>
        </w:tc>
        <w:tc>
          <w:tcPr>
            <w:tcW w:w="160" w:type="dxa"/>
            <w:vAlign w:val="bottom"/>
          </w:tcPr>
          <w:p>
            <w:pPr>
              <w:spacing w:after="0"/>
              <w:rPr>
                <w:sz w:val="16"/>
                <w:szCs w:val="16"/>
                <w:color w:val="auto"/>
              </w:rPr>
            </w:pPr>
          </w:p>
        </w:tc>
        <w:tc>
          <w:tcPr>
            <w:tcW w:w="2260" w:type="dxa"/>
            <w:vAlign w:val="bottom"/>
            <w:tcBorders>
              <w:bottom w:val="single" w:sz="8" w:color="0000EE"/>
            </w:tcBorders>
            <w:gridSpan w:val="17"/>
          </w:tcPr>
          <w:p>
            <w:pPr>
              <w:spacing w:after="0" w:line="190" w:lineRule="exact"/>
              <w:rPr>
                <w:rFonts w:ascii="Arial" w:cs="Arial" w:eastAsia="Arial" w:hAnsi="Arial"/>
                <w:sz w:val="18"/>
                <w:szCs w:val="18"/>
                <w:color w:val="0000EE"/>
                <w:w w:val="93"/>
              </w:rPr>
            </w:pPr>
            <w:hyperlink w:anchor="page95">
              <w:r>
                <w:rPr>
                  <w:rFonts w:ascii="Arial" w:cs="Arial" w:eastAsia="Arial" w:hAnsi="Arial"/>
                  <w:sz w:val="18"/>
                  <w:szCs w:val="18"/>
                  <w:color w:val="0000EE"/>
                  <w:w w:val="93"/>
                </w:rPr>
                <w:t>Certification of Chief Financial</w:t>
              </w:r>
            </w:hyperlink>
          </w:p>
        </w:tc>
        <w:tc>
          <w:tcPr>
            <w:tcW w:w="20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Officer pursuant to 18 U.S.C.</w:t>
              </w:r>
            </w:hyperlink>
          </w:p>
        </w:tc>
        <w:tc>
          <w:tcPr>
            <w:tcW w:w="34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95">
              <w:r>
                <w:rPr>
                  <w:rFonts w:ascii="Arial" w:cs="Arial" w:eastAsia="Arial" w:hAnsi="Arial"/>
                  <w:sz w:val="18"/>
                  <w:szCs w:val="18"/>
                  <w:color w:val="0000EE"/>
                  <w:w w:val="87"/>
                </w:rPr>
                <w:t>Section 1350.</w:t>
              </w:r>
            </w:hyperlink>
          </w:p>
        </w:tc>
        <w:tc>
          <w:tcPr>
            <w:tcW w:w="1480" w:type="dxa"/>
            <w:vAlign w:val="bottom"/>
            <w:gridSpan w:val="16"/>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19"/>
                <w:szCs w:val="19"/>
                <w:color w:val="auto"/>
              </w:rPr>
            </w:pPr>
          </w:p>
        </w:tc>
        <w:tc>
          <w:tcPr>
            <w:tcW w:w="2460" w:type="dxa"/>
            <w:vAlign w:val="bottom"/>
            <w:gridSpan w:val="21"/>
          </w:tcPr>
          <w:p>
            <w:pPr>
              <w:spacing w:after="0"/>
              <w:rPr>
                <w:sz w:val="20"/>
                <w:szCs w:val="20"/>
                <w:color w:val="auto"/>
              </w:rPr>
            </w:pPr>
            <w:r>
              <w:rPr>
                <w:rFonts w:ascii="Arial" w:cs="Arial" w:eastAsia="Arial" w:hAnsi="Arial"/>
                <w:sz w:val="18"/>
                <w:szCs w:val="18"/>
                <w:color w:val="auto"/>
              </w:rPr>
              <w:t>XBRL Instance Document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18"/>
                <w:szCs w:val="18"/>
                <w:color w:val="auto"/>
              </w:rPr>
            </w:pPr>
          </w:p>
        </w:tc>
        <w:tc>
          <w:tcPr>
            <w:tcW w:w="2460" w:type="dxa"/>
            <w:vAlign w:val="bottom"/>
            <w:gridSpan w:val="21"/>
          </w:tcPr>
          <w:p>
            <w:pPr>
              <w:spacing w:after="0"/>
              <w:rPr>
                <w:sz w:val="20"/>
                <w:szCs w:val="20"/>
                <w:color w:val="auto"/>
              </w:rPr>
            </w:pPr>
            <w:r>
              <w:rPr>
                <w:rFonts w:ascii="Arial" w:cs="Arial" w:eastAsia="Arial" w:hAnsi="Arial"/>
                <w:sz w:val="18"/>
                <w:szCs w:val="18"/>
                <w:color w:val="auto"/>
              </w:rPr>
              <w:t>XBRL Taxonomy Extension</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1"/>
          </w:tcPr>
          <w:p>
            <w:pPr>
              <w:spacing w:after="0"/>
              <w:rPr>
                <w:sz w:val="20"/>
                <w:szCs w:val="20"/>
                <w:color w:val="auto"/>
              </w:rPr>
            </w:pPr>
            <w:r>
              <w:rPr>
                <w:rFonts w:ascii="Arial" w:cs="Arial" w:eastAsia="Arial" w:hAnsi="Arial"/>
                <w:sz w:val="18"/>
                <w:szCs w:val="18"/>
                <w:color w:val="auto"/>
              </w:rPr>
              <w:t>Schema Document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18"/>
                <w:szCs w:val="18"/>
                <w:color w:val="auto"/>
              </w:rPr>
            </w:pPr>
          </w:p>
        </w:tc>
        <w:tc>
          <w:tcPr>
            <w:tcW w:w="2460" w:type="dxa"/>
            <w:vAlign w:val="bottom"/>
            <w:gridSpan w:val="21"/>
          </w:tcPr>
          <w:p>
            <w:pPr>
              <w:spacing w:after="0"/>
              <w:rPr>
                <w:sz w:val="20"/>
                <w:szCs w:val="20"/>
                <w:color w:val="auto"/>
              </w:rPr>
            </w:pPr>
            <w:r>
              <w:rPr>
                <w:rFonts w:ascii="Arial" w:cs="Arial" w:eastAsia="Arial" w:hAnsi="Arial"/>
                <w:sz w:val="18"/>
                <w:szCs w:val="18"/>
                <w:color w:val="auto"/>
              </w:rPr>
              <w:t>XBRL Taxonomy Extension</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1"/>
          </w:tcPr>
          <w:p>
            <w:pPr>
              <w:spacing w:after="0"/>
              <w:rPr>
                <w:sz w:val="20"/>
                <w:szCs w:val="20"/>
                <w:color w:val="auto"/>
              </w:rPr>
            </w:pPr>
            <w:r>
              <w:rPr>
                <w:rFonts w:ascii="Arial" w:cs="Arial" w:eastAsia="Arial" w:hAnsi="Arial"/>
                <w:sz w:val="18"/>
                <w:szCs w:val="18"/>
                <w:color w:val="auto"/>
                <w:w w:val="96"/>
              </w:rPr>
              <w:t>Calculation Linkbase Document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18"/>
                <w:szCs w:val="18"/>
                <w:color w:val="auto"/>
              </w:rPr>
            </w:pPr>
          </w:p>
        </w:tc>
        <w:tc>
          <w:tcPr>
            <w:tcW w:w="2460" w:type="dxa"/>
            <w:vAlign w:val="bottom"/>
            <w:gridSpan w:val="21"/>
          </w:tcPr>
          <w:p>
            <w:pPr>
              <w:spacing w:after="0"/>
              <w:rPr>
                <w:sz w:val="20"/>
                <w:szCs w:val="20"/>
                <w:color w:val="auto"/>
              </w:rPr>
            </w:pPr>
            <w:r>
              <w:rPr>
                <w:rFonts w:ascii="Arial" w:cs="Arial" w:eastAsia="Arial" w:hAnsi="Arial"/>
                <w:sz w:val="18"/>
                <w:szCs w:val="18"/>
                <w:color w:val="auto"/>
              </w:rPr>
              <w:t>XBRL Taxonomy Extension</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1"/>
          </w:tcPr>
          <w:p>
            <w:pPr>
              <w:spacing w:after="0"/>
              <w:rPr>
                <w:sz w:val="20"/>
                <w:szCs w:val="20"/>
                <w:color w:val="auto"/>
              </w:rPr>
            </w:pPr>
            <w:r>
              <w:rPr>
                <w:rFonts w:ascii="Arial" w:cs="Arial" w:eastAsia="Arial" w:hAnsi="Arial"/>
                <w:sz w:val="18"/>
                <w:szCs w:val="18"/>
                <w:color w:val="auto"/>
              </w:rPr>
              <w:t>Definition Linkbase Document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18"/>
                <w:szCs w:val="18"/>
                <w:color w:val="auto"/>
              </w:rPr>
            </w:pPr>
          </w:p>
        </w:tc>
        <w:tc>
          <w:tcPr>
            <w:tcW w:w="2460" w:type="dxa"/>
            <w:vAlign w:val="bottom"/>
            <w:gridSpan w:val="21"/>
          </w:tcPr>
          <w:p>
            <w:pPr>
              <w:spacing w:after="0"/>
              <w:rPr>
                <w:sz w:val="20"/>
                <w:szCs w:val="20"/>
                <w:color w:val="auto"/>
              </w:rPr>
            </w:pPr>
            <w:r>
              <w:rPr>
                <w:rFonts w:ascii="Arial" w:cs="Arial" w:eastAsia="Arial" w:hAnsi="Arial"/>
                <w:sz w:val="18"/>
                <w:szCs w:val="18"/>
                <w:color w:val="auto"/>
              </w:rPr>
              <w:t>XBRL Taxonomy Extension</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1"/>
          </w:tcPr>
          <w:p>
            <w:pPr>
              <w:spacing w:after="0"/>
              <w:rPr>
                <w:sz w:val="20"/>
                <w:szCs w:val="20"/>
                <w:color w:val="auto"/>
              </w:rPr>
            </w:pPr>
            <w:r>
              <w:rPr>
                <w:rFonts w:ascii="Arial" w:cs="Arial" w:eastAsia="Arial" w:hAnsi="Arial"/>
                <w:sz w:val="18"/>
                <w:szCs w:val="18"/>
                <w:color w:val="auto"/>
              </w:rPr>
              <w:t>Label Linkbase Document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18"/>
                <w:szCs w:val="18"/>
                <w:color w:val="auto"/>
              </w:rPr>
            </w:pPr>
          </w:p>
        </w:tc>
        <w:tc>
          <w:tcPr>
            <w:tcW w:w="2460" w:type="dxa"/>
            <w:vAlign w:val="bottom"/>
            <w:gridSpan w:val="21"/>
          </w:tcPr>
          <w:p>
            <w:pPr>
              <w:spacing w:after="0"/>
              <w:rPr>
                <w:sz w:val="20"/>
                <w:szCs w:val="20"/>
                <w:color w:val="auto"/>
              </w:rPr>
            </w:pPr>
            <w:r>
              <w:rPr>
                <w:rFonts w:ascii="Arial" w:cs="Arial" w:eastAsia="Arial" w:hAnsi="Arial"/>
                <w:sz w:val="18"/>
                <w:szCs w:val="18"/>
                <w:color w:val="auto"/>
              </w:rPr>
              <w:t>XBRL Taxonomy Extension</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gridSpan w:val="21"/>
          </w:tcPr>
          <w:p>
            <w:pPr>
              <w:spacing w:after="0"/>
              <w:rPr>
                <w:sz w:val="20"/>
                <w:szCs w:val="20"/>
                <w:color w:val="auto"/>
              </w:rPr>
            </w:pPr>
            <w:r>
              <w:rPr>
                <w:rFonts w:ascii="Arial" w:cs="Arial" w:eastAsia="Arial" w:hAnsi="Arial"/>
                <w:sz w:val="18"/>
                <w:szCs w:val="18"/>
                <w:color w:val="auto"/>
                <w:w w:val="92"/>
              </w:rPr>
              <w:t>Presentation Linkbase Document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80" w:hanging="430"/>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480" w:hanging="430"/>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Furnished herewith.</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2680" w:type="dxa"/>
            <w:vAlign w:val="bottom"/>
            <w:gridSpan w:val="2"/>
          </w:tcPr>
          <w:p>
            <w:pPr>
              <w:ind w:left="1460"/>
              <w:spacing w:after="0"/>
              <w:rPr>
                <w:sz w:val="20"/>
                <w:szCs w:val="20"/>
                <w:color w:val="auto"/>
              </w:rPr>
            </w:pPr>
            <w:r>
              <w:rPr>
                <w:rFonts w:ascii="Arial" w:cs="Arial" w:eastAsia="Arial" w:hAnsi="Arial"/>
                <w:sz w:val="18"/>
                <w:szCs w:val="18"/>
                <w:color w:val="auto"/>
              </w:rPr>
              <w:t>Progyny, Inc.</w:t>
            </w:r>
          </w:p>
        </w:tc>
        <w:tc>
          <w:tcPr>
            <w:tcW w:w="322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2680" w:type="dxa"/>
            <w:vAlign w:val="bottom"/>
            <w:gridSpan w:val="2"/>
          </w:tcPr>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w:t>
            </w:r>
          </w:p>
        </w:tc>
        <w:tc>
          <w:tcPr>
            <w:tcW w:w="3220" w:type="dxa"/>
            <w:vAlign w:val="bottom"/>
          </w:tcPr>
          <w:p>
            <w:pPr>
              <w:spacing w:after="0"/>
              <w:rPr>
                <w:sz w:val="20"/>
                <w:szCs w:val="20"/>
                <w:color w:val="auto"/>
              </w:rPr>
            </w:pPr>
          </w:p>
        </w:tc>
      </w:tr>
      <w:tr>
        <w:trPr>
          <w:trHeight w:val="459"/>
        </w:trPr>
        <w:tc>
          <w:tcPr>
            <w:tcW w:w="3000" w:type="dxa"/>
            <w:vAlign w:val="bottom"/>
          </w:tcPr>
          <w:p>
            <w:pPr>
              <w:spacing w:after="0"/>
              <w:rPr>
                <w:sz w:val="20"/>
                <w:szCs w:val="20"/>
                <w:color w:val="auto"/>
              </w:rPr>
            </w:pPr>
            <w:r>
              <w:rPr>
                <w:rFonts w:ascii="Arial" w:cs="Arial" w:eastAsia="Arial" w:hAnsi="Arial"/>
                <w:sz w:val="18"/>
                <w:szCs w:val="18"/>
                <w:color w:val="auto"/>
              </w:rPr>
              <w:t>Date: August 7, 2020</w:t>
            </w:r>
          </w:p>
        </w:tc>
        <w:tc>
          <w:tcPr>
            <w:tcW w:w="2680" w:type="dxa"/>
            <w:vAlign w:val="bottom"/>
            <w:gridSpan w:val="2"/>
          </w:tcPr>
          <w:p>
            <w:pPr>
              <w:ind w:left="1460"/>
              <w:spacing w:after="0"/>
              <w:rPr>
                <w:sz w:val="20"/>
                <w:szCs w:val="20"/>
                <w:color w:val="auto"/>
              </w:rPr>
            </w:pPr>
            <w:r>
              <w:rPr>
                <w:rFonts w:ascii="Arial" w:cs="Arial" w:eastAsia="Arial" w:hAnsi="Arial"/>
                <w:sz w:val="18"/>
                <w:szCs w:val="18"/>
                <w:color w:val="auto"/>
              </w:rPr>
              <w:t>By:</w:t>
            </w:r>
          </w:p>
        </w:tc>
        <w:tc>
          <w:tcPr>
            <w:tcW w:w="3220" w:type="dxa"/>
            <w:vAlign w:val="bottom"/>
          </w:tcPr>
          <w:p>
            <w:pPr>
              <w:jc w:val="center"/>
              <w:ind w:right="870"/>
              <w:spacing w:after="0"/>
              <w:rPr>
                <w:sz w:val="20"/>
                <w:szCs w:val="20"/>
                <w:color w:val="auto"/>
              </w:rPr>
            </w:pPr>
            <w:r>
              <w:rPr>
                <w:rFonts w:ascii="Arial" w:cs="Arial" w:eastAsia="Arial" w:hAnsi="Arial"/>
                <w:sz w:val="18"/>
                <w:szCs w:val="18"/>
                <w:color w:val="auto"/>
                <w:w w:val="90"/>
              </w:rPr>
              <w:t>/s/ David Schlanger</w:t>
            </w:r>
          </w:p>
        </w:tc>
      </w:tr>
      <w:tr>
        <w:trPr>
          <w:trHeight w:val="222"/>
        </w:trPr>
        <w:tc>
          <w:tcPr>
            <w:tcW w:w="30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20" w:type="dxa"/>
            <w:vAlign w:val="bottom"/>
            <w:tcBorders>
              <w:top w:val="single" w:sz="8" w:color="auto"/>
            </w:tcBorders>
          </w:tcPr>
          <w:p>
            <w:pPr>
              <w:jc w:val="center"/>
              <w:ind w:right="850"/>
              <w:spacing w:after="0"/>
              <w:rPr>
                <w:sz w:val="20"/>
                <w:szCs w:val="20"/>
                <w:color w:val="auto"/>
              </w:rPr>
            </w:pPr>
            <w:r>
              <w:rPr>
                <w:rFonts w:ascii="Arial" w:cs="Arial" w:eastAsia="Arial" w:hAnsi="Arial"/>
                <w:sz w:val="18"/>
                <w:szCs w:val="18"/>
                <w:color w:val="auto"/>
                <w:w w:val="90"/>
              </w:rPr>
              <w:t>David Schlanger</w:t>
            </w:r>
          </w:p>
        </w:tc>
      </w:tr>
      <w:tr>
        <w:trPr>
          <w:trHeight w:val="230"/>
        </w:trPr>
        <w:tc>
          <w:tcPr>
            <w:tcW w:w="30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20" w:type="dxa"/>
            <w:vAlign w:val="bottom"/>
          </w:tcPr>
          <w:p>
            <w:pPr>
              <w:jc w:val="center"/>
              <w:ind w:right="850"/>
              <w:spacing w:after="0"/>
              <w:rPr>
                <w:sz w:val="20"/>
                <w:szCs w:val="20"/>
                <w:color w:val="auto"/>
              </w:rPr>
            </w:pPr>
            <w:r>
              <w:rPr>
                <w:rFonts w:ascii="Arial" w:cs="Arial" w:eastAsia="Arial" w:hAnsi="Arial"/>
                <w:sz w:val="18"/>
                <w:szCs w:val="18"/>
                <w:color w:val="auto"/>
                <w:w w:val="93"/>
              </w:rPr>
              <w:t>Chief Executive Officer</w:t>
            </w:r>
          </w:p>
        </w:tc>
      </w:tr>
      <w:tr>
        <w:trPr>
          <w:trHeight w:val="459"/>
        </w:trPr>
        <w:tc>
          <w:tcPr>
            <w:tcW w:w="3000" w:type="dxa"/>
            <w:vAlign w:val="bottom"/>
          </w:tcPr>
          <w:p>
            <w:pPr>
              <w:spacing w:after="0"/>
              <w:rPr>
                <w:sz w:val="20"/>
                <w:szCs w:val="20"/>
                <w:color w:val="auto"/>
              </w:rPr>
            </w:pPr>
            <w:r>
              <w:rPr>
                <w:rFonts w:ascii="Arial" w:cs="Arial" w:eastAsia="Arial" w:hAnsi="Arial"/>
                <w:sz w:val="18"/>
                <w:szCs w:val="18"/>
                <w:color w:val="auto"/>
              </w:rPr>
              <w:t>Date: August 7, 2020</w:t>
            </w:r>
          </w:p>
        </w:tc>
        <w:tc>
          <w:tcPr>
            <w:tcW w:w="2680" w:type="dxa"/>
            <w:vAlign w:val="bottom"/>
            <w:gridSpan w:val="2"/>
          </w:tcPr>
          <w:p>
            <w:pPr>
              <w:ind w:left="1460"/>
              <w:spacing w:after="0"/>
              <w:rPr>
                <w:sz w:val="20"/>
                <w:szCs w:val="20"/>
                <w:color w:val="auto"/>
              </w:rPr>
            </w:pPr>
            <w:r>
              <w:rPr>
                <w:rFonts w:ascii="Arial" w:cs="Arial" w:eastAsia="Arial" w:hAnsi="Arial"/>
                <w:sz w:val="18"/>
                <w:szCs w:val="18"/>
                <w:color w:val="auto"/>
              </w:rPr>
              <w:t>By:</w:t>
            </w:r>
          </w:p>
        </w:tc>
        <w:tc>
          <w:tcPr>
            <w:tcW w:w="3220" w:type="dxa"/>
            <w:vAlign w:val="bottom"/>
          </w:tcPr>
          <w:p>
            <w:pPr>
              <w:jc w:val="center"/>
              <w:ind w:right="870"/>
              <w:spacing w:after="0"/>
              <w:rPr>
                <w:sz w:val="20"/>
                <w:szCs w:val="20"/>
                <w:color w:val="auto"/>
              </w:rPr>
            </w:pPr>
            <w:r>
              <w:rPr>
                <w:rFonts w:ascii="Arial" w:cs="Arial" w:eastAsia="Arial" w:hAnsi="Arial"/>
                <w:sz w:val="18"/>
                <w:szCs w:val="18"/>
                <w:color w:val="auto"/>
                <w:w w:val="90"/>
              </w:rPr>
              <w:t>/s/ Peter Anevski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0</wp:posOffset>
            </wp:positionV>
            <wp:extent cx="26314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6360"/>
        <w:spacing w:after="0"/>
        <w:rPr>
          <w:sz w:val="20"/>
          <w:szCs w:val="20"/>
          <w:color w:val="auto"/>
        </w:rPr>
      </w:pPr>
      <w:r>
        <w:rPr>
          <w:rFonts w:ascii="Arial" w:cs="Arial" w:eastAsia="Arial" w:hAnsi="Arial"/>
          <w:sz w:val="18"/>
          <w:szCs w:val="18"/>
          <w:color w:val="auto"/>
        </w:rPr>
        <w:t>Peter Anevski</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President, Chief Financial Officer and Chief Operating</w:t>
      </w:r>
    </w:p>
    <w:p>
      <w:pPr>
        <w:spacing w:after="0" w:line="3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07"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This First Amendment to Loan and Security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this day of April, 2019, by and between Silicon Valley Bank ("</w:t>
      </w:r>
      <w:r>
        <w:rPr>
          <w:rFonts w:ascii="Arial" w:cs="Arial" w:eastAsia="Arial" w:hAnsi="Arial"/>
          <w:sz w:val="18"/>
          <w:szCs w:val="18"/>
          <w:b w:val="1"/>
          <w:bCs w:val="1"/>
          <w:color w:val="auto"/>
        </w:rPr>
        <w:t>Bank</w:t>
      </w:r>
      <w:r>
        <w:rPr>
          <w:rFonts w:ascii="Arial" w:cs="Arial" w:eastAsia="Arial" w:hAnsi="Arial"/>
          <w:sz w:val="18"/>
          <w:szCs w:val="18"/>
          <w:color w:val="auto"/>
        </w:rPr>
        <w:t>") and PROGYNY, INC.,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4906010</wp:posOffset>
            </wp:positionH>
            <wp:positionV relativeFrom="paragraph">
              <wp:posOffset>-185420</wp:posOffset>
            </wp:positionV>
            <wp:extent cx="1225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122555" cy="8255"/>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20" w:firstLine="656"/>
        <w:spacing w:after="0" w:line="277" w:lineRule="auto"/>
        <w:tabs>
          <w:tab w:leader="none" w:pos="12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Bank and Borrower have entered into that certain Loan and Security Agreement dated as of June 8, 2018 (as the same may from time to time be further amended, modified, supplemented or restated,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Bank has extended credit to Borrower for the purposes permitted in the Loan Agreement.</w:t>
      </w:r>
    </w:p>
    <w:p>
      <w:pPr>
        <w:spacing w:after="0" w:line="225" w:lineRule="exact"/>
        <w:rPr>
          <w:rFonts w:ascii="Arial" w:cs="Arial" w:eastAsia="Arial" w:hAnsi="Arial"/>
          <w:sz w:val="18"/>
          <w:szCs w:val="18"/>
          <w:color w:val="auto"/>
        </w:rPr>
      </w:pPr>
    </w:p>
    <w:p>
      <w:pPr>
        <w:jc w:val="both"/>
        <w:ind w:right="20" w:firstLine="656"/>
        <w:spacing w:after="0" w:line="263" w:lineRule="auto"/>
        <w:tabs>
          <w:tab w:leader="none" w:pos="1208" w:val="left"/>
        </w:tabs>
        <w:numPr>
          <w:ilvl w:val="0"/>
          <w:numId w:val="34"/>
        </w:numPr>
        <w:rPr>
          <w:rFonts w:ascii="Arial" w:cs="Arial" w:eastAsia="Arial" w:hAnsi="Arial"/>
          <w:sz w:val="18"/>
          <w:szCs w:val="18"/>
          <w:color w:val="auto"/>
        </w:rPr>
      </w:pPr>
      <w:r>
        <w:rPr>
          <w:rFonts w:ascii="Arial" w:cs="Arial" w:eastAsia="Arial" w:hAnsi="Arial"/>
          <w:sz w:val="18"/>
          <w:szCs w:val="18"/>
          <w:color w:val="auto"/>
        </w:rPr>
        <w:t>Borrower acknowledges and agrees that it is currently in violation of Section 6.9 of the Loan Agreement for failing to agree to the New Minimum Revenue Financial Covenant by the date set forth therein (the "</w:t>
      </w:r>
      <w:r>
        <w:rPr>
          <w:rFonts w:ascii="Arial" w:cs="Arial" w:eastAsia="Arial" w:hAnsi="Arial"/>
          <w:sz w:val="18"/>
          <w:szCs w:val="18"/>
          <w:b w:val="1"/>
          <w:bCs w:val="1"/>
          <w:color w:val="auto"/>
        </w:rPr>
        <w:t>Existing Default</w:t>
      </w:r>
      <w:r>
        <w:rPr>
          <w:rFonts w:ascii="Arial" w:cs="Arial" w:eastAsia="Arial" w:hAnsi="Arial"/>
          <w:sz w:val="18"/>
          <w:szCs w:val="18"/>
          <w:color w:val="auto"/>
        </w:rPr>
        <w:t>"), and such violation constitutes an Event of Default.</w:t>
      </w:r>
    </w:p>
    <w:p>
      <w:pPr>
        <w:spacing w:after="0" w:line="183" w:lineRule="exact"/>
        <w:rPr>
          <w:rFonts w:ascii="Arial" w:cs="Arial" w:eastAsia="Arial" w:hAnsi="Arial"/>
          <w:sz w:val="18"/>
          <w:szCs w:val="18"/>
          <w:color w:val="auto"/>
        </w:rPr>
      </w:pPr>
    </w:p>
    <w:p>
      <w:pPr>
        <w:ind w:firstLine="656"/>
        <w:spacing w:after="0" w:line="277" w:lineRule="auto"/>
        <w:tabs>
          <w:tab w:leader="none" w:pos="1256" w:val="left"/>
        </w:tabs>
        <w:numPr>
          <w:ilvl w:val="0"/>
          <w:numId w:val="34"/>
        </w:numPr>
        <w:rPr>
          <w:rFonts w:ascii="Arial" w:cs="Arial" w:eastAsia="Arial" w:hAnsi="Arial"/>
          <w:sz w:val="18"/>
          <w:szCs w:val="18"/>
          <w:color w:val="auto"/>
        </w:rPr>
      </w:pPr>
      <w:r>
        <w:rPr>
          <w:rFonts w:ascii="Arial" w:cs="Arial" w:eastAsia="Arial" w:hAnsi="Arial"/>
          <w:sz w:val="18"/>
          <w:szCs w:val="18"/>
          <w:color w:val="auto"/>
        </w:rPr>
        <w:t>Borrower has requested that Bank waive the Existing Default and amend the Loan Agreement to document the New Minimum Revenue Financial Covenant.</w:t>
      </w:r>
    </w:p>
    <w:p>
      <w:pPr>
        <w:spacing w:after="0" w:line="170" w:lineRule="exact"/>
        <w:rPr>
          <w:rFonts w:ascii="Arial" w:cs="Arial" w:eastAsia="Arial" w:hAnsi="Arial"/>
          <w:sz w:val="18"/>
          <w:szCs w:val="18"/>
          <w:color w:val="auto"/>
        </w:rPr>
      </w:pPr>
    </w:p>
    <w:p>
      <w:pPr>
        <w:ind w:firstLine="656"/>
        <w:spacing w:after="0" w:line="277" w:lineRule="auto"/>
        <w:tabs>
          <w:tab w:leader="none" w:pos="1167"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Bank has agreed to so waive the Existing Default and amend the Loan Agreement, but only to the extent, in accordance with the terms, subject to the conditions and in reliance upon the representations and warranties set forth below.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recitals and other good and valuable consideration, the receipt and</w:t>
      </w:r>
      <w:r>
        <w:rPr>
          <w:rFonts w:ascii="Arial" w:cs="Arial" w:eastAsia="Arial" w:hAnsi="Arial"/>
          <w:sz w:val="17"/>
          <w:szCs w:val="17"/>
          <w:b w:val="1"/>
          <w:bCs w:val="1"/>
          <w:color w:val="auto"/>
        </w:rPr>
        <w:t xml:space="preserve"> </w:t>
      </w:r>
      <w:r>
        <w:rPr>
          <w:rFonts w:ascii="Arial" w:cs="Arial" w:eastAsia="Arial" w:hAnsi="Arial"/>
          <w:sz w:val="17"/>
          <w:szCs w:val="17"/>
          <w:color w:val="auto"/>
        </w:rPr>
        <w:t>adequacy of which is hereby acknowledged, and intending to be legally bound, the parties hereto agree as follows:</w:t>
      </w:r>
    </w:p>
    <w:p>
      <w:pPr>
        <w:spacing w:after="0" w:line="140"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Capitalized terms used but not defined in this Amendment shall have the meanings given to them in the</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Loan Agreement.</w:t>
      </w:r>
    </w:p>
    <w:p>
      <w:pPr>
        <w:spacing w:after="0" w:line="206" w:lineRule="exact"/>
        <w:rPr>
          <w:rFonts w:ascii="Arial" w:cs="Arial" w:eastAsia="Arial" w:hAnsi="Arial"/>
          <w:sz w:val="16"/>
          <w:szCs w:val="16"/>
          <w:b w:val="1"/>
          <w:bCs w:val="1"/>
          <w:color w:val="auto"/>
        </w:rPr>
      </w:pPr>
    </w:p>
    <w:p>
      <w:pPr>
        <w:jc w:val="both"/>
        <w:ind w:firstLine="656"/>
        <w:spacing w:after="0" w:line="254" w:lineRule="auto"/>
        <w:tabs>
          <w:tab w:leader="none" w:pos="1282"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of Existing Default. </w:t>
      </w:r>
      <w:r>
        <w:rPr>
          <w:rFonts w:ascii="Arial" w:cs="Arial" w:eastAsia="Arial" w:hAnsi="Arial"/>
          <w:sz w:val="18"/>
          <w:szCs w:val="18"/>
          <w:color w:val="auto"/>
        </w:rPr>
        <w:t>Borrower acknowledges and agrees that unless the Existing Default is waived by Bank,</w:t>
      </w:r>
      <w:r>
        <w:rPr>
          <w:rFonts w:ascii="Arial" w:cs="Arial" w:eastAsia="Arial" w:hAnsi="Arial"/>
          <w:sz w:val="18"/>
          <w:szCs w:val="18"/>
          <w:b w:val="1"/>
          <w:bCs w:val="1"/>
          <w:color w:val="auto"/>
        </w:rPr>
        <w:t xml:space="preserve"> </w:t>
      </w:r>
      <w:r>
        <w:rPr>
          <w:rFonts w:ascii="Arial" w:cs="Arial" w:eastAsia="Arial" w:hAnsi="Arial"/>
          <w:sz w:val="18"/>
          <w:szCs w:val="18"/>
          <w:color w:val="auto"/>
        </w:rPr>
        <w:t>such Existing Default would constitute an Event of Default under the Loan Documents. Subject to satisfaction of the terms and conditions set forth in this Section 2 and Section 9 below, Bank agrees to waive the Existing Default and waive any right and remedies against Borrower under the Loan Documents solely with respect to the Existing Default. Bank's agreement to waive the Existing Default shall in no way obligate Bank to make any other modifications to the Loan Agreement or to waive Borrower's compliance with any other terms of the Loan Documents, and shall not limit or impair Bank's right to demand strict performance of all other terms and covenants of the Loan Agreement or any of the Loan Documents as of any date. The waiver set forth above shall not be deemed or otherwise construed to constitute a waiver of any other provisions of the Loan Agreement or any of the Loan Documents in connection with any other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885825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2" w:name="page73"/>
    <w:bookmarkEnd w:id="72"/>
    <w:p>
      <w:pPr>
        <w:ind w:left="1200" w:hanging="544"/>
        <w:spacing w:after="0"/>
        <w:tabs>
          <w:tab w:leader="none" w:pos="12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Loan Agreement.</w:t>
      </w:r>
    </w:p>
    <w:p>
      <w:pPr>
        <w:spacing w:after="0" w:line="225" w:lineRule="exact"/>
        <w:rPr>
          <w:sz w:val="20"/>
          <w:szCs w:val="20"/>
          <w:color w:val="auto"/>
        </w:rPr>
      </w:pPr>
    </w:p>
    <w:p>
      <w:pPr>
        <w:ind w:right="20" w:firstLine="1296"/>
        <w:spacing w:after="0" w:line="282" w:lineRule="auto"/>
        <w:rPr>
          <w:sz w:val="20"/>
          <w:szCs w:val="20"/>
          <w:color w:val="auto"/>
        </w:rPr>
      </w:pPr>
      <w:r>
        <w:rPr>
          <w:rFonts w:ascii="Arial" w:cs="Arial" w:eastAsia="Arial" w:hAnsi="Arial"/>
          <w:sz w:val="18"/>
          <w:szCs w:val="18"/>
          <w:b w:val="1"/>
          <w:bCs w:val="1"/>
          <w:color w:val="auto"/>
        </w:rPr>
        <w:t xml:space="preserve">3.1 Section 6.9 (Financial Covenant). </w:t>
      </w:r>
      <w:r>
        <w:rPr>
          <w:rFonts w:ascii="Arial" w:cs="Arial" w:eastAsia="Arial" w:hAnsi="Arial"/>
          <w:sz w:val="18"/>
          <w:szCs w:val="18"/>
          <w:color w:val="auto"/>
        </w:rPr>
        <w:t>Section 6.9 of the Loan Agreement is hereby deleted in its entirety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replaced with the following:</w:t>
      </w:r>
    </w:p>
    <w:p>
      <w:pPr>
        <w:spacing w:after="0" w:line="162" w:lineRule="exact"/>
        <w:rPr>
          <w:sz w:val="20"/>
          <w:szCs w:val="20"/>
          <w:color w:val="auto"/>
        </w:rPr>
      </w:pPr>
    </w:p>
    <w:p>
      <w:pPr>
        <w:ind w:left="660" w:firstLine="1296"/>
        <w:spacing w:after="0" w:line="347" w:lineRule="auto"/>
        <w:rPr>
          <w:sz w:val="20"/>
          <w:szCs w:val="20"/>
          <w:color w:val="auto"/>
        </w:rPr>
      </w:pPr>
      <w:r>
        <w:rPr>
          <w:rFonts w:ascii="Arial" w:cs="Arial" w:eastAsia="Arial" w:hAnsi="Arial"/>
          <w:sz w:val="16"/>
          <w:szCs w:val="16"/>
          <w:b w:val="1"/>
          <w:bCs w:val="1"/>
          <w:color w:val="auto"/>
        </w:rPr>
        <w:t xml:space="preserve">6.9 Financial Covenant. </w:t>
      </w:r>
      <w:r>
        <w:rPr>
          <w:rFonts w:ascii="Arial" w:cs="Arial" w:eastAsia="Arial" w:hAnsi="Arial"/>
          <w:sz w:val="16"/>
          <w:szCs w:val="16"/>
          <w:color w:val="auto"/>
        </w:rPr>
        <w:t>Maintain as of the last day of each fiscal quarter, unless otherwise noted, on a</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basis with respect to Borrower, minimum revenue of at least the following amounts measured as set forth below:</w:t>
      </w:r>
    </w:p>
    <w:p>
      <w:pPr>
        <w:spacing w:after="0" w:line="114" w:lineRule="exact"/>
        <w:rPr>
          <w:sz w:val="20"/>
          <w:szCs w:val="20"/>
          <w:color w:val="auto"/>
        </w:rPr>
      </w:pPr>
    </w:p>
    <w:tbl>
      <w:tblPr>
        <w:tblLayout w:type="fixed"/>
        <w:tblInd w:w="1630" w:type="dxa"/>
        <w:tblCellMar>
          <w:top w:w="0" w:type="dxa"/>
          <w:left w:w="0" w:type="dxa"/>
          <w:bottom w:w="0" w:type="dxa"/>
          <w:right w:w="0" w:type="dxa"/>
        </w:tblCellMar>
      </w:tblPr>
      <w:tr>
        <w:trPr>
          <w:trHeight w:val="229"/>
        </w:trPr>
        <w:tc>
          <w:tcPr>
            <w:tcW w:w="800" w:type="dxa"/>
            <w:vAlign w:val="bottom"/>
            <w:tcBorders>
              <w:top w:val="single" w:sz="8" w:color="auto"/>
              <w:left w:val="single" w:sz="8" w:color="auto"/>
            </w:tcBorders>
          </w:tcPr>
          <w:p>
            <w:pPr>
              <w:spacing w:after="0"/>
              <w:rPr>
                <w:sz w:val="19"/>
                <w:szCs w:val="19"/>
                <w:color w:val="auto"/>
              </w:rPr>
            </w:pPr>
          </w:p>
        </w:tc>
        <w:tc>
          <w:tcPr>
            <w:tcW w:w="254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Fiscal Quarter Ending</w:t>
            </w:r>
          </w:p>
        </w:tc>
        <w:tc>
          <w:tcPr>
            <w:tcW w:w="3300" w:type="dxa"/>
            <w:vAlign w:val="bottom"/>
            <w:tcBorders>
              <w:top w:val="single" w:sz="8" w:color="auto"/>
              <w:right w:val="single" w:sz="8" w:color="auto"/>
            </w:tcBorders>
            <w:gridSpan w:val="3"/>
          </w:tcPr>
          <w:p>
            <w:pPr>
              <w:ind w:left="900"/>
              <w:spacing w:after="0"/>
              <w:rPr>
                <w:sz w:val="20"/>
                <w:szCs w:val="20"/>
                <w:color w:val="auto"/>
              </w:rPr>
            </w:pPr>
            <w:r>
              <w:rPr>
                <w:rFonts w:ascii="Arial" w:cs="Arial" w:eastAsia="Arial" w:hAnsi="Arial"/>
                <w:sz w:val="18"/>
                <w:szCs w:val="18"/>
                <w:b w:val="1"/>
                <w:bCs w:val="1"/>
                <w:color w:val="auto"/>
              </w:rPr>
              <w:t>Minimum Revenue</w:t>
            </w:r>
          </w:p>
        </w:tc>
      </w:tr>
      <w:tr>
        <w:trPr>
          <w:trHeight w:val="128"/>
        </w:trPr>
        <w:tc>
          <w:tcPr>
            <w:tcW w:w="800" w:type="dxa"/>
            <w:vAlign w:val="bottom"/>
            <w:tcBorders>
              <w:left w:val="single" w:sz="8" w:color="auto"/>
              <w:bottom w:val="single" w:sz="8" w:color="auto"/>
            </w:tcBorders>
          </w:tcPr>
          <w:p>
            <w:pPr>
              <w:spacing w:after="0"/>
              <w:rPr>
                <w:sz w:val="11"/>
                <w:szCs w:val="11"/>
                <w:color w:val="auto"/>
              </w:rPr>
            </w:pPr>
          </w:p>
        </w:tc>
        <w:tc>
          <w:tcPr>
            <w:tcW w:w="1740" w:type="dxa"/>
            <w:vAlign w:val="bottom"/>
            <w:tcBorders>
              <w:top w:val="single" w:sz="8" w:color="auto"/>
              <w:bottom w:val="single" w:sz="8" w:color="auto"/>
            </w:tcBorders>
          </w:tcPr>
          <w:p>
            <w:pPr>
              <w:spacing w:after="0"/>
              <w:rPr>
                <w:sz w:val="11"/>
                <w:szCs w:val="11"/>
                <w:color w:val="auto"/>
              </w:rPr>
            </w:pPr>
          </w:p>
        </w:tc>
        <w:tc>
          <w:tcPr>
            <w:tcW w:w="80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60" w:type="dxa"/>
            <w:vAlign w:val="bottom"/>
            <w:tcBorders>
              <w:top w:val="single" w:sz="8" w:color="auto"/>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r>
      <w:tr>
        <w:trPr>
          <w:trHeight w:val="236"/>
        </w:trPr>
        <w:tc>
          <w:tcPr>
            <w:tcW w:w="33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w w:val="97"/>
              </w:rPr>
              <w:t>March 31, 2019, measured for the trailing</w:t>
            </w:r>
          </w:p>
        </w:tc>
        <w:tc>
          <w:tcPr>
            <w:tcW w:w="2360" w:type="dxa"/>
            <w:vAlign w:val="bottom"/>
            <w:gridSpan w:val="2"/>
          </w:tcPr>
          <w:p>
            <w:pPr>
              <w:jc w:val="center"/>
              <w:ind w:left="810"/>
              <w:spacing w:after="0"/>
              <w:rPr>
                <w:sz w:val="20"/>
                <w:szCs w:val="20"/>
                <w:color w:val="auto"/>
              </w:rPr>
            </w:pPr>
            <w:r>
              <w:rPr>
                <w:rFonts w:ascii="Arial" w:cs="Arial" w:eastAsia="Arial" w:hAnsi="Arial"/>
                <w:sz w:val="18"/>
                <w:szCs w:val="18"/>
                <w:color w:val="auto"/>
                <w:w w:val="89"/>
              </w:rPr>
              <w:t>$35,331,000</w:t>
            </w:r>
          </w:p>
        </w:tc>
        <w:tc>
          <w:tcPr>
            <w:tcW w:w="940" w:type="dxa"/>
            <w:vAlign w:val="bottom"/>
            <w:tcBorders>
              <w:right w:val="single" w:sz="8" w:color="auto"/>
            </w:tcBorders>
          </w:tcPr>
          <w:p>
            <w:pPr>
              <w:spacing w:after="0"/>
              <w:rPr>
                <w:sz w:val="20"/>
                <w:szCs w:val="20"/>
                <w:color w:val="auto"/>
              </w:rPr>
            </w:pPr>
          </w:p>
        </w:tc>
      </w:tr>
      <w:tr>
        <w:trPr>
          <w:trHeight w:val="230"/>
        </w:trPr>
        <w:tc>
          <w:tcPr>
            <w:tcW w:w="33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three (3) month period then ended</w:t>
            </w:r>
          </w:p>
        </w:tc>
        <w:tc>
          <w:tcPr>
            <w:tcW w:w="9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r>
      <w:tr>
        <w:trPr>
          <w:trHeight w:val="27"/>
        </w:trPr>
        <w:tc>
          <w:tcPr>
            <w:tcW w:w="800" w:type="dxa"/>
            <w:vAlign w:val="bottom"/>
            <w:tcBorders>
              <w:left w:val="single" w:sz="8" w:color="auto"/>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36"/>
        </w:trPr>
        <w:tc>
          <w:tcPr>
            <w:tcW w:w="33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w w:val="93"/>
              </w:rPr>
              <w:t>June 30, 2019, measured for the trailing six</w:t>
            </w:r>
          </w:p>
        </w:tc>
        <w:tc>
          <w:tcPr>
            <w:tcW w:w="2360" w:type="dxa"/>
            <w:vAlign w:val="bottom"/>
            <w:gridSpan w:val="2"/>
          </w:tcPr>
          <w:p>
            <w:pPr>
              <w:jc w:val="center"/>
              <w:ind w:left="810"/>
              <w:spacing w:after="0"/>
              <w:rPr>
                <w:sz w:val="20"/>
                <w:szCs w:val="20"/>
                <w:color w:val="auto"/>
              </w:rPr>
            </w:pPr>
            <w:r>
              <w:rPr>
                <w:rFonts w:ascii="Arial" w:cs="Arial" w:eastAsia="Arial" w:hAnsi="Arial"/>
                <w:sz w:val="18"/>
                <w:szCs w:val="18"/>
                <w:color w:val="auto"/>
                <w:w w:val="89"/>
              </w:rPr>
              <w:t>$76,404,000</w:t>
            </w:r>
          </w:p>
        </w:tc>
        <w:tc>
          <w:tcPr>
            <w:tcW w:w="940" w:type="dxa"/>
            <w:vAlign w:val="bottom"/>
            <w:tcBorders>
              <w:right w:val="single" w:sz="8" w:color="auto"/>
            </w:tcBorders>
          </w:tcPr>
          <w:p>
            <w:pPr>
              <w:spacing w:after="0"/>
              <w:rPr>
                <w:sz w:val="20"/>
                <w:szCs w:val="20"/>
                <w:color w:val="auto"/>
              </w:rPr>
            </w:pPr>
          </w:p>
        </w:tc>
      </w:tr>
      <w:tr>
        <w:trPr>
          <w:trHeight w:val="230"/>
        </w:trPr>
        <w:tc>
          <w:tcPr>
            <w:tcW w:w="33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(6) month period then ended</w:t>
            </w:r>
          </w:p>
        </w:tc>
        <w:tc>
          <w:tcPr>
            <w:tcW w:w="9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r>
      <w:tr>
        <w:trPr>
          <w:trHeight w:val="27"/>
        </w:trPr>
        <w:tc>
          <w:tcPr>
            <w:tcW w:w="800" w:type="dxa"/>
            <w:vAlign w:val="bottom"/>
            <w:tcBorders>
              <w:left w:val="single" w:sz="8" w:color="auto"/>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36"/>
        </w:trPr>
        <w:tc>
          <w:tcPr>
            <w:tcW w:w="33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September 30, 2019, measured for the</w:t>
            </w:r>
          </w:p>
        </w:tc>
        <w:tc>
          <w:tcPr>
            <w:tcW w:w="2360" w:type="dxa"/>
            <w:vAlign w:val="bottom"/>
            <w:gridSpan w:val="2"/>
          </w:tcPr>
          <w:p>
            <w:pPr>
              <w:jc w:val="center"/>
              <w:ind w:left="810"/>
              <w:spacing w:after="0"/>
              <w:rPr>
                <w:sz w:val="20"/>
                <w:szCs w:val="20"/>
                <w:color w:val="auto"/>
              </w:rPr>
            </w:pPr>
            <w:r>
              <w:rPr>
                <w:rFonts w:ascii="Arial" w:cs="Arial" w:eastAsia="Arial" w:hAnsi="Arial"/>
                <w:sz w:val="18"/>
                <w:szCs w:val="18"/>
                <w:color w:val="auto"/>
                <w:w w:val="88"/>
              </w:rPr>
              <w:t>$120,959,000</w:t>
            </w:r>
          </w:p>
        </w:tc>
        <w:tc>
          <w:tcPr>
            <w:tcW w:w="940" w:type="dxa"/>
            <w:vAlign w:val="bottom"/>
            <w:tcBorders>
              <w:right w:val="single" w:sz="8" w:color="auto"/>
            </w:tcBorders>
          </w:tcPr>
          <w:p>
            <w:pPr>
              <w:spacing w:after="0"/>
              <w:rPr>
                <w:sz w:val="20"/>
                <w:szCs w:val="20"/>
                <w:color w:val="auto"/>
              </w:rPr>
            </w:pPr>
          </w:p>
        </w:tc>
      </w:tr>
      <w:tr>
        <w:trPr>
          <w:trHeight w:val="230"/>
        </w:trPr>
        <w:tc>
          <w:tcPr>
            <w:tcW w:w="33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w w:val="99"/>
              </w:rPr>
              <w:t>trailing nine (9) month period then ended</w:t>
            </w:r>
          </w:p>
        </w:tc>
        <w:tc>
          <w:tcPr>
            <w:tcW w:w="9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r>
      <w:tr>
        <w:trPr>
          <w:trHeight w:val="27"/>
        </w:trPr>
        <w:tc>
          <w:tcPr>
            <w:tcW w:w="800" w:type="dxa"/>
            <w:vAlign w:val="bottom"/>
            <w:tcBorders>
              <w:left w:val="single" w:sz="8" w:color="auto"/>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36"/>
        </w:trPr>
        <w:tc>
          <w:tcPr>
            <w:tcW w:w="33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December 31, 2019 measured for the</w:t>
            </w:r>
          </w:p>
        </w:tc>
        <w:tc>
          <w:tcPr>
            <w:tcW w:w="2360" w:type="dxa"/>
            <w:vAlign w:val="bottom"/>
            <w:gridSpan w:val="2"/>
          </w:tcPr>
          <w:p>
            <w:pPr>
              <w:jc w:val="center"/>
              <w:ind w:left="810"/>
              <w:spacing w:after="0"/>
              <w:rPr>
                <w:sz w:val="20"/>
                <w:szCs w:val="20"/>
                <w:color w:val="auto"/>
              </w:rPr>
            </w:pPr>
            <w:r>
              <w:rPr>
                <w:rFonts w:ascii="Arial" w:cs="Arial" w:eastAsia="Arial" w:hAnsi="Arial"/>
                <w:sz w:val="18"/>
                <w:szCs w:val="18"/>
                <w:color w:val="auto"/>
                <w:w w:val="88"/>
              </w:rPr>
              <w:t>$168,822,000</w:t>
            </w:r>
          </w:p>
        </w:tc>
        <w:tc>
          <w:tcPr>
            <w:tcW w:w="940" w:type="dxa"/>
            <w:vAlign w:val="bottom"/>
            <w:tcBorders>
              <w:right w:val="single" w:sz="8" w:color="auto"/>
            </w:tcBorders>
          </w:tcPr>
          <w:p>
            <w:pPr>
              <w:spacing w:after="0"/>
              <w:rPr>
                <w:sz w:val="20"/>
                <w:szCs w:val="20"/>
                <w:color w:val="auto"/>
              </w:rPr>
            </w:pPr>
          </w:p>
        </w:tc>
      </w:tr>
      <w:tr>
        <w:trPr>
          <w:trHeight w:val="216"/>
        </w:trPr>
        <w:tc>
          <w:tcPr>
            <w:tcW w:w="33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trailing twelve (12) month period then</w:t>
            </w:r>
          </w:p>
        </w:tc>
        <w:tc>
          <w:tcPr>
            <w:tcW w:w="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r>
      <w:tr>
        <w:trPr>
          <w:trHeight w:val="230"/>
        </w:trPr>
        <w:tc>
          <w:tcPr>
            <w:tcW w:w="33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ended</w:t>
            </w:r>
          </w:p>
        </w:tc>
        <w:tc>
          <w:tcPr>
            <w:tcW w:w="9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r>
      <w:tr>
        <w:trPr>
          <w:trHeight w:val="27"/>
        </w:trPr>
        <w:tc>
          <w:tcPr>
            <w:tcW w:w="800" w:type="dxa"/>
            <w:vAlign w:val="bottom"/>
            <w:tcBorders>
              <w:left w:val="single" w:sz="8" w:color="auto"/>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both"/>
        <w:ind w:left="980" w:firstLine="648"/>
        <w:spacing w:after="0" w:line="290" w:lineRule="auto"/>
        <w:rPr>
          <w:sz w:val="20"/>
          <w:szCs w:val="20"/>
          <w:color w:val="auto"/>
        </w:rPr>
      </w:pPr>
      <w:r>
        <w:rPr>
          <w:rFonts w:ascii="Arial" w:cs="Arial" w:eastAsia="Arial" w:hAnsi="Arial"/>
          <w:sz w:val="16"/>
          <w:szCs w:val="16"/>
          <w:color w:val="auto"/>
        </w:rPr>
        <w:t>Commencing with the fiscal quarter ending March 31, 2020 and as of the last day of each fiscal quarter thereafter, the Minimum Revenue financial covenant set forth in this Section shall be calculated so that Borrower shall be required to maintain a minimum of seventy-five percent of (75%) of Borrower's projected revenues as set forth in Borrower's annual financial projections approved by the Board which shall be delivered to Bank, in form and substance satisfactory to Bank, no later than January 31, 2020 (the "</w:t>
      </w:r>
      <w:r>
        <w:rPr>
          <w:rFonts w:ascii="Arial" w:cs="Arial" w:eastAsia="Arial" w:hAnsi="Arial"/>
          <w:sz w:val="16"/>
          <w:szCs w:val="16"/>
          <w:b w:val="1"/>
          <w:bCs w:val="1"/>
          <w:color w:val="auto"/>
        </w:rPr>
        <w:t>New Minimum Revenue Financial Covenant</w:t>
      </w:r>
      <w:r>
        <w:rPr>
          <w:rFonts w:ascii="Arial" w:cs="Arial" w:eastAsia="Arial" w:hAnsi="Arial"/>
          <w:sz w:val="16"/>
          <w:szCs w:val="16"/>
          <w:color w:val="auto"/>
        </w:rPr>
        <w:t>"). Borrower's failure to use good faith efforts to reach an agreement with Bank on the New Minimum Revenue Financial Covenant and to execute and deliver to Bank an amendment to this Agreement which provides the terms for such New Minimum Revenue Financial Covenant no later than March 31, 2020 shall constitute an immediate Event of Default under this Agreement.</w:t>
      </w:r>
    </w:p>
    <w:p>
      <w:pPr>
        <w:spacing w:after="0" w:line="161" w:lineRule="exact"/>
        <w:rPr>
          <w:sz w:val="20"/>
          <w:szCs w:val="20"/>
          <w:color w:val="auto"/>
        </w:rPr>
      </w:pPr>
    </w:p>
    <w:p>
      <w:pPr>
        <w:jc w:val="both"/>
        <w:ind w:firstLine="1296"/>
        <w:spacing w:after="0" w:line="314" w:lineRule="auto"/>
        <w:rPr>
          <w:sz w:val="20"/>
          <w:szCs w:val="20"/>
          <w:color w:val="auto"/>
        </w:rPr>
      </w:pPr>
      <w:r>
        <w:rPr>
          <w:rFonts w:ascii="Arial" w:cs="Arial" w:eastAsia="Arial" w:hAnsi="Arial"/>
          <w:sz w:val="16"/>
          <w:szCs w:val="16"/>
          <w:b w:val="1"/>
          <w:bCs w:val="1"/>
          <w:color w:val="auto"/>
        </w:rPr>
        <w:t>3.2 Compliance Statement</w:t>
      </w:r>
      <w:r>
        <w:rPr>
          <w:rFonts w:ascii="Arial" w:cs="Arial" w:eastAsia="Arial" w:hAnsi="Arial"/>
          <w:sz w:val="16"/>
          <w:szCs w:val="16"/>
          <w:color w:val="auto"/>
        </w:rPr>
        <w:t>. The Compliance Statement attached to the Loan Agreement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B</w:t>
      </w:r>
      <w:r>
        <w:rPr>
          <w:rFonts w:ascii="Arial" w:cs="Arial" w:eastAsia="Arial" w:hAnsi="Arial"/>
          <w:sz w:val="16"/>
          <w:szCs w:val="16"/>
          <w:b w:val="1"/>
          <w:bCs w:val="1"/>
          <w:color w:val="auto"/>
        </w:rPr>
        <w:t xml:space="preserve"> </w:t>
      </w:r>
      <w:r>
        <w:rPr>
          <w:rFonts w:ascii="Arial" w:cs="Arial" w:eastAsia="Arial" w:hAnsi="Arial"/>
          <w:sz w:val="16"/>
          <w:szCs w:val="16"/>
          <w:color w:val="auto"/>
        </w:rPr>
        <w:t>is replaced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its entirety with the Compliance Statement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From and after the date hereof, all references in the Loan Agreement to the Compliance Statement shall be deemed to refer to the Compliance Statement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3" w:name="page74"/>
    <w:bookmarkEnd w:id="73"/>
    <w:p>
      <w:pPr>
        <w:ind w:left="660"/>
        <w:spacing w:after="0"/>
        <w:tabs>
          <w:tab w:leader="none" w:pos="96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Limitation of Waiver and Amendments.</w:t>
      </w:r>
    </w:p>
    <w:p>
      <w:pPr>
        <w:spacing w:after="0" w:line="22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The waiver and amendments set forth in Sections 2 and 3, above, are effective for the purposes set forth herein</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be 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80"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This Amendment shall be construed in connection with and as part of the Loan Documents and all terms,</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representations, warranties, covenants and agreements set forth in the Loan Documents, except as herein amended, are hereby ratified and confirmed and shall remain in full force and effect.</w:t>
      </w:r>
    </w:p>
    <w:p>
      <w:pPr>
        <w:spacing w:after="0" w:line="176" w:lineRule="exact"/>
        <w:rPr>
          <w:sz w:val="20"/>
          <w:szCs w:val="20"/>
          <w:color w:val="auto"/>
        </w:rPr>
      </w:pPr>
    </w:p>
    <w:p>
      <w:pPr>
        <w:ind w:right="20" w:firstLine="656"/>
        <w:spacing w:after="0" w:line="282" w:lineRule="auto"/>
        <w:tabs>
          <w:tab w:leader="none" w:pos="117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To induce Bank to enter into this Amendment, Borrower hereby represents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warrants to Bank as follows:</w:t>
      </w:r>
    </w:p>
    <w:p>
      <w:pPr>
        <w:spacing w:after="0" w:line="16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color w:val="auto"/>
        </w:rPr>
        <w:t>Immediately after giving effect to this Amendment (a) the representations and warranties contained in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8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color w:val="auto"/>
        </w:rPr>
        <w:t>Borrower has the power and authority to execute and deliver this Amendment and to perform its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Loan Agreement, as amended by this Amendment;</w:t>
      </w:r>
    </w:p>
    <w:p>
      <w:pPr>
        <w:spacing w:after="0" w:line="16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color w:val="auto"/>
        </w:rPr>
        <w:t>The organizational documents of Borrower delivered to Bank on the Effective Date remain true, accurate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and have not been amended, supplemented or restated and are and continue to be in full force and effect;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color w:val="auto"/>
        </w:rPr>
        <w:t>The execution and delivery by Borrower of this Amendment and the performance by Borrower of its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Loan Agreement, as amended by this Amendment, have been duly authorized;</w:t>
      </w:r>
    </w:p>
    <w:p>
      <w:pPr>
        <w:spacing w:after="0" w:line="162"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color w:val="auto"/>
        </w:rPr>
        <w:t>The execution and delivery by Borrower of this Amendment and the performance by Borrower of its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Loan 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83"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color w:val="auto"/>
        </w:rPr>
        <w:t>The execution and delivery by Borrower of this Amendment and the performance by Borrower of its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8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5.7 </w:t>
      </w:r>
      <w:r>
        <w:rPr>
          <w:rFonts w:ascii="Arial" w:cs="Arial" w:eastAsia="Arial" w:hAnsi="Arial"/>
          <w:sz w:val="18"/>
          <w:szCs w:val="18"/>
          <w:color w:val="auto"/>
        </w:rPr>
        <w:t>This Amendment has been duly executed and delivered by Borrower and is the binding obligation of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enforceable against Borrower in accordance with its terms, except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4" w:name="page75"/>
    <w:bookmarkEnd w:id="74"/>
    <w:p>
      <w:pPr>
        <w:ind w:right="20"/>
        <w:spacing w:after="0" w:line="277" w:lineRule="auto"/>
        <w:rPr>
          <w:sz w:val="20"/>
          <w:szCs w:val="20"/>
          <w:color w:val="auto"/>
        </w:rPr>
      </w:pPr>
      <w:r>
        <w:rPr>
          <w:rFonts w:ascii="Arial" w:cs="Arial" w:eastAsia="Arial" w:hAnsi="Arial"/>
          <w:sz w:val="18"/>
          <w:szCs w:val="18"/>
          <w:color w:val="auto"/>
        </w:rPr>
        <w:t>such enforceability may be limited by bankruptcy, insolvency, reorganization, liquidation, moratorium or other similar laws of general application and equitable principles relating to or affecting creditors' rights.</w:t>
      </w:r>
    </w:p>
    <w:p>
      <w:pPr>
        <w:spacing w:after="0" w:line="166" w:lineRule="exact"/>
        <w:rPr>
          <w:sz w:val="20"/>
          <w:szCs w:val="20"/>
          <w:color w:val="auto"/>
        </w:rPr>
      </w:pPr>
    </w:p>
    <w:p>
      <w:pPr>
        <w:jc w:val="both"/>
        <w:ind w:firstLine="656"/>
        <w:spacing w:after="0" w:line="289" w:lineRule="auto"/>
        <w:tabs>
          <w:tab w:leader="none" w:pos="972"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Ratification of Perfection Certificate. </w:t>
      </w:r>
      <w:r>
        <w:rPr>
          <w:rFonts w:ascii="Arial" w:cs="Arial" w:eastAsia="Arial" w:hAnsi="Arial"/>
          <w:sz w:val="17"/>
          <w:szCs w:val="17"/>
          <w:color w:val="auto"/>
        </w:rPr>
        <w:t>Borrower hereby ratifies, confirms and reaffirms, all and singular, the terms and</w:t>
      </w:r>
      <w:r>
        <w:rPr>
          <w:rFonts w:ascii="Arial" w:cs="Arial" w:eastAsia="Arial" w:hAnsi="Arial"/>
          <w:sz w:val="17"/>
          <w:szCs w:val="17"/>
          <w:b w:val="1"/>
          <w:bCs w:val="1"/>
          <w:color w:val="auto"/>
        </w:rPr>
        <w:t xml:space="preserve"> </w:t>
      </w:r>
      <w:r>
        <w:rPr>
          <w:rFonts w:ascii="Arial" w:cs="Arial" w:eastAsia="Arial" w:hAnsi="Arial"/>
          <w:sz w:val="17"/>
          <w:szCs w:val="17"/>
          <w:color w:val="auto"/>
        </w:rPr>
        <w:t>disclosures contained in a certain Perfection Certificate dated as of June 8, 2018, and acknowledges, confirms and agrees that the disclosures and information Borrower provided to Bank in such Perfection Certificate have not changed, as of the date hereof.</w:t>
      </w:r>
    </w:p>
    <w:p>
      <w:pPr>
        <w:spacing w:after="0" w:line="157" w:lineRule="exact"/>
        <w:rPr>
          <w:rFonts w:ascii="Arial" w:cs="Arial" w:eastAsia="Arial" w:hAnsi="Arial"/>
          <w:sz w:val="17"/>
          <w:szCs w:val="17"/>
          <w:b w:val="1"/>
          <w:bCs w:val="1"/>
          <w:color w:val="auto"/>
        </w:rPr>
      </w:pPr>
    </w:p>
    <w:p>
      <w:pPr>
        <w:jc w:val="both"/>
        <w:ind w:firstLine="656"/>
        <w:spacing w:after="0" w:line="314" w:lineRule="auto"/>
        <w:tabs>
          <w:tab w:leader="none" w:pos="1012"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Integration. </w:t>
      </w:r>
      <w:r>
        <w:rPr>
          <w:rFonts w:ascii="Arial" w:cs="Arial" w:eastAsia="Arial" w:hAnsi="Arial"/>
          <w:sz w:val="16"/>
          <w:szCs w:val="16"/>
          <w:color w:val="auto"/>
        </w:rPr>
        <w:t>This Amendment and the Loan Documents represent the entire agreement about this subject matter and</w:t>
      </w:r>
      <w:r>
        <w:rPr>
          <w:rFonts w:ascii="Arial" w:cs="Arial" w:eastAsia="Arial" w:hAnsi="Arial"/>
          <w:sz w:val="16"/>
          <w:szCs w:val="16"/>
          <w:b w:val="1"/>
          <w:bCs w:val="1"/>
          <w:color w:val="auto"/>
        </w:rPr>
        <w:t xml:space="preserve"> </w:t>
      </w:r>
      <w:r>
        <w:rPr>
          <w:rFonts w:ascii="Arial" w:cs="Arial" w:eastAsia="Arial" w:hAnsi="Arial"/>
          <w:sz w:val="16"/>
          <w:szCs w:val="16"/>
          <w:color w:val="auto"/>
        </w:rPr>
        <w:t>supersede prior 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41" w:lineRule="exact"/>
        <w:rPr>
          <w:rFonts w:ascii="Arial" w:cs="Arial" w:eastAsia="Arial" w:hAnsi="Arial"/>
          <w:sz w:val="16"/>
          <w:szCs w:val="16"/>
          <w:b w:val="1"/>
          <w:bCs w:val="1"/>
          <w:color w:val="auto"/>
        </w:rPr>
      </w:pPr>
    </w:p>
    <w:p>
      <w:pPr>
        <w:ind w:right="20" w:firstLine="656"/>
        <w:spacing w:after="0" w:line="282" w:lineRule="auto"/>
        <w:tabs>
          <w:tab w:leader="none" w:pos="918"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Amendment may be executed in any number of counterparts and all of such counterparts taken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to constitute one and the same instrument.</w:t>
      </w:r>
    </w:p>
    <w:p>
      <w:pPr>
        <w:spacing w:after="0" w:line="161" w:lineRule="exact"/>
        <w:rPr>
          <w:rFonts w:ascii="Arial" w:cs="Arial" w:eastAsia="Arial" w:hAnsi="Arial"/>
          <w:sz w:val="18"/>
          <w:szCs w:val="18"/>
          <w:b w:val="1"/>
          <w:bCs w:val="1"/>
          <w:color w:val="auto"/>
        </w:rPr>
      </w:pPr>
    </w:p>
    <w:p>
      <w:pPr>
        <w:jc w:val="both"/>
        <w:ind w:firstLine="656"/>
        <w:spacing w:after="0" w:line="266" w:lineRule="auto"/>
        <w:tabs>
          <w:tab w:leader="none" w:pos="1026"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Effectiveness. </w:t>
      </w:r>
      <w:r>
        <w:rPr>
          <w:rFonts w:ascii="Arial" w:cs="Arial" w:eastAsia="Arial" w:hAnsi="Arial"/>
          <w:sz w:val="18"/>
          <w:szCs w:val="18"/>
          <w:color w:val="auto"/>
        </w:rPr>
        <w:t>This Amendment shall be deemed effective upon (a) the due execution and delivery to Bank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by each party hereto, (b) Borrower's payment of Bank's legal fees and expenses incurred in connection with this Amendment.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75" w:name="page76"/>
    <w:bookmarkEnd w:id="75"/>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this Amendment to be duly executed and delivered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first written above.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PROGYNY, INC.</w:t>
      </w:r>
    </w:p>
    <w:p>
      <w:pPr>
        <w:spacing w:after="0" w:line="200" w:lineRule="exact"/>
        <w:rPr>
          <w:sz w:val="20"/>
          <w:szCs w:val="20"/>
          <w:color w:val="auto"/>
        </w:rPr>
      </w:pPr>
    </w:p>
    <w:p>
      <w:pPr>
        <w:spacing w:after="0" w:line="24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Melissa Pursley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14605</wp:posOffset>
            </wp:positionV>
            <wp:extent cx="28289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Melissa Pursley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VP-Finance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14605</wp:posOffset>
            </wp:positionV>
            <wp:extent cx="28289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1034415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B</w:t>
            </w:r>
          </w:p>
        </w:tc>
        <w:tc>
          <w:tcPr>
            <w:tcW w:w="4480" w:type="dxa"/>
            <w:vAlign w:val="bottom"/>
            <w:gridSpan w:val="3"/>
          </w:tcPr>
          <w:p>
            <w:pPr>
              <w:spacing w:after="0"/>
              <w:rPr>
                <w:sz w:val="17"/>
                <w:szCs w:val="17"/>
                <w:color w:val="auto"/>
              </w:rPr>
            </w:pPr>
          </w:p>
        </w:tc>
      </w:tr>
      <w:tr>
        <w:trPr>
          <w:trHeight w:val="412"/>
        </w:trPr>
        <w:tc>
          <w:tcPr>
            <w:tcW w:w="7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540" w:type="dxa"/>
            <w:vAlign w:val="bottom"/>
            <w:gridSpan w:val="6"/>
          </w:tcPr>
          <w:p>
            <w:pPr>
              <w:jc w:val="center"/>
              <w:ind w:right="3380"/>
              <w:spacing w:after="0"/>
              <w:rPr>
                <w:sz w:val="20"/>
                <w:szCs w:val="20"/>
                <w:color w:val="auto"/>
              </w:rPr>
            </w:pPr>
            <w:r>
              <w:rPr>
                <w:rFonts w:ascii="Arial" w:cs="Arial" w:eastAsia="Arial" w:hAnsi="Arial"/>
                <w:sz w:val="18"/>
                <w:szCs w:val="18"/>
                <w:b w:val="1"/>
                <w:bCs w:val="1"/>
                <w:color w:val="auto"/>
              </w:rPr>
              <w:t>COMPLIANCE STATEMENT</w:t>
            </w: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rPr>
              <w:t>TO:</w:t>
            </w:r>
          </w:p>
        </w:tc>
        <w:tc>
          <w:tcPr>
            <w:tcW w:w="2600" w:type="dxa"/>
            <w:vAlign w:val="bottom"/>
          </w:tcPr>
          <w:p>
            <w:pPr>
              <w:ind w:left="220"/>
              <w:spacing w:after="0"/>
              <w:rPr>
                <w:sz w:val="20"/>
                <w:szCs w:val="20"/>
                <w:color w:val="auto"/>
              </w:rPr>
            </w:pPr>
            <w:r>
              <w:rPr>
                <w:rFonts w:ascii="Arial" w:cs="Arial" w:eastAsia="Arial" w:hAnsi="Arial"/>
                <w:sz w:val="18"/>
                <w:szCs w:val="18"/>
                <w:color w:val="auto"/>
              </w:rPr>
              <w:t>SILICON VALLEY BANK</w:t>
            </w:r>
          </w:p>
        </w:tc>
        <w:tc>
          <w:tcPr>
            <w:tcW w:w="3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760" w:type="dxa"/>
            <w:vAlign w:val="bottom"/>
            <w:gridSpan w:val="2"/>
          </w:tcPr>
          <w:p>
            <w:pPr>
              <w:ind w:left="2780"/>
              <w:spacing w:after="0"/>
              <w:rPr>
                <w:sz w:val="20"/>
                <w:szCs w:val="20"/>
                <w:color w:val="auto"/>
              </w:rPr>
            </w:pPr>
            <w:r>
              <w:rPr>
                <w:rFonts w:ascii="Arial" w:cs="Arial" w:eastAsia="Arial" w:hAnsi="Arial"/>
                <w:sz w:val="18"/>
                <w:szCs w:val="18"/>
                <w:color w:val="auto"/>
              </w:rPr>
              <w:t>Date:</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FROM:</w:t>
            </w:r>
          </w:p>
        </w:tc>
        <w:tc>
          <w:tcPr>
            <w:tcW w:w="2600" w:type="dxa"/>
            <w:vAlign w:val="bottom"/>
          </w:tcPr>
          <w:p>
            <w:pPr>
              <w:ind w:left="220"/>
              <w:spacing w:after="0"/>
              <w:rPr>
                <w:sz w:val="20"/>
                <w:szCs w:val="20"/>
                <w:color w:val="auto"/>
              </w:rPr>
            </w:pPr>
            <w:r>
              <w:rPr>
                <w:rFonts w:ascii="Arial" w:cs="Arial" w:eastAsia="Arial" w:hAnsi="Arial"/>
                <w:sz w:val="18"/>
                <w:szCs w:val="18"/>
                <w:color w:val="auto"/>
              </w:rPr>
              <w:t>PROGYNY, INC.</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terms and conditions of the Loan and Security Agreement between Borrower and Bank (the "</w:t>
      </w:r>
      <w:r>
        <w:rPr>
          <w:rFonts w:ascii="Arial" w:cs="Arial" w:eastAsia="Arial" w:hAnsi="Arial"/>
          <w:sz w:val="16"/>
          <w:szCs w:val="16"/>
          <w:b w:val="1"/>
          <w:bCs w:val="1"/>
          <w:color w:val="auto"/>
        </w:rPr>
        <w:t>Agreement</w:t>
      </w:r>
      <w:r>
        <w:rPr>
          <w:rFonts w:ascii="Arial" w:cs="Arial" w:eastAsia="Arial" w:hAnsi="Arial"/>
          <w:sz w:val="16"/>
          <w:szCs w:val="16"/>
          <w:color w:val="auto"/>
        </w:rPr>
        <w:t>"), Borrower</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is in complete compliance for the period ending with all required covenants except as noted below. Attached are the required documents evidencing such compliance, setting forth calculations prepared in accordance with GAAP consistently applied from one period to the next except as explained in an accompanying letter or footnotes. Capitalized terms used but not otherwise defined herein shall have the meanings given them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2254250</wp:posOffset>
            </wp:positionH>
            <wp:positionV relativeFrom="paragraph">
              <wp:posOffset>-441960</wp:posOffset>
            </wp:positionV>
            <wp:extent cx="4686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468630" cy="8890"/>
                    </a:xfrm>
                    <a:prstGeom prst="rect">
                      <a:avLst/>
                    </a:prstGeom>
                    <a:noFill/>
                  </pic:spPr>
                </pic:pic>
              </a:graphicData>
            </a:graphic>
          </wp:anchor>
        </w:drawing>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360" w:type="dxa"/>
            <w:vAlign w:val="bottom"/>
            <w:tcBorders>
              <w:top w:val="single" w:sz="8" w:color="auto"/>
              <w:left w:val="single" w:sz="8" w:color="auto"/>
            </w:tcBorders>
          </w:tcPr>
          <w:p>
            <w:pPr>
              <w:spacing w:after="0"/>
              <w:rPr>
                <w:sz w:val="16"/>
                <w:szCs w:val="16"/>
                <w:color w:val="auto"/>
              </w:rPr>
            </w:pPr>
          </w:p>
        </w:tc>
        <w:tc>
          <w:tcPr>
            <w:tcW w:w="298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Reporting Covenants</w:t>
            </w:r>
          </w:p>
        </w:tc>
        <w:tc>
          <w:tcPr>
            <w:tcW w:w="3000" w:type="dxa"/>
            <w:vAlign w:val="bottom"/>
            <w:tcBorders>
              <w:top w:val="single" w:sz="8" w:color="auto"/>
              <w:right w:val="single" w:sz="8" w:color="auto"/>
            </w:tcBorders>
            <w:gridSpan w:val="3"/>
          </w:tcPr>
          <w:p>
            <w:pPr>
              <w:ind w:left="1140"/>
              <w:spacing w:after="0" w:line="189" w:lineRule="exact"/>
              <w:rPr>
                <w:sz w:val="20"/>
                <w:szCs w:val="20"/>
                <w:color w:val="auto"/>
              </w:rPr>
            </w:pPr>
            <w:r>
              <w:rPr>
                <w:rFonts w:ascii="Arial" w:cs="Arial" w:eastAsia="Arial" w:hAnsi="Arial"/>
                <w:sz w:val="18"/>
                <w:szCs w:val="18"/>
                <w:b w:val="1"/>
                <w:bCs w:val="1"/>
                <w:color w:val="auto"/>
              </w:rPr>
              <w:t>Required</w:t>
            </w:r>
          </w:p>
        </w:tc>
        <w:tc>
          <w:tcPr>
            <w:tcW w:w="920" w:type="dxa"/>
            <w:vAlign w:val="bottom"/>
            <w:tcBorders>
              <w:top w:val="single" w:sz="8" w:color="auto"/>
            </w:tcBorders>
          </w:tcPr>
          <w:p>
            <w:pPr>
              <w:spacing w:after="0"/>
              <w:rPr>
                <w:sz w:val="16"/>
                <w:szCs w:val="16"/>
                <w:color w:val="auto"/>
              </w:rPr>
            </w:pPr>
          </w:p>
        </w:tc>
        <w:tc>
          <w:tcPr>
            <w:tcW w:w="1660" w:type="dxa"/>
            <w:vAlign w:val="bottom"/>
            <w:tcBorders>
              <w:top w:val="single" w:sz="8" w:color="auto"/>
              <w:right w:val="single" w:sz="8" w:color="auto"/>
            </w:tcBorders>
            <w:gridSpan w:val="3"/>
          </w:tcPr>
          <w:p>
            <w:pPr>
              <w:spacing w:after="0" w:line="189" w:lineRule="exact"/>
              <w:rPr>
                <w:sz w:val="20"/>
                <w:szCs w:val="20"/>
                <w:color w:val="auto"/>
              </w:rPr>
            </w:pPr>
            <w:r>
              <w:rPr>
                <w:rFonts w:ascii="Arial" w:cs="Arial" w:eastAsia="Arial" w:hAnsi="Arial"/>
                <w:sz w:val="18"/>
                <w:szCs w:val="18"/>
                <w:b w:val="1"/>
                <w:bCs w:val="1"/>
                <w:color w:val="auto"/>
              </w:rPr>
              <w:t>Complies</w:t>
            </w:r>
          </w:p>
        </w:tc>
      </w:tr>
      <w:tr>
        <w:trPr>
          <w:trHeight w:val="61"/>
        </w:trPr>
        <w:tc>
          <w:tcPr>
            <w:tcW w:w="1360" w:type="dxa"/>
            <w:vAlign w:val="bottom"/>
            <w:tcBorders>
              <w:left w:val="single" w:sz="8" w:color="auto"/>
              <w:bottom w:val="single" w:sz="8" w:color="auto"/>
            </w:tcBorders>
          </w:tcPr>
          <w:p>
            <w:pPr>
              <w:spacing w:after="0"/>
              <w:rPr>
                <w:sz w:val="5"/>
                <w:szCs w:val="5"/>
                <w:color w:val="auto"/>
              </w:rPr>
            </w:pPr>
          </w:p>
        </w:tc>
        <w:tc>
          <w:tcPr>
            <w:tcW w:w="1640" w:type="dxa"/>
            <w:vAlign w:val="bottom"/>
            <w:tcBorders>
              <w:top w:val="single" w:sz="8" w:color="auto"/>
              <w:bottom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720" w:type="dxa"/>
            <w:vAlign w:val="bottom"/>
            <w:tcBorders>
              <w:top w:val="single" w:sz="8" w:color="auto"/>
              <w:bottom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80" w:type="dxa"/>
            <w:vAlign w:val="bottom"/>
            <w:tcBorders>
              <w:top w:val="single" w:sz="8" w:color="auto"/>
              <w:bottom w:val="single" w:sz="8" w:color="auto"/>
            </w:tcBorders>
          </w:tcPr>
          <w:p>
            <w:pPr>
              <w:spacing w:after="0"/>
              <w:rPr>
                <w:sz w:val="5"/>
                <w:szCs w:val="5"/>
                <w:color w:val="auto"/>
              </w:rPr>
            </w:pPr>
          </w:p>
        </w:tc>
        <w:tc>
          <w:tcPr>
            <w:tcW w:w="340" w:type="dxa"/>
            <w:vAlign w:val="bottom"/>
            <w:tcBorders>
              <w:top w:val="single" w:sz="8" w:color="auto"/>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r>
      <w:tr>
        <w:trPr>
          <w:trHeight w:val="210"/>
        </w:trPr>
        <w:tc>
          <w:tcPr>
            <w:tcW w:w="1360" w:type="dxa"/>
            <w:vAlign w:val="bottom"/>
            <w:tcBorders>
              <w:left w:val="single" w:sz="8" w:color="auto"/>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r>
      <w:tr>
        <w:trPr>
          <w:trHeight w:val="224"/>
        </w:trPr>
        <w:tc>
          <w:tcPr>
            <w:tcW w:w="43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w w:val="93"/>
              </w:rPr>
              <w:t>Monthly financial statements with Compliance Statement</w:t>
            </w:r>
          </w:p>
        </w:tc>
        <w:tc>
          <w:tcPr>
            <w:tcW w:w="30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Monthly within 30 days</w:t>
            </w:r>
          </w:p>
        </w:tc>
        <w:tc>
          <w:tcPr>
            <w:tcW w:w="920" w:type="dxa"/>
            <w:vAlign w:val="bottom"/>
          </w:tcPr>
          <w:p>
            <w:pPr>
              <w:spacing w:after="0"/>
              <w:rPr>
                <w:sz w:val="19"/>
                <w:szCs w:val="19"/>
                <w:color w:val="auto"/>
              </w:rPr>
            </w:pPr>
          </w:p>
        </w:tc>
        <w:tc>
          <w:tcPr>
            <w:tcW w:w="16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Yes No</w:t>
            </w:r>
          </w:p>
        </w:tc>
      </w:tr>
      <w:tr>
        <w:trPr>
          <w:trHeight w:val="26"/>
        </w:trPr>
        <w:tc>
          <w:tcPr>
            <w:tcW w:w="136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09"/>
        </w:trPr>
        <w:tc>
          <w:tcPr>
            <w:tcW w:w="43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Annual financial statements (CPA Audited)</w:t>
            </w:r>
          </w:p>
        </w:tc>
        <w:tc>
          <w:tcPr>
            <w:tcW w:w="30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If audited required by Board, FYE</w:t>
            </w:r>
          </w:p>
        </w:tc>
        <w:tc>
          <w:tcPr>
            <w:tcW w:w="92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w w:val="90"/>
              </w:rPr>
              <w:t>Yes</w:t>
            </w:r>
          </w:p>
        </w:tc>
        <w:tc>
          <w:tcPr>
            <w:tcW w:w="12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No</w:t>
            </w:r>
          </w:p>
        </w:tc>
      </w:tr>
      <w:tr>
        <w:trPr>
          <w:trHeight w:val="216"/>
        </w:trPr>
        <w:tc>
          <w:tcPr>
            <w:tcW w:w="136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30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8"/>
              </w:rPr>
              <w:t>within 180 days; otherwise, company</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30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prepared financial statements FYE</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r>
      <w:tr>
        <w:trPr>
          <w:trHeight w:val="230"/>
        </w:trPr>
        <w:tc>
          <w:tcPr>
            <w:tcW w:w="1360" w:type="dxa"/>
            <w:vAlign w:val="bottom"/>
            <w:tcBorders>
              <w:lef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within 60 days</w:t>
            </w: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r>
      <w:tr>
        <w:trPr>
          <w:trHeight w:val="27"/>
        </w:trPr>
        <w:tc>
          <w:tcPr>
            <w:tcW w:w="136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24"/>
        </w:trPr>
        <w:tc>
          <w:tcPr>
            <w:tcW w:w="43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10-Q, 10-K and 8-K</w:t>
            </w:r>
          </w:p>
        </w:tc>
        <w:tc>
          <w:tcPr>
            <w:tcW w:w="30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Within 5 days after filing with SEC</w:t>
            </w:r>
          </w:p>
        </w:tc>
        <w:tc>
          <w:tcPr>
            <w:tcW w:w="920" w:type="dxa"/>
            <w:vAlign w:val="bottom"/>
          </w:tcPr>
          <w:p>
            <w:pPr>
              <w:spacing w:after="0"/>
              <w:rPr>
                <w:sz w:val="19"/>
                <w:szCs w:val="19"/>
                <w:color w:val="auto"/>
              </w:rPr>
            </w:pPr>
          </w:p>
        </w:tc>
        <w:tc>
          <w:tcPr>
            <w:tcW w:w="16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Yes No</w:t>
            </w:r>
          </w:p>
        </w:tc>
      </w:tr>
      <w:tr>
        <w:trPr>
          <w:trHeight w:val="26"/>
        </w:trPr>
        <w:tc>
          <w:tcPr>
            <w:tcW w:w="136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24"/>
        </w:trPr>
        <w:tc>
          <w:tcPr>
            <w:tcW w:w="43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A/R &amp; AP Agings and Deferred Revenue report</w:t>
            </w:r>
          </w:p>
        </w:tc>
        <w:tc>
          <w:tcPr>
            <w:tcW w:w="30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Monthly within 30 days</w:t>
            </w:r>
          </w:p>
        </w:tc>
        <w:tc>
          <w:tcPr>
            <w:tcW w:w="920" w:type="dxa"/>
            <w:vAlign w:val="bottom"/>
          </w:tcPr>
          <w:p>
            <w:pPr>
              <w:spacing w:after="0"/>
              <w:rPr>
                <w:sz w:val="19"/>
                <w:szCs w:val="19"/>
                <w:color w:val="auto"/>
              </w:rPr>
            </w:pPr>
          </w:p>
        </w:tc>
        <w:tc>
          <w:tcPr>
            <w:tcW w:w="16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Yes No</w:t>
            </w:r>
          </w:p>
        </w:tc>
      </w:tr>
      <w:tr>
        <w:trPr>
          <w:trHeight w:val="26"/>
        </w:trPr>
        <w:tc>
          <w:tcPr>
            <w:tcW w:w="136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09"/>
        </w:trPr>
        <w:tc>
          <w:tcPr>
            <w:tcW w:w="43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w w:val="93"/>
              </w:rPr>
              <w:t>Borrowing Base Statement (including detailed AR ledger</w:t>
            </w:r>
          </w:p>
        </w:tc>
        <w:tc>
          <w:tcPr>
            <w:tcW w:w="30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When a Streamline Period is not in</w:t>
            </w:r>
          </w:p>
        </w:tc>
        <w:tc>
          <w:tcPr>
            <w:tcW w:w="92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w w:val="90"/>
              </w:rPr>
              <w:t>Yes</w:t>
            </w:r>
          </w:p>
        </w:tc>
        <w:tc>
          <w:tcPr>
            <w:tcW w:w="12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No</w:t>
            </w:r>
          </w:p>
        </w:tc>
      </w:tr>
      <w:tr>
        <w:trPr>
          <w:trHeight w:val="216"/>
        </w:trPr>
        <w:tc>
          <w:tcPr>
            <w:tcW w:w="43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report)</w:t>
            </w:r>
          </w:p>
        </w:tc>
        <w:tc>
          <w:tcPr>
            <w:tcW w:w="30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5"/>
              </w:rPr>
              <w:t>effect, weekly on Friday of each week;</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30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and when a Streamline Period is in</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30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6"/>
              </w:rPr>
              <w:t>effect, monthly within 7 days of month</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r>
      <w:tr>
        <w:trPr>
          <w:trHeight w:val="230"/>
        </w:trPr>
        <w:tc>
          <w:tcPr>
            <w:tcW w:w="1360" w:type="dxa"/>
            <w:vAlign w:val="bottom"/>
            <w:tcBorders>
              <w:lef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end</w:t>
            </w: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r>
      <w:tr>
        <w:trPr>
          <w:trHeight w:val="27"/>
        </w:trPr>
        <w:tc>
          <w:tcPr>
            <w:tcW w:w="136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209"/>
        </w:trPr>
        <w:tc>
          <w:tcPr>
            <w:tcW w:w="43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Board approved projections</w:t>
            </w:r>
          </w:p>
        </w:tc>
        <w:tc>
          <w:tcPr>
            <w:tcW w:w="30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Within 30 days of later of Board</w:t>
            </w:r>
          </w:p>
        </w:tc>
        <w:tc>
          <w:tcPr>
            <w:tcW w:w="92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w w:val="90"/>
              </w:rPr>
              <w:t>Yes</w:t>
            </w:r>
          </w:p>
        </w:tc>
        <w:tc>
          <w:tcPr>
            <w:tcW w:w="12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No</w:t>
            </w:r>
          </w:p>
        </w:tc>
      </w:tr>
      <w:tr>
        <w:trPr>
          <w:trHeight w:val="216"/>
        </w:trPr>
        <w:tc>
          <w:tcPr>
            <w:tcW w:w="136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30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Approval or FYE, and as</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r>
      <w:tr>
        <w:trPr>
          <w:trHeight w:val="230"/>
        </w:trPr>
        <w:tc>
          <w:tcPr>
            <w:tcW w:w="1360" w:type="dxa"/>
            <w:vAlign w:val="bottom"/>
            <w:tcBorders>
              <w:lef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amended/updated</w:t>
            </w: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r>
      <w:tr>
        <w:trPr>
          <w:trHeight w:val="27"/>
        </w:trPr>
        <w:tc>
          <w:tcPr>
            <w:tcW w:w="136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920" w:type="dxa"/>
            <w:vAlign w:val="bottom"/>
            <w:tcBorders>
              <w:top w:val="single" w:sz="8" w:color="auto"/>
              <w:left w:val="single" w:sz="8" w:color="auto"/>
              <w:right w:val="single" w:sz="8" w:color="auto"/>
            </w:tcBorders>
            <w:gridSpan w:val="3"/>
          </w:tcPr>
          <w:p>
            <w:pPr>
              <w:ind w:left="1700"/>
              <w:spacing w:after="0" w:line="189" w:lineRule="exact"/>
              <w:rPr>
                <w:sz w:val="20"/>
                <w:szCs w:val="20"/>
                <w:color w:val="auto"/>
              </w:rPr>
            </w:pPr>
            <w:r>
              <w:rPr>
                <w:rFonts w:ascii="Arial" w:cs="Arial" w:eastAsia="Arial" w:hAnsi="Arial"/>
                <w:sz w:val="18"/>
                <w:szCs w:val="18"/>
                <w:b w:val="1"/>
                <w:bCs w:val="1"/>
                <w:color w:val="auto"/>
              </w:rPr>
              <w:t>Financial Covenant</w:t>
            </w:r>
          </w:p>
        </w:tc>
        <w:tc>
          <w:tcPr>
            <w:tcW w:w="1200" w:type="dxa"/>
            <w:vAlign w:val="bottom"/>
            <w:tcBorders>
              <w:top w:val="single" w:sz="8" w:color="auto"/>
              <w:right w:val="single" w:sz="8" w:color="auto"/>
            </w:tcBorders>
            <w:gridSpan w:val="3"/>
          </w:tcPr>
          <w:p>
            <w:pPr>
              <w:ind w:left="220"/>
              <w:spacing w:after="0" w:line="189" w:lineRule="exact"/>
              <w:rPr>
                <w:sz w:val="20"/>
                <w:szCs w:val="20"/>
                <w:color w:val="auto"/>
              </w:rPr>
            </w:pPr>
            <w:r>
              <w:rPr>
                <w:rFonts w:ascii="Arial" w:cs="Arial" w:eastAsia="Arial" w:hAnsi="Arial"/>
                <w:sz w:val="18"/>
                <w:szCs w:val="18"/>
                <w:b w:val="1"/>
                <w:bCs w:val="1"/>
                <w:color w:val="auto"/>
              </w:rPr>
              <w:t>Required</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right w:val="single" w:sz="8" w:color="auto"/>
            </w:tcBorders>
            <w:gridSpan w:val="4"/>
          </w:tcPr>
          <w:p>
            <w:pPr>
              <w:ind w:left="180"/>
              <w:spacing w:after="0" w:line="189" w:lineRule="exact"/>
              <w:rPr>
                <w:sz w:val="20"/>
                <w:szCs w:val="20"/>
                <w:color w:val="auto"/>
              </w:rPr>
            </w:pPr>
            <w:r>
              <w:rPr>
                <w:rFonts w:ascii="Arial" w:cs="Arial" w:eastAsia="Arial" w:hAnsi="Arial"/>
                <w:sz w:val="18"/>
                <w:szCs w:val="18"/>
                <w:b w:val="1"/>
                <w:bCs w:val="1"/>
                <w:color w:val="auto"/>
              </w:rPr>
              <w:t>Actual</w:t>
            </w:r>
          </w:p>
        </w:tc>
        <w:tc>
          <w:tcPr>
            <w:tcW w:w="940" w:type="dxa"/>
            <w:vAlign w:val="bottom"/>
            <w:tcBorders>
              <w:top w:val="single" w:sz="8" w:color="auto"/>
            </w:tcBorders>
          </w:tcPr>
          <w:p>
            <w:pPr>
              <w:spacing w:after="0"/>
              <w:rPr>
                <w:sz w:val="16"/>
                <w:szCs w:val="16"/>
                <w:color w:val="auto"/>
              </w:rPr>
            </w:pPr>
          </w:p>
        </w:tc>
        <w:tc>
          <w:tcPr>
            <w:tcW w:w="1680" w:type="dxa"/>
            <w:vAlign w:val="bottom"/>
            <w:tcBorders>
              <w:top w:val="single" w:sz="8" w:color="auto"/>
              <w:right w:val="single" w:sz="8" w:color="auto"/>
            </w:tcBorders>
            <w:gridSpan w:val="2"/>
          </w:tcPr>
          <w:p>
            <w:pPr>
              <w:jc w:val="center"/>
              <w:ind w:right="960"/>
              <w:spacing w:after="0" w:line="189" w:lineRule="exact"/>
              <w:rPr>
                <w:sz w:val="20"/>
                <w:szCs w:val="20"/>
                <w:color w:val="auto"/>
              </w:rPr>
            </w:pPr>
            <w:r>
              <w:rPr>
                <w:rFonts w:ascii="Arial" w:cs="Arial" w:eastAsia="Arial" w:hAnsi="Arial"/>
                <w:sz w:val="18"/>
                <w:szCs w:val="18"/>
                <w:b w:val="1"/>
                <w:bCs w:val="1"/>
                <w:color w:val="auto"/>
                <w:w w:val="88"/>
              </w:rPr>
              <w:t>Complies</w:t>
            </w:r>
          </w:p>
        </w:tc>
      </w:tr>
      <w:tr>
        <w:trPr>
          <w:trHeight w:val="20"/>
        </w:trPr>
        <w:tc>
          <w:tcPr>
            <w:tcW w:w="1700" w:type="dxa"/>
            <w:vAlign w:val="bottom"/>
            <w:tcBorders>
              <w:left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1700" w:type="dxa"/>
            <w:vAlign w:val="bottom"/>
            <w:tcBorders>
              <w:left w:val="single" w:sz="8" w:color="auto"/>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492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Maintain on a Quarterly Basis: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169"/>
        </w:trPr>
        <w:tc>
          <w:tcPr>
            <w:tcW w:w="4920" w:type="dxa"/>
            <w:vAlign w:val="bottom"/>
            <w:tcBorders>
              <w:left w:val="single" w:sz="8" w:color="auto"/>
              <w:right w:val="single" w:sz="8" w:color="auto"/>
            </w:tcBorders>
            <w:gridSpan w:val="3"/>
          </w:tcPr>
          <w:p>
            <w:pPr>
              <w:ind w:left="80"/>
              <w:spacing w:after="0" w:line="169" w:lineRule="exact"/>
              <w:rPr>
                <w:sz w:val="20"/>
                <w:szCs w:val="20"/>
                <w:color w:val="auto"/>
              </w:rPr>
            </w:pPr>
            <w:r>
              <w:rPr>
                <w:rFonts w:ascii="Arial" w:cs="Arial" w:eastAsia="Arial" w:hAnsi="Arial"/>
                <w:sz w:val="18"/>
                <w:szCs w:val="18"/>
                <w:color w:val="auto"/>
              </w:rPr>
              <w:t>Minimum Revenue</w:t>
            </w:r>
          </w:p>
        </w:tc>
        <w:tc>
          <w:tcPr>
            <w:tcW w:w="1200" w:type="dxa"/>
            <w:vAlign w:val="bottom"/>
            <w:tcBorders>
              <w:right w:val="single" w:sz="8" w:color="auto"/>
            </w:tcBorders>
            <w:gridSpan w:val="3"/>
          </w:tcPr>
          <w:p>
            <w:pPr>
              <w:ind w:left="60"/>
              <w:spacing w:after="0" w:line="169" w:lineRule="exact"/>
              <w:rPr>
                <w:sz w:val="20"/>
                <w:szCs w:val="20"/>
                <w:color w:val="auto"/>
              </w:rPr>
            </w:pPr>
            <w:r>
              <w:rPr>
                <w:rFonts w:ascii="Arial" w:cs="Arial" w:eastAsia="Arial" w:hAnsi="Arial"/>
                <w:sz w:val="18"/>
                <w:szCs w:val="18"/>
                <w:color w:val="auto"/>
              </w:rPr>
              <w:t>See attached</w:t>
            </w:r>
          </w:p>
        </w:tc>
        <w:tc>
          <w:tcPr>
            <w:tcW w:w="320" w:type="dxa"/>
            <w:vAlign w:val="bottom"/>
            <w:gridSpan w:val="2"/>
          </w:tcPr>
          <w:p>
            <w:pPr>
              <w:jc w:val="right"/>
              <w:ind w:right="90"/>
              <w:spacing w:after="0" w:line="169"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tcBorders>
              <w:right w:val="single" w:sz="8" w:color="auto"/>
            </w:tcBorders>
            <w:gridSpan w:val="2"/>
          </w:tcPr>
          <w:p>
            <w:pPr>
              <w:jc w:val="center"/>
              <w:ind w:right="960"/>
              <w:spacing w:after="0" w:line="169" w:lineRule="exact"/>
              <w:rPr>
                <w:sz w:val="20"/>
                <w:szCs w:val="20"/>
                <w:color w:val="auto"/>
              </w:rPr>
            </w:pPr>
            <w:r>
              <w:rPr>
                <w:rFonts w:ascii="Arial" w:cs="Arial" w:eastAsia="Arial" w:hAnsi="Arial"/>
                <w:sz w:val="18"/>
                <w:szCs w:val="18"/>
                <w:color w:val="auto"/>
                <w:w w:val="94"/>
              </w:rPr>
              <w:t>Yes No</w:t>
            </w:r>
          </w:p>
        </w:tc>
      </w:tr>
      <w:tr>
        <w:trPr>
          <w:trHeight w:val="237"/>
        </w:trPr>
        <w:tc>
          <w:tcPr>
            <w:tcW w:w="1700" w:type="dxa"/>
            <w:vAlign w:val="bottom"/>
            <w:tcBorders>
              <w:left w:val="single" w:sz="8" w:color="auto"/>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schedule</w:t>
            </w:r>
          </w:p>
        </w:tc>
        <w:tc>
          <w:tcPr>
            <w:tcW w:w="14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r>
    </w:tbl>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80" w:type="dxa"/>
            <w:vAlign w:val="bottom"/>
            <w:tcBorders>
              <w:top w:val="single" w:sz="8" w:color="auto"/>
              <w:left w:val="single" w:sz="8" w:color="auto"/>
            </w:tcBorders>
          </w:tcPr>
          <w:p>
            <w:pPr>
              <w:spacing w:after="0"/>
              <w:rPr>
                <w:sz w:val="16"/>
                <w:szCs w:val="16"/>
                <w:color w:val="auto"/>
              </w:rPr>
            </w:pPr>
          </w:p>
        </w:tc>
        <w:tc>
          <w:tcPr>
            <w:tcW w:w="306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Unrestricted Cash</w:t>
            </w:r>
          </w:p>
        </w:tc>
        <w:tc>
          <w:tcPr>
            <w:tcW w:w="176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Arial" w:cs="Arial" w:eastAsia="Arial" w:hAnsi="Arial"/>
                <w:sz w:val="18"/>
                <w:szCs w:val="18"/>
                <w:b w:val="1"/>
                <w:bCs w:val="1"/>
                <w:color w:val="auto"/>
                <w:w w:val="90"/>
              </w:rPr>
              <w:t>Streamline Period</w:t>
            </w:r>
          </w:p>
        </w:tc>
        <w:tc>
          <w:tcPr>
            <w:tcW w:w="2400" w:type="dxa"/>
            <w:vAlign w:val="bottom"/>
            <w:tcBorders>
              <w:top w:val="single" w:sz="8" w:color="auto"/>
              <w:right w:val="single" w:sz="8" w:color="auto"/>
            </w:tcBorders>
            <w:gridSpan w:val="5"/>
          </w:tcPr>
          <w:p>
            <w:pPr>
              <w:jc w:val="center"/>
              <w:spacing w:after="0" w:line="189" w:lineRule="exact"/>
              <w:rPr>
                <w:sz w:val="20"/>
                <w:szCs w:val="20"/>
                <w:color w:val="auto"/>
              </w:rPr>
            </w:pPr>
            <w:r>
              <w:rPr>
                <w:rFonts w:ascii="Arial" w:cs="Arial" w:eastAsia="Arial" w:hAnsi="Arial"/>
                <w:sz w:val="18"/>
                <w:szCs w:val="18"/>
                <w:b w:val="1"/>
                <w:bCs w:val="1"/>
                <w:color w:val="auto"/>
                <w:w w:val="92"/>
              </w:rPr>
              <w:t>Interest Rate for</w:t>
            </w:r>
          </w:p>
        </w:tc>
        <w:tc>
          <w:tcPr>
            <w:tcW w:w="2620" w:type="dxa"/>
            <w:vAlign w:val="bottom"/>
            <w:tcBorders>
              <w:top w:val="single" w:sz="8" w:color="auto"/>
              <w:right w:val="single" w:sz="8" w:color="auto"/>
            </w:tcBorders>
            <w:gridSpan w:val="4"/>
          </w:tcPr>
          <w:p>
            <w:pPr>
              <w:ind w:left="1020"/>
              <w:spacing w:after="0" w:line="189" w:lineRule="exact"/>
              <w:rPr>
                <w:sz w:val="20"/>
                <w:szCs w:val="20"/>
                <w:color w:val="auto"/>
              </w:rPr>
            </w:pPr>
            <w:r>
              <w:rPr>
                <w:rFonts w:ascii="Arial" w:cs="Arial" w:eastAsia="Arial" w:hAnsi="Arial"/>
                <w:sz w:val="18"/>
                <w:szCs w:val="18"/>
                <w:b w:val="1"/>
                <w:bCs w:val="1"/>
                <w:color w:val="auto"/>
              </w:rPr>
              <w:t>Applies</w:t>
            </w:r>
          </w:p>
        </w:tc>
      </w:tr>
      <w:tr>
        <w:trPr>
          <w:trHeight w:val="196"/>
        </w:trPr>
        <w:tc>
          <w:tcPr>
            <w:tcW w:w="80" w:type="dxa"/>
            <w:vAlign w:val="bottom"/>
            <w:tcBorders>
              <w:left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280"/>
              <w:spacing w:after="0" w:line="196" w:lineRule="exact"/>
              <w:rPr>
                <w:sz w:val="20"/>
                <w:szCs w:val="20"/>
                <w:color w:val="auto"/>
              </w:rPr>
            </w:pPr>
            <w:r>
              <w:rPr>
                <w:rFonts w:ascii="Arial" w:cs="Arial" w:eastAsia="Arial" w:hAnsi="Arial"/>
                <w:sz w:val="18"/>
                <w:szCs w:val="18"/>
                <w:b w:val="1"/>
                <w:bCs w:val="1"/>
                <w:color w:val="auto"/>
                <w:w w:val="86"/>
              </w:rPr>
              <w:t>Advances</w:t>
            </w:r>
          </w:p>
        </w:tc>
        <w:tc>
          <w:tcPr>
            <w:tcW w:w="560" w:type="dxa"/>
            <w:vAlign w:val="bottom"/>
            <w:tcBorders>
              <w:right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314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Unrestricted Cash&gt;$5,000,000</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83"/>
              </w:rPr>
              <w:t>Yes</w:t>
            </w:r>
          </w:p>
        </w:tc>
        <w:tc>
          <w:tcPr>
            <w:tcW w:w="560" w:type="dxa"/>
            <w:vAlign w:val="bottom"/>
            <w:tcBorders>
              <w:bottom w:val="single" w:sz="8" w:color="auto"/>
            </w:tcBorders>
          </w:tcPr>
          <w:p>
            <w:pPr>
              <w:spacing w:after="0"/>
              <w:rPr>
                <w:sz w:val="18"/>
                <w:szCs w:val="18"/>
                <w:color w:val="auto"/>
              </w:rPr>
            </w:pPr>
          </w:p>
        </w:tc>
        <w:tc>
          <w:tcPr>
            <w:tcW w:w="1840" w:type="dxa"/>
            <w:vAlign w:val="bottom"/>
            <w:tcBorders>
              <w:bottom w:val="single" w:sz="8" w:color="auto"/>
              <w:right w:val="single" w:sz="8" w:color="auto"/>
            </w:tcBorders>
            <w:gridSpan w:val="4"/>
          </w:tcPr>
          <w:p>
            <w:pPr>
              <w:jc w:val="center"/>
              <w:ind w:right="560"/>
              <w:spacing w:after="0"/>
              <w:rPr>
                <w:sz w:val="20"/>
                <w:szCs w:val="20"/>
                <w:color w:val="auto"/>
              </w:rPr>
            </w:pPr>
            <w:r>
              <w:rPr>
                <w:rFonts w:ascii="Arial" w:cs="Arial" w:eastAsia="Arial" w:hAnsi="Arial"/>
                <w:sz w:val="18"/>
                <w:szCs w:val="18"/>
                <w:color w:val="auto"/>
                <w:w w:val="88"/>
              </w:rPr>
              <w:t>Prime Rate</w:t>
            </w:r>
          </w:p>
        </w:tc>
        <w:tc>
          <w:tcPr>
            <w:tcW w:w="10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Yes</w:t>
            </w:r>
          </w:p>
        </w:tc>
        <w:tc>
          <w:tcPr>
            <w:tcW w:w="130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No</w:t>
            </w:r>
          </w:p>
        </w:tc>
      </w:tr>
      <w:tr>
        <w:trPr>
          <w:trHeight w:val="210"/>
        </w:trPr>
        <w:tc>
          <w:tcPr>
            <w:tcW w:w="314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Unrestricted Cash≤$5,000,000</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95"/>
              </w:rPr>
              <w:t>No</w:t>
            </w:r>
          </w:p>
        </w:tc>
        <w:tc>
          <w:tcPr>
            <w:tcW w:w="2400" w:type="dxa"/>
            <w:vAlign w:val="bottom"/>
            <w:tcBorders>
              <w:bottom w:val="single" w:sz="8" w:color="auto"/>
              <w:right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90"/>
              </w:rPr>
              <w:t>Prime Rate + 0.50%</w:t>
            </w:r>
          </w:p>
        </w:tc>
        <w:tc>
          <w:tcPr>
            <w:tcW w:w="10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Yes</w:t>
            </w:r>
          </w:p>
        </w:tc>
        <w:tc>
          <w:tcPr>
            <w:tcW w:w="130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No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77" w:name="page78"/>
    <w:bookmarkEnd w:id="77"/>
    <w:p>
      <w:pPr>
        <w:ind w:firstLine="648"/>
        <w:spacing w:after="0" w:line="277" w:lineRule="auto"/>
        <w:rPr>
          <w:sz w:val="20"/>
          <w:szCs w:val="20"/>
          <w:color w:val="auto"/>
        </w:rPr>
      </w:pPr>
      <w:r>
        <w:rPr>
          <w:rFonts w:ascii="Arial" w:cs="Arial" w:eastAsia="Arial" w:hAnsi="Arial"/>
          <w:sz w:val="18"/>
          <w:szCs w:val="18"/>
          <w:color w:val="auto"/>
        </w:rPr>
        <w:t>The following streamline eligibility, financial covenant and performance pricing analyses and information set forth in Schedule 1 attached hereto are true and accurate as of the date of this Compliance Statement.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are the exceptions with respect to the statements above: (If no exceptions exist, state "No exceptions to note.")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u w:val="single" w:color="auto"/>
          <w:color w:val="auto"/>
        </w:rPr>
        <w:t>Schedule 1 to Compliance Statement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Financial Covenants of Borrower and Streamline Period and Performance Pricing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4969510</wp:posOffset>
            </wp:positionH>
            <wp:positionV relativeFrom="paragraph">
              <wp:posOffset>-24765</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 the event of a conflict between this Schedule and the Agreement, the terms of the Agreement shall govern.</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-10160</wp:posOffset>
            </wp:positionV>
            <wp:extent cx="13423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201" w:lineRule="exact"/>
        <w:rPr>
          <w:sz w:val="20"/>
          <w:szCs w:val="20"/>
          <w:color w:val="auto"/>
        </w:rPr>
      </w:pPr>
    </w:p>
    <w:p>
      <w:pPr>
        <w:ind w:left="980" w:hanging="684"/>
        <w:spacing w:after="0"/>
        <w:tabs>
          <w:tab w:leader="none" w:pos="9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Minimum Revenue — Financial Covenant </w:t>
      </w:r>
      <w:r>
        <w:rPr>
          <w:rFonts w:ascii="Arial" w:cs="Arial" w:eastAsia="Arial" w:hAnsi="Arial"/>
          <w:sz w:val="18"/>
          <w:szCs w:val="18"/>
          <w:color w:val="auto"/>
        </w:rPr>
        <w:t>(Section 6.9)</w:t>
      </w:r>
    </w:p>
    <w:p>
      <w:pPr>
        <w:spacing w:after="0" w:line="229" w:lineRule="exact"/>
        <w:rPr>
          <w:rFonts w:ascii="Arial" w:cs="Arial" w:eastAsia="Arial" w:hAnsi="Arial"/>
          <w:sz w:val="18"/>
          <w:szCs w:val="18"/>
          <w:b w:val="1"/>
          <w:bCs w:val="1"/>
          <w:color w:val="auto"/>
        </w:rPr>
      </w:pPr>
    </w:p>
    <w:p>
      <w:pPr>
        <w:ind w:left="9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Required: As of the last day of each fiscal quarter, on a consolidated basis with respect to Borrower, minimum revenue of at least the following amounts at the following times: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4"/>
          </w:tcPr>
          <w:p>
            <w:pPr>
              <w:ind w:left="300"/>
              <w:spacing w:after="0"/>
              <w:rPr>
                <w:sz w:val="20"/>
                <w:szCs w:val="20"/>
                <w:color w:val="auto"/>
              </w:rPr>
            </w:pPr>
            <w:r>
              <w:rPr>
                <w:rFonts w:ascii="Arial" w:cs="Arial" w:eastAsia="Arial" w:hAnsi="Arial"/>
                <w:sz w:val="18"/>
                <w:szCs w:val="18"/>
                <w:b w:val="1"/>
                <w:bCs w:val="1"/>
                <w:color w:val="auto"/>
                <w:w w:val="98"/>
              </w:rPr>
              <w:t>Fiscal Quarter Ending</w:t>
            </w: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right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54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Minimum Revenue</w:t>
            </w:r>
          </w:p>
        </w:tc>
      </w:tr>
      <w:tr>
        <w:trPr>
          <w:trHeight w:val="128"/>
        </w:trPr>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top w:val="single" w:sz="8" w:color="auto"/>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80" w:type="dxa"/>
            <w:vAlign w:val="bottom"/>
            <w:tcBorders>
              <w:top w:val="single" w:sz="8" w:color="auto"/>
              <w:bottom w:val="single" w:sz="8" w:color="auto"/>
            </w:tcBorders>
          </w:tcPr>
          <w:p>
            <w:pPr>
              <w:spacing w:after="0"/>
              <w:rPr>
                <w:sz w:val="11"/>
                <w:szCs w:val="11"/>
                <w:color w:val="auto"/>
              </w:rPr>
            </w:pPr>
          </w:p>
        </w:tc>
        <w:tc>
          <w:tcPr>
            <w:tcW w:w="1060" w:type="dxa"/>
            <w:vAlign w:val="bottom"/>
            <w:tcBorders>
              <w:bottom w:val="single" w:sz="8" w:color="auto"/>
              <w:right w:val="single" w:sz="8" w:color="auto"/>
            </w:tcBorders>
          </w:tcPr>
          <w:p>
            <w:pPr>
              <w:spacing w:after="0"/>
              <w:rPr>
                <w:sz w:val="11"/>
                <w:szCs w:val="11"/>
                <w:color w:val="auto"/>
              </w:rPr>
            </w:pPr>
          </w:p>
        </w:tc>
      </w:tr>
      <w:tr>
        <w:trPr>
          <w:trHeight w:val="236"/>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8"/>
                <w:szCs w:val="18"/>
                <w:color w:val="auto"/>
                <w:w w:val="89"/>
              </w:rPr>
              <w:t>March 31, 2019, measured for the</w:t>
            </w:r>
          </w:p>
        </w:tc>
        <w:tc>
          <w:tcPr>
            <w:tcW w:w="10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520" w:type="dxa"/>
            <w:vAlign w:val="bottom"/>
            <w:gridSpan w:val="4"/>
          </w:tcPr>
          <w:p>
            <w:pPr>
              <w:jc w:val="center"/>
              <w:ind w:left="930"/>
              <w:spacing w:after="0"/>
              <w:rPr>
                <w:sz w:val="20"/>
                <w:szCs w:val="20"/>
                <w:color w:val="auto"/>
              </w:rPr>
            </w:pPr>
            <w:r>
              <w:rPr>
                <w:rFonts w:ascii="Arial" w:cs="Arial" w:eastAsia="Arial" w:hAnsi="Arial"/>
                <w:sz w:val="18"/>
                <w:szCs w:val="18"/>
                <w:color w:val="auto"/>
                <w:w w:val="89"/>
              </w:rPr>
              <w:t>$35,331,000</w:t>
            </w:r>
          </w:p>
        </w:tc>
        <w:tc>
          <w:tcPr>
            <w:tcW w:w="1060" w:type="dxa"/>
            <w:vAlign w:val="bottom"/>
            <w:tcBorders>
              <w:right w:val="single" w:sz="8" w:color="auto"/>
            </w:tcBorders>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040" w:type="dxa"/>
            <w:vAlign w:val="bottom"/>
            <w:tcBorders>
              <w:right w:val="single" w:sz="8" w:color="auto"/>
            </w:tcBorders>
            <w:gridSpan w:val="7"/>
          </w:tcPr>
          <w:p>
            <w:pPr>
              <w:ind w:left="60"/>
              <w:spacing w:after="0"/>
              <w:rPr>
                <w:sz w:val="20"/>
                <w:szCs w:val="20"/>
                <w:color w:val="auto"/>
              </w:rPr>
            </w:pPr>
            <w:r>
              <w:rPr>
                <w:rFonts w:ascii="Arial" w:cs="Arial" w:eastAsia="Arial" w:hAnsi="Arial"/>
                <w:sz w:val="18"/>
                <w:szCs w:val="18"/>
                <w:color w:val="auto"/>
              </w:rPr>
              <w:t>trailing three (3) month period then</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8"/>
                <w:szCs w:val="18"/>
                <w:color w:val="auto"/>
              </w:rPr>
              <w:t>ended</w:t>
            </w:r>
          </w:p>
        </w:tc>
        <w:tc>
          <w:tcPr>
            <w:tcW w:w="10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r>
      <w:tr>
        <w:trPr>
          <w:trHeight w:val="236"/>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gridSpan w:val="7"/>
          </w:tcPr>
          <w:p>
            <w:pPr>
              <w:ind w:left="60"/>
              <w:spacing w:after="0"/>
              <w:rPr>
                <w:sz w:val="20"/>
                <w:szCs w:val="20"/>
                <w:color w:val="auto"/>
              </w:rPr>
            </w:pPr>
            <w:r>
              <w:rPr>
                <w:rFonts w:ascii="Arial" w:cs="Arial" w:eastAsia="Arial" w:hAnsi="Arial"/>
                <w:sz w:val="18"/>
                <w:szCs w:val="18"/>
                <w:color w:val="auto"/>
                <w:w w:val="92"/>
              </w:rPr>
              <w:t>June 30, 2019, measured for the trailing</w:t>
            </w:r>
          </w:p>
        </w:tc>
        <w:tc>
          <w:tcPr>
            <w:tcW w:w="2520" w:type="dxa"/>
            <w:vAlign w:val="bottom"/>
            <w:gridSpan w:val="4"/>
          </w:tcPr>
          <w:p>
            <w:pPr>
              <w:jc w:val="center"/>
              <w:ind w:left="930"/>
              <w:spacing w:after="0"/>
              <w:rPr>
                <w:sz w:val="20"/>
                <w:szCs w:val="20"/>
                <w:color w:val="auto"/>
              </w:rPr>
            </w:pPr>
            <w:r>
              <w:rPr>
                <w:rFonts w:ascii="Arial" w:cs="Arial" w:eastAsia="Arial" w:hAnsi="Arial"/>
                <w:sz w:val="18"/>
                <w:szCs w:val="18"/>
                <w:color w:val="auto"/>
                <w:w w:val="89"/>
              </w:rPr>
              <w:t>$76,404,000</w:t>
            </w:r>
          </w:p>
        </w:tc>
        <w:tc>
          <w:tcPr>
            <w:tcW w:w="1060" w:type="dxa"/>
            <w:vAlign w:val="bottom"/>
            <w:tcBorders>
              <w:right w:val="single" w:sz="8" w:color="auto"/>
            </w:tcBorders>
          </w:tcPr>
          <w:p>
            <w:pPr>
              <w:spacing w:after="0"/>
              <w:rPr>
                <w:sz w:val="20"/>
                <w:szCs w:val="20"/>
                <w:color w:val="auto"/>
              </w:rPr>
            </w:pPr>
          </w:p>
        </w:tc>
      </w:tr>
      <w:tr>
        <w:trPr>
          <w:trHeight w:val="230"/>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8"/>
                <w:szCs w:val="18"/>
                <w:color w:val="auto"/>
                <w:w w:val="95"/>
              </w:rPr>
              <w:t>six (6) month period then ended</w:t>
            </w:r>
          </w:p>
        </w:tc>
        <w:tc>
          <w:tcPr>
            <w:tcW w:w="10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r>
      <w:tr>
        <w:trPr>
          <w:trHeight w:val="236"/>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gridSpan w:val="7"/>
          </w:tcPr>
          <w:p>
            <w:pPr>
              <w:ind w:left="60"/>
              <w:spacing w:after="0"/>
              <w:rPr>
                <w:sz w:val="20"/>
                <w:szCs w:val="20"/>
                <w:color w:val="auto"/>
              </w:rPr>
            </w:pPr>
            <w:r>
              <w:rPr>
                <w:rFonts w:ascii="Arial" w:cs="Arial" w:eastAsia="Arial" w:hAnsi="Arial"/>
                <w:sz w:val="18"/>
                <w:szCs w:val="18"/>
                <w:color w:val="auto"/>
                <w:w w:val="95"/>
              </w:rPr>
              <w:t>September 30, 2019, measured for the</w:t>
            </w:r>
          </w:p>
        </w:tc>
        <w:tc>
          <w:tcPr>
            <w:tcW w:w="2520" w:type="dxa"/>
            <w:vAlign w:val="bottom"/>
            <w:gridSpan w:val="4"/>
          </w:tcPr>
          <w:p>
            <w:pPr>
              <w:jc w:val="center"/>
              <w:ind w:left="950"/>
              <w:spacing w:after="0"/>
              <w:rPr>
                <w:sz w:val="20"/>
                <w:szCs w:val="20"/>
                <w:color w:val="auto"/>
              </w:rPr>
            </w:pPr>
            <w:r>
              <w:rPr>
                <w:rFonts w:ascii="Arial" w:cs="Arial" w:eastAsia="Arial" w:hAnsi="Arial"/>
                <w:sz w:val="18"/>
                <w:szCs w:val="18"/>
                <w:color w:val="auto"/>
                <w:w w:val="90"/>
              </w:rPr>
              <w:t>$120,959,000</w:t>
            </w:r>
          </w:p>
        </w:tc>
        <w:tc>
          <w:tcPr>
            <w:tcW w:w="1060" w:type="dxa"/>
            <w:vAlign w:val="bottom"/>
            <w:tcBorders>
              <w:right w:val="single" w:sz="8" w:color="auto"/>
            </w:tcBorders>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040" w:type="dxa"/>
            <w:vAlign w:val="bottom"/>
            <w:tcBorders>
              <w:right w:val="single" w:sz="8" w:color="auto"/>
            </w:tcBorders>
            <w:gridSpan w:val="7"/>
          </w:tcPr>
          <w:p>
            <w:pPr>
              <w:ind w:left="60"/>
              <w:spacing w:after="0"/>
              <w:rPr>
                <w:sz w:val="20"/>
                <w:szCs w:val="20"/>
                <w:color w:val="auto"/>
              </w:rPr>
            </w:pPr>
            <w:r>
              <w:rPr>
                <w:rFonts w:ascii="Arial" w:cs="Arial" w:eastAsia="Arial" w:hAnsi="Arial"/>
                <w:sz w:val="18"/>
                <w:szCs w:val="18"/>
                <w:color w:val="auto"/>
              </w:rPr>
              <w:t>trailing nine (9) month period then</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8"/>
                <w:szCs w:val="18"/>
                <w:color w:val="auto"/>
              </w:rPr>
              <w:t>ended</w:t>
            </w:r>
          </w:p>
        </w:tc>
        <w:tc>
          <w:tcPr>
            <w:tcW w:w="10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r>
      <w:tr>
        <w:trPr>
          <w:trHeight w:val="236"/>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gridSpan w:val="7"/>
          </w:tcPr>
          <w:p>
            <w:pPr>
              <w:ind w:left="60"/>
              <w:spacing w:after="0"/>
              <w:rPr>
                <w:sz w:val="20"/>
                <w:szCs w:val="20"/>
                <w:color w:val="auto"/>
              </w:rPr>
            </w:pPr>
            <w:r>
              <w:rPr>
                <w:rFonts w:ascii="Arial" w:cs="Arial" w:eastAsia="Arial" w:hAnsi="Arial"/>
                <w:sz w:val="18"/>
                <w:szCs w:val="18"/>
                <w:color w:val="auto"/>
                <w:w w:val="98"/>
              </w:rPr>
              <w:t>December 31, 2019 measured for the</w:t>
            </w:r>
          </w:p>
        </w:tc>
        <w:tc>
          <w:tcPr>
            <w:tcW w:w="2520" w:type="dxa"/>
            <w:vAlign w:val="bottom"/>
            <w:gridSpan w:val="4"/>
          </w:tcPr>
          <w:p>
            <w:pPr>
              <w:jc w:val="center"/>
              <w:ind w:left="950"/>
              <w:spacing w:after="0"/>
              <w:rPr>
                <w:sz w:val="20"/>
                <w:szCs w:val="20"/>
                <w:color w:val="auto"/>
              </w:rPr>
            </w:pPr>
            <w:r>
              <w:rPr>
                <w:rFonts w:ascii="Arial" w:cs="Arial" w:eastAsia="Arial" w:hAnsi="Arial"/>
                <w:sz w:val="18"/>
                <w:szCs w:val="18"/>
                <w:color w:val="auto"/>
                <w:w w:val="90"/>
              </w:rPr>
              <w:t>$168,822,000</w:t>
            </w:r>
          </w:p>
        </w:tc>
        <w:tc>
          <w:tcPr>
            <w:tcW w:w="1060" w:type="dxa"/>
            <w:vAlign w:val="bottom"/>
            <w:tcBorders>
              <w:right w:val="single" w:sz="8" w:color="auto"/>
            </w:tcBorders>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040" w:type="dxa"/>
            <w:vAlign w:val="bottom"/>
            <w:tcBorders>
              <w:right w:val="single" w:sz="8" w:color="auto"/>
            </w:tcBorders>
            <w:gridSpan w:val="7"/>
          </w:tcPr>
          <w:p>
            <w:pPr>
              <w:ind w:left="60"/>
              <w:spacing w:after="0"/>
              <w:rPr>
                <w:sz w:val="20"/>
                <w:szCs w:val="20"/>
                <w:color w:val="auto"/>
              </w:rPr>
            </w:pPr>
            <w:r>
              <w:rPr>
                <w:rFonts w:ascii="Arial" w:cs="Arial" w:eastAsia="Arial" w:hAnsi="Arial"/>
                <w:sz w:val="18"/>
                <w:szCs w:val="18"/>
                <w:color w:val="auto"/>
                <w:w w:val="99"/>
              </w:rPr>
              <w:t>trailing twelve (12) month period then</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8"/>
                <w:szCs w:val="18"/>
                <w:color w:val="auto"/>
              </w:rPr>
              <w:t>ended</w:t>
            </w:r>
          </w:p>
        </w:tc>
        <w:tc>
          <w:tcPr>
            <w:tcW w:w="10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r>
      <w:tr>
        <w:trPr>
          <w:trHeight w:val="209"/>
        </w:trPr>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69"/>
        </w:trPr>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A.</w:t>
            </w:r>
          </w:p>
        </w:tc>
        <w:tc>
          <w:tcPr>
            <w:tcW w:w="2120" w:type="dxa"/>
            <w:vAlign w:val="bottom"/>
            <w:tcBorders>
              <w:right w:val="single" w:sz="8" w:color="auto"/>
            </w:tcBorders>
            <w:gridSpan w:val="3"/>
          </w:tcPr>
          <w:p>
            <w:pPr>
              <w:ind w:left="40"/>
              <w:spacing w:after="0" w:line="169" w:lineRule="exact"/>
              <w:rPr>
                <w:sz w:val="20"/>
                <w:szCs w:val="20"/>
                <w:color w:val="auto"/>
              </w:rPr>
            </w:pPr>
            <w:r>
              <w:rPr>
                <w:rFonts w:ascii="Arial" w:cs="Arial" w:eastAsia="Arial" w:hAnsi="Arial"/>
                <w:sz w:val="18"/>
                <w:szCs w:val="18"/>
                <w:color w:val="auto"/>
              </w:rPr>
              <w:t>Revenue</w:t>
            </w:r>
          </w:p>
        </w:tc>
        <w:tc>
          <w:tcPr>
            <w:tcW w:w="40" w:type="dxa"/>
            <w:vAlign w:val="bottom"/>
          </w:tcPr>
          <w:p>
            <w:pPr>
              <w:spacing w:after="0"/>
              <w:rPr>
                <w:sz w:val="14"/>
                <w:szCs w:val="14"/>
                <w:color w:val="auto"/>
              </w:rPr>
            </w:pPr>
          </w:p>
        </w:tc>
        <w:tc>
          <w:tcPr>
            <w:tcW w:w="540" w:type="dxa"/>
            <w:vAlign w:val="bottom"/>
            <w:gridSpan w:val="2"/>
          </w:tcPr>
          <w:p>
            <w:pPr>
              <w:jc w:val="right"/>
              <w:ind w:right="440"/>
              <w:spacing w:after="0" w:line="169" w:lineRule="exact"/>
              <w:rPr>
                <w:sz w:val="20"/>
                <w:szCs w:val="20"/>
                <w:color w:val="auto"/>
              </w:rPr>
            </w:pPr>
            <w:r>
              <w:rPr>
                <w:rFonts w:ascii="Arial" w:cs="Arial" w:eastAsia="Arial" w:hAnsi="Arial"/>
                <w:sz w:val="18"/>
                <w:szCs w:val="18"/>
                <w:color w:val="auto"/>
                <w:w w:val="79"/>
              </w:rPr>
              <w:t>$</w:t>
            </w: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r>
      <w:tr>
        <w:trPr>
          <w:trHeight w:val="237"/>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right w:val="single" w:sz="8" w:color="auto"/>
            </w:tcBorders>
          </w:tcPr>
          <w:p>
            <w:pPr>
              <w:spacing w:after="0"/>
              <w:rPr>
                <w:sz w:val="20"/>
                <w:szCs w:val="20"/>
                <w:color w:val="auto"/>
              </w:rPr>
            </w:pPr>
          </w:p>
        </w:tc>
      </w:tr>
      <w:tr>
        <w:trPr>
          <w:trHeight w:val="425"/>
        </w:trPr>
        <w:tc>
          <w:tcPr>
            <w:tcW w:w="4140" w:type="dxa"/>
            <w:vAlign w:val="bottom"/>
            <w:gridSpan w:val="8"/>
          </w:tcPr>
          <w:p>
            <w:pPr>
              <w:spacing w:after="0"/>
              <w:rPr>
                <w:sz w:val="20"/>
                <w:szCs w:val="20"/>
                <w:color w:val="auto"/>
              </w:rPr>
            </w:pPr>
            <w:r>
              <w:rPr>
                <w:rFonts w:ascii="Arial" w:cs="Arial" w:eastAsia="Arial" w:hAnsi="Arial"/>
                <w:sz w:val="18"/>
                <w:szCs w:val="18"/>
                <w:color w:val="auto"/>
                <w:w w:val="95"/>
              </w:rPr>
              <w:t>Is line A equal to or greater than the required amount?</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0" w:type="dxa"/>
            <w:vAlign w:val="bottom"/>
            <w:gridSpan w:val="6"/>
          </w:tcPr>
          <w:p>
            <w:pPr>
              <w:spacing w:after="0"/>
              <w:rPr>
                <w:sz w:val="20"/>
                <w:szCs w:val="20"/>
                <w:color w:val="auto"/>
              </w:rPr>
            </w:pPr>
            <w:r>
              <w:rPr>
                <w:rFonts w:ascii="Arial" w:cs="Arial" w:eastAsia="Arial" w:hAnsi="Arial"/>
                <w:sz w:val="18"/>
                <w:szCs w:val="18"/>
                <w:color w:val="auto"/>
              </w:rPr>
              <w:t>No, not in compliance</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Yes, in compliance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SECOND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SECOND AMENDMENT TO LOAN AND SECURITY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this 21st day of January, 2020, by and between SILICON VALLEY BANK, a California corporation (“</w:t>
      </w:r>
      <w:r>
        <w:rPr>
          <w:rFonts w:ascii="Arial" w:cs="Arial" w:eastAsia="Arial" w:hAnsi="Arial"/>
          <w:sz w:val="18"/>
          <w:szCs w:val="18"/>
          <w:b w:val="1"/>
          <w:bCs w:val="1"/>
          <w:color w:val="auto"/>
        </w:rPr>
        <w:t>Bank</w:t>
      </w:r>
      <w:r>
        <w:rPr>
          <w:rFonts w:ascii="Arial" w:cs="Arial" w:eastAsia="Arial" w:hAnsi="Arial"/>
          <w:sz w:val="18"/>
          <w:szCs w:val="18"/>
          <w:color w:val="auto"/>
        </w:rPr>
        <w:t>”), and PROGYNY, INC.,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firstLine="656"/>
        <w:spacing w:after="0" w:line="277" w:lineRule="auto"/>
        <w:tabs>
          <w:tab w:leader="none" w:pos="1291"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Bank and Borrower have entered into that certain Loan and Security Agreement dated as of June 8, 2018 (as the same may from time to time be further amended, modified, supplemented or restated,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20" w:hanging="564"/>
        <w:spacing w:after="0"/>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Bank has extended credit to Borrower for the purposes permitted in the Loan Agreement.</w:t>
      </w:r>
    </w:p>
    <w:p>
      <w:pPr>
        <w:spacing w:after="0" w:line="225" w:lineRule="exact"/>
        <w:rPr>
          <w:rFonts w:ascii="Arial" w:cs="Arial" w:eastAsia="Arial" w:hAnsi="Arial"/>
          <w:sz w:val="18"/>
          <w:szCs w:val="18"/>
          <w:color w:val="auto"/>
        </w:rPr>
      </w:pPr>
    </w:p>
    <w:p>
      <w:pPr>
        <w:ind w:firstLine="656"/>
        <w:spacing w:after="0" w:line="277" w:lineRule="auto"/>
        <w:tabs>
          <w:tab w:leader="none" w:pos="1227" w:val="left"/>
        </w:tabs>
        <w:numPr>
          <w:ilvl w:val="0"/>
          <w:numId w:val="40"/>
        </w:numPr>
        <w:rPr>
          <w:rFonts w:ascii="Arial" w:cs="Arial" w:eastAsia="Arial" w:hAnsi="Arial"/>
          <w:sz w:val="18"/>
          <w:szCs w:val="18"/>
          <w:color w:val="auto"/>
        </w:rPr>
      </w:pPr>
      <w:r>
        <w:rPr>
          <w:rFonts w:ascii="Arial" w:cs="Arial" w:eastAsia="Arial" w:hAnsi="Arial"/>
          <w:sz w:val="18"/>
          <w:szCs w:val="18"/>
          <w:color w:val="auto"/>
        </w:rPr>
        <w:t>Borrower has requested that Bank amend the Loan Agreement to make certain revisions to the Loan Agreement as more fully set forth herein.</w:t>
      </w:r>
    </w:p>
    <w:p>
      <w:pPr>
        <w:spacing w:after="0" w:line="170" w:lineRule="exact"/>
        <w:rPr>
          <w:rFonts w:ascii="Arial" w:cs="Arial" w:eastAsia="Arial" w:hAnsi="Arial"/>
          <w:sz w:val="18"/>
          <w:szCs w:val="18"/>
          <w:color w:val="auto"/>
        </w:rPr>
      </w:pPr>
    </w:p>
    <w:p>
      <w:pPr>
        <w:ind w:firstLine="656"/>
        <w:spacing w:after="0" w:line="277" w:lineRule="auto"/>
        <w:tabs>
          <w:tab w:leader="none" w:pos="12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firstLine="647"/>
        <w:spacing w:after="0" w:line="312"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foregoing recitals and other good and valuable consideration, the receipt and</w:t>
      </w:r>
      <w:r>
        <w:rPr>
          <w:rFonts w:ascii="Arial" w:cs="Arial" w:eastAsia="Arial" w:hAnsi="Arial"/>
          <w:sz w:val="17"/>
          <w:szCs w:val="17"/>
          <w:b w:val="1"/>
          <w:bCs w:val="1"/>
          <w:color w:val="auto"/>
        </w:rPr>
        <w:t xml:space="preserve"> </w:t>
      </w:r>
      <w:r>
        <w:rPr>
          <w:rFonts w:ascii="Arial" w:cs="Arial" w:eastAsia="Arial" w:hAnsi="Arial"/>
          <w:sz w:val="17"/>
          <w:szCs w:val="17"/>
          <w:color w:val="auto"/>
        </w:rPr>
        <w:t>adequacy of which is hereby acknowledged, and intending to be legally bound, the parties hereto agree as follows:</w:t>
      </w:r>
    </w:p>
    <w:p>
      <w:pPr>
        <w:spacing w:after="0" w:line="140"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Capitalized terms used but not defined in this Amendment shall have the meanings given to them in the</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Loan Agreement.</w:t>
      </w:r>
    </w:p>
    <w:p>
      <w:pPr>
        <w:spacing w:after="0" w:line="206" w:lineRule="exact"/>
        <w:rPr>
          <w:rFonts w:ascii="Arial" w:cs="Arial" w:eastAsia="Arial" w:hAnsi="Arial"/>
          <w:sz w:val="16"/>
          <w:szCs w:val="16"/>
          <w:b w:val="1"/>
          <w:bCs w:val="1"/>
          <w:color w:val="auto"/>
        </w:rPr>
      </w:pPr>
    </w:p>
    <w:p>
      <w:pPr>
        <w:ind w:left="1180" w:hanging="524"/>
        <w:spacing w:after="0"/>
        <w:tabs>
          <w:tab w:leader="none" w:pos="11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Loan Agreement.</w:t>
      </w:r>
    </w:p>
    <w:p>
      <w:pPr>
        <w:spacing w:after="0" w:line="22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Section 6.8 (Accounts).</w:t>
      </w:r>
    </w:p>
    <w:p>
      <w:pPr>
        <w:spacing w:after="0" w:line="229" w:lineRule="exact"/>
        <w:rPr>
          <w:sz w:val="20"/>
          <w:szCs w:val="20"/>
          <w:color w:val="auto"/>
        </w:rPr>
      </w:pPr>
    </w:p>
    <w:p>
      <w:pPr>
        <w:ind w:left="1860" w:hanging="556"/>
        <w:spacing w:after="0"/>
        <w:tabs>
          <w:tab w:leader="none" w:pos="18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Section 6.8(a) of the Loan Agreement is hereby deleted in its entirety and replaced with the following:</w:t>
      </w:r>
    </w:p>
    <w:p>
      <w:pPr>
        <w:spacing w:after="0" w:line="225" w:lineRule="exact"/>
        <w:rPr>
          <w:rFonts w:ascii="Arial" w:cs="Arial" w:eastAsia="Arial" w:hAnsi="Arial"/>
          <w:sz w:val="18"/>
          <w:szCs w:val="18"/>
          <w:color w:val="auto"/>
        </w:rPr>
      </w:pPr>
    </w:p>
    <w:p>
      <w:pPr>
        <w:jc w:val="both"/>
        <w:ind w:left="660" w:firstLine="1292"/>
        <w:spacing w:after="0" w:line="263" w:lineRule="auto"/>
        <w:tabs>
          <w:tab w:leader="none" w:pos="2570" w:val="left"/>
        </w:tabs>
        <w:numPr>
          <w:ilvl w:val="2"/>
          <w:numId w:val="42"/>
        </w:numPr>
        <w:rPr>
          <w:rFonts w:ascii="Arial" w:cs="Arial" w:eastAsia="Arial" w:hAnsi="Arial"/>
          <w:sz w:val="18"/>
          <w:szCs w:val="18"/>
          <w:color w:val="auto"/>
        </w:rPr>
      </w:pPr>
      <w:r>
        <w:rPr>
          <w:rFonts w:ascii="Arial" w:cs="Arial" w:eastAsia="Arial" w:hAnsi="Arial"/>
          <w:sz w:val="18"/>
          <w:szCs w:val="18"/>
          <w:color w:val="auto"/>
        </w:rPr>
        <w:t>Borrower, any Subsidiary of Borrower and any Guarantor shall maintain all of its operating accounts and excess cash (excluding any amounts used for investments or securities accounts with Bank of America) with Bank or Bank’s Affiliates.</w:t>
      </w:r>
    </w:p>
    <w:p>
      <w:pPr>
        <w:spacing w:after="0" w:line="179" w:lineRule="exact"/>
        <w:rPr>
          <w:rFonts w:ascii="Arial" w:cs="Arial" w:eastAsia="Arial" w:hAnsi="Arial"/>
          <w:sz w:val="18"/>
          <w:szCs w:val="18"/>
          <w:color w:val="auto"/>
        </w:rPr>
      </w:pPr>
    </w:p>
    <w:p>
      <w:pPr>
        <w:ind w:left="1200" w:hanging="544"/>
        <w:spacing w:after="0"/>
        <w:tabs>
          <w:tab w:leader="none" w:pos="12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Amendments.</w:t>
      </w:r>
    </w:p>
    <w:p>
      <w:pPr>
        <w:spacing w:after="0" w:line="225" w:lineRule="exact"/>
        <w:rPr>
          <w:sz w:val="20"/>
          <w:szCs w:val="20"/>
          <w:color w:val="auto"/>
        </w:rPr>
      </w:pPr>
    </w:p>
    <w:p>
      <w:pPr>
        <w:ind w:right="480" w:firstLine="1296"/>
        <w:spacing w:after="0" w:line="282"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The amendments set forth in Sections 2, above, are effective for the purposes set forth herein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precisely as written and shall not be deemed to (a)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731520</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0" w:name="page81"/>
    <w:bookmarkEnd w:id="80"/>
    <w:p>
      <w:pPr>
        <w:jc w:val="both"/>
        <w:ind w:right="20"/>
        <w:spacing w:after="0" w:line="308" w:lineRule="auto"/>
        <w:rPr>
          <w:sz w:val="20"/>
          <w:szCs w:val="20"/>
          <w:color w:val="auto"/>
        </w:rPr>
      </w:pPr>
      <w:r>
        <w:rPr>
          <w:rFonts w:ascii="Arial" w:cs="Arial" w:eastAsia="Arial" w:hAnsi="Arial"/>
          <w:sz w:val="17"/>
          <w:szCs w:val="17"/>
          <w:color w:val="auto"/>
        </w:rPr>
        <w:t>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42"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This Amendment shall be construed in connection with and as part of the Loan Documents and all terms,</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representations, warranties, covenants and agreements set forth in the Loan Documents, except as herein amended, are hereby ratified and confirmed and shall remain in full force and effect</w:t>
      </w:r>
    </w:p>
    <w:p>
      <w:pPr>
        <w:spacing w:after="0" w:line="176" w:lineRule="exact"/>
        <w:rPr>
          <w:sz w:val="20"/>
          <w:szCs w:val="20"/>
          <w:color w:val="auto"/>
        </w:rPr>
      </w:pPr>
    </w:p>
    <w:p>
      <w:pPr>
        <w:jc w:val="both"/>
        <w:ind w:firstLine="1296"/>
        <w:spacing w:after="0" w:line="314" w:lineRule="auto"/>
        <w:rPr>
          <w:sz w:val="20"/>
          <w:szCs w:val="20"/>
          <w:color w:val="auto"/>
        </w:rPr>
      </w:pPr>
      <w:r>
        <w:rPr>
          <w:rFonts w:ascii="Arial" w:cs="Arial" w:eastAsia="Arial" w:hAnsi="Arial"/>
          <w:sz w:val="16"/>
          <w:szCs w:val="16"/>
          <w:b w:val="1"/>
          <w:bCs w:val="1"/>
          <w:color w:val="auto"/>
        </w:rPr>
        <w:t xml:space="preserve">3.3 </w:t>
      </w:r>
      <w:r>
        <w:rPr>
          <w:rFonts w:ascii="Arial" w:cs="Arial" w:eastAsia="Arial" w:hAnsi="Arial"/>
          <w:sz w:val="16"/>
          <w:szCs w:val="16"/>
          <w:color w:val="auto"/>
        </w:rPr>
        <w:t>In addition to those Events of Default specifically enumerated in the Loan Documents, the failure to comply</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terms of any covenant or agreement contained herein shall constitute an Event of Default and shall entitle Bank to exercise all rights and remedies provided to Bank under the terms of any of the other Loan Documents as a result of the occurrence of the same.</w:t>
      </w:r>
    </w:p>
    <w:p>
      <w:pPr>
        <w:spacing w:after="0" w:line="142" w:lineRule="exact"/>
        <w:rPr>
          <w:sz w:val="20"/>
          <w:szCs w:val="20"/>
          <w:color w:val="auto"/>
        </w:rPr>
      </w:pPr>
    </w:p>
    <w:p>
      <w:pPr>
        <w:ind w:right="460" w:firstLine="656"/>
        <w:spacing w:after="0" w:line="282" w:lineRule="auto"/>
        <w:tabs>
          <w:tab w:leader="none" w:pos="1188"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To induce Bank to enter into this Amendment, Borrower hereby represents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warrants to Bank as follows:</w:t>
      </w:r>
    </w:p>
    <w:p>
      <w:pPr>
        <w:spacing w:after="0" w:line="16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Immediately after giving effect to this Amendment (a) the representations and warranties contained in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8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Borrower has the power and authority to execute and deliver this Amendment and to perform its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Loan Agreement, as amended by this Amendment;</w:t>
      </w:r>
    </w:p>
    <w:p>
      <w:pPr>
        <w:spacing w:after="0" w:line="16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color w:val="auto"/>
        </w:rPr>
        <w:t>The organizational documents of Borrower delivered to Bank on the Effective Date remain true, accurate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and have not been amended, supplemented or restated and are and continue to be in full force and effect;</w:t>
      </w:r>
    </w:p>
    <w:p>
      <w:pPr>
        <w:spacing w:after="0" w:line="16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color w:val="auto"/>
        </w:rPr>
        <w:t>The execution and delivery by Borrower of this Amendment and the performance by Borrower of its</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under the Loan Agreement, as amended by this Amendment, have been duly authorized;</w:t>
      </w:r>
    </w:p>
    <w:p>
      <w:pPr>
        <w:spacing w:after="0" w:line="162"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color w:val="auto"/>
        </w:rPr>
        <w:t>The execution and delivery by Borrower of this Amendment and the performance by Borrower of its</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under the Loan 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83"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color w:val="auto"/>
        </w:rPr>
        <w:t>The execution and delivery by Borrower of this Amendment and the performance by Borrower of its</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81" w:name="page82"/>
    <w:bookmarkEnd w:id="81"/>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color w:val="auto"/>
        </w:rPr>
        <w:t>This Amendment has been duly executed and delivered by Borrower and is the binding obligation of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80" w:lineRule="exact"/>
        <w:rPr>
          <w:sz w:val="20"/>
          <w:szCs w:val="20"/>
          <w:color w:val="auto"/>
        </w:rPr>
      </w:pPr>
    </w:p>
    <w:p>
      <w:pPr>
        <w:jc w:val="both"/>
        <w:ind w:firstLine="656"/>
        <w:spacing w:after="0" w:line="314" w:lineRule="auto"/>
        <w:tabs>
          <w:tab w:leader="none" w:pos="1309"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Integration</w:t>
      </w:r>
      <w:r>
        <w:rPr>
          <w:rFonts w:ascii="Arial" w:cs="Arial" w:eastAsia="Arial" w:hAnsi="Arial"/>
          <w:sz w:val="16"/>
          <w:szCs w:val="16"/>
          <w:color w:val="auto"/>
        </w:rPr>
        <w:t>. This Amendment and the Loan Documents represent the entire agreement about this subject matter and</w:t>
      </w:r>
      <w:r>
        <w:rPr>
          <w:rFonts w:ascii="Arial" w:cs="Arial" w:eastAsia="Arial" w:hAnsi="Arial"/>
          <w:sz w:val="16"/>
          <w:szCs w:val="16"/>
          <w:b w:val="1"/>
          <w:bCs w:val="1"/>
          <w:color w:val="auto"/>
        </w:rPr>
        <w:t xml:space="preserve"> </w:t>
      </w:r>
      <w:r>
        <w:rPr>
          <w:rFonts w:ascii="Arial" w:cs="Arial" w:eastAsia="Arial" w:hAnsi="Arial"/>
          <w:sz w:val="16"/>
          <w:szCs w:val="16"/>
          <w:color w:val="auto"/>
        </w:rPr>
        <w:t>supersede prior 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41" w:lineRule="exact"/>
        <w:rPr>
          <w:rFonts w:ascii="Arial" w:cs="Arial" w:eastAsia="Arial" w:hAnsi="Arial"/>
          <w:sz w:val="16"/>
          <w:szCs w:val="16"/>
          <w:b w:val="1"/>
          <w:bCs w:val="1"/>
          <w:color w:val="auto"/>
        </w:rPr>
      </w:pPr>
    </w:p>
    <w:p>
      <w:pPr>
        <w:ind w:right="20" w:firstLine="656"/>
        <w:spacing w:after="0" w:line="282" w:lineRule="auto"/>
        <w:tabs>
          <w:tab w:leader="none" w:pos="1321"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Amendment may be executed in any number of counterparts and all of such counterparts taken</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be deemed to constitute one and the same instrument.</w:t>
      </w:r>
    </w:p>
    <w:p>
      <w:pPr>
        <w:spacing w:after="0" w:line="161" w:lineRule="exact"/>
        <w:rPr>
          <w:rFonts w:ascii="Arial" w:cs="Arial" w:eastAsia="Arial" w:hAnsi="Arial"/>
          <w:sz w:val="18"/>
          <w:szCs w:val="18"/>
          <w:b w:val="1"/>
          <w:bCs w:val="1"/>
          <w:color w:val="auto"/>
        </w:rPr>
      </w:pPr>
    </w:p>
    <w:p>
      <w:pPr>
        <w:jc w:val="both"/>
        <w:ind w:firstLine="656"/>
        <w:spacing w:after="0" w:line="266" w:lineRule="auto"/>
        <w:tabs>
          <w:tab w:leader="none" w:pos="135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w:t>
      </w:r>
      <w:r>
        <w:rPr>
          <w:rFonts w:ascii="Arial" w:cs="Arial" w:eastAsia="Arial" w:hAnsi="Arial"/>
          <w:sz w:val="18"/>
          <w:szCs w:val="18"/>
          <w:color w:val="auto"/>
        </w:rPr>
        <w:t>. This Amendment shall be deemed effective upon (a) the due execution and delivery to Bank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by each party hereto, (b) Borrower’s payment of Bank’s legal fees and expenses incurred in connection with this Amendment.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82" w:name="page83"/>
    <w:bookmarkEnd w:id="82"/>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this Amendment to be duly executed and delivered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first written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PROGYNY,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By:/s/ Melissa Pursley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14605</wp:posOffset>
            </wp:positionV>
            <wp:extent cx="30600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Name: Melissa Pursley</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Title:  VP, Finance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By:/s/ Joseph C.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14605</wp:posOffset>
            </wp:positionV>
            <wp:extent cx="30600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Name: Joseph C. Hammer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[Signature Page to Second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40"/>
          </w:cols>
          <w:pgMar w:left="980" w:top="337" w:right="1279" w:bottom="1440" w:gutter="0" w:footer="0" w:header="0"/>
        </w:sectPr>
      </w:pPr>
    </w:p>
    <w:bookmarkStart w:id="83" w:name="page84"/>
    <w:bookmarkEnd w:id="83"/>
    <w:p>
      <w:pPr>
        <w:jc w:val="center"/>
        <w:ind w:right="420"/>
        <w:spacing w:after="0"/>
        <w:rPr>
          <w:sz w:val="20"/>
          <w:szCs w:val="20"/>
          <w:color w:val="auto"/>
        </w:rPr>
      </w:pPr>
      <w:r>
        <w:rPr>
          <w:rFonts w:ascii="Arial" w:cs="Arial" w:eastAsia="Arial" w:hAnsi="Arial"/>
          <w:sz w:val="18"/>
          <w:szCs w:val="18"/>
          <w:b w:val="1"/>
          <w:bCs w:val="1"/>
          <w:color w:val="auto"/>
        </w:rPr>
        <w:t>THIRD AMENDMENT TO</w:t>
      </w:r>
    </w:p>
    <w:p>
      <w:pPr>
        <w:spacing w:after="0" w:line="2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LOAN AND SECURITY AGREEMENT</w:t>
      </w:r>
    </w:p>
    <w:p>
      <w:pPr>
        <w:spacing w:after="0" w:line="220"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This THIRD AMENDMENT TO LOAN AND SECURITY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this 17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of June, 2020, by and between SILICON VALLEY BANK, a California corporation (“</w:t>
      </w:r>
      <w:r>
        <w:rPr>
          <w:rFonts w:ascii="Arial" w:cs="Arial" w:eastAsia="Arial" w:hAnsi="Arial"/>
          <w:sz w:val="18"/>
          <w:szCs w:val="18"/>
          <w:b w:val="1"/>
          <w:bCs w:val="1"/>
          <w:color w:val="auto"/>
        </w:rPr>
        <w:t>Bank</w:t>
      </w:r>
      <w:r>
        <w:rPr>
          <w:rFonts w:ascii="Arial" w:cs="Arial" w:eastAsia="Arial" w:hAnsi="Arial"/>
          <w:sz w:val="18"/>
          <w:szCs w:val="18"/>
          <w:color w:val="auto"/>
        </w:rPr>
        <w:t>”), and PROGYNY, INC.,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80"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RECITALS</w:t>
      </w:r>
    </w:p>
    <w:p>
      <w:pPr>
        <w:spacing w:after="0" w:line="243" w:lineRule="exact"/>
        <w:rPr>
          <w:sz w:val="20"/>
          <w:szCs w:val="20"/>
          <w:color w:val="auto"/>
        </w:rPr>
      </w:pPr>
    </w:p>
    <w:p>
      <w:pPr>
        <w:ind w:firstLine="651"/>
        <w:spacing w:after="0" w:line="308" w:lineRule="auto"/>
        <w:tabs>
          <w:tab w:leader="none" w:pos="1293"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Bank and Borrower have entered into that certain Loan and Security Agreement dated as of June 8, 2018 (as the same may from time to time be further amended, modified, supplemented or restated, the “</w:t>
      </w:r>
      <w:r>
        <w:rPr>
          <w:rFonts w:ascii="Arial" w:cs="Arial" w:eastAsia="Arial" w:hAnsi="Arial"/>
          <w:sz w:val="17"/>
          <w:szCs w:val="17"/>
          <w:b w:val="1"/>
          <w:bCs w:val="1"/>
          <w:color w:val="auto"/>
        </w:rPr>
        <w:t>Loan Agreement</w:t>
      </w:r>
      <w:r>
        <w:rPr>
          <w:rFonts w:ascii="Arial" w:cs="Arial" w:eastAsia="Arial" w:hAnsi="Arial"/>
          <w:sz w:val="17"/>
          <w:szCs w:val="17"/>
          <w:color w:val="auto"/>
        </w:rPr>
        <w:t>”).</w:t>
      </w:r>
    </w:p>
    <w:p>
      <w:pPr>
        <w:spacing w:after="0" w:line="159" w:lineRule="exact"/>
        <w:rPr>
          <w:rFonts w:ascii="Arial" w:cs="Arial" w:eastAsia="Arial" w:hAnsi="Arial"/>
          <w:sz w:val="17"/>
          <w:szCs w:val="17"/>
          <w:color w:val="auto"/>
        </w:rPr>
      </w:pPr>
    </w:p>
    <w:p>
      <w:pPr>
        <w:ind w:left="1220" w:hanging="570"/>
        <w:spacing w:after="0"/>
        <w:tabs>
          <w:tab w:leader="none" w:pos="1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Bank has extended credit to Borrower for the purposes permitted in the Loan Agreement.</w:t>
      </w:r>
    </w:p>
    <w:p>
      <w:pPr>
        <w:spacing w:after="0" w:line="225" w:lineRule="exact"/>
        <w:rPr>
          <w:rFonts w:ascii="Arial" w:cs="Arial" w:eastAsia="Arial" w:hAnsi="Arial"/>
          <w:sz w:val="18"/>
          <w:szCs w:val="18"/>
          <w:color w:val="auto"/>
        </w:rPr>
      </w:pPr>
    </w:p>
    <w:p>
      <w:pPr>
        <w:ind w:firstLine="650"/>
        <w:spacing w:after="0" w:line="277" w:lineRule="auto"/>
        <w:tabs>
          <w:tab w:leader="none" w:pos="1227" w:val="left"/>
        </w:tabs>
        <w:numPr>
          <w:ilvl w:val="0"/>
          <w:numId w:val="46"/>
        </w:numPr>
        <w:rPr>
          <w:rFonts w:ascii="Arial" w:cs="Arial" w:eastAsia="Arial" w:hAnsi="Arial"/>
          <w:sz w:val="18"/>
          <w:szCs w:val="18"/>
          <w:color w:val="auto"/>
        </w:rPr>
      </w:pPr>
      <w:r>
        <w:rPr>
          <w:rFonts w:ascii="Arial" w:cs="Arial" w:eastAsia="Arial" w:hAnsi="Arial"/>
          <w:sz w:val="18"/>
          <w:szCs w:val="18"/>
          <w:color w:val="auto"/>
        </w:rPr>
        <w:t>Borrower has requested that Bank amend the Loan Agreement to make certain revisions to the Loan Agreement as more fully set forth herein.</w:t>
      </w:r>
    </w:p>
    <w:p>
      <w:pPr>
        <w:spacing w:after="0" w:line="183" w:lineRule="exact"/>
        <w:rPr>
          <w:rFonts w:ascii="Arial" w:cs="Arial" w:eastAsia="Arial" w:hAnsi="Arial"/>
          <w:sz w:val="18"/>
          <w:szCs w:val="18"/>
          <w:color w:val="auto"/>
        </w:rPr>
      </w:pPr>
    </w:p>
    <w:p>
      <w:pPr>
        <w:ind w:right="20" w:firstLine="650"/>
        <w:spacing w:after="0" w:line="308" w:lineRule="auto"/>
        <w:tabs>
          <w:tab w:leader="none" w:pos="1241"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156"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foregoing recitals and other good and valuable consideration, the receipt</w:t>
      </w:r>
      <w:r>
        <w:rPr>
          <w:rFonts w:ascii="Arial" w:cs="Arial" w:eastAsia="Arial" w:hAnsi="Arial"/>
          <w:sz w:val="17"/>
          <w:szCs w:val="17"/>
          <w:b w:val="1"/>
          <w:bCs w:val="1"/>
          <w:color w:val="auto"/>
        </w:rPr>
        <w:t xml:space="preserve"> </w:t>
      </w:r>
      <w:r>
        <w:rPr>
          <w:rFonts w:ascii="Arial" w:cs="Arial" w:eastAsia="Arial" w:hAnsi="Arial"/>
          <w:sz w:val="17"/>
          <w:szCs w:val="17"/>
          <w:color w:val="auto"/>
        </w:rPr>
        <w:t>and adequacy of which is hereby acknowledged, and intending to be legally bound, the parties hereto agree as follows:</w:t>
      </w:r>
    </w:p>
    <w:p>
      <w:pPr>
        <w:spacing w:after="0" w:line="153" w:lineRule="exact"/>
        <w:rPr>
          <w:sz w:val="20"/>
          <w:szCs w:val="20"/>
          <w:color w:val="auto"/>
        </w:rPr>
      </w:pPr>
    </w:p>
    <w:p>
      <w:pPr>
        <w:ind w:firstLine="650"/>
        <w:spacing w:after="0" w:line="282" w:lineRule="auto"/>
        <w:tabs>
          <w:tab w:leader="none" w:pos="1249"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Capitalized terms used but not defined in this Amendment shall have the meanings given to them in</w:t>
      </w:r>
      <w:r>
        <w:rPr>
          <w:rFonts w:ascii="Arial" w:cs="Arial" w:eastAsia="Arial" w:hAnsi="Arial"/>
          <w:sz w:val="18"/>
          <w:szCs w:val="18"/>
          <w:b w:val="1"/>
          <w:bCs w:val="1"/>
          <w:color w:val="auto"/>
        </w:rPr>
        <w:t xml:space="preserve"> </w:t>
      </w:r>
      <w:r>
        <w:rPr>
          <w:rFonts w:ascii="Arial" w:cs="Arial" w:eastAsia="Arial" w:hAnsi="Arial"/>
          <w:sz w:val="18"/>
          <w:szCs w:val="18"/>
          <w:color w:val="auto"/>
        </w:rPr>
        <w:t>the Loan Agreement.</w:t>
      </w:r>
    </w:p>
    <w:p>
      <w:pPr>
        <w:spacing w:after="0" w:line="175" w:lineRule="exact"/>
        <w:rPr>
          <w:rFonts w:ascii="Arial" w:cs="Arial" w:eastAsia="Arial" w:hAnsi="Arial"/>
          <w:sz w:val="18"/>
          <w:szCs w:val="18"/>
          <w:b w:val="1"/>
          <w:bCs w:val="1"/>
          <w:color w:val="auto"/>
        </w:rPr>
      </w:pPr>
    </w:p>
    <w:p>
      <w:pPr>
        <w:ind w:left="1180" w:hanging="530"/>
        <w:spacing w:after="0"/>
        <w:tabs>
          <w:tab w:leader="none" w:pos="11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Loan Agreement.</w:t>
      </w:r>
    </w:p>
    <w:p>
      <w:pPr>
        <w:spacing w:after="0" w:line="225"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Section 6.2 (Financial Statements, Reports)</w:t>
      </w:r>
      <w:r>
        <w:rPr>
          <w:rFonts w:ascii="Arial" w:cs="Arial" w:eastAsia="Arial" w:hAnsi="Arial"/>
          <w:sz w:val="16"/>
          <w:szCs w:val="16"/>
          <w:color w:val="auto"/>
        </w:rPr>
        <w:t>.</w:t>
      </w:r>
    </w:p>
    <w:p>
      <w:pPr>
        <w:spacing w:after="0" w:line="243" w:lineRule="exact"/>
        <w:rPr>
          <w:sz w:val="20"/>
          <w:szCs w:val="20"/>
          <w:color w:val="auto"/>
        </w:rPr>
      </w:pPr>
    </w:p>
    <w:p>
      <w:pPr>
        <w:ind w:left="1860" w:hanging="562"/>
        <w:spacing w:after="0"/>
        <w:tabs>
          <w:tab w:leader="none" w:pos="18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Section 6.2(a) of the Loan Agreement is hereby amended by adding the following at the end of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subsection as follows:</w:t>
      </w:r>
    </w:p>
    <w:p>
      <w:pPr>
        <w:spacing w:after="0" w:line="224" w:lineRule="exact"/>
        <w:rPr>
          <w:sz w:val="20"/>
          <w:szCs w:val="20"/>
          <w:color w:val="auto"/>
        </w:rPr>
      </w:pPr>
    </w:p>
    <w:p>
      <w:pPr>
        <w:ind w:left="1300" w:right="340" w:firstLine="648"/>
        <w:spacing w:after="0" w:line="277" w:lineRule="auto"/>
        <w:rPr>
          <w:sz w:val="20"/>
          <w:szCs w:val="20"/>
          <w:color w:val="auto"/>
        </w:rPr>
      </w:pPr>
      <w:r>
        <w:rPr>
          <w:rFonts w:ascii="Arial" w:cs="Arial" w:eastAsia="Arial" w:hAnsi="Arial"/>
          <w:sz w:val="18"/>
          <w:szCs w:val="18"/>
          <w:color w:val="auto"/>
        </w:rPr>
        <w:t>“provided, however, at any time no Advances are outstanding, within seven (7) days after the end of each fiscal quarter;”</w:t>
      </w:r>
    </w:p>
    <w:p>
      <w:pPr>
        <w:spacing w:after="0" w:line="170" w:lineRule="exact"/>
        <w:rPr>
          <w:sz w:val="20"/>
          <w:szCs w:val="20"/>
          <w:color w:val="auto"/>
        </w:rPr>
      </w:pPr>
    </w:p>
    <w:p>
      <w:pPr>
        <w:ind w:right="140" w:firstLine="1298"/>
        <w:spacing w:after="0" w:line="277" w:lineRule="auto"/>
        <w:tabs>
          <w:tab w:leader="none" w:pos="1866"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6.2(b) of the Loan Agreement is hereby amended by deleting the language preceding clause (A) therein and replacing it with the following:</w:t>
      </w:r>
    </w:p>
    <w:p>
      <w:pPr>
        <w:spacing w:after="0" w:line="170" w:lineRule="exact"/>
        <w:rPr>
          <w:sz w:val="20"/>
          <w:szCs w:val="20"/>
          <w:color w:val="auto"/>
        </w:rPr>
      </w:pPr>
    </w:p>
    <w:p>
      <w:pPr>
        <w:ind w:left="1300" w:right="240" w:firstLine="648"/>
        <w:spacing w:after="0" w:line="277" w:lineRule="auto"/>
        <w:rPr>
          <w:sz w:val="20"/>
          <w:szCs w:val="20"/>
          <w:color w:val="auto"/>
        </w:rPr>
      </w:pPr>
      <w:r>
        <w:rPr>
          <w:rFonts w:ascii="Arial" w:cs="Arial" w:eastAsia="Arial" w:hAnsi="Arial"/>
          <w:sz w:val="18"/>
          <w:szCs w:val="18"/>
          <w:color w:val="auto"/>
        </w:rPr>
        <w:t>“within thirty (30) days after the end of each (i) fiscal quarter if no Advances are outstanding, and (ii) month at all other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734695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00"/>
          </w:cols>
          <w:pgMar w:left="1400" w:top="121" w:right="999" w:bottom="1440" w:gutter="0" w:footer="0" w:header="0"/>
        </w:sectPr>
      </w:pPr>
    </w:p>
    <w:bookmarkStart w:id="84" w:name="page85"/>
    <w:bookmarkEnd w:id="84"/>
    <w:p>
      <w:pPr>
        <w:ind w:left="1860" w:hanging="562"/>
        <w:spacing w:after="0"/>
        <w:tabs>
          <w:tab w:leader="none" w:pos="18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Section 6.2(c) of the Loan Agreement is hereby amended by deleting it in its entirety and replacing it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w:t>
      </w:r>
    </w:p>
    <w:p>
      <w:pPr>
        <w:spacing w:after="0" w:line="224" w:lineRule="exact"/>
        <w:rPr>
          <w:sz w:val="20"/>
          <w:szCs w:val="20"/>
          <w:color w:val="auto"/>
        </w:rPr>
      </w:pPr>
    </w:p>
    <w:p>
      <w:pPr>
        <w:jc w:val="both"/>
        <w:ind w:left="1300" w:firstLine="646"/>
        <w:spacing w:after="0" w:line="259" w:lineRule="auto"/>
        <w:tabs>
          <w:tab w:leader="none" w:pos="2515" w:val="left"/>
        </w:tabs>
        <w:numPr>
          <w:ilvl w:val="1"/>
          <w:numId w:val="51"/>
        </w:numPr>
        <w:rPr>
          <w:rFonts w:ascii="Arial" w:cs="Arial" w:eastAsia="Arial" w:hAnsi="Arial"/>
          <w:sz w:val="18"/>
          <w:szCs w:val="18"/>
          <w:color w:val="auto"/>
        </w:rPr>
      </w:pPr>
      <w:r>
        <w:rPr>
          <w:rFonts w:ascii="Arial" w:cs="Arial" w:eastAsia="Arial" w:hAnsi="Arial"/>
          <w:sz w:val="18"/>
          <w:szCs w:val="18"/>
          <w:color w:val="auto"/>
        </w:rPr>
        <w:t>as soon as available but no later than thirty (30) days after the last day of each (i) fiscal quarter if no Advances are outstanding, and (ii) month at all other times, a company prepared balance sheet and income statement covering Borrower’s consolidated operations for such month in a form acceptable to Bank (the “</w:t>
      </w:r>
      <w:r>
        <w:rPr>
          <w:rFonts w:ascii="Arial" w:cs="Arial" w:eastAsia="Arial" w:hAnsi="Arial"/>
          <w:sz w:val="18"/>
          <w:szCs w:val="18"/>
          <w:b w:val="1"/>
          <w:bCs w:val="1"/>
          <w:color w:val="auto"/>
        </w:rPr>
        <w:t>Monthly/Quarterly Financial Statements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ind w:right="20" w:firstLine="1298"/>
        <w:spacing w:after="0" w:line="277" w:lineRule="auto"/>
        <w:tabs>
          <w:tab w:leader="none" w:pos="1866"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Section 6.2(d) of the Loan Agreement is hereby amended by deleting the language before the first comma therein and replacing it with the following:</w:t>
      </w:r>
    </w:p>
    <w:p>
      <w:pPr>
        <w:spacing w:after="0" w:line="170"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“within thirty (30) days after the last day of each (i) fiscal quarter if no Advances are outstanding, and</w:t>
      </w:r>
    </w:p>
    <w:p>
      <w:pPr>
        <w:spacing w:after="0" w:line="35" w:lineRule="exact"/>
        <w:rPr>
          <w:sz w:val="20"/>
          <w:szCs w:val="20"/>
          <w:color w:val="auto"/>
        </w:rPr>
      </w:pPr>
    </w:p>
    <w:p>
      <w:pPr>
        <w:ind w:left="1300" w:hanging="2"/>
        <w:spacing w:after="0" w:line="260" w:lineRule="auto"/>
        <w:tabs>
          <w:tab w:leader="none" w:pos="1583" w:val="left"/>
        </w:tabs>
        <w:numPr>
          <w:ilvl w:val="0"/>
          <w:numId w:val="53"/>
        </w:numPr>
        <w:rPr>
          <w:rFonts w:ascii="Arial" w:cs="Arial" w:eastAsia="Arial" w:hAnsi="Arial"/>
          <w:sz w:val="18"/>
          <w:szCs w:val="18"/>
          <w:color w:val="auto"/>
        </w:rPr>
      </w:pPr>
      <w:r>
        <w:rPr>
          <w:rFonts w:ascii="Arial" w:cs="Arial" w:eastAsia="Arial" w:hAnsi="Arial"/>
          <w:sz w:val="18"/>
          <w:szCs w:val="18"/>
          <w:color w:val="auto"/>
        </w:rPr>
        <w:t>month at all other times and in the case of both (i) and (ii), together with the Monthly/Quarterly Financial Statements”</w:t>
      </w:r>
    </w:p>
    <w:p>
      <w:pPr>
        <w:spacing w:after="0" w:line="181" w:lineRule="exact"/>
        <w:rPr>
          <w:sz w:val="20"/>
          <w:szCs w:val="20"/>
          <w:color w:val="auto"/>
        </w:rPr>
      </w:pPr>
    </w:p>
    <w:p>
      <w:pPr>
        <w:ind w:firstLine="1296"/>
        <w:spacing w:after="0" w:line="282" w:lineRule="auto"/>
        <w:rPr>
          <w:sz w:val="20"/>
          <w:szCs w:val="20"/>
          <w:color w:val="auto"/>
        </w:rPr>
      </w:pPr>
      <w:r>
        <w:rPr>
          <w:rFonts w:ascii="Arial" w:cs="Arial" w:eastAsia="Arial" w:hAnsi="Arial"/>
          <w:sz w:val="18"/>
          <w:szCs w:val="18"/>
          <w:b w:val="1"/>
          <w:bCs w:val="1"/>
          <w:color w:val="auto"/>
        </w:rPr>
        <w:t xml:space="preserve">2.2 Section 6.9 (Financial Covenants). </w:t>
      </w:r>
      <w:r>
        <w:rPr>
          <w:rFonts w:ascii="Arial" w:cs="Arial" w:eastAsia="Arial" w:hAnsi="Arial"/>
          <w:sz w:val="18"/>
          <w:szCs w:val="18"/>
          <w:color w:val="auto"/>
        </w:rPr>
        <w:t>Section 6.9 of the Loan Agreement is hereby amended by deleting it</w:t>
      </w:r>
      <w:r>
        <w:rPr>
          <w:rFonts w:ascii="Arial" w:cs="Arial" w:eastAsia="Arial" w:hAnsi="Arial"/>
          <w:sz w:val="18"/>
          <w:szCs w:val="18"/>
          <w:b w:val="1"/>
          <w:bCs w:val="1"/>
          <w:color w:val="auto"/>
        </w:rPr>
        <w:t xml:space="preserve"> </w:t>
      </w:r>
      <w:r>
        <w:rPr>
          <w:rFonts w:ascii="Arial" w:cs="Arial" w:eastAsia="Arial" w:hAnsi="Arial"/>
          <w:sz w:val="18"/>
          <w:szCs w:val="18"/>
          <w:color w:val="auto"/>
        </w:rPr>
        <w:t>in its entirety and replacing it with the following:</w:t>
      </w:r>
    </w:p>
    <w:p>
      <w:pPr>
        <w:spacing w:after="0" w:line="175" w:lineRule="exact"/>
        <w:rPr>
          <w:sz w:val="20"/>
          <w:szCs w:val="20"/>
          <w:color w:val="auto"/>
        </w:rPr>
      </w:pPr>
    </w:p>
    <w:p>
      <w:pPr>
        <w:jc w:val="both"/>
        <w:ind w:left="660" w:firstLine="1296"/>
        <w:spacing w:after="0" w:line="258" w:lineRule="auto"/>
        <w:rPr>
          <w:sz w:val="20"/>
          <w:szCs w:val="20"/>
          <w:color w:val="auto"/>
        </w:rPr>
      </w:pPr>
      <w:r>
        <w:rPr>
          <w:rFonts w:ascii="Arial" w:cs="Arial" w:eastAsia="Arial" w:hAnsi="Arial"/>
          <w:sz w:val="18"/>
          <w:szCs w:val="18"/>
          <w:b w:val="1"/>
          <w:bCs w:val="1"/>
          <w:color w:val="auto"/>
        </w:rPr>
        <w:t xml:space="preserve">6.9 Financial Covenant. </w:t>
      </w:r>
      <w:r>
        <w:rPr>
          <w:rFonts w:ascii="Arial" w:cs="Arial" w:eastAsia="Arial" w:hAnsi="Arial"/>
          <w:sz w:val="18"/>
          <w:szCs w:val="18"/>
          <w:color w:val="auto"/>
        </w:rPr>
        <w:t>Maintain as of the last day of each fiscal quarter, unless otherwise noted, on a</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basis with respect to Borrower, minimum revenue of at least the following amounts: (i) for the fiscal quarter ending June 30, 2020, $45,000,000 and (ii) for the fiscal quarters ending September 30, 2020 and December 31, 2020, at least the same revenue as maintained for Borrower’s fiscal quarters ended September 30, 2019 and December 31, 2019 which was $61,000,000 and $65,000,000, respectively.</w:t>
      </w:r>
    </w:p>
    <w:p>
      <w:pPr>
        <w:spacing w:after="0" w:line="187" w:lineRule="exact"/>
        <w:rPr>
          <w:sz w:val="20"/>
          <w:szCs w:val="20"/>
          <w:color w:val="auto"/>
        </w:rPr>
      </w:pPr>
    </w:p>
    <w:p>
      <w:pPr>
        <w:jc w:val="both"/>
        <w:ind w:left="660" w:firstLine="648"/>
        <w:spacing w:after="0" w:line="254" w:lineRule="auto"/>
        <w:rPr>
          <w:sz w:val="20"/>
          <w:szCs w:val="20"/>
          <w:color w:val="auto"/>
        </w:rPr>
      </w:pPr>
      <w:r>
        <w:rPr>
          <w:rFonts w:ascii="Arial" w:cs="Arial" w:eastAsia="Arial" w:hAnsi="Arial"/>
          <w:sz w:val="18"/>
          <w:szCs w:val="18"/>
          <w:color w:val="auto"/>
        </w:rPr>
        <w:t>Commencing with the fiscal quarter ending March 31, 2021 and as of the last day of each fiscal quarter thereafter, the minimum revenue financial covenant set forth in this Section 6.9 shall be calculated based on Borrower’s annual financial projections approved by the Board and in form and substance satisfactory to Bank which projections shall be delivered to Bank as required by Section 6.2(e) of this Agreement (the “</w:t>
      </w:r>
      <w:r>
        <w:rPr>
          <w:rFonts w:ascii="Arial" w:cs="Arial" w:eastAsia="Arial" w:hAnsi="Arial"/>
          <w:sz w:val="18"/>
          <w:szCs w:val="18"/>
          <w:b w:val="1"/>
          <w:bCs w:val="1"/>
          <w:color w:val="auto"/>
        </w:rPr>
        <w:t>New Minimum Revenue Financial Covenant</w:t>
      </w:r>
      <w:r>
        <w:rPr>
          <w:rFonts w:ascii="Arial" w:cs="Arial" w:eastAsia="Arial" w:hAnsi="Arial"/>
          <w:sz w:val="18"/>
          <w:szCs w:val="18"/>
          <w:color w:val="auto"/>
        </w:rPr>
        <w:t>”). Borrower’s failure to use good faith efforts to reach an agreement with Bank on the New Minimum Revenue Financial Covenant and to execute and deliver to Bank an amendment to this Agreement which provides the terms for such New Minimum Revenue Financial Covenant no later than February 28, 2021 shall constitute an immediate Event of Default under this Agreement.</w:t>
      </w:r>
    </w:p>
    <w:p>
      <w:pPr>
        <w:spacing w:after="0" w:line="20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Section 13 (Definitions)</w:t>
      </w:r>
      <w:r>
        <w:rPr>
          <w:rFonts w:ascii="Arial" w:cs="Arial" w:eastAsia="Arial" w:hAnsi="Arial"/>
          <w:sz w:val="16"/>
          <w:szCs w:val="16"/>
          <w:color w:val="auto"/>
        </w:rPr>
        <w:t>. The following term and its respective definition are hereby added to Section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13.1 of the Loan Agreement in alphabetical order:</w:t>
      </w:r>
    </w:p>
    <w:p>
      <w:pPr>
        <w:spacing w:after="0" w:line="20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Monthly/Quarterly Financial Statements</w:t>
      </w:r>
      <w:r>
        <w:rPr>
          <w:rFonts w:ascii="Arial" w:cs="Arial" w:eastAsia="Arial" w:hAnsi="Arial"/>
          <w:sz w:val="18"/>
          <w:szCs w:val="18"/>
          <w:color w:val="auto"/>
        </w:rPr>
        <w:t>” is defined in Section 6.2(c).</w:t>
      </w:r>
    </w:p>
    <w:p>
      <w:pPr>
        <w:spacing w:after="0" w:line="239"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2.4 Compliance Statement</w:t>
      </w:r>
      <w:r>
        <w:rPr>
          <w:rFonts w:ascii="Arial" w:cs="Arial" w:eastAsia="Arial" w:hAnsi="Arial"/>
          <w:sz w:val="18"/>
          <w:szCs w:val="18"/>
          <w:color w:val="auto"/>
        </w:rPr>
        <w:t>. The Compliance Statement attached to the Loan Agreement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b w:val="1"/>
          <w:bCs w:val="1"/>
          <w:color w:val="auto"/>
        </w:rPr>
        <w:t xml:space="preserve"> </w:t>
      </w:r>
      <w:r>
        <w:rPr>
          <w:rFonts w:ascii="Arial" w:cs="Arial" w:eastAsia="Arial" w:hAnsi="Arial"/>
          <w:sz w:val="18"/>
          <w:szCs w:val="18"/>
          <w:color w:val="auto"/>
        </w:rPr>
        <w:t>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replaced in its entirety with the Compliance Statement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From and after the date hereof, all references in the Loan Agreement to the Compliance Statement shall be deemed to refer to the Compliance Statement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357505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00"/>
          </w:cols>
          <w:pgMar w:left="1400" w:top="409" w:right="999" w:bottom="1440" w:gutter="0" w:footer="0" w:header="0"/>
        </w:sectPr>
      </w:pPr>
    </w:p>
    <w:bookmarkStart w:id="85" w:name="page86"/>
    <w:bookmarkEnd w:id="85"/>
    <w:p>
      <w:pPr>
        <w:ind w:left="1180" w:hanging="530"/>
        <w:spacing w:after="0"/>
        <w:tabs>
          <w:tab w:leader="none" w:pos="11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Amendments.</w:t>
      </w:r>
    </w:p>
    <w:p>
      <w:pPr>
        <w:spacing w:after="0" w:line="239"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The amendments set forth in Sections 2, above, are effective for the purposes set forth herein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93"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This Amendment shall be construed in connection with and as part of the Loan Documents and all terms,</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representations, warranties, covenants and agreements set forth in the Loan Documents, except as herein amended, are hereby ratified and confirmed and shall remain in full force and effect</w:t>
      </w:r>
    </w:p>
    <w:p>
      <w:pPr>
        <w:spacing w:after="0" w:line="17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color w:val="auto"/>
        </w:rPr>
        <w:t>In addition to those Events of Default specifically enumerated in the Loan Documents, the failure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comply with the terms of any covenant or agreement contained herein shall constitute an Event of Default and shall entitle Bank to exercise all rights and remedies provided to Bank under the terms of any of the other Loan Documents as a result of the occurrence of the same.</w:t>
      </w:r>
    </w:p>
    <w:p>
      <w:pPr>
        <w:spacing w:after="0" w:line="193" w:lineRule="exact"/>
        <w:rPr>
          <w:sz w:val="20"/>
          <w:szCs w:val="20"/>
          <w:color w:val="auto"/>
        </w:rPr>
      </w:pPr>
    </w:p>
    <w:p>
      <w:pPr>
        <w:ind w:right="60" w:firstLine="650"/>
        <w:spacing w:after="0" w:line="282" w:lineRule="auto"/>
        <w:tabs>
          <w:tab w:leader="none" w:pos="1188"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To induce Bank to enter into this Amendment, Borrower hereby represents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warrants to Bank as follows:</w:t>
      </w:r>
    </w:p>
    <w:p>
      <w:pPr>
        <w:spacing w:after="0" w:line="17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Immediately after giving effect to this Amendment (a) the representations and warranties contained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Borrower has the power and authority to execute and deliver this Amendment and to perform its</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under the Loan Agreement, as amended by this Amendment;</w:t>
      </w:r>
    </w:p>
    <w:p>
      <w:pPr>
        <w:spacing w:after="0" w:line="243"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color w:val="auto"/>
        </w:rPr>
        <w:t>The organizational documents of Borrower delivered to Bank on the Effective Date remain true, accurate</w:t>
      </w:r>
      <w:r>
        <w:rPr>
          <w:rFonts w:ascii="Arial" w:cs="Arial" w:eastAsia="Arial" w:hAnsi="Arial"/>
          <w:sz w:val="17"/>
          <w:szCs w:val="17"/>
          <w:b w:val="1"/>
          <w:bCs w:val="1"/>
          <w:color w:val="auto"/>
        </w:rPr>
        <w:t xml:space="preserve"> </w:t>
      </w:r>
      <w:r>
        <w:rPr>
          <w:rFonts w:ascii="Arial" w:cs="Arial" w:eastAsia="Arial" w:hAnsi="Arial"/>
          <w:sz w:val="17"/>
          <w:szCs w:val="17"/>
          <w:color w:val="auto"/>
        </w:rPr>
        <w:t>and complete and have not been amended, supplemented or restated and are and continue to be in full force and effect;</w:t>
      </w:r>
    </w:p>
    <w:p>
      <w:pPr>
        <w:spacing w:after="0" w:line="153"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color w:val="auto"/>
        </w:rPr>
        <w:t>The execution and delivery by Borrower of this Amendment and the performance by Borrower of its</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under the Loan Agreement, as amended by this Amendment, have been duly authorized;</w:t>
      </w:r>
    </w:p>
    <w:p>
      <w:pPr>
        <w:spacing w:after="0" w:line="175"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color w:val="auto"/>
        </w:rPr>
        <w:t>The execution and delivery by Borrower of this Amendment and the performance by Borrower of its</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under the Loan 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357505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500"/>
          </w:cols>
          <w:pgMar w:left="1400" w:top="405" w:right="999" w:bottom="1440" w:gutter="0" w:footer="0" w:header="0"/>
        </w:sectPr>
      </w:pPr>
    </w:p>
    <w:bookmarkStart w:id="86" w:name="page87"/>
    <w:bookmarkEnd w:id="86"/>
    <w:p>
      <w:pPr>
        <w:jc w:val="both"/>
        <w:ind w:firstLine="1296"/>
        <w:spacing w:after="0" w:line="281" w:lineRule="auto"/>
        <w:rPr>
          <w:sz w:val="20"/>
          <w:szCs w:val="20"/>
          <w:color w:val="auto"/>
        </w:rPr>
      </w:pPr>
      <w:r>
        <w:rPr>
          <w:rFonts w:ascii="Arial" w:cs="Arial" w:eastAsia="Arial" w:hAnsi="Arial"/>
          <w:sz w:val="17"/>
          <w:szCs w:val="17"/>
          <w:b w:val="1"/>
          <w:bCs w:val="1"/>
          <w:color w:val="auto"/>
        </w:rPr>
        <w:t xml:space="preserve">4.6 </w:t>
      </w:r>
      <w:r>
        <w:rPr>
          <w:rFonts w:ascii="Arial" w:cs="Arial" w:eastAsia="Arial" w:hAnsi="Arial"/>
          <w:sz w:val="17"/>
          <w:szCs w:val="17"/>
          <w:color w:val="auto"/>
        </w:rPr>
        <w:t>The execution and delivery by Borrower of this Amendment and the performance by Borrower of its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24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color w:val="auto"/>
        </w:rPr>
        <w:t>This Amendment has been duly executed and delivered by Borrower and is the binding obligation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93" w:lineRule="exact"/>
        <w:rPr>
          <w:sz w:val="20"/>
          <w:szCs w:val="20"/>
          <w:color w:val="auto"/>
        </w:rPr>
      </w:pPr>
    </w:p>
    <w:p>
      <w:pPr>
        <w:jc w:val="both"/>
        <w:ind w:firstLine="650"/>
        <w:spacing w:after="0" w:line="261" w:lineRule="auto"/>
        <w:tabs>
          <w:tab w:leader="none" w:pos="1269"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Integration</w:t>
      </w:r>
      <w:r>
        <w:rPr>
          <w:rFonts w:ascii="Arial" w:cs="Arial" w:eastAsia="Arial" w:hAnsi="Arial"/>
          <w:sz w:val="18"/>
          <w:szCs w:val="18"/>
          <w:color w:val="auto"/>
        </w:rPr>
        <w:t>. This Amendment and the Loan Documents represent the entire agreement about this subject matter</w:t>
      </w:r>
      <w:r>
        <w:rPr>
          <w:rFonts w:ascii="Arial" w:cs="Arial" w:eastAsia="Arial" w:hAnsi="Arial"/>
          <w:sz w:val="18"/>
          <w:szCs w:val="18"/>
          <w:b w:val="1"/>
          <w:bCs w:val="1"/>
          <w:color w:val="auto"/>
        </w:rPr>
        <w:t xml:space="preserve"> </w:t>
      </w:r>
      <w:r>
        <w:rPr>
          <w:rFonts w:ascii="Arial" w:cs="Arial" w:eastAsia="Arial" w:hAnsi="Arial"/>
          <w:sz w:val="18"/>
          <w:szCs w:val="18"/>
          <w:color w:val="auto"/>
        </w:rPr>
        <w:t>and supersede prior 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93" w:lineRule="exact"/>
        <w:rPr>
          <w:rFonts w:ascii="Arial" w:cs="Arial" w:eastAsia="Arial" w:hAnsi="Arial"/>
          <w:sz w:val="18"/>
          <w:szCs w:val="18"/>
          <w:b w:val="1"/>
          <w:bCs w:val="1"/>
          <w:color w:val="auto"/>
        </w:rPr>
      </w:pPr>
    </w:p>
    <w:p>
      <w:pPr>
        <w:jc w:val="both"/>
        <w:ind w:firstLine="650"/>
        <w:spacing w:after="0" w:line="261" w:lineRule="auto"/>
        <w:tabs>
          <w:tab w:leader="none" w:pos="1346"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Amendment may be executed in any number of counterparts and all of such 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taken together shall be deemed to constitute one and the same instrument. Each party hereto may execute this Amendment by electronic means and recognizes and accepts the use of electronic signatures and records by any other party hereto in connection with the execution and storage hereof.</w:t>
      </w:r>
    </w:p>
    <w:p>
      <w:pPr>
        <w:spacing w:after="0" w:line="179" w:lineRule="exact"/>
        <w:rPr>
          <w:rFonts w:ascii="Arial" w:cs="Arial" w:eastAsia="Arial" w:hAnsi="Arial"/>
          <w:sz w:val="18"/>
          <w:szCs w:val="18"/>
          <w:b w:val="1"/>
          <w:bCs w:val="1"/>
          <w:color w:val="auto"/>
        </w:rPr>
      </w:pPr>
    </w:p>
    <w:p>
      <w:pPr>
        <w:jc w:val="both"/>
        <w:ind w:right="20" w:firstLine="650"/>
        <w:spacing w:after="0" w:line="266" w:lineRule="auto"/>
        <w:tabs>
          <w:tab w:leader="none" w:pos="1215"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w:t>
      </w:r>
      <w:r>
        <w:rPr>
          <w:rFonts w:ascii="Arial" w:cs="Arial" w:eastAsia="Arial" w:hAnsi="Arial"/>
          <w:sz w:val="18"/>
          <w:szCs w:val="18"/>
          <w:color w:val="auto"/>
        </w:rPr>
        <w:t>. This Amendment shall be deemed effective upon (a) the due execution and delivery to Bank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by each party hereto, (b) Borrower’s payment of Bank’s legal fees and expenses incurred in connection with this Amendment.</w:t>
      </w:r>
    </w:p>
    <w:p>
      <w:pPr>
        <w:spacing w:after="0" w:line="19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357505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00"/>
          </w:cols>
          <w:pgMar w:left="1400" w:top="405" w:right="999" w:bottom="1440" w:gutter="0" w:footer="0" w:header="0"/>
        </w:sectPr>
      </w:pPr>
    </w:p>
    <w:bookmarkStart w:id="87" w:name="page88"/>
    <w:bookmarkEnd w:id="87"/>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this Amendment to be duly executed and delivered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first written above.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PROGYNY,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8803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Name: Peter Anevski</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Title:  CFO</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Robert Mingrone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8803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Name: Robert Mingrone</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[Signature Page to Third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640"/>
          </w:cols>
          <w:pgMar w:left="980" w:top="405" w:right="1279" w:bottom="1440" w:gutter="0" w:footer="0" w:header="0"/>
        </w:sectPr>
      </w:pPr>
    </w:p>
    <w:bookmarkStart w:id="88" w:name="page89"/>
    <w:bookmarkEnd w:id="88"/>
    <w:tbl>
      <w:tblPr>
        <w:tblLayout w:type="fixed"/>
        <w:tblInd w:w="10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B</w:t>
            </w:r>
          </w:p>
        </w:tc>
        <w:tc>
          <w:tcPr>
            <w:tcW w:w="1540" w:type="dxa"/>
            <w:vAlign w:val="bottom"/>
            <w:gridSpan w:val="2"/>
          </w:tcPr>
          <w:p>
            <w:pPr>
              <w:spacing w:after="0"/>
              <w:rPr>
                <w:sz w:val="17"/>
                <w:szCs w:val="17"/>
                <w:color w:val="auto"/>
              </w:rPr>
            </w:pPr>
          </w:p>
        </w:tc>
      </w:tr>
      <w:tr>
        <w:trPr>
          <w:trHeight w:val="412"/>
        </w:trPr>
        <w:tc>
          <w:tcPr>
            <w:tcW w:w="6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640" w:type="dxa"/>
            <w:vAlign w:val="bottom"/>
            <w:gridSpan w:val="5"/>
          </w:tcPr>
          <w:p>
            <w:pPr>
              <w:jc w:val="center"/>
              <w:ind w:right="310"/>
              <w:spacing w:after="0"/>
              <w:rPr>
                <w:sz w:val="20"/>
                <w:szCs w:val="20"/>
                <w:color w:val="auto"/>
              </w:rPr>
            </w:pPr>
            <w:r>
              <w:rPr>
                <w:rFonts w:ascii="Arial" w:cs="Arial" w:eastAsia="Arial" w:hAnsi="Arial"/>
                <w:sz w:val="18"/>
                <w:szCs w:val="18"/>
                <w:b w:val="1"/>
                <w:bCs w:val="1"/>
                <w:color w:val="auto"/>
              </w:rPr>
              <w:t>COMPLIANCE STATEMENT</w:t>
            </w:r>
          </w:p>
        </w:tc>
      </w:tr>
      <w:tr>
        <w:trPr>
          <w:trHeight w:val="452"/>
        </w:trPr>
        <w:tc>
          <w:tcPr>
            <w:tcW w:w="680" w:type="dxa"/>
            <w:vAlign w:val="bottom"/>
          </w:tcPr>
          <w:p>
            <w:pPr>
              <w:spacing w:after="0"/>
              <w:rPr>
                <w:sz w:val="20"/>
                <w:szCs w:val="20"/>
                <w:color w:val="auto"/>
              </w:rPr>
            </w:pPr>
            <w:r>
              <w:rPr>
                <w:rFonts w:ascii="Arial" w:cs="Arial" w:eastAsia="Arial" w:hAnsi="Arial"/>
                <w:sz w:val="18"/>
                <w:szCs w:val="18"/>
                <w:color w:val="auto"/>
              </w:rPr>
              <w:t>TO:</w:t>
            </w:r>
          </w:p>
        </w:tc>
        <w:tc>
          <w:tcPr>
            <w:tcW w:w="2560" w:type="dxa"/>
            <w:vAlign w:val="bottom"/>
          </w:tcPr>
          <w:p>
            <w:pPr>
              <w:ind w:left="120"/>
              <w:spacing w:after="0"/>
              <w:rPr>
                <w:sz w:val="20"/>
                <w:szCs w:val="20"/>
                <w:color w:val="auto"/>
              </w:rPr>
            </w:pPr>
            <w:r>
              <w:rPr>
                <w:rFonts w:ascii="Arial" w:cs="Arial" w:eastAsia="Arial" w:hAnsi="Arial"/>
                <w:sz w:val="18"/>
                <w:szCs w:val="18"/>
                <w:color w:val="auto"/>
              </w:rPr>
              <w:t>SILICON VALLEY BANK</w:t>
            </w:r>
          </w:p>
        </w:tc>
        <w:tc>
          <w:tcPr>
            <w:tcW w:w="4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20" w:type="dxa"/>
            <w:vAlign w:val="bottom"/>
          </w:tcPr>
          <w:p>
            <w:pPr>
              <w:ind w:left="440"/>
              <w:spacing w:after="0"/>
              <w:rPr>
                <w:sz w:val="20"/>
                <w:szCs w:val="20"/>
                <w:color w:val="auto"/>
              </w:rPr>
            </w:pPr>
            <w:r>
              <w:rPr>
                <w:rFonts w:ascii="Arial" w:cs="Arial" w:eastAsia="Arial" w:hAnsi="Arial"/>
                <w:sz w:val="18"/>
                <w:szCs w:val="18"/>
                <w:color w:val="auto"/>
                <w:w w:val="83"/>
              </w:rPr>
              <w:t>Date: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FROM:</w:t>
            </w:r>
          </w:p>
        </w:tc>
        <w:tc>
          <w:tcPr>
            <w:tcW w:w="2560" w:type="dxa"/>
            <w:vAlign w:val="bottom"/>
          </w:tcPr>
          <w:p>
            <w:pPr>
              <w:ind w:left="120"/>
              <w:spacing w:after="0"/>
              <w:rPr>
                <w:sz w:val="20"/>
                <w:szCs w:val="20"/>
                <w:color w:val="auto"/>
              </w:rPr>
            </w:pPr>
            <w:r>
              <w:rPr>
                <w:rFonts w:ascii="Arial" w:cs="Arial" w:eastAsia="Arial" w:hAnsi="Arial"/>
                <w:sz w:val="18"/>
                <w:szCs w:val="18"/>
                <w:color w:val="auto"/>
              </w:rPr>
              <w:t>PROGYNY, INC.</w:t>
            </w: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-136525</wp:posOffset>
            </wp:positionV>
            <wp:extent cx="17576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205" w:lineRule="exact"/>
        <w:rPr>
          <w:sz w:val="20"/>
          <w:szCs w:val="20"/>
          <w:color w:val="auto"/>
        </w:rPr>
      </w:pPr>
    </w:p>
    <w:p>
      <w:pPr>
        <w:jc w:val="both"/>
        <w:ind w:left="100" w:right="20" w:firstLine="1296"/>
        <w:spacing w:after="0" w:line="293" w:lineRule="auto"/>
        <w:rPr>
          <w:sz w:val="20"/>
          <w:szCs w:val="20"/>
          <w:color w:val="auto"/>
        </w:rPr>
      </w:pPr>
      <w:r>
        <w:rPr>
          <w:rFonts w:ascii="Arial" w:cs="Arial" w:eastAsia="Arial" w:hAnsi="Arial"/>
          <w:sz w:val="16"/>
          <w:szCs w:val="16"/>
          <w:color w:val="auto"/>
        </w:rPr>
        <w:t>Under the terms and conditions of the Loan and Security Agreement between Borrower and Bank (the “</w:t>
      </w:r>
      <w:r>
        <w:rPr>
          <w:rFonts w:ascii="Arial" w:cs="Arial" w:eastAsia="Arial" w:hAnsi="Arial"/>
          <w:sz w:val="16"/>
          <w:szCs w:val="16"/>
          <w:b w:val="1"/>
          <w:bCs w:val="1"/>
          <w:color w:val="auto"/>
        </w:rPr>
        <w:t>Agreement</w:t>
      </w:r>
      <w:r>
        <w:rPr>
          <w:rFonts w:ascii="Arial" w:cs="Arial" w:eastAsia="Arial" w:hAnsi="Arial"/>
          <w:sz w:val="16"/>
          <w:szCs w:val="16"/>
          <w:color w:val="auto"/>
        </w:rPr>
        <w:t>”), Borrower is in complete compliance for the period ending ________________with all required covenants except as noted below.</w:t>
      </w:r>
    </w:p>
    <w:p>
      <w:pPr>
        <w:spacing w:after="0" w:line="1" w:lineRule="exact"/>
        <w:rPr>
          <w:sz w:val="20"/>
          <w:szCs w:val="20"/>
          <w:color w:val="auto"/>
        </w:rPr>
      </w:pPr>
    </w:p>
    <w:p>
      <w:pPr>
        <w:jc w:val="both"/>
        <w:ind w:left="100" w:right="20"/>
        <w:spacing w:after="0" w:line="255" w:lineRule="auto"/>
        <w:rPr>
          <w:sz w:val="20"/>
          <w:szCs w:val="20"/>
          <w:color w:val="auto"/>
        </w:rPr>
      </w:pPr>
      <w:r>
        <w:rPr>
          <w:rFonts w:ascii="Arial" w:cs="Arial" w:eastAsia="Arial" w:hAnsi="Arial"/>
          <w:sz w:val="18"/>
          <w:szCs w:val="18"/>
          <w:color w:val="auto"/>
        </w:rPr>
        <w:t>Attached are the required documents evidencing such compliance, setting forth calculations prepared in accordance with GAAP consistently applied from one period to the next except as explained in an accompanying letter or footnotes. Capitalized terms used but not otherwise defined herein shall have the meanings given them in the Agreement.</w:t>
      </w:r>
    </w:p>
    <w:p>
      <w:pPr>
        <w:spacing w:after="0" w:line="18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20" w:type="dxa"/>
            <w:vAlign w:val="bottom"/>
            <w:tcBorders>
              <w:top w:val="single" w:sz="8" w:color="auto"/>
              <w:left w:val="single" w:sz="8" w:color="auto"/>
            </w:tcBorders>
          </w:tcPr>
          <w:p>
            <w:pPr>
              <w:spacing w:after="0"/>
              <w:rPr>
                <w:sz w:val="16"/>
                <w:szCs w:val="16"/>
                <w:color w:val="auto"/>
              </w:rPr>
            </w:pPr>
          </w:p>
        </w:tc>
        <w:tc>
          <w:tcPr>
            <w:tcW w:w="3600" w:type="dxa"/>
            <w:vAlign w:val="bottom"/>
            <w:tcBorders>
              <w:top w:val="single" w:sz="8" w:color="auto"/>
            </w:tcBorders>
            <w:gridSpan w:val="9"/>
          </w:tcPr>
          <w:p>
            <w:pPr>
              <w:ind w:left="1140"/>
              <w:spacing w:after="0" w:line="189" w:lineRule="exact"/>
              <w:rPr>
                <w:sz w:val="20"/>
                <w:szCs w:val="20"/>
                <w:color w:val="auto"/>
              </w:rPr>
            </w:pPr>
            <w:r>
              <w:rPr>
                <w:rFonts w:ascii="Arial" w:cs="Arial" w:eastAsia="Arial" w:hAnsi="Arial"/>
                <w:sz w:val="18"/>
                <w:szCs w:val="18"/>
                <w:b w:val="1"/>
                <w:bCs w:val="1"/>
                <w:color w:val="auto"/>
              </w:rPr>
              <w:t>Reporting Covenants</w:t>
            </w:r>
          </w:p>
        </w:tc>
        <w:tc>
          <w:tcPr>
            <w:tcW w:w="80" w:type="dxa"/>
            <w:vAlign w:val="bottom"/>
            <w:tcBorders>
              <w:top w:val="single" w:sz="8" w:color="auto"/>
              <w:right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8"/>
          </w:tcPr>
          <w:p>
            <w:pPr>
              <w:ind w:left="40"/>
              <w:spacing w:after="0" w:line="189" w:lineRule="exact"/>
              <w:rPr>
                <w:sz w:val="20"/>
                <w:szCs w:val="20"/>
                <w:color w:val="auto"/>
              </w:rPr>
            </w:pPr>
            <w:r>
              <w:rPr>
                <w:rFonts w:ascii="Arial" w:cs="Arial" w:eastAsia="Arial" w:hAnsi="Arial"/>
                <w:sz w:val="18"/>
                <w:szCs w:val="18"/>
                <w:b w:val="1"/>
                <w:bCs w:val="1"/>
                <w:color w:val="auto"/>
              </w:rPr>
              <w:t>Required</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40" w:type="dxa"/>
            <w:vAlign w:val="bottom"/>
            <w:tcBorders>
              <w:top w:val="single" w:sz="8" w:color="auto"/>
              <w:right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4"/>
          </w:tcPr>
          <w:p>
            <w:pPr>
              <w:spacing w:after="0" w:line="189" w:lineRule="exact"/>
              <w:rPr>
                <w:sz w:val="20"/>
                <w:szCs w:val="20"/>
                <w:color w:val="auto"/>
              </w:rPr>
            </w:pPr>
            <w:r>
              <w:rPr>
                <w:rFonts w:ascii="Arial" w:cs="Arial" w:eastAsia="Arial" w:hAnsi="Arial"/>
                <w:sz w:val="18"/>
                <w:szCs w:val="18"/>
                <w:b w:val="1"/>
                <w:bCs w:val="1"/>
                <w:color w:val="auto"/>
                <w:w w:val="91"/>
              </w:rPr>
              <w:t>Complies</w:t>
            </w:r>
          </w:p>
        </w:tc>
        <w:tc>
          <w:tcPr>
            <w:tcW w:w="2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right w:val="single" w:sz="8" w:color="auto"/>
            </w:tcBorders>
          </w:tcPr>
          <w:p>
            <w:pPr>
              <w:spacing w:after="0"/>
              <w:rPr>
                <w:sz w:val="16"/>
                <w:szCs w:val="16"/>
                <w:color w:val="auto"/>
              </w:rPr>
            </w:pP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r>
      <w:tr>
        <w:trPr>
          <w:trHeight w:val="195"/>
        </w:trPr>
        <w:tc>
          <w:tcPr>
            <w:tcW w:w="120" w:type="dxa"/>
            <w:vAlign w:val="bottom"/>
            <w:tcBorders>
              <w:left w:val="single" w:sz="8" w:color="auto"/>
            </w:tcBorders>
          </w:tcPr>
          <w:p>
            <w:pPr>
              <w:spacing w:after="0"/>
              <w:rPr>
                <w:sz w:val="16"/>
                <w:szCs w:val="16"/>
                <w:color w:val="auto"/>
              </w:rPr>
            </w:pPr>
          </w:p>
        </w:tc>
        <w:tc>
          <w:tcPr>
            <w:tcW w:w="3600" w:type="dxa"/>
            <w:vAlign w:val="bottom"/>
            <w:gridSpan w:val="9"/>
          </w:tcPr>
          <w:p>
            <w:pPr>
              <w:spacing w:after="0" w:line="195" w:lineRule="exact"/>
              <w:rPr>
                <w:sz w:val="20"/>
                <w:szCs w:val="20"/>
                <w:color w:val="auto"/>
              </w:rPr>
            </w:pPr>
            <w:r>
              <w:rPr>
                <w:rFonts w:ascii="Arial" w:cs="Arial" w:eastAsia="Arial" w:hAnsi="Arial"/>
                <w:sz w:val="18"/>
                <w:szCs w:val="18"/>
                <w:color w:val="auto"/>
              </w:rPr>
              <w:t>Monthly/Quarterly financial statements with</w:t>
            </w:r>
          </w:p>
        </w:tc>
        <w:tc>
          <w:tcPr>
            <w:tcW w:w="80" w:type="dxa"/>
            <w:vAlign w:val="bottom"/>
            <w:tcBorders>
              <w:right w:val="single" w:sz="8" w:color="auto"/>
            </w:tcBorders>
          </w:tcPr>
          <w:p>
            <w:pPr>
              <w:spacing w:after="0"/>
              <w:rPr>
                <w:sz w:val="16"/>
                <w:szCs w:val="16"/>
                <w:color w:val="auto"/>
              </w:rPr>
            </w:pPr>
          </w:p>
        </w:tc>
        <w:tc>
          <w:tcPr>
            <w:tcW w:w="4000" w:type="dxa"/>
            <w:vAlign w:val="bottom"/>
            <w:tcBorders>
              <w:right w:val="single" w:sz="8" w:color="auto"/>
            </w:tcBorders>
            <w:gridSpan w:val="15"/>
          </w:tcPr>
          <w:p>
            <w:pPr>
              <w:ind w:left="100"/>
              <w:spacing w:after="0" w:line="195" w:lineRule="exact"/>
              <w:rPr>
                <w:sz w:val="20"/>
                <w:szCs w:val="20"/>
                <w:color w:val="auto"/>
              </w:rPr>
            </w:pPr>
            <w:r>
              <w:rPr>
                <w:rFonts w:ascii="Arial" w:cs="Arial" w:eastAsia="Arial" w:hAnsi="Arial"/>
                <w:sz w:val="18"/>
                <w:szCs w:val="18"/>
                <w:color w:val="auto"/>
              </w:rPr>
              <w:t>(i) Quarterly within 30 days if no Advance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gridSpan w:val="3"/>
          </w:tcPr>
          <w:p>
            <w:pPr>
              <w:ind w:left="80"/>
              <w:spacing w:after="0" w:line="195" w:lineRule="exact"/>
              <w:rPr>
                <w:sz w:val="20"/>
                <w:szCs w:val="20"/>
                <w:color w:val="auto"/>
              </w:rPr>
            </w:pPr>
            <w:r>
              <w:rPr>
                <w:rFonts w:ascii="Arial" w:cs="Arial" w:eastAsia="Arial" w:hAnsi="Arial"/>
                <w:sz w:val="18"/>
                <w:szCs w:val="18"/>
                <w:color w:val="auto"/>
              </w:rPr>
              <w:t>Yes</w:t>
            </w:r>
          </w:p>
        </w:tc>
        <w:tc>
          <w:tcPr>
            <w:tcW w:w="1020" w:type="dxa"/>
            <w:vAlign w:val="bottom"/>
            <w:tcBorders>
              <w:right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No</w:t>
            </w:r>
          </w:p>
        </w:tc>
      </w:tr>
      <w:tr>
        <w:trPr>
          <w:trHeight w:val="230"/>
        </w:trPr>
        <w:tc>
          <w:tcPr>
            <w:tcW w:w="120" w:type="dxa"/>
            <w:vAlign w:val="bottom"/>
            <w:tcBorders>
              <w:left w:val="single" w:sz="8" w:color="auto"/>
              <w:bottom w:val="single" w:sz="8" w:color="auto"/>
            </w:tcBorders>
          </w:tcPr>
          <w:p>
            <w:pPr>
              <w:spacing w:after="0"/>
              <w:rPr>
                <w:sz w:val="20"/>
                <w:szCs w:val="20"/>
                <w:color w:val="auto"/>
              </w:rPr>
            </w:pPr>
          </w:p>
        </w:tc>
        <w:tc>
          <w:tcPr>
            <w:tcW w:w="360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rPr>
              <w:t>Compliance Statement</w:t>
            </w:r>
          </w:p>
        </w:tc>
        <w:tc>
          <w:tcPr>
            <w:tcW w:w="80" w:type="dxa"/>
            <w:vAlign w:val="bottom"/>
            <w:tcBorders>
              <w:bottom w:val="single" w:sz="8" w:color="auto"/>
              <w:right w:val="single" w:sz="8" w:color="auto"/>
            </w:tcBorders>
          </w:tcPr>
          <w:p>
            <w:pPr>
              <w:spacing w:after="0"/>
              <w:rPr>
                <w:sz w:val="20"/>
                <w:szCs w:val="20"/>
                <w:color w:val="auto"/>
              </w:rPr>
            </w:pPr>
          </w:p>
        </w:tc>
        <w:tc>
          <w:tcPr>
            <w:tcW w:w="4000" w:type="dxa"/>
            <w:vAlign w:val="bottom"/>
            <w:tcBorders>
              <w:bottom w:val="single" w:sz="8" w:color="auto"/>
              <w:right w:val="single" w:sz="8" w:color="auto"/>
            </w:tcBorders>
            <w:gridSpan w:val="15"/>
          </w:tcPr>
          <w:p>
            <w:pPr>
              <w:ind w:left="100"/>
              <w:spacing w:after="0"/>
              <w:rPr>
                <w:sz w:val="20"/>
                <w:szCs w:val="20"/>
                <w:color w:val="auto"/>
              </w:rPr>
            </w:pPr>
            <w:r>
              <w:rPr>
                <w:rFonts w:ascii="Arial" w:cs="Arial" w:eastAsia="Arial" w:hAnsi="Arial"/>
                <w:sz w:val="18"/>
                <w:szCs w:val="18"/>
                <w:color w:val="auto"/>
                <w:w w:val="98"/>
              </w:rPr>
              <w:t>outstanding, otherwise (ii) monthly within 30 days</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r>
      <w:tr>
        <w:trPr>
          <w:trHeight w:val="195"/>
        </w:trPr>
        <w:tc>
          <w:tcPr>
            <w:tcW w:w="120" w:type="dxa"/>
            <w:vAlign w:val="bottom"/>
            <w:tcBorders>
              <w:left w:val="single" w:sz="8" w:color="auto"/>
            </w:tcBorders>
          </w:tcPr>
          <w:p>
            <w:pPr>
              <w:spacing w:after="0"/>
              <w:rPr>
                <w:sz w:val="16"/>
                <w:szCs w:val="16"/>
                <w:color w:val="auto"/>
              </w:rPr>
            </w:pPr>
          </w:p>
        </w:tc>
        <w:tc>
          <w:tcPr>
            <w:tcW w:w="3600" w:type="dxa"/>
            <w:vAlign w:val="bottom"/>
            <w:gridSpan w:val="9"/>
          </w:tcPr>
          <w:p>
            <w:pPr>
              <w:spacing w:after="0" w:line="195" w:lineRule="exact"/>
              <w:rPr>
                <w:sz w:val="20"/>
                <w:szCs w:val="20"/>
                <w:color w:val="auto"/>
              </w:rPr>
            </w:pPr>
            <w:r>
              <w:rPr>
                <w:rFonts w:ascii="Arial" w:cs="Arial" w:eastAsia="Arial" w:hAnsi="Arial"/>
                <w:sz w:val="18"/>
                <w:szCs w:val="18"/>
                <w:color w:val="auto"/>
              </w:rPr>
              <w:t>Annual financial statements (CPA Audited)</w:t>
            </w:r>
          </w:p>
        </w:tc>
        <w:tc>
          <w:tcPr>
            <w:tcW w:w="80" w:type="dxa"/>
            <w:vAlign w:val="bottom"/>
            <w:tcBorders>
              <w:right w:val="single" w:sz="8" w:color="auto"/>
            </w:tcBorders>
          </w:tcPr>
          <w:p>
            <w:pPr>
              <w:spacing w:after="0"/>
              <w:rPr>
                <w:sz w:val="16"/>
                <w:szCs w:val="16"/>
                <w:color w:val="auto"/>
              </w:rPr>
            </w:pPr>
          </w:p>
        </w:tc>
        <w:tc>
          <w:tcPr>
            <w:tcW w:w="4000" w:type="dxa"/>
            <w:vAlign w:val="bottom"/>
            <w:tcBorders>
              <w:right w:val="single" w:sz="8" w:color="auto"/>
            </w:tcBorders>
            <w:gridSpan w:val="15"/>
          </w:tcPr>
          <w:p>
            <w:pPr>
              <w:ind w:left="100"/>
              <w:spacing w:after="0" w:line="195" w:lineRule="exact"/>
              <w:rPr>
                <w:sz w:val="20"/>
                <w:szCs w:val="20"/>
                <w:color w:val="auto"/>
              </w:rPr>
            </w:pPr>
            <w:r>
              <w:rPr>
                <w:rFonts w:ascii="Arial" w:cs="Arial" w:eastAsia="Arial" w:hAnsi="Arial"/>
                <w:sz w:val="18"/>
                <w:szCs w:val="18"/>
                <w:color w:val="auto"/>
                <w:w w:val="96"/>
              </w:rPr>
              <w:t>If audited required by Board, FYE within 180 days;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gridSpan w:val="3"/>
          </w:tcPr>
          <w:p>
            <w:pPr>
              <w:ind w:left="120"/>
              <w:spacing w:after="0" w:line="195" w:lineRule="exact"/>
              <w:rPr>
                <w:sz w:val="20"/>
                <w:szCs w:val="20"/>
                <w:color w:val="auto"/>
              </w:rPr>
            </w:pPr>
            <w:r>
              <w:rPr>
                <w:rFonts w:ascii="Arial" w:cs="Arial" w:eastAsia="Arial" w:hAnsi="Arial"/>
                <w:sz w:val="18"/>
                <w:szCs w:val="18"/>
                <w:color w:val="auto"/>
              </w:rPr>
              <w:t>Yes</w:t>
            </w:r>
          </w:p>
        </w:tc>
        <w:tc>
          <w:tcPr>
            <w:tcW w:w="102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rPr>
              <w:t>No</w:t>
            </w:r>
          </w:p>
        </w:tc>
      </w:tr>
      <w:tr>
        <w:trPr>
          <w:trHeight w:val="216"/>
        </w:trPr>
        <w:tc>
          <w:tcPr>
            <w:tcW w:w="120" w:type="dxa"/>
            <w:vAlign w:val="bottom"/>
            <w:tcBorders>
              <w:lef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4000" w:type="dxa"/>
            <w:vAlign w:val="bottom"/>
            <w:tcBorders>
              <w:right w:val="single" w:sz="8" w:color="auto"/>
            </w:tcBorders>
            <w:gridSpan w:val="15"/>
          </w:tcPr>
          <w:p>
            <w:pPr>
              <w:ind w:left="100"/>
              <w:spacing w:after="0"/>
              <w:rPr>
                <w:sz w:val="20"/>
                <w:szCs w:val="20"/>
                <w:color w:val="auto"/>
              </w:rPr>
            </w:pPr>
            <w:r>
              <w:rPr>
                <w:rFonts w:ascii="Arial" w:cs="Arial" w:eastAsia="Arial" w:hAnsi="Arial"/>
                <w:sz w:val="18"/>
                <w:szCs w:val="18"/>
                <w:color w:val="auto"/>
                <w:w w:val="96"/>
              </w:rPr>
              <w:t>otherwise, company prepared financial statements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r>
      <w:tr>
        <w:trPr>
          <w:trHeight w:val="230"/>
        </w:trPr>
        <w:tc>
          <w:tcPr>
            <w:tcW w:w="120" w:type="dxa"/>
            <w:vAlign w:val="bottom"/>
            <w:tcBorders>
              <w:left w:val="single" w:sz="8" w:color="auto"/>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4"/>
              </w:rPr>
              <w:t>FYE within 60 days</w:t>
            </w: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360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rPr>
              <w:t>10-Q, 10-K and 8-K</w:t>
            </w:r>
          </w:p>
        </w:tc>
        <w:tc>
          <w:tcPr>
            <w:tcW w:w="80" w:type="dxa"/>
            <w:vAlign w:val="bottom"/>
            <w:tcBorders>
              <w:bottom w:val="single" w:sz="8" w:color="auto"/>
              <w:right w:val="single" w:sz="8" w:color="auto"/>
            </w:tcBorders>
          </w:tcPr>
          <w:p>
            <w:pPr>
              <w:spacing w:after="0"/>
              <w:rPr>
                <w:sz w:val="18"/>
                <w:szCs w:val="18"/>
                <w:color w:val="auto"/>
              </w:rPr>
            </w:pPr>
          </w:p>
        </w:tc>
        <w:tc>
          <w:tcPr>
            <w:tcW w:w="2960" w:type="dxa"/>
            <w:vAlign w:val="bottom"/>
            <w:tcBorders>
              <w:bottom w:val="single" w:sz="8" w:color="auto"/>
            </w:tcBorders>
            <w:gridSpan w:val="10"/>
          </w:tcPr>
          <w:p>
            <w:pPr>
              <w:ind w:left="100"/>
              <w:spacing w:after="0"/>
              <w:rPr>
                <w:sz w:val="20"/>
                <w:szCs w:val="20"/>
                <w:color w:val="auto"/>
              </w:rPr>
            </w:pPr>
            <w:r>
              <w:rPr>
                <w:rFonts w:ascii="Arial" w:cs="Arial" w:eastAsia="Arial" w:hAnsi="Arial"/>
                <w:sz w:val="18"/>
                <w:szCs w:val="18"/>
                <w:color w:val="auto"/>
              </w:rPr>
              <w:t>Within 5 days after filing with SEC</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rPr>
              <w:t>Yes</w:t>
            </w:r>
          </w:p>
        </w:tc>
        <w:tc>
          <w:tcPr>
            <w:tcW w:w="102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No</w:t>
            </w:r>
          </w:p>
        </w:tc>
      </w:tr>
      <w:tr>
        <w:trPr>
          <w:trHeight w:val="195"/>
        </w:trPr>
        <w:tc>
          <w:tcPr>
            <w:tcW w:w="120" w:type="dxa"/>
            <w:vAlign w:val="bottom"/>
            <w:tcBorders>
              <w:left w:val="single" w:sz="8" w:color="auto"/>
            </w:tcBorders>
          </w:tcPr>
          <w:p>
            <w:pPr>
              <w:spacing w:after="0"/>
              <w:rPr>
                <w:sz w:val="16"/>
                <w:szCs w:val="16"/>
                <w:color w:val="auto"/>
              </w:rPr>
            </w:pPr>
          </w:p>
        </w:tc>
        <w:tc>
          <w:tcPr>
            <w:tcW w:w="3600" w:type="dxa"/>
            <w:vAlign w:val="bottom"/>
            <w:gridSpan w:val="9"/>
          </w:tcPr>
          <w:p>
            <w:pPr>
              <w:spacing w:after="0" w:line="195" w:lineRule="exact"/>
              <w:rPr>
                <w:sz w:val="20"/>
                <w:szCs w:val="20"/>
                <w:color w:val="auto"/>
              </w:rPr>
            </w:pPr>
            <w:r>
              <w:rPr>
                <w:rFonts w:ascii="Arial" w:cs="Arial" w:eastAsia="Arial" w:hAnsi="Arial"/>
                <w:sz w:val="18"/>
                <w:szCs w:val="18"/>
                <w:color w:val="auto"/>
                <w:w w:val="94"/>
              </w:rPr>
              <w:t>A/R &amp; A/P Agings and Deferred Revenue report</w:t>
            </w:r>
          </w:p>
        </w:tc>
        <w:tc>
          <w:tcPr>
            <w:tcW w:w="80" w:type="dxa"/>
            <w:vAlign w:val="bottom"/>
            <w:tcBorders>
              <w:right w:val="single" w:sz="8" w:color="auto"/>
            </w:tcBorders>
          </w:tcPr>
          <w:p>
            <w:pPr>
              <w:spacing w:after="0"/>
              <w:rPr>
                <w:sz w:val="16"/>
                <w:szCs w:val="16"/>
                <w:color w:val="auto"/>
              </w:rPr>
            </w:pPr>
          </w:p>
        </w:tc>
        <w:tc>
          <w:tcPr>
            <w:tcW w:w="4000" w:type="dxa"/>
            <w:vAlign w:val="bottom"/>
            <w:tcBorders>
              <w:right w:val="single" w:sz="8" w:color="auto"/>
            </w:tcBorders>
            <w:gridSpan w:val="15"/>
          </w:tcPr>
          <w:p>
            <w:pPr>
              <w:ind w:left="100"/>
              <w:spacing w:after="0" w:line="195" w:lineRule="exact"/>
              <w:rPr>
                <w:sz w:val="20"/>
                <w:szCs w:val="20"/>
                <w:color w:val="auto"/>
              </w:rPr>
            </w:pPr>
            <w:r>
              <w:rPr>
                <w:rFonts w:ascii="Arial" w:cs="Arial" w:eastAsia="Arial" w:hAnsi="Arial"/>
                <w:sz w:val="18"/>
                <w:szCs w:val="18"/>
                <w:color w:val="auto"/>
              </w:rPr>
              <w:t>(i) Quarterly within 30 days if no Advance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gridSpan w:val="3"/>
          </w:tcPr>
          <w:p>
            <w:pPr>
              <w:ind w:left="120"/>
              <w:spacing w:after="0" w:line="195" w:lineRule="exact"/>
              <w:rPr>
                <w:sz w:val="20"/>
                <w:szCs w:val="20"/>
                <w:color w:val="auto"/>
              </w:rPr>
            </w:pPr>
            <w:r>
              <w:rPr>
                <w:rFonts w:ascii="Arial" w:cs="Arial" w:eastAsia="Arial" w:hAnsi="Arial"/>
                <w:sz w:val="18"/>
                <w:szCs w:val="18"/>
                <w:color w:val="auto"/>
              </w:rPr>
              <w:t>Yes</w:t>
            </w:r>
          </w:p>
        </w:tc>
        <w:tc>
          <w:tcPr>
            <w:tcW w:w="102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rPr>
              <w:t>No</w:t>
            </w:r>
          </w:p>
        </w:tc>
      </w:tr>
      <w:tr>
        <w:trPr>
          <w:trHeight w:val="230"/>
        </w:trPr>
        <w:tc>
          <w:tcPr>
            <w:tcW w:w="120" w:type="dxa"/>
            <w:vAlign w:val="bottom"/>
            <w:tcBorders>
              <w:left w:val="single" w:sz="8" w:color="auto"/>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4000" w:type="dxa"/>
            <w:vAlign w:val="bottom"/>
            <w:tcBorders>
              <w:bottom w:val="single" w:sz="8" w:color="auto"/>
              <w:right w:val="single" w:sz="8" w:color="auto"/>
            </w:tcBorders>
            <w:gridSpan w:val="15"/>
          </w:tcPr>
          <w:p>
            <w:pPr>
              <w:ind w:left="100"/>
              <w:spacing w:after="0"/>
              <w:rPr>
                <w:sz w:val="20"/>
                <w:szCs w:val="20"/>
                <w:color w:val="auto"/>
              </w:rPr>
            </w:pPr>
            <w:r>
              <w:rPr>
                <w:rFonts w:ascii="Arial" w:cs="Arial" w:eastAsia="Arial" w:hAnsi="Arial"/>
                <w:sz w:val="18"/>
                <w:szCs w:val="18"/>
                <w:color w:val="auto"/>
                <w:w w:val="98"/>
              </w:rPr>
              <w:t>outstanding, otherwise (ii) monthly within 30 days</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r>
      <w:tr>
        <w:trPr>
          <w:trHeight w:val="195"/>
        </w:trPr>
        <w:tc>
          <w:tcPr>
            <w:tcW w:w="120" w:type="dxa"/>
            <w:vAlign w:val="bottom"/>
            <w:tcBorders>
              <w:left w:val="single" w:sz="8" w:color="auto"/>
            </w:tcBorders>
          </w:tcPr>
          <w:p>
            <w:pPr>
              <w:spacing w:after="0"/>
              <w:rPr>
                <w:sz w:val="16"/>
                <w:szCs w:val="16"/>
                <w:color w:val="auto"/>
              </w:rPr>
            </w:pPr>
          </w:p>
        </w:tc>
        <w:tc>
          <w:tcPr>
            <w:tcW w:w="3680" w:type="dxa"/>
            <w:vAlign w:val="bottom"/>
            <w:tcBorders>
              <w:right w:val="single" w:sz="8" w:color="auto"/>
            </w:tcBorders>
            <w:gridSpan w:val="10"/>
          </w:tcPr>
          <w:p>
            <w:pPr>
              <w:spacing w:after="0" w:line="195" w:lineRule="exact"/>
              <w:rPr>
                <w:sz w:val="20"/>
                <w:szCs w:val="20"/>
                <w:color w:val="auto"/>
              </w:rPr>
            </w:pPr>
            <w:r>
              <w:rPr>
                <w:rFonts w:ascii="Arial" w:cs="Arial" w:eastAsia="Arial" w:hAnsi="Arial"/>
                <w:sz w:val="18"/>
                <w:szCs w:val="18"/>
                <w:color w:val="auto"/>
                <w:w w:val="92"/>
              </w:rPr>
              <w:t>Borrowing Base Statement (including detailed AR</w:t>
            </w:r>
          </w:p>
        </w:tc>
        <w:tc>
          <w:tcPr>
            <w:tcW w:w="4000" w:type="dxa"/>
            <w:vAlign w:val="bottom"/>
            <w:tcBorders>
              <w:right w:val="single" w:sz="8" w:color="auto"/>
            </w:tcBorders>
            <w:gridSpan w:val="15"/>
          </w:tcPr>
          <w:p>
            <w:pPr>
              <w:ind w:left="100"/>
              <w:spacing w:after="0" w:line="195" w:lineRule="exact"/>
              <w:rPr>
                <w:sz w:val="20"/>
                <w:szCs w:val="20"/>
                <w:color w:val="auto"/>
              </w:rPr>
            </w:pPr>
            <w:r>
              <w:rPr>
                <w:rFonts w:ascii="Arial" w:cs="Arial" w:eastAsia="Arial" w:hAnsi="Arial"/>
                <w:sz w:val="18"/>
                <w:szCs w:val="18"/>
                <w:color w:val="auto"/>
              </w:rPr>
              <w:t>(i) when Advances are outstanding, (a) When a</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gridSpan w:val="3"/>
          </w:tcPr>
          <w:p>
            <w:pPr>
              <w:ind w:left="120"/>
              <w:spacing w:after="0" w:line="195" w:lineRule="exact"/>
              <w:rPr>
                <w:sz w:val="20"/>
                <w:szCs w:val="20"/>
                <w:color w:val="auto"/>
              </w:rPr>
            </w:pPr>
            <w:r>
              <w:rPr>
                <w:rFonts w:ascii="Arial" w:cs="Arial" w:eastAsia="Arial" w:hAnsi="Arial"/>
                <w:sz w:val="18"/>
                <w:szCs w:val="18"/>
                <w:color w:val="auto"/>
              </w:rPr>
              <w:t>Yes</w:t>
            </w:r>
          </w:p>
        </w:tc>
        <w:tc>
          <w:tcPr>
            <w:tcW w:w="102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rPr>
              <w:t>No</w:t>
            </w:r>
          </w:p>
        </w:tc>
      </w:tr>
      <w:tr>
        <w:trPr>
          <w:trHeight w:val="216"/>
        </w:trPr>
        <w:tc>
          <w:tcPr>
            <w:tcW w:w="120" w:type="dxa"/>
            <w:vAlign w:val="bottom"/>
            <w:tcBorders>
              <w:left w:val="single" w:sz="8" w:color="auto"/>
            </w:tcBorders>
          </w:tcPr>
          <w:p>
            <w:pPr>
              <w:spacing w:after="0"/>
              <w:rPr>
                <w:sz w:val="18"/>
                <w:szCs w:val="18"/>
                <w:color w:val="auto"/>
              </w:rPr>
            </w:pPr>
          </w:p>
        </w:tc>
        <w:tc>
          <w:tcPr>
            <w:tcW w:w="3600" w:type="dxa"/>
            <w:vAlign w:val="bottom"/>
            <w:gridSpan w:val="9"/>
          </w:tcPr>
          <w:p>
            <w:pPr>
              <w:spacing w:after="0"/>
              <w:rPr>
                <w:sz w:val="20"/>
                <w:szCs w:val="20"/>
                <w:color w:val="auto"/>
              </w:rPr>
            </w:pPr>
            <w:r>
              <w:rPr>
                <w:rFonts w:ascii="Arial" w:cs="Arial" w:eastAsia="Arial" w:hAnsi="Arial"/>
                <w:sz w:val="18"/>
                <w:szCs w:val="18"/>
                <w:color w:val="auto"/>
              </w:rPr>
              <w:t>ledger report)</w:t>
            </w:r>
          </w:p>
        </w:tc>
        <w:tc>
          <w:tcPr>
            <w:tcW w:w="80" w:type="dxa"/>
            <w:vAlign w:val="bottom"/>
            <w:tcBorders>
              <w:right w:val="single" w:sz="8" w:color="auto"/>
            </w:tcBorders>
          </w:tcPr>
          <w:p>
            <w:pPr>
              <w:spacing w:after="0"/>
              <w:rPr>
                <w:sz w:val="18"/>
                <w:szCs w:val="18"/>
                <w:color w:val="auto"/>
              </w:rPr>
            </w:pPr>
          </w:p>
        </w:tc>
        <w:tc>
          <w:tcPr>
            <w:tcW w:w="4000" w:type="dxa"/>
            <w:vAlign w:val="bottom"/>
            <w:tcBorders>
              <w:right w:val="single" w:sz="8" w:color="auto"/>
            </w:tcBorders>
            <w:gridSpan w:val="15"/>
          </w:tcPr>
          <w:p>
            <w:pPr>
              <w:ind w:left="100"/>
              <w:spacing w:after="0"/>
              <w:rPr>
                <w:sz w:val="20"/>
                <w:szCs w:val="20"/>
                <w:color w:val="auto"/>
              </w:rPr>
            </w:pPr>
            <w:r>
              <w:rPr>
                <w:rFonts w:ascii="Arial" w:cs="Arial" w:eastAsia="Arial" w:hAnsi="Arial"/>
                <w:sz w:val="18"/>
                <w:szCs w:val="18"/>
                <w:color w:val="auto"/>
                <w:w w:val="95"/>
              </w:rPr>
              <w:t>Streamline Period is not in effect, weekly on Friday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4000" w:type="dxa"/>
            <w:vAlign w:val="bottom"/>
            <w:tcBorders>
              <w:right w:val="single" w:sz="8" w:color="auto"/>
            </w:tcBorders>
            <w:gridSpan w:val="15"/>
          </w:tcPr>
          <w:p>
            <w:pPr>
              <w:ind w:left="100"/>
              <w:spacing w:after="0"/>
              <w:rPr>
                <w:sz w:val="20"/>
                <w:szCs w:val="20"/>
                <w:color w:val="auto"/>
              </w:rPr>
            </w:pPr>
            <w:r>
              <w:rPr>
                <w:rFonts w:ascii="Arial" w:cs="Arial" w:eastAsia="Arial" w:hAnsi="Arial"/>
                <w:sz w:val="18"/>
                <w:szCs w:val="18"/>
                <w:color w:val="auto"/>
                <w:w w:val="91"/>
              </w:rPr>
              <w:t>of each week; and (b) when a Streamline Period is in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4000" w:type="dxa"/>
            <w:vAlign w:val="bottom"/>
            <w:tcBorders>
              <w:right w:val="single" w:sz="8" w:color="auto"/>
            </w:tcBorders>
            <w:gridSpan w:val="15"/>
          </w:tcPr>
          <w:p>
            <w:pPr>
              <w:ind w:left="100"/>
              <w:spacing w:after="0"/>
              <w:rPr>
                <w:sz w:val="20"/>
                <w:szCs w:val="20"/>
                <w:color w:val="auto"/>
              </w:rPr>
            </w:pPr>
            <w:r>
              <w:rPr>
                <w:rFonts w:ascii="Arial" w:cs="Arial" w:eastAsia="Arial" w:hAnsi="Arial"/>
                <w:sz w:val="18"/>
                <w:szCs w:val="18"/>
                <w:color w:val="auto"/>
              </w:rPr>
              <w:t>effect, monthly within 7 days of month end,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r>
      <w:tr>
        <w:trPr>
          <w:trHeight w:val="230"/>
        </w:trPr>
        <w:tc>
          <w:tcPr>
            <w:tcW w:w="120" w:type="dxa"/>
            <w:vAlign w:val="bottom"/>
            <w:tcBorders>
              <w:left w:val="single" w:sz="8" w:color="auto"/>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4000" w:type="dxa"/>
            <w:vAlign w:val="bottom"/>
            <w:tcBorders>
              <w:bottom w:val="single" w:sz="8" w:color="auto"/>
              <w:right w:val="single" w:sz="8" w:color="auto"/>
            </w:tcBorders>
            <w:gridSpan w:val="15"/>
          </w:tcPr>
          <w:p>
            <w:pPr>
              <w:ind w:left="100"/>
              <w:spacing w:after="0"/>
              <w:rPr>
                <w:sz w:val="20"/>
                <w:szCs w:val="20"/>
                <w:color w:val="auto"/>
              </w:rPr>
            </w:pPr>
            <w:r>
              <w:rPr>
                <w:rFonts w:ascii="Arial" w:cs="Arial" w:eastAsia="Arial" w:hAnsi="Arial"/>
                <w:sz w:val="18"/>
                <w:szCs w:val="18"/>
                <w:color w:val="auto"/>
                <w:w w:val="97"/>
              </w:rPr>
              <w:t>otherwise (ii) quarterly within 7 day of quarter-end</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r>
      <w:tr>
        <w:trPr>
          <w:trHeight w:val="195"/>
        </w:trPr>
        <w:tc>
          <w:tcPr>
            <w:tcW w:w="120" w:type="dxa"/>
            <w:vAlign w:val="bottom"/>
            <w:tcBorders>
              <w:left w:val="single" w:sz="8" w:color="auto"/>
            </w:tcBorders>
          </w:tcPr>
          <w:p>
            <w:pPr>
              <w:spacing w:after="0"/>
              <w:rPr>
                <w:sz w:val="16"/>
                <w:szCs w:val="16"/>
                <w:color w:val="auto"/>
              </w:rPr>
            </w:pPr>
          </w:p>
        </w:tc>
        <w:tc>
          <w:tcPr>
            <w:tcW w:w="3600" w:type="dxa"/>
            <w:vAlign w:val="bottom"/>
            <w:gridSpan w:val="9"/>
          </w:tcPr>
          <w:p>
            <w:pPr>
              <w:spacing w:after="0" w:line="195" w:lineRule="exact"/>
              <w:rPr>
                <w:sz w:val="20"/>
                <w:szCs w:val="20"/>
                <w:color w:val="auto"/>
              </w:rPr>
            </w:pPr>
            <w:r>
              <w:rPr>
                <w:rFonts w:ascii="Arial" w:cs="Arial" w:eastAsia="Arial" w:hAnsi="Arial"/>
                <w:sz w:val="18"/>
                <w:szCs w:val="18"/>
                <w:color w:val="auto"/>
              </w:rPr>
              <w:t>Board approved projections</w:t>
            </w:r>
          </w:p>
        </w:tc>
        <w:tc>
          <w:tcPr>
            <w:tcW w:w="80" w:type="dxa"/>
            <w:vAlign w:val="bottom"/>
            <w:tcBorders>
              <w:right w:val="single" w:sz="8" w:color="auto"/>
            </w:tcBorders>
          </w:tcPr>
          <w:p>
            <w:pPr>
              <w:spacing w:after="0"/>
              <w:rPr>
                <w:sz w:val="16"/>
                <w:szCs w:val="16"/>
                <w:color w:val="auto"/>
              </w:rPr>
            </w:pPr>
          </w:p>
        </w:tc>
        <w:tc>
          <w:tcPr>
            <w:tcW w:w="4000" w:type="dxa"/>
            <w:vAlign w:val="bottom"/>
            <w:tcBorders>
              <w:right w:val="single" w:sz="8" w:color="auto"/>
            </w:tcBorders>
            <w:gridSpan w:val="15"/>
          </w:tcPr>
          <w:p>
            <w:pPr>
              <w:ind w:left="100"/>
              <w:spacing w:after="0" w:line="195" w:lineRule="exact"/>
              <w:rPr>
                <w:sz w:val="20"/>
                <w:szCs w:val="20"/>
                <w:color w:val="auto"/>
              </w:rPr>
            </w:pPr>
            <w:r>
              <w:rPr>
                <w:rFonts w:ascii="Arial" w:cs="Arial" w:eastAsia="Arial" w:hAnsi="Arial"/>
                <w:sz w:val="18"/>
                <w:szCs w:val="18"/>
                <w:color w:val="auto"/>
                <w:w w:val="98"/>
              </w:rPr>
              <w:t>Within 30 days of later of Board Approval or FYE,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gridSpan w:val="3"/>
          </w:tcPr>
          <w:p>
            <w:pPr>
              <w:ind w:left="120"/>
              <w:spacing w:after="0" w:line="195" w:lineRule="exact"/>
              <w:rPr>
                <w:sz w:val="20"/>
                <w:szCs w:val="20"/>
                <w:color w:val="auto"/>
              </w:rPr>
            </w:pPr>
            <w:r>
              <w:rPr>
                <w:rFonts w:ascii="Arial" w:cs="Arial" w:eastAsia="Arial" w:hAnsi="Arial"/>
                <w:sz w:val="18"/>
                <w:szCs w:val="18"/>
                <w:color w:val="auto"/>
              </w:rPr>
              <w:t>Yes</w:t>
            </w:r>
          </w:p>
        </w:tc>
        <w:tc>
          <w:tcPr>
            <w:tcW w:w="102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rPr>
              <w:t>No</w:t>
            </w:r>
          </w:p>
        </w:tc>
      </w:tr>
      <w:tr>
        <w:trPr>
          <w:trHeight w:val="230"/>
        </w:trPr>
        <w:tc>
          <w:tcPr>
            <w:tcW w:w="120" w:type="dxa"/>
            <w:vAlign w:val="bottom"/>
            <w:tcBorders>
              <w:left w:val="single" w:sz="8" w:color="auto"/>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gridSpan w:val="10"/>
          </w:tcPr>
          <w:p>
            <w:pPr>
              <w:ind w:left="100"/>
              <w:spacing w:after="0"/>
              <w:rPr>
                <w:sz w:val="20"/>
                <w:szCs w:val="20"/>
                <w:color w:val="auto"/>
              </w:rPr>
            </w:pPr>
            <w:r>
              <w:rPr>
                <w:rFonts w:ascii="Arial" w:cs="Arial" w:eastAsia="Arial" w:hAnsi="Arial"/>
                <w:sz w:val="18"/>
                <w:szCs w:val="18"/>
                <w:color w:val="auto"/>
              </w:rPr>
              <w:t>and as amended/updated</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r>
      <w:tr>
        <w:trPr>
          <w:trHeight w:val="210"/>
        </w:trPr>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4"/>
          </w:tcPr>
          <w:p>
            <w:pPr>
              <w:spacing w:after="0" w:line="169" w:lineRule="exact"/>
              <w:rPr>
                <w:sz w:val="20"/>
                <w:szCs w:val="20"/>
                <w:color w:val="auto"/>
              </w:rPr>
            </w:pPr>
            <w:r>
              <w:rPr>
                <w:rFonts w:ascii="Arial" w:cs="Arial" w:eastAsia="Arial" w:hAnsi="Arial"/>
                <w:sz w:val="18"/>
                <w:szCs w:val="18"/>
                <w:b w:val="1"/>
                <w:bCs w:val="1"/>
                <w:color w:val="auto"/>
              </w:rPr>
              <w:t>Financial Covenant</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gridSpan w:val="6"/>
          </w:tcPr>
          <w:p>
            <w:pPr>
              <w:ind w:left="120"/>
              <w:spacing w:after="0" w:line="169" w:lineRule="exact"/>
              <w:rPr>
                <w:sz w:val="20"/>
                <w:szCs w:val="20"/>
                <w:color w:val="auto"/>
              </w:rPr>
            </w:pPr>
            <w:r>
              <w:rPr>
                <w:rFonts w:ascii="Arial" w:cs="Arial" w:eastAsia="Arial" w:hAnsi="Arial"/>
                <w:sz w:val="18"/>
                <w:szCs w:val="18"/>
                <w:b w:val="1"/>
                <w:bCs w:val="1"/>
                <w:color w:val="auto"/>
              </w:rPr>
              <w:t>Required</w:t>
            </w:r>
          </w:p>
        </w:tc>
        <w:tc>
          <w:tcPr>
            <w:tcW w:w="100" w:type="dxa"/>
            <w:vAlign w:val="bottom"/>
          </w:tcPr>
          <w:p>
            <w:pPr>
              <w:spacing w:after="0"/>
              <w:rPr>
                <w:sz w:val="14"/>
                <w:szCs w:val="14"/>
                <w:color w:val="auto"/>
              </w:rPr>
            </w:pPr>
          </w:p>
        </w:tc>
        <w:tc>
          <w:tcPr>
            <w:tcW w:w="1180" w:type="dxa"/>
            <w:vAlign w:val="bottom"/>
            <w:tcBorders>
              <w:right w:val="single" w:sz="8" w:color="auto"/>
            </w:tcBorders>
            <w:gridSpan w:val="5"/>
          </w:tcPr>
          <w:p>
            <w:pPr>
              <w:spacing w:after="0" w:line="169" w:lineRule="exact"/>
              <w:rPr>
                <w:sz w:val="20"/>
                <w:szCs w:val="20"/>
                <w:color w:val="auto"/>
              </w:rPr>
            </w:pPr>
            <w:r>
              <w:rPr>
                <w:rFonts w:ascii="Arial" w:cs="Arial" w:eastAsia="Arial" w:hAnsi="Arial"/>
                <w:sz w:val="18"/>
                <w:szCs w:val="18"/>
                <w:b w:val="1"/>
                <w:bCs w:val="1"/>
                <w:color w:val="auto"/>
              </w:rPr>
              <w:t>Actual</w:t>
            </w:r>
          </w:p>
        </w:tc>
        <w:tc>
          <w:tcPr>
            <w:tcW w:w="120" w:type="dxa"/>
            <w:vAlign w:val="bottom"/>
          </w:tcPr>
          <w:p>
            <w:pPr>
              <w:spacing w:after="0"/>
              <w:rPr>
                <w:sz w:val="14"/>
                <w:szCs w:val="14"/>
                <w:color w:val="auto"/>
              </w:rPr>
            </w:pPr>
          </w:p>
        </w:tc>
        <w:tc>
          <w:tcPr>
            <w:tcW w:w="1780" w:type="dxa"/>
            <w:vAlign w:val="bottom"/>
            <w:tcBorders>
              <w:right w:val="single" w:sz="8" w:color="auto"/>
            </w:tcBorders>
            <w:gridSpan w:val="7"/>
          </w:tcPr>
          <w:p>
            <w:pPr>
              <w:ind w:left="300"/>
              <w:spacing w:after="0" w:line="169" w:lineRule="exact"/>
              <w:rPr>
                <w:sz w:val="20"/>
                <w:szCs w:val="20"/>
                <w:color w:val="auto"/>
              </w:rPr>
            </w:pPr>
            <w:r>
              <w:rPr>
                <w:rFonts w:ascii="Arial" w:cs="Arial" w:eastAsia="Arial" w:hAnsi="Arial"/>
                <w:sz w:val="18"/>
                <w:szCs w:val="18"/>
                <w:b w:val="1"/>
                <w:bCs w:val="1"/>
                <w:color w:val="auto"/>
              </w:rPr>
              <w:t>Complies</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3600" w:type="dxa"/>
            <w:vAlign w:val="bottom"/>
            <w:tcBorders>
              <w:bottom w:val="single" w:sz="8" w:color="auto"/>
            </w:tcBorders>
            <w:gridSpan w:val="9"/>
          </w:tcPr>
          <w:p>
            <w:pPr>
              <w:spacing w:after="0"/>
              <w:rPr>
                <w:sz w:val="20"/>
                <w:szCs w:val="20"/>
                <w:color w:val="auto"/>
              </w:rPr>
            </w:pPr>
            <w:r>
              <w:rPr>
                <w:rFonts w:ascii="Arial" w:cs="Arial" w:eastAsia="Arial" w:hAnsi="Arial"/>
                <w:sz w:val="18"/>
                <w:szCs w:val="18"/>
                <w:b w:val="1"/>
                <w:bCs w:val="1"/>
                <w:color w:val="auto"/>
              </w:rPr>
              <w:t>Maintain on a Quarterly Basis:</w:t>
            </w: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r>
      <w:tr>
        <w:trPr>
          <w:trHeight w:val="195"/>
        </w:trPr>
        <w:tc>
          <w:tcPr>
            <w:tcW w:w="120" w:type="dxa"/>
            <w:vAlign w:val="bottom"/>
            <w:tcBorders>
              <w:left w:val="single" w:sz="8" w:color="auto"/>
            </w:tcBorders>
          </w:tcPr>
          <w:p>
            <w:pPr>
              <w:spacing w:after="0"/>
              <w:rPr>
                <w:sz w:val="16"/>
                <w:szCs w:val="16"/>
                <w:color w:val="auto"/>
              </w:rPr>
            </w:pPr>
          </w:p>
        </w:tc>
        <w:tc>
          <w:tcPr>
            <w:tcW w:w="3600" w:type="dxa"/>
            <w:vAlign w:val="bottom"/>
            <w:gridSpan w:val="9"/>
          </w:tcPr>
          <w:p>
            <w:pPr>
              <w:spacing w:after="0" w:line="195" w:lineRule="exact"/>
              <w:rPr>
                <w:sz w:val="20"/>
                <w:szCs w:val="20"/>
                <w:color w:val="auto"/>
              </w:rPr>
            </w:pPr>
            <w:r>
              <w:rPr>
                <w:rFonts w:ascii="Arial" w:cs="Arial" w:eastAsia="Arial" w:hAnsi="Arial"/>
                <w:sz w:val="18"/>
                <w:szCs w:val="18"/>
                <w:color w:val="auto"/>
              </w:rPr>
              <w:t>Minimum Revenue</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gridSpan w:val="6"/>
          </w:tcPr>
          <w:p>
            <w:pPr>
              <w:ind w:left="120"/>
              <w:spacing w:after="0" w:line="195" w:lineRule="exact"/>
              <w:rPr>
                <w:sz w:val="20"/>
                <w:szCs w:val="20"/>
                <w:color w:val="auto"/>
              </w:rPr>
            </w:pPr>
            <w:r>
              <w:rPr>
                <w:rFonts w:ascii="Arial" w:cs="Arial" w:eastAsia="Arial" w:hAnsi="Arial"/>
                <w:sz w:val="18"/>
                <w:szCs w:val="18"/>
                <w:color w:val="auto"/>
              </w:rPr>
              <w:t>See attached</w:t>
            </w:r>
          </w:p>
        </w:tc>
        <w:tc>
          <w:tcPr>
            <w:tcW w:w="1280" w:type="dxa"/>
            <w:vAlign w:val="bottom"/>
            <w:tcBorders>
              <w:right w:val="single" w:sz="8" w:color="auto"/>
            </w:tcBorders>
            <w:gridSpan w:val="6"/>
          </w:tcPr>
          <w:p>
            <w:pPr>
              <w:ind w:left="100"/>
              <w:spacing w:after="0" w:line="195" w:lineRule="exact"/>
              <w:rPr>
                <w:sz w:val="20"/>
                <w:szCs w:val="20"/>
                <w:color w:val="auto"/>
              </w:rPr>
            </w:pPr>
            <w:r>
              <w:rPr>
                <w:rFonts w:ascii="Arial" w:cs="Arial" w:eastAsia="Arial" w:hAnsi="Arial"/>
                <w:sz w:val="18"/>
                <w:szCs w:val="18"/>
                <w:b w:val="1"/>
                <w:bCs w:val="1"/>
                <w:color w:val="auto"/>
              </w:rPr>
              <w:t>$__________</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Borders>
              <w:right w:val="single" w:sz="8" w:color="auto"/>
            </w:tcBorders>
            <w:gridSpan w:val="6"/>
          </w:tcPr>
          <w:p>
            <w:pPr>
              <w:ind w:left="40"/>
              <w:spacing w:after="0" w:line="195" w:lineRule="exact"/>
              <w:rPr>
                <w:sz w:val="20"/>
                <w:szCs w:val="20"/>
                <w:color w:val="auto"/>
              </w:rPr>
            </w:pPr>
            <w:r>
              <w:rPr>
                <w:rFonts w:ascii="Arial" w:cs="Arial" w:eastAsia="Arial" w:hAnsi="Arial"/>
                <w:sz w:val="18"/>
                <w:szCs w:val="18"/>
                <w:color w:val="auto"/>
              </w:rPr>
              <w:t>Yes  No</w:t>
            </w:r>
          </w:p>
        </w:tc>
      </w:tr>
      <w:tr>
        <w:trPr>
          <w:trHeight w:val="230"/>
        </w:trPr>
        <w:tc>
          <w:tcPr>
            <w:tcW w:w="120" w:type="dxa"/>
            <w:vAlign w:val="bottom"/>
            <w:tcBorders>
              <w:left w:val="single" w:sz="8" w:color="auto"/>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gridSpan w:val="6"/>
          </w:tcPr>
          <w:p>
            <w:pPr>
              <w:ind w:left="120"/>
              <w:spacing w:after="0"/>
              <w:rPr>
                <w:sz w:val="20"/>
                <w:szCs w:val="20"/>
                <w:color w:val="auto"/>
              </w:rPr>
            </w:pPr>
            <w:r>
              <w:rPr>
                <w:rFonts w:ascii="Arial" w:cs="Arial" w:eastAsia="Arial" w:hAnsi="Arial"/>
                <w:sz w:val="18"/>
                <w:szCs w:val="18"/>
                <w:color w:val="auto"/>
              </w:rPr>
              <w:t>schedule</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r>
      <w:tr>
        <w:trPr>
          <w:trHeight w:val="223"/>
        </w:trPr>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1400" w:type="dxa"/>
            <w:vAlign w:val="bottom"/>
            <w:gridSpan w:val="3"/>
          </w:tcPr>
          <w:p>
            <w:pPr>
              <w:spacing w:after="0" w:line="169" w:lineRule="exact"/>
              <w:rPr>
                <w:sz w:val="20"/>
                <w:szCs w:val="20"/>
                <w:color w:val="auto"/>
              </w:rPr>
            </w:pPr>
            <w:r>
              <w:rPr>
                <w:rFonts w:ascii="Arial" w:cs="Arial" w:eastAsia="Arial" w:hAnsi="Arial"/>
                <w:sz w:val="18"/>
                <w:szCs w:val="18"/>
                <w:b w:val="1"/>
                <w:bCs w:val="1"/>
                <w:color w:val="auto"/>
                <w:w w:val="88"/>
              </w:rPr>
              <w:t>Unrestricted Cash</w:t>
            </w:r>
          </w:p>
        </w:tc>
        <w:tc>
          <w:tcPr>
            <w:tcW w:w="1860" w:type="dxa"/>
            <w:vAlign w:val="bottom"/>
            <w:tcBorders>
              <w:right w:val="single" w:sz="8" w:color="auto"/>
            </w:tcBorders>
            <w:gridSpan w:val="5"/>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jc w:val="center"/>
              <w:ind w:right="280"/>
              <w:spacing w:after="0" w:line="169" w:lineRule="exact"/>
              <w:rPr>
                <w:sz w:val="20"/>
                <w:szCs w:val="20"/>
                <w:color w:val="auto"/>
              </w:rPr>
            </w:pPr>
            <w:r>
              <w:rPr>
                <w:rFonts w:ascii="Arial" w:cs="Arial" w:eastAsia="Arial" w:hAnsi="Arial"/>
                <w:sz w:val="18"/>
                <w:szCs w:val="18"/>
                <w:b w:val="1"/>
                <w:bCs w:val="1"/>
                <w:color w:val="auto"/>
                <w:w w:val="90"/>
              </w:rPr>
              <w:t>Streamline Period</w:t>
            </w:r>
          </w:p>
        </w:tc>
        <w:tc>
          <w:tcPr>
            <w:tcW w:w="4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Borders>
              <w:right w:val="single" w:sz="8" w:color="auto"/>
            </w:tcBorders>
            <w:gridSpan w:val="10"/>
          </w:tcPr>
          <w:p>
            <w:pPr>
              <w:spacing w:after="0" w:line="169" w:lineRule="exact"/>
              <w:rPr>
                <w:sz w:val="20"/>
                <w:szCs w:val="20"/>
                <w:color w:val="auto"/>
              </w:rPr>
            </w:pPr>
            <w:r>
              <w:rPr>
                <w:rFonts w:ascii="Arial" w:cs="Arial" w:eastAsia="Arial" w:hAnsi="Arial"/>
                <w:sz w:val="18"/>
                <w:szCs w:val="18"/>
                <w:b w:val="1"/>
                <w:bCs w:val="1"/>
                <w:color w:val="auto"/>
              </w:rPr>
              <w:t>Interest Rate for</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Borders>
              <w:right w:val="single" w:sz="8" w:color="auto"/>
            </w:tcBorders>
            <w:gridSpan w:val="6"/>
          </w:tcPr>
          <w:p>
            <w:pPr>
              <w:ind w:left="220"/>
              <w:spacing w:after="0" w:line="169" w:lineRule="exact"/>
              <w:rPr>
                <w:sz w:val="20"/>
                <w:szCs w:val="20"/>
                <w:color w:val="auto"/>
              </w:rPr>
            </w:pPr>
            <w:r>
              <w:rPr>
                <w:rFonts w:ascii="Arial" w:cs="Arial" w:eastAsia="Arial" w:hAnsi="Arial"/>
                <w:sz w:val="18"/>
                <w:szCs w:val="18"/>
                <w:b w:val="1"/>
                <w:bCs w:val="1"/>
                <w:color w:val="auto"/>
              </w:rPr>
              <w:t>Applies</w:t>
            </w:r>
          </w:p>
        </w:tc>
      </w:tr>
      <w:tr>
        <w:trPr>
          <w:trHeight w:val="196"/>
        </w:trPr>
        <w:tc>
          <w:tcPr>
            <w:tcW w:w="120" w:type="dxa"/>
            <w:vAlign w:val="bottom"/>
            <w:tcBorders>
              <w:left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5"/>
          </w:tcPr>
          <w:p>
            <w:pPr>
              <w:jc w:val="center"/>
              <w:ind w:right="20"/>
              <w:spacing w:after="0" w:line="196" w:lineRule="exact"/>
              <w:rPr>
                <w:sz w:val="20"/>
                <w:szCs w:val="20"/>
                <w:color w:val="auto"/>
              </w:rPr>
            </w:pPr>
            <w:r>
              <w:rPr>
                <w:rFonts w:ascii="Arial" w:cs="Arial" w:eastAsia="Arial" w:hAnsi="Arial"/>
                <w:sz w:val="18"/>
                <w:szCs w:val="18"/>
                <w:b w:val="1"/>
                <w:bCs w:val="1"/>
                <w:color w:val="auto"/>
                <w:w w:val="86"/>
              </w:rPr>
              <w:t>Advances</w:t>
            </w:r>
          </w:p>
        </w:tc>
        <w:tc>
          <w:tcPr>
            <w:tcW w:w="840" w:type="dxa"/>
            <w:vAlign w:val="bottom"/>
            <w:tcBorders>
              <w:right w:val="single" w:sz="8" w:color="auto"/>
            </w:tcBorders>
            <w:gridSpan w:val="3"/>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24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r>
      <w:tr>
        <w:trPr>
          <w:trHeight w:val="224"/>
        </w:trPr>
        <w:tc>
          <w:tcPr>
            <w:tcW w:w="120" w:type="dxa"/>
            <w:vAlign w:val="bottom"/>
            <w:tcBorders>
              <w:left w:val="single" w:sz="8" w:color="auto"/>
            </w:tcBorders>
          </w:tcPr>
          <w:p>
            <w:pPr>
              <w:spacing w:after="0"/>
              <w:rPr>
                <w:sz w:val="19"/>
                <w:szCs w:val="19"/>
                <w:color w:val="auto"/>
              </w:rPr>
            </w:pPr>
          </w:p>
        </w:tc>
        <w:tc>
          <w:tcPr>
            <w:tcW w:w="326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Unrestricted Cash &gt;$5,000,000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83"/>
              </w:rPr>
              <w:t>Yes</w:t>
            </w:r>
          </w:p>
        </w:tc>
        <w:tc>
          <w:tcPr>
            <w:tcW w:w="4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Borders>
              <w:right w:val="single" w:sz="8" w:color="auto"/>
            </w:tcBorders>
            <w:gridSpan w:val="8"/>
          </w:tcPr>
          <w:p>
            <w:pPr>
              <w:jc w:val="center"/>
              <w:ind w:right="860"/>
              <w:spacing w:after="0"/>
              <w:rPr>
                <w:sz w:val="20"/>
                <w:szCs w:val="20"/>
                <w:color w:val="auto"/>
              </w:rPr>
            </w:pPr>
            <w:r>
              <w:rPr>
                <w:rFonts w:ascii="Arial" w:cs="Arial" w:eastAsia="Arial" w:hAnsi="Arial"/>
                <w:sz w:val="18"/>
                <w:szCs w:val="18"/>
                <w:color w:val="auto"/>
                <w:w w:val="91"/>
              </w:rPr>
              <w:t>Prime Rate</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gridSpan w:val="3"/>
          </w:tcPr>
          <w:p>
            <w:pPr>
              <w:ind w:left="200"/>
              <w:spacing w:after="0"/>
              <w:rPr>
                <w:sz w:val="20"/>
                <w:szCs w:val="20"/>
                <w:color w:val="auto"/>
              </w:rPr>
            </w:pPr>
            <w:r>
              <w:rPr>
                <w:rFonts w:ascii="Arial" w:cs="Arial" w:eastAsia="Arial" w:hAnsi="Arial"/>
                <w:sz w:val="18"/>
                <w:szCs w:val="18"/>
                <w:color w:val="auto"/>
                <w:w w:val="77"/>
              </w:rPr>
              <w:t>Yes</w:t>
            </w:r>
          </w:p>
        </w:tc>
        <w:tc>
          <w:tcPr>
            <w:tcW w:w="10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No</w:t>
            </w:r>
          </w:p>
        </w:tc>
      </w:tr>
      <w:tr>
        <w:trPr>
          <w:trHeight w:val="188"/>
        </w:trPr>
        <w:tc>
          <w:tcPr>
            <w:tcW w:w="120" w:type="dxa"/>
            <w:vAlign w:val="bottom"/>
            <w:tcBorders>
              <w:left w:val="single" w:sz="8" w:color="auto"/>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3260" w:type="dxa"/>
            <w:vAlign w:val="bottom"/>
            <w:tcBorders>
              <w:right w:val="single" w:sz="8" w:color="auto"/>
            </w:tcBorders>
            <w:gridSpan w:val="8"/>
          </w:tcPr>
          <w:p>
            <w:pPr>
              <w:spacing w:after="0" w:line="169" w:lineRule="exact"/>
              <w:rPr>
                <w:sz w:val="20"/>
                <w:szCs w:val="20"/>
                <w:color w:val="auto"/>
              </w:rPr>
            </w:pPr>
            <w:r>
              <w:rPr>
                <w:rFonts w:ascii="Arial" w:cs="Arial" w:eastAsia="Arial" w:hAnsi="Arial"/>
                <w:sz w:val="18"/>
                <w:szCs w:val="18"/>
                <w:color w:val="auto"/>
              </w:rPr>
              <w:t>Unrestricted Cash &lt;$5,000,000</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360"/>
              <w:spacing w:after="0" w:line="169" w:lineRule="exact"/>
              <w:rPr>
                <w:sz w:val="20"/>
                <w:szCs w:val="20"/>
                <w:color w:val="auto"/>
              </w:rPr>
            </w:pPr>
            <w:r>
              <w:rPr>
                <w:rFonts w:ascii="Arial" w:cs="Arial" w:eastAsia="Arial" w:hAnsi="Arial"/>
                <w:sz w:val="18"/>
                <w:szCs w:val="18"/>
                <w:color w:val="auto"/>
                <w:w w:val="95"/>
              </w:rPr>
              <w:t>No</w:t>
            </w:r>
          </w:p>
        </w:tc>
        <w:tc>
          <w:tcPr>
            <w:tcW w:w="4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Borders>
              <w:right w:val="single" w:sz="8" w:color="auto"/>
            </w:tcBorders>
            <w:gridSpan w:val="10"/>
          </w:tcPr>
          <w:p>
            <w:pPr>
              <w:jc w:val="center"/>
              <w:ind w:right="520"/>
              <w:spacing w:after="0" w:line="169" w:lineRule="exact"/>
              <w:rPr>
                <w:sz w:val="20"/>
                <w:szCs w:val="20"/>
                <w:color w:val="auto"/>
              </w:rPr>
            </w:pPr>
            <w:r>
              <w:rPr>
                <w:rFonts w:ascii="Arial" w:cs="Arial" w:eastAsia="Arial" w:hAnsi="Arial"/>
                <w:sz w:val="18"/>
                <w:szCs w:val="18"/>
                <w:color w:val="auto"/>
                <w:w w:val="90"/>
              </w:rPr>
              <w:t>Prime Rate + 0.50%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gridSpan w:val="3"/>
          </w:tcPr>
          <w:p>
            <w:pPr>
              <w:ind w:left="200"/>
              <w:spacing w:after="0" w:line="169" w:lineRule="exact"/>
              <w:rPr>
                <w:sz w:val="20"/>
                <w:szCs w:val="20"/>
                <w:color w:val="auto"/>
              </w:rPr>
            </w:pPr>
            <w:r>
              <w:rPr>
                <w:rFonts w:ascii="Arial" w:cs="Arial" w:eastAsia="Arial" w:hAnsi="Arial"/>
                <w:sz w:val="18"/>
                <w:szCs w:val="18"/>
                <w:color w:val="auto"/>
                <w:w w:val="77"/>
              </w:rPr>
              <w:t>Yes</w:t>
            </w:r>
          </w:p>
        </w:tc>
        <w:tc>
          <w:tcPr>
            <w:tcW w:w="1020" w:type="dxa"/>
            <w:vAlign w:val="bottom"/>
            <w:tcBorders>
              <w:right w:val="single" w:sz="8" w:color="auto"/>
            </w:tcBorders>
            <w:gridSpan w:val="3"/>
          </w:tcPr>
          <w:p>
            <w:pPr>
              <w:ind w:left="140"/>
              <w:spacing w:after="0" w:line="169" w:lineRule="exact"/>
              <w:rPr>
                <w:sz w:val="20"/>
                <w:szCs w:val="20"/>
                <w:color w:val="auto"/>
              </w:rPr>
            </w:pPr>
            <w:r>
              <w:rPr>
                <w:rFonts w:ascii="Arial" w:cs="Arial" w:eastAsia="Arial" w:hAnsi="Arial"/>
                <w:sz w:val="18"/>
                <w:szCs w:val="18"/>
                <w:color w:val="auto"/>
              </w:rPr>
              <w:t>No</w:t>
            </w: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r>
      <w:tr>
        <w:trPr>
          <w:trHeight w:val="1621"/>
        </w:trPr>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392" w:right="979" w:bottom="1440" w:gutter="0" w:footer="0" w:header="0"/>
        </w:sectPr>
      </w:pPr>
    </w:p>
    <w:bookmarkStart w:id="89" w:name="page90"/>
    <w:bookmarkEnd w:id="89"/>
    <w:p>
      <w:pPr>
        <w:ind w:firstLine="648"/>
        <w:spacing w:after="0" w:line="277" w:lineRule="auto"/>
        <w:rPr>
          <w:sz w:val="20"/>
          <w:szCs w:val="20"/>
          <w:color w:val="auto"/>
        </w:rPr>
      </w:pPr>
      <w:r>
        <w:rPr>
          <w:rFonts w:ascii="Arial" w:cs="Arial" w:eastAsia="Arial" w:hAnsi="Arial"/>
          <w:sz w:val="18"/>
          <w:szCs w:val="18"/>
          <w:color w:val="auto"/>
        </w:rPr>
        <w:t>The following streamline eligibility, financial covenant and performance pricing analyses and information set forth in Schedule 1 attached hereto are true and accurate as of the date of this Compliance Statement.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are the exceptions with respect to the statements above: (If no exceptions exist, state “No exceptions to note.”)</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897255</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u w:val="single" w:color="auto"/>
          <w:color w:val="auto"/>
        </w:rPr>
        <w:t>Schedule 1 to Compliance Statement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Financial Covenants of Borrower and Streamline Period and Performance Pricing Criteria</w:t>
      </w: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 the event of a conflict between this Schedule and the Agreement, the terms of the Agreement shall govern.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-10160</wp:posOffset>
            </wp:positionV>
            <wp:extent cx="4286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201" w:lineRule="exact"/>
        <w:rPr>
          <w:sz w:val="20"/>
          <w:szCs w:val="20"/>
          <w:color w:val="auto"/>
        </w:rPr>
      </w:pPr>
    </w:p>
    <w:p>
      <w:pPr>
        <w:ind w:left="560" w:hanging="552"/>
        <w:spacing w:after="0"/>
        <w:tabs>
          <w:tab w:leader="none" w:pos="56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Minimum Revenue – Financial Covenant </w:t>
      </w:r>
      <w:r>
        <w:rPr>
          <w:rFonts w:ascii="Arial" w:cs="Arial" w:eastAsia="Arial" w:hAnsi="Arial"/>
          <w:sz w:val="18"/>
          <w:szCs w:val="18"/>
          <w:color w:val="auto"/>
        </w:rPr>
        <w:t>(Section 6.9)</w:t>
      </w:r>
    </w:p>
    <w:p>
      <w:pPr>
        <w:spacing w:after="0" w:line="24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Required: As of the last day of each fiscal quarter, on a consolidated basis with respect to Borrower, minimum revenue of at least the following amounts: (i) for the fiscal quarter ending June 30, 2020, $45,000,000 and (ii) for the fiscal quarters ending September 30, 2020 and December 31, 2020, at least the same revenue as maintained for Borrower’s fiscal quarters ended September 30, 2019 and December 31, 2019 which was $61,000,000 and $65,000,000, respectively:</w:t>
      </w:r>
    </w:p>
    <w:p>
      <w:pPr>
        <w:sectPr>
          <w:pgSz w:w="11900" w:h="16838" w:orient="portrait"/>
          <w:cols w:equalWidth="0" w:num="1">
            <w:col w:w="9920"/>
          </w:cols>
          <w:pgMar w:left="980" w:top="125" w:right="999" w:bottom="1440" w:gutter="0" w:footer="0" w:header="0"/>
        </w:sectPr>
      </w:pPr>
    </w:p>
    <w:p>
      <w:pPr>
        <w:spacing w:after="0" w:line="18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Revenue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-115570</wp:posOffset>
            </wp:positionV>
            <wp:extent cx="3771900" cy="2832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3771900" cy="28321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3">
            <w:col w:w="2280" w:space="260"/>
            <w:col w:w="1240" w:space="720"/>
            <w:col w:w="5420"/>
          </w:cols>
          <w:pgMar w:left="980" w:top="125" w:right="99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Is line A equal to or greater than the required amount?</w:t>
      </w:r>
    </w:p>
    <w:p>
      <w:pPr>
        <w:spacing w:after="0" w:line="252" w:lineRule="exact"/>
        <w:rPr>
          <w:sz w:val="20"/>
          <w:szCs w:val="20"/>
          <w:color w:val="auto"/>
        </w:rPr>
      </w:pPr>
    </w:p>
    <w:p>
      <w:pPr>
        <w:ind w:left="1000"/>
        <w:spacing w:after="0"/>
        <w:tabs>
          <w:tab w:leader="none" w:pos="6600" w:val="left"/>
        </w:tabs>
        <w:rPr>
          <w:sz w:val="20"/>
          <w:szCs w:val="20"/>
          <w:color w:val="auto"/>
        </w:rPr>
      </w:pPr>
      <w:r>
        <w:rPr>
          <w:rFonts w:ascii="Arial" w:cs="Arial" w:eastAsia="Arial" w:hAnsi="Arial"/>
          <w:sz w:val="18"/>
          <w:szCs w:val="18"/>
          <w:color w:val="auto"/>
        </w:rPr>
        <w:t>________ No, not in compliance</w:t>
      </w:r>
      <w:r>
        <w:rPr>
          <w:sz w:val="20"/>
          <w:szCs w:val="20"/>
          <w:color w:val="auto"/>
        </w:rPr>
        <w:tab/>
      </w:r>
      <w:r>
        <w:rPr>
          <w:rFonts w:ascii="Arial" w:cs="Arial" w:eastAsia="Arial" w:hAnsi="Arial"/>
          <w:sz w:val="16"/>
          <w:szCs w:val="16"/>
          <w:color w:val="auto"/>
        </w:rPr>
        <w:t>________ Yes, in compliance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Schlanger, certify that:</w:t>
      </w:r>
    </w:p>
    <w:p>
      <w:pPr>
        <w:spacing w:after="0" w:line="225"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Progyny,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660" w:hanging="328"/>
        <w:spacing w:after="0" w:line="30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46" w:lineRule="exact"/>
        <w:rPr>
          <w:rFonts w:ascii="Arial" w:cs="Arial" w:eastAsia="Arial" w:hAnsi="Arial"/>
          <w:sz w:val="17"/>
          <w:szCs w:val="17"/>
          <w:color w:val="auto"/>
        </w:rPr>
      </w:pPr>
    </w:p>
    <w:p>
      <w:pPr>
        <w:ind w:left="1100" w:right="20" w:hanging="444"/>
        <w:spacing w:after="0" w:line="311" w:lineRule="auto"/>
        <w:tabs>
          <w:tab w:leader="none" w:pos="11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1100" w:hanging="444"/>
        <w:spacing w:after="0"/>
        <w:tabs>
          <w:tab w:leader="none" w:pos="11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1100" w:right="160" w:hanging="444"/>
        <w:spacing w:after="0" w:line="263" w:lineRule="auto"/>
        <w:tabs>
          <w:tab w:leader="none" w:pos="11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100" w:right="280" w:hanging="444"/>
        <w:spacing w:after="0" w:line="259" w:lineRule="auto"/>
        <w:tabs>
          <w:tab w:leader="none" w:pos="11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100" w:right="80" w:hanging="444"/>
        <w:spacing w:after="0" w:line="263" w:lineRule="auto"/>
        <w:tabs>
          <w:tab w:leader="none" w:pos="11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100" w:right="460" w:hanging="444"/>
        <w:spacing w:after="0" w:line="277" w:lineRule="auto"/>
        <w:tabs>
          <w:tab w:leader="none" w:pos="11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Date: August 7, 2020</w:t>
            </w:r>
          </w:p>
        </w:tc>
        <w:tc>
          <w:tcPr>
            <w:tcW w:w="2160" w:type="dxa"/>
            <w:vAlign w:val="bottom"/>
          </w:tcPr>
          <w:p>
            <w:pPr>
              <w:ind w:left="182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Schlanger</w:t>
            </w:r>
          </w:p>
        </w:tc>
      </w:tr>
      <w:tr>
        <w:trPr>
          <w:trHeight w:val="222"/>
        </w:trPr>
        <w:tc>
          <w:tcPr>
            <w:tcW w:w="33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2"/>
              </w:rPr>
              <w:t>David Schlanger</w:t>
            </w:r>
          </w:p>
        </w:tc>
      </w:tr>
      <w:tr>
        <w:trPr>
          <w:trHeight w:val="216"/>
        </w:trPr>
        <w:tc>
          <w:tcPr>
            <w:tcW w:w="3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33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4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777"/>
        </w:trPr>
        <w:tc>
          <w:tcPr>
            <w:tcW w:w="33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Anevski, certify that:</w:t>
      </w:r>
    </w:p>
    <w:p>
      <w:pPr>
        <w:spacing w:after="0" w:line="225"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Progyny,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660" w:hanging="328"/>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46" w:lineRule="exact"/>
        <w:rPr>
          <w:rFonts w:ascii="Arial" w:cs="Arial" w:eastAsia="Arial" w:hAnsi="Arial"/>
          <w:sz w:val="17"/>
          <w:szCs w:val="17"/>
          <w:color w:val="auto"/>
        </w:rPr>
      </w:pPr>
    </w:p>
    <w:p>
      <w:pPr>
        <w:ind w:left="1080" w:right="20" w:hanging="424"/>
        <w:spacing w:after="0" w:line="311" w:lineRule="auto"/>
        <w:tabs>
          <w:tab w:leader="none" w:pos="1080"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1080" w:hanging="424"/>
        <w:spacing w:after="0"/>
        <w:tabs>
          <w:tab w:leader="none" w:pos="10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080" w:right="280" w:hanging="424"/>
        <w:spacing w:after="0" w:line="259" w:lineRule="auto"/>
        <w:tabs>
          <w:tab w:leader="none" w:pos="10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080" w:right="100" w:hanging="424"/>
        <w:spacing w:after="0" w:line="263" w:lineRule="auto"/>
        <w:tabs>
          <w:tab w:leader="none" w:pos="10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080" w:right="480" w:hanging="424"/>
        <w:spacing w:after="0" w:line="277" w:lineRule="auto"/>
        <w:tabs>
          <w:tab w:leader="none" w:pos="10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Date: August 7, 2020</w:t>
            </w:r>
          </w:p>
        </w:tc>
        <w:tc>
          <w:tcPr>
            <w:tcW w:w="2120" w:type="dxa"/>
            <w:vAlign w:val="bottom"/>
          </w:tcPr>
          <w:p>
            <w:pPr>
              <w:ind w:left="182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Peter Anevski</w:t>
            </w:r>
          </w:p>
        </w:tc>
      </w:tr>
      <w:tr>
        <w:trPr>
          <w:trHeight w:val="222"/>
        </w:trPr>
        <w:tc>
          <w:tcPr>
            <w:tcW w:w="33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1"/>
              </w:rPr>
              <w:t>Peter Anevski</w:t>
            </w:r>
          </w:p>
        </w:tc>
      </w:tr>
      <w:tr>
        <w:trPr>
          <w:trHeight w:val="216"/>
        </w:trPr>
        <w:tc>
          <w:tcPr>
            <w:tcW w:w="3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1"/>
              </w:rPr>
              <w:t>President, Chief Financial Officer and Chief Operating</w:t>
            </w:r>
          </w:p>
        </w:tc>
      </w:tr>
      <w:tr>
        <w:trPr>
          <w:trHeight w:val="216"/>
        </w:trPr>
        <w:tc>
          <w:tcPr>
            <w:tcW w:w="3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4"/>
              </w:rPr>
              <w:t>Officer</w:t>
            </w:r>
          </w:p>
        </w:tc>
      </w:tr>
      <w:tr>
        <w:trPr>
          <w:trHeight w:val="230"/>
        </w:trPr>
        <w:tc>
          <w:tcPr>
            <w:tcW w:w="3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r>
      <w:tr>
        <w:trPr>
          <w:trHeight w:val="776"/>
        </w:trPr>
        <w:tc>
          <w:tcPr>
            <w:tcW w:w="33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441"/>
        <w:spacing w:after="0" w:line="263" w:lineRule="auto"/>
        <w:rPr>
          <w:sz w:val="20"/>
          <w:szCs w:val="20"/>
          <w:color w:val="auto"/>
        </w:rPr>
      </w:pPr>
      <w:r>
        <w:rPr>
          <w:rFonts w:ascii="Arial" w:cs="Arial" w:eastAsia="Arial" w:hAnsi="Arial"/>
          <w:sz w:val="18"/>
          <w:szCs w:val="18"/>
          <w:color w:val="auto"/>
        </w:rPr>
        <w:t>In connection with the Quarterly Report on Form 10-Q of Progyny, Inc. (the “Company”) for the period ending June 30, 2020 as filed with the Securities and Exchange Commission on the date hereof (the “Report”), I certify, pursuant to 18 U.S.C. § 1350, as adopted pursuant to § 906 of the Sarbanes-Oxley Act of 2002, that, to my knowledge:</w:t>
      </w:r>
    </w:p>
    <w:p>
      <w:pPr>
        <w:spacing w:after="0" w:line="184" w:lineRule="exact"/>
        <w:rPr>
          <w:sz w:val="20"/>
          <w:szCs w:val="20"/>
          <w:color w:val="auto"/>
        </w:rPr>
      </w:pPr>
    </w:p>
    <w:p>
      <w:pPr>
        <w:ind w:left="880" w:hanging="440"/>
        <w:spacing w:after="0"/>
        <w:tabs>
          <w:tab w:leader="none" w:pos="8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880" w:right="640" w:hanging="440"/>
        <w:spacing w:after="0" w:line="277"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Date: August 7, 2020</w:t>
            </w:r>
          </w:p>
        </w:tc>
        <w:tc>
          <w:tcPr>
            <w:tcW w:w="1920" w:type="dxa"/>
            <w:vAlign w:val="bottom"/>
          </w:tcPr>
          <w:p>
            <w:pPr>
              <w:ind w:left="16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Schlanger</w:t>
            </w:r>
          </w:p>
        </w:tc>
      </w:tr>
      <w:tr>
        <w:trPr>
          <w:trHeight w:val="222"/>
        </w:trPr>
        <w:tc>
          <w:tcPr>
            <w:tcW w:w="3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2"/>
              </w:rPr>
              <w:t>David Schlanger</w:t>
            </w:r>
          </w:p>
        </w:tc>
      </w:tr>
      <w:tr>
        <w:trPr>
          <w:trHeight w:val="216"/>
        </w:trPr>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3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r>
      <w:tr>
        <w:trPr>
          <w:trHeight w:val="777"/>
        </w:trPr>
        <w:tc>
          <w:tcPr>
            <w:tcW w:w="3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441"/>
        <w:spacing w:after="0" w:line="263" w:lineRule="auto"/>
        <w:rPr>
          <w:sz w:val="20"/>
          <w:szCs w:val="20"/>
          <w:color w:val="auto"/>
        </w:rPr>
      </w:pPr>
      <w:r>
        <w:rPr>
          <w:rFonts w:ascii="Arial" w:cs="Arial" w:eastAsia="Arial" w:hAnsi="Arial"/>
          <w:sz w:val="18"/>
          <w:szCs w:val="18"/>
          <w:color w:val="auto"/>
        </w:rPr>
        <w:t>In connection with the Quarterly Report on Form 10-Q of Progyny, Inc. (the “Company”) for the period ending June 30, 2020 as filed with the Securities and Exchange Commission on the date hereof (the “Report”), I certify, pursuant to 18 U.S.C. § 1350, as adopted pursuant to § 906 of the Sarbanes-Oxley Act of 2002, that, to my knowledge:</w:t>
      </w:r>
    </w:p>
    <w:p>
      <w:pPr>
        <w:spacing w:after="0" w:line="184" w:lineRule="exact"/>
        <w:rPr>
          <w:sz w:val="20"/>
          <w:szCs w:val="20"/>
          <w:color w:val="auto"/>
        </w:rPr>
      </w:pPr>
    </w:p>
    <w:p>
      <w:pPr>
        <w:ind w:left="880" w:hanging="440"/>
        <w:spacing w:after="0"/>
        <w:tabs>
          <w:tab w:leader="none" w:pos="8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880" w:right="640" w:hanging="440"/>
        <w:spacing w:after="0" w:line="277"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Date: August 7, 2020</w:t>
            </w:r>
          </w:p>
        </w:tc>
        <w:tc>
          <w:tcPr>
            <w:tcW w:w="1900" w:type="dxa"/>
            <w:vAlign w:val="bottom"/>
          </w:tcPr>
          <w:p>
            <w:pPr>
              <w:ind w:left="1620"/>
              <w:spacing w:after="0"/>
              <w:rPr>
                <w:sz w:val="20"/>
                <w:szCs w:val="20"/>
                <w:color w:val="auto"/>
              </w:rPr>
            </w:pPr>
            <w:r>
              <w:rPr>
                <w:rFonts w:ascii="Arial" w:cs="Arial" w:eastAsia="Arial" w:hAnsi="Arial"/>
                <w:sz w:val="18"/>
                <w:szCs w:val="18"/>
                <w:color w:val="auto"/>
                <w:w w:val="99"/>
              </w:rPr>
              <w:t>By:</w:t>
            </w: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Peter Anevski</w:t>
            </w:r>
          </w:p>
        </w:tc>
      </w:tr>
      <w:tr>
        <w:trPr>
          <w:trHeight w:val="222"/>
        </w:trPr>
        <w:tc>
          <w:tcPr>
            <w:tcW w:w="3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Peter Anevski</w:t>
            </w:r>
          </w:p>
        </w:tc>
      </w:tr>
      <w:tr>
        <w:trPr>
          <w:trHeight w:val="216"/>
        </w:trPr>
        <w:tc>
          <w:tcPr>
            <w:tcW w:w="3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President, Chief Financial Officer and Chief Operating Officer</w:t>
            </w:r>
          </w:p>
        </w:tc>
      </w:tr>
      <w:tr>
        <w:trPr>
          <w:trHeight w:val="230"/>
        </w:trPr>
        <w:tc>
          <w:tcPr>
            <w:tcW w:w="3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p>
        </w:tc>
      </w:tr>
      <w:tr>
        <w:trPr>
          <w:trHeight w:val="777"/>
        </w:trPr>
        <w:tc>
          <w:tcPr>
            <w:tcW w:w="3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1."/>
      <w:numFmt w:val="decimal"/>
      <w:start w:val="2"/>
    </w:lvl>
    <w:lvl w:ilvl="1">
      <w:lvlJc w:val="left"/>
      <w:lvlText w:val="●"/>
      <w:numFmt w:val="bullet"/>
      <w:start w:val="1"/>
    </w:lvl>
  </w:abstractNum>
  <w:abstractNum w:abstractNumId="4">
    <w:nsid w:val="4516DDE9"/>
    <w:multiLevelType w:val="hybridMultilevel"/>
    <w:lvl w:ilvl="0">
      <w:lvlJc w:val="left"/>
      <w:lvlText w:val="%1."/>
      <w:numFmt w:val="decimal"/>
      <w:start w:val="3"/>
    </w:lvl>
  </w:abstractNum>
  <w:abstractNum w:abstractNumId="5">
    <w:nsid w:val="3006C83E"/>
    <w:multiLevelType w:val="hybridMultilevel"/>
    <w:lvl w:ilvl="0">
      <w:lvlJc w:val="left"/>
      <w:lvlText w:val="%1."/>
      <w:numFmt w:val="decimal"/>
      <w:start w:val="4"/>
    </w:lvl>
  </w:abstractNum>
  <w:abstractNum w:abstractNumId="6">
    <w:nsid w:val="614FD4A1"/>
    <w:multiLevelType w:val="hybridMultilevel"/>
    <w:lvl w:ilvl="0">
      <w:lvlJc w:val="left"/>
      <w:lvlText w:val="%1."/>
      <w:numFmt w:val="decimal"/>
      <w:start w:val="5"/>
    </w:lvl>
  </w:abstractNum>
  <w:abstractNum w:abstractNumId="7">
    <w:nsid w:val="419AC241"/>
    <w:multiLevelType w:val="hybridMultilevel"/>
    <w:lvl w:ilvl="0">
      <w:lvlJc w:val="left"/>
      <w:lvlText w:val="%1"/>
      <w:numFmt w:val="decimal"/>
      <w:start w:val="1"/>
    </w:lvl>
    <w:lvl w:ilvl="1">
      <w:lvlJc w:val="left"/>
      <w:lvlText w:val="%2."/>
      <w:numFmt w:val="lowerLetter"/>
      <w:start w:val="1"/>
    </w:lvl>
  </w:abstractNum>
  <w:abstractNum w:abstractNumId="8">
    <w:nsid w:val="5577F8E1"/>
    <w:multiLevelType w:val="hybridMultilevel"/>
    <w:lvl w:ilvl="0">
      <w:lvlJc w:val="left"/>
      <w:lvlText w:val="%1."/>
      <w:numFmt w:val="decimal"/>
      <w:start w:val="7"/>
    </w:lvl>
    <w:lvl w:ilvl="1">
      <w:lvlJc w:val="left"/>
      <w:lvlText w:val="%2"/>
      <w:numFmt w:val="lowerLetter"/>
      <w:start w:val="1"/>
    </w:lvl>
  </w:abstractNum>
  <w:abstractNum w:abstractNumId="9">
    <w:nsid w:val="440BADFC"/>
    <w:multiLevelType w:val="hybridMultilevel"/>
    <w:lvl w:ilvl="0">
      <w:lvlJc w:val="left"/>
      <w:lvlText w:val="%1."/>
      <w:numFmt w:val="decimal"/>
      <w:start w:val="8"/>
    </w:lvl>
  </w:abstractNum>
  <w:abstractNum w:abstractNumId="10">
    <w:nsid w:val="5072367"/>
    <w:multiLevelType w:val="hybridMultilevel"/>
    <w:lvl w:ilvl="0">
      <w:lvlJc w:val="left"/>
      <w:lvlText w:val="%1."/>
      <w:numFmt w:val="decimal"/>
      <w:start w:val="9"/>
    </w:lvl>
  </w:abstractNum>
  <w:abstractNum w:abstractNumId="11">
    <w:nsid w:val="3804823E"/>
    <w:multiLevelType w:val="hybridMultilevel"/>
    <w:lvl w:ilvl="0">
      <w:lvlJc w:val="left"/>
      <w:lvlText w:val="%1."/>
      <w:numFmt w:val="decimal"/>
      <w:start w:val="10"/>
    </w:lvl>
  </w:abstractNum>
  <w:abstractNum w:abstractNumId="12">
    <w:nsid w:val="77465F01"/>
    <w:multiLevelType w:val="hybridMultilevel"/>
    <w:lvl w:ilvl="0">
      <w:lvlJc w:val="left"/>
      <w:lvlText w:val="%1."/>
      <w:numFmt w:val="decimal"/>
      <w:start w:val="11"/>
    </w:lvl>
  </w:abstractNum>
  <w:abstractNum w:abstractNumId="13">
    <w:nsid w:val="7724C67E"/>
    <w:multiLevelType w:val="hybridMultilevel"/>
    <w:lvl w:ilvl="0">
      <w:lvlJc w:val="left"/>
      <w:lvlText w:val="(%1)"/>
      <w:numFmt w:val="decimal"/>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1)"/>
      <w:numFmt w:val="lowerLetter"/>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1."/>
      <w:numFmt w:val="upperLetter"/>
      <w:start w:val="1"/>
    </w:lvl>
  </w:abstractNum>
  <w:abstractNum w:abstractNumId="34">
    <w:nsid w:val="7644A45C"/>
    <w:multiLevelType w:val="hybridMultilevel"/>
    <w:lvl w:ilvl="0">
      <w:lvlJc w:val="left"/>
      <w:lvlText w:val="%1."/>
      <w:numFmt w:val="decimal"/>
      <w:start w:val="1"/>
    </w:lvl>
  </w:abstractNum>
  <w:abstractNum w:abstractNumId="35">
    <w:nsid w:val="32FFF902"/>
    <w:multiLevelType w:val="hybridMultilevel"/>
    <w:lvl w:ilvl="0">
      <w:lvlJc w:val="left"/>
      <w:lvlText w:val="%1."/>
      <w:numFmt w:val="decimal"/>
      <w:start w:val="3"/>
    </w:lvl>
  </w:abstractNum>
  <w:abstractNum w:abstractNumId="36">
    <w:nsid w:val="684A481A"/>
    <w:multiLevelType w:val="hybridMultilevel"/>
    <w:lvl w:ilvl="0">
      <w:lvlJc w:val="left"/>
      <w:lvlText w:val="%1."/>
      <w:numFmt w:val="decimal"/>
      <w:start w:val="5"/>
    </w:lvl>
  </w:abstractNum>
  <w:abstractNum w:abstractNumId="37">
    <w:nsid w:val="579478FE"/>
    <w:multiLevelType w:val="hybridMultilevel"/>
    <w:lvl w:ilvl="0">
      <w:lvlJc w:val="left"/>
      <w:lvlText w:val="%1."/>
      <w:numFmt w:val="decimal"/>
      <w:start w:val="6"/>
    </w:lvl>
  </w:abstractNum>
  <w:abstractNum w:abstractNumId="38">
    <w:nsid w:val="749ABB43"/>
    <w:multiLevelType w:val="hybridMultilevel"/>
    <w:lvl w:ilvl="0">
      <w:lvlJc w:val="left"/>
      <w:lvlText w:val="%1."/>
      <w:numFmt w:val="decimal"/>
      <w:start w:val="1"/>
    </w:lvl>
  </w:abstractNum>
  <w:abstractNum w:abstractNumId="39">
    <w:nsid w:val="3DC240FB"/>
    <w:multiLevelType w:val="hybridMultilevel"/>
    <w:lvl w:ilvl="0">
      <w:lvlJc w:val="left"/>
      <w:lvlText w:val="%1."/>
      <w:numFmt w:val="upperLetter"/>
      <w:start w:val="1"/>
    </w:lvl>
  </w:abstractNum>
  <w:abstractNum w:abstractNumId="40">
    <w:nsid w:val="1BA026FA"/>
    <w:multiLevelType w:val="hybridMultilevel"/>
    <w:lvl w:ilvl="0">
      <w:lvlJc w:val="left"/>
      <w:lvlText w:val="%1."/>
      <w:numFmt w:val="decimal"/>
      <w:start w:val="1"/>
    </w:lvl>
  </w:abstractNum>
  <w:abstractNum w:abstractNumId="41">
    <w:nsid w:val="79A1DE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2">
    <w:nsid w:val="75C6C33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43">
    <w:nsid w:val="12E685FB"/>
    <w:multiLevelType w:val="hybridMultilevel"/>
    <w:lvl w:ilvl="0">
      <w:lvlJc w:val="left"/>
      <w:lvlText w:val="%1."/>
      <w:numFmt w:val="decimal"/>
      <w:start w:val="4"/>
    </w:lvl>
  </w:abstractNum>
  <w:abstractNum w:abstractNumId="44">
    <w:nsid w:val="70C6A529"/>
    <w:multiLevelType w:val="hybridMultilevel"/>
    <w:lvl w:ilvl="0">
      <w:lvlJc w:val="left"/>
      <w:lvlText w:val="%1."/>
      <w:numFmt w:val="decimal"/>
      <w:start w:val="5"/>
    </w:lvl>
  </w:abstractNum>
  <w:abstractNum w:abstractNumId="45">
    <w:nsid w:val="520EEDD1"/>
    <w:multiLevelType w:val="hybridMultilevel"/>
    <w:lvl w:ilvl="0">
      <w:lvlJc w:val="left"/>
      <w:lvlText w:val="%1."/>
      <w:numFmt w:val="upperLetter"/>
      <w:start w:val="1"/>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1)"/>
      <w:numFmt w:val="lowerLetter"/>
      <w:start w:val="1"/>
    </w:lvl>
  </w:abstractNum>
  <w:abstractNum w:abstractNumId="48">
    <w:nsid w:val="23F9C13C"/>
    <w:multiLevelType w:val="hybridMultilevel"/>
    <w:lvl w:ilvl="0">
      <w:lvlJc w:val="left"/>
      <w:lvlText w:val="(%1)"/>
      <w:numFmt w:val="lowerLetter"/>
      <w:start w:val="2"/>
    </w:lvl>
  </w:abstractNum>
  <w:abstractNum w:abstractNumId="49">
    <w:nsid w:val="649BB77C"/>
    <w:multiLevelType w:val="hybridMultilevel"/>
    <w:lvl w:ilvl="0">
      <w:lvlJc w:val="left"/>
      <w:lvlText w:val="(%1)"/>
      <w:numFmt w:val="lowerLetter"/>
      <w:start w:val="3"/>
    </w:lvl>
  </w:abstractNum>
  <w:abstractNum w:abstractNumId="50">
    <w:nsid w:val="275AC794"/>
    <w:multiLevelType w:val="hybridMultilevel"/>
    <w:lvl w:ilvl="0">
      <w:lvlJc w:val="left"/>
      <w:lvlText w:val="%1"/>
      <w:numFmt w:val="lowerLetter"/>
      <w:start w:val="1"/>
    </w:lvl>
    <w:lvl w:ilvl="1">
      <w:lvlJc w:val="left"/>
      <w:lvlText w:val="(%2)"/>
      <w:numFmt w:val="lowerLetter"/>
      <w:start w:val="3"/>
    </w:lvl>
  </w:abstractNum>
  <w:abstractNum w:abstractNumId="51">
    <w:nsid w:val="39386575"/>
    <w:multiLevelType w:val="hybridMultilevel"/>
    <w:lvl w:ilvl="0">
      <w:lvlJc w:val="left"/>
      <w:lvlText w:val="(%1)"/>
      <w:numFmt w:val="lowerLetter"/>
      <w:start w:val="4"/>
    </w:lvl>
    <w:lvl w:ilvl="1">
      <w:lvlJc w:val="left"/>
      <w:lvlText w:val="%2"/>
      <w:numFmt w:val="lowerLetter"/>
      <w:start w:val="1"/>
    </w:lvl>
  </w:abstractNum>
  <w:abstractNum w:abstractNumId="52">
    <w:nsid w:val="1CF10FD8"/>
    <w:multiLevelType w:val="hybridMultilevel"/>
    <w:lvl w:ilvl="0">
      <w:lvlJc w:val="left"/>
      <w:lvlText w:val="(%1)"/>
      <w:numFmt w:val="lowerRoman"/>
      <w:start w:val="2"/>
    </w:lvl>
  </w:abstractNum>
  <w:abstractNum w:abstractNumId="53">
    <w:nsid w:val="180115BE"/>
    <w:multiLevelType w:val="hybridMultilevel"/>
    <w:lvl w:ilvl="0">
      <w:lvlJc w:val="left"/>
      <w:lvlText w:val="%1."/>
      <w:numFmt w:val="decimal"/>
      <w:start w:val="3"/>
    </w:lvl>
  </w:abstractNum>
  <w:abstractNum w:abstractNumId="54">
    <w:nsid w:val="235BA861"/>
    <w:multiLevelType w:val="hybridMultilevel"/>
    <w:lvl w:ilvl="0">
      <w:lvlJc w:val="left"/>
      <w:lvlText w:val="%1."/>
      <w:numFmt w:val="decimal"/>
      <w:start w:val="4"/>
    </w:lvl>
  </w:abstractNum>
  <w:abstractNum w:abstractNumId="55">
    <w:nsid w:val="47398C89"/>
    <w:multiLevelType w:val="hybridMultilevel"/>
    <w:lvl w:ilvl="0">
      <w:lvlJc w:val="left"/>
      <w:lvlText w:val="%1."/>
      <w:numFmt w:val="decimal"/>
      <w:start w:val="5"/>
    </w:lvl>
  </w:abstractNum>
  <w:abstractNum w:abstractNumId="56">
    <w:nsid w:val="354FE9F9"/>
    <w:multiLevelType w:val="hybridMultilevel"/>
    <w:lvl w:ilvl="0">
      <w:lvlJc w:val="left"/>
      <w:lvlText w:val="%1."/>
      <w:numFmt w:val="upperLetter"/>
      <w:start w:val="9"/>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89" Type="http://schemas.openxmlformats.org/officeDocument/2006/relationships/hyperlink" Target="http://www.sec.gov/Archives/edgar/data/1551306/000110465919058484/a19-21599_1ex3d1.htm" TargetMode="External"/><Relationship Id="rId90" Type="http://schemas.openxmlformats.org/officeDocument/2006/relationships/hyperlink" Target="http://www.sec.gov/Archives/edgar/data/1551306/000104746919005487/a2239750zex-3_4.htm" TargetMode="External"/><Relationship Id="rId91" Type="http://schemas.openxmlformats.org/officeDocument/2006/relationships/hyperlink" Target="http://www.sec.gov/Archives/edgar/data/1551306/000104746919005727/a2239825zex-4_1.htm" TargetMode="External"/><Relationship Id="rId92" Type="http://schemas.openxmlformats.org/officeDocument/2006/relationships/hyperlink" Target="http://www.sec.gov/Archives/edgar/data/1551306/000104746919005727/a2239825zex-4_2.htm" TargetMode="External"/><Relationship Id="rId93" Type="http://schemas.openxmlformats.org/officeDocument/2006/relationships/hyperlink" Target="http://www.sec.gov/Archives/edgar/data/1551306/000104746919005727/a2239825zex-4_3.htm" TargetMode="External"/><Relationship Id="rId94" Type="http://schemas.openxmlformats.org/officeDocument/2006/relationships/hyperlink" Target="http://www.sec.gov/Archives/edgar/data/1551306/000104746919005727/a2239825zex-4_4.htm" TargetMode="External"/><Relationship Id="rId95" Type="http://schemas.openxmlformats.org/officeDocument/2006/relationships/hyperlink" Target="http://www.sec.gov/Archives/edgar/data/1551306/000104746919005727/a2239825zex-4_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2020-08-10T06:30:03Z</dcterms:created>
  <dcterms:modified xsi:type="dcterms:W3CDTF">2020-08-10T06:30:03Z</dcterms:modified>
</cp:coreProperties>
</file>