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Progyny,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KLEINER PERKINS CAUFIELD &amp; BYERS XIII,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KPCB XIII Associates,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31" w:lineRule="exact"/>
        <w:rPr>
          <w:sz w:val="20"/>
          <w:szCs w:val="20"/>
          <w:color w:val="auto"/>
        </w:rPr>
      </w:pPr>
    </w:p>
    <w:p>
      <w:pPr>
        <w:ind w:left="1120" w:right="57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70" w:orient="portrait"/>
          <w:cols w:equalWidth="0" w:num="1">
            <w:col w:w="11140"/>
          </w:cols>
          <w:pgMar w:left="360" w:top="111" w:right="3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Progyny,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298" w:lineRule="exact"/>
        <w:rPr>
          <w:sz w:val="20"/>
          <w:szCs w:val="20"/>
          <w:color w:val="auto"/>
        </w:rPr>
      </w:pPr>
    </w:p>
    <w:p>
      <w:pPr>
        <w:sectPr>
          <w:pgSz w:w="11900" w:h="16870" w:orient="portrait"/>
          <w:cols w:equalWidth="0" w:num="2">
            <w:col w:w="620" w:space="60"/>
            <w:col w:w="10460"/>
          </w:cols>
          <w:pgMar w:left="360" w:top="111" w:right="39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680"/>
        <w:spacing w:after="0"/>
        <w:rPr>
          <w:sz w:val="20"/>
          <w:szCs w:val="20"/>
          <w:color w:val="auto"/>
        </w:rPr>
      </w:pPr>
      <w:r>
        <w:rPr>
          <w:rFonts w:ascii="Times New Roman" w:cs="Times New Roman" w:eastAsia="Times New Roman" w:hAnsi="Times New Roman"/>
          <w:sz w:val="22"/>
          <w:szCs w:val="22"/>
          <w:color w:val="auto"/>
        </w:rPr>
        <w:t>See Row 9 of cover page for each Reporting Person.</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680"/>
        <w:spacing w:after="0"/>
        <w:rPr>
          <w:sz w:val="20"/>
          <w:szCs w:val="20"/>
          <w:color w:val="auto"/>
        </w:rPr>
      </w:pPr>
      <w:r>
        <w:rPr>
          <w:rFonts w:ascii="Times New Roman" w:cs="Times New Roman" w:eastAsia="Times New Roman" w:hAnsi="Times New Roman"/>
          <w:sz w:val="22"/>
          <w:szCs w:val="22"/>
          <w:color w:val="auto"/>
        </w:rPr>
        <w:t>See Row 11 of cover page for each Reporting Person. %</w:t>
      </w:r>
    </w:p>
    <w:p>
      <w:pPr>
        <w:spacing w:after="0" w:line="20"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See Row 5 of cover page for each Reporting Person.</w:t>
      </w:r>
    </w:p>
    <w:p>
      <w:pPr>
        <w:spacing w:after="0" w:line="2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See Row 6 of cover page for each Reporting Person.</w:t>
      </w:r>
    </w:p>
    <w:p>
      <w:pPr>
        <w:spacing w:after="0" w:line="287" w:lineRule="exact"/>
        <w:rPr>
          <w:sz w:val="20"/>
          <w:szCs w:val="20"/>
          <w:color w:val="auto"/>
        </w:rPr>
      </w:pPr>
    </w:p>
    <w:p>
      <w:pPr>
        <w:ind w:left="680" w:right="5560" w:firstLine="3"/>
        <w:spacing w:after="0" w:line="509" w:lineRule="auto"/>
        <w:tabs>
          <w:tab w:leader="none" w:pos="105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cover page for each Reporting Person.</w:t>
      </w:r>
    </w:p>
    <w:p>
      <w:pPr>
        <w:spacing w:after="0" w:line="1" w:lineRule="exact"/>
        <w:rPr>
          <w:rFonts w:ascii="Times New Roman" w:cs="Times New Roman" w:eastAsia="Times New Roman" w:hAnsi="Times New Roman"/>
          <w:sz w:val="21"/>
          <w:szCs w:val="21"/>
          <w:color w:val="auto"/>
        </w:rPr>
      </w:pPr>
    </w:p>
    <w:p>
      <w:pPr>
        <w:ind w:left="680" w:right="5360" w:firstLine="3"/>
        <w:spacing w:after="0" w:line="489" w:lineRule="auto"/>
        <w:tabs>
          <w:tab w:leader="none" w:pos="10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cover page for each Reporting Person.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KLEINER PERKINS CAUFIELD &amp; BYERS XIII,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Biglieri</w:t>
      </w:r>
    </w:p>
    <w:p>
      <w:pPr>
        <w:spacing w:after="0" w:line="4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22"/>
          <w:szCs w:val="22"/>
          <w:color w:val="auto"/>
        </w:rPr>
        <w:t>Susan Biglieri/ CFO/ By: KPCB XIII</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ASSOCIATES, LLC, a Delaware limited liability</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company,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KPCB XIII Associates,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Biglieri</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Susan Biglieri/Chief Financial Officer</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70"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A: Agreement of Joint Filing</w:t>
      </w:r>
    </w:p>
    <w:p>
      <w:pPr>
        <w:sectPr>
          <w:pgSz w:w="11900" w:h="16838" w:orient="portrait"/>
          <w:cols w:equalWidth="0" w:num="1">
            <w:col w:w="10099"/>
          </w:cols>
          <w:pgMar w:left="360" w:top="40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Agreement of Joint Filing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Reporting Persons hereby agree that a single Schedule 13G (or any amendment thereto) relating to the Common Stock of the Issuer shall be filed on behalf of each of the Reporting Persons. Note that copies of the applicable Agreement of Joint Filing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2026-06-08T11:27:16Z</dcterms:created>
  <dcterms:modified xsi:type="dcterms:W3CDTF">2026-06-08T11:27:16Z</dcterms:modified>
</cp:coreProperties>
</file>