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97155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-99695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200" w:hanging="2232"/>
        <w:spacing w:after="0" w:line="382" w:lineRule="auto"/>
        <w:tabs>
          <w:tab w:leader="none" w:pos="48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-469265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97790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665"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4"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665" w:right="979" w:bottom="1440" w:gutter="0" w:footer="0" w:header="0"/>
          <w:type w:val="continuous"/>
        </w:sectPr>
      </w:pPr>
    </w:p>
    <w:p>
      <w:pPr>
        <w:ind w:left="1580"/>
        <w:spacing w:after="0"/>
        <w:tabs>
          <w:tab w:leader="none" w:pos="71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03"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October 31, 2020, the registrant had 86,633,647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60" w:type="dxa"/>
            <w:vAlign w:val="bottom"/>
            <w:gridSpan w:val="7"/>
            <w:vMerge w:val="restart"/>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460" w:type="dxa"/>
            <w:vAlign w:val="bottom"/>
            <w:gridSpan w:val="7"/>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Balance Sheets as of September 30, 2020 and December 31,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5"/>
          </w:tcPr>
          <w:p>
            <w:pP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Statements of Operations for the Three and Nine Months Ended September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2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Comprehensive Income (Loss) for the Three and Nine Months Ended September 30, 2020</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and 2019</w:t>
              </w:r>
            </w:hyperlink>
          </w:p>
        </w:tc>
        <w:tc>
          <w:tcPr>
            <w:tcW w:w="69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Statements of Changes in Convertible Preferred Stock and Stockholders’ Equity (Deficit) for the Three</w:t>
              </w:r>
            </w:hyperlink>
          </w:p>
        </w:tc>
        <w:tc>
          <w:tcPr>
            <w:tcW w:w="1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Nine Months Ended September 30, 2020 and 2019</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Cash Flows for the Nine Months Ended September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8460" w:type="dxa"/>
            <w:vAlign w:val="bottom"/>
            <w:gridSpan w:val="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u w:val="single" w:color="auto"/>
                  <w:color w:val="0000EE"/>
                </w:rPr>
                <w:t>PART II</w:t>
              </w:r>
              <w:r>
                <w:rPr>
                  <w:rFonts w:ascii="Arial" w:cs="Arial" w:eastAsia="Arial" w:hAnsi="Arial"/>
                  <w:sz w:val="18"/>
                  <w:szCs w:val="18"/>
                  <w:b w:val="1"/>
                  <w:bCs w:val="1"/>
                  <w:color w:val="0000EE"/>
                </w:rPr>
                <w:t xml:space="preserve">. </w:t>
              </w:r>
              <w:r>
                <w:rPr>
                  <w:rFonts w:ascii="Arial" w:cs="Arial" w:eastAsia="Arial" w:hAnsi="Arial"/>
                  <w:sz w:val="18"/>
                  <w:szCs w:val="18"/>
                  <w:b w:val="1"/>
                  <w:bCs w:val="1"/>
                  <w:u w:val="single" w:color="auto"/>
                  <w:color w:val="0000EE"/>
                </w:rPr>
                <w:t>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w w:val="98"/>
              </w:rPr>
            </w:pPr>
            <w:hyperlink w:anchor="page40">
              <w:r>
                <w:rPr>
                  <w:rFonts w:ascii="Arial" w:cs="Arial" w:eastAsia="Arial" w:hAnsi="Arial"/>
                  <w:sz w:val="18"/>
                  <w:szCs w:val="18"/>
                  <w:u w:val="single" w:color="auto"/>
                  <w:color w:val="0000EE"/>
                  <w:w w:val="98"/>
                </w:rPr>
                <w:t>Item 1A.</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2.</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w:t>
              </w:r>
            </w:hyperlink>
          </w:p>
        </w:tc>
        <w:tc>
          <w:tcPr>
            <w:tcW w:w="7780" w:type="dxa"/>
            <w:vAlign w:val="bottom"/>
            <w:gridSpan w:val="6"/>
          </w:tcPr>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780" w:type="dxa"/>
            <w:vAlign w:val="bottom"/>
            <w:gridSpan w:val="6"/>
          </w:tcPr>
          <w:p>
            <w:pPr>
              <w:ind w:left="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the plans and objectives of management for future operations and capital expenditures, and the impact of the COVID-19 pandemic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939" w:firstLine="2876"/>
        <w:spacing w:after="0" w:line="422" w:lineRule="auto"/>
        <w:rPr>
          <w:sz w:val="20"/>
          <w:szCs w:val="20"/>
          <w:color w:val="auto"/>
        </w:rPr>
      </w:pPr>
      <w:r>
        <w:rPr>
          <w:rFonts w:ascii="Arial" w:cs="Arial" w:eastAsia="Arial" w:hAnsi="Arial"/>
          <w:sz w:val="18"/>
          <w:szCs w:val="18"/>
          <w:b w:val="1"/>
          <w:bCs w:val="1"/>
          <w:color w:val="auto"/>
        </w:rPr>
        <w:t>PART I – FINANCIAL INFORMATION ITEM 1. FINANCIAL STATEMENTS</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PROGYNY, INC.</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50,995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$12,631 and $6,320 of allowances at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2020 and December 31, 2019,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202,051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1,000,000,000 shares authorized at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2"/>
              </w:rPr>
              <w:t>September 30, 2020 and December 31, 2019; 86,542,919 and 84,188,202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shares issued and outstanding at September 30, 2020 and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December 31, 2019,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80"/>
              <w:spacing w:after="0" w:line="201" w:lineRule="exact"/>
              <w:rPr>
                <w:sz w:val="20"/>
                <w:szCs w:val="20"/>
                <w:color w:val="auto"/>
              </w:rPr>
            </w:pPr>
            <w:r>
              <w:rPr>
                <w:rFonts w:ascii="Arial" w:cs="Arial" w:eastAsia="Arial" w:hAnsi="Arial"/>
                <w:sz w:val="18"/>
                <w:szCs w:val="18"/>
                <w:color w:val="auto"/>
              </w:rPr>
              <w:t>Treasury stock, at cost, $0.0001 par value; 615,980 shares at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September 30, 2020 and December 31, 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114,271</w:t>
            </w: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202,051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164,561</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195,164</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130,825</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25,203</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2"/>
        </w:trPr>
        <w:tc>
          <w:tcPr>
            <w:tcW w:w="3540" w:type="dxa"/>
            <w:vAlign w:val="bottom"/>
          </w:tcPr>
          <w:p>
            <w:pPr>
              <w:ind w:left="100"/>
              <w:spacing w:after="0" w:line="201" w:lineRule="exact"/>
              <w:rPr>
                <w:sz w:val="20"/>
                <w:szCs w:val="20"/>
                <w:color w:val="auto"/>
              </w:rPr>
            </w:pPr>
            <w:r>
              <w:rPr>
                <w:rFonts w:ascii="Arial" w:cs="Arial" w:eastAsia="Arial" w:hAnsi="Arial"/>
                <w:sz w:val="18"/>
                <w:szCs w:val="18"/>
                <w:color w:val="auto"/>
                <w:w w:val="95"/>
              </w:rPr>
              <w:t>Convertible preferred stock warrant valuation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 per share attributable to</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0"/>
              </w:rPr>
              <w:t>Weighted-average shares used in computing net</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86,265,297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7,472,469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85,364,608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5,947,821</w:t>
            </w:r>
          </w:p>
        </w:tc>
        <w:tc>
          <w:tcPr>
            <w:tcW w:w="0" w:type="dxa"/>
            <w:vAlign w:val="bottom"/>
          </w:tcPr>
          <w:p>
            <w:pPr>
              <w:spacing w:after="0"/>
              <w:rPr>
                <w:sz w:val="1"/>
                <w:szCs w:val="1"/>
                <w:color w:val="auto"/>
              </w:rPr>
            </w:pPr>
          </w:p>
        </w:tc>
      </w:tr>
      <w:tr>
        <w:trPr>
          <w:trHeight w:val="210"/>
        </w:trPr>
        <w:tc>
          <w:tcPr>
            <w:tcW w:w="354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98,969,588</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7,472,469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98,936,489</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5,947,821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on marketable securities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PROGYNY, INC.</w:t>
      </w:r>
    </w:p>
    <w:p>
      <w:pPr>
        <w:spacing w:after="0" w:line="44"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Statements of Changes in Convertible Preferred Stock and Stockholders’ Equity (Deficit)</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 except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Pr>
          <w:p>
            <w:pPr>
              <w:spacing w:after="0"/>
              <w:rPr>
                <w:sz w:val="3"/>
                <w:szCs w:val="3"/>
                <w:color w:val="auto"/>
              </w:rPr>
            </w:pPr>
          </w:p>
        </w:tc>
        <w:tc>
          <w:tcPr>
            <w:tcW w:w="164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3"/>
                <w:szCs w:val="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 in</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Comprehensive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6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three months</w:t>
            </w: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left w:val="single" w:sz="8" w:color="auto"/>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2020:</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720" w:type="dxa"/>
            <w:vAlign w:val="bottom"/>
            <w:gridSpan w:val="2"/>
          </w:tcPr>
          <w:p>
            <w:pPr>
              <w:spacing w:after="0"/>
              <w:rPr>
                <w:sz w:val="20"/>
                <w:szCs w:val="20"/>
                <w:color w:val="auto"/>
              </w:rPr>
            </w:pPr>
            <w:r>
              <w:rPr>
                <w:rFonts w:ascii="Arial" w:cs="Arial" w:eastAsia="Arial" w:hAnsi="Arial"/>
                <w:sz w:val="14"/>
                <w:szCs w:val="14"/>
                <w:color w:val="auto"/>
              </w:rPr>
              <w:t>Balance at June 30, 2020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85,778,057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(1,009)</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231,792</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(111,238)</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$119,559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awards, net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withheld</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764,862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Stock-based</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Other comprehensive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Initial public offering</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costs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5,355</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5,355</w:t>
            </w:r>
          </w:p>
        </w:tc>
        <w:tc>
          <w:tcPr>
            <w:tcW w:w="0" w:type="dxa"/>
            <w:vAlign w:val="bottom"/>
          </w:tcPr>
          <w:p>
            <w:pPr>
              <w:spacing w:after="0"/>
              <w:rPr>
                <w:sz w:val="1"/>
                <w:szCs w:val="1"/>
                <w:color w:val="auto"/>
              </w:rPr>
            </w:pPr>
          </w:p>
        </w:tc>
      </w:tr>
      <w:tr>
        <w:trPr>
          <w:trHeight w:val="133"/>
        </w:trPr>
        <w:tc>
          <w:tcPr>
            <w:tcW w:w="17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86,542,919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(1,009)</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234,134</w:t>
            </w:r>
          </w:p>
        </w:tc>
        <w:tc>
          <w:tcPr>
            <w:tcW w:w="3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(105,883)</w:t>
            </w:r>
          </w:p>
        </w:tc>
        <w:tc>
          <w:tcPr>
            <w:tcW w:w="3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$127,268</w:t>
            </w:r>
          </w:p>
        </w:tc>
        <w:tc>
          <w:tcPr>
            <w:tcW w:w="0" w:type="dxa"/>
            <w:vAlign w:val="bottom"/>
          </w:tcPr>
          <w:p>
            <w:pPr>
              <w:spacing w:after="0"/>
              <w:rPr>
                <w:sz w:val="1"/>
                <w:szCs w:val="1"/>
                <w:color w:val="auto"/>
              </w:rPr>
            </w:pPr>
          </w:p>
        </w:tc>
      </w:tr>
      <w:tr>
        <w:trPr>
          <w:trHeight w:val="198"/>
        </w:trPr>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September 30, 2020</w:t>
            </w:r>
          </w:p>
        </w:tc>
        <w:tc>
          <w:tcPr>
            <w:tcW w:w="9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left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00" w:type="dxa"/>
            <w:vAlign w:val="bottom"/>
          </w:tcPr>
          <w:p>
            <w:pPr>
              <w:spacing w:after="0" w:line="126" w:lineRule="exact"/>
              <w:rPr>
                <w:sz w:val="20"/>
                <w:szCs w:val="20"/>
                <w:color w:val="auto"/>
              </w:rPr>
            </w:pPr>
            <w:r>
              <w:rPr>
                <w:rFonts w:ascii="Arial" w:cs="Arial" w:eastAsia="Arial" w:hAnsi="Arial"/>
                <w:sz w:val="14"/>
                <w:szCs w:val="14"/>
                <w:b w:val="1"/>
                <w:bCs w:val="1"/>
                <w:color w:val="auto"/>
              </w:rPr>
              <w:t>For the three months</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Balance at June 30,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65,428,088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106,237</w:t>
            </w:r>
          </w:p>
        </w:tc>
        <w:tc>
          <w:tcPr>
            <w:tcW w:w="80" w:type="dxa"/>
            <w:vAlign w:val="bottom"/>
            <w:shd w:val="clear" w:color="auto" w:fill="CCEEFF"/>
          </w:tcPr>
          <w:p>
            <w:pPr>
              <w:spacing w:after="0"/>
              <w:rPr>
                <w:sz w:val="24"/>
                <w:szCs w:val="24"/>
                <w:color w:val="auto"/>
              </w:rPr>
            </w:pPr>
          </w:p>
        </w:tc>
        <w:tc>
          <w:tcPr>
            <w:tcW w:w="100" w:type="dxa"/>
            <w:vAlign w:val="bottom"/>
            <w:tcBorders>
              <w:left w:val="single" w:sz="8" w:color="auto"/>
            </w:tcBorders>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5,187,474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(89,514)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Issuance of employee</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tcPr>
          <w:p>
            <w:pPr>
              <w:ind w:left="100"/>
              <w:spacing w:after="0" w:line="149" w:lineRule="exact"/>
              <w:rPr>
                <w:sz w:val="20"/>
                <w:szCs w:val="20"/>
                <w:color w:val="auto"/>
              </w:rPr>
            </w:pPr>
            <w:r>
              <w:rPr>
                <w:rFonts w:ascii="Arial" w:cs="Arial" w:eastAsia="Arial" w:hAnsi="Arial"/>
                <w:sz w:val="14"/>
                <w:szCs w:val="14"/>
                <w:color w:val="auto"/>
              </w:rPr>
              <w:t>equity awards, net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shares withheld</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4,885,890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4,976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4,976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Stock-based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Repurchase of common</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stock</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(26,659)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(8,210)</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33"/>
        </w:trPr>
        <w:tc>
          <w:tcPr>
            <w:tcW w:w="17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65,428,088</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106,237</w:t>
            </w: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10,046,705</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(1,008)</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18,838</w:t>
            </w:r>
          </w:p>
        </w:tc>
        <w:tc>
          <w:tcPr>
            <w:tcW w:w="3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(109,081)</w:t>
            </w:r>
          </w:p>
        </w:tc>
        <w:tc>
          <w:tcPr>
            <w:tcW w:w="3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 (91,250)</w:t>
            </w:r>
          </w:p>
        </w:tc>
        <w:tc>
          <w:tcPr>
            <w:tcW w:w="0" w:type="dxa"/>
            <w:vAlign w:val="bottom"/>
          </w:tcPr>
          <w:p>
            <w:pPr>
              <w:spacing w:after="0"/>
              <w:rPr>
                <w:sz w:val="1"/>
                <w:szCs w:val="1"/>
                <w:color w:val="auto"/>
              </w:rPr>
            </w:pPr>
          </w:p>
        </w:tc>
      </w:tr>
      <w:tr>
        <w:trPr>
          <w:trHeight w:val="198"/>
        </w:trPr>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September 30, 2019</w:t>
            </w:r>
          </w:p>
        </w:tc>
        <w:tc>
          <w:tcPr>
            <w:tcW w:w="9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left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00" w:type="dxa"/>
            <w:vAlign w:val="bottom"/>
          </w:tcPr>
          <w:p>
            <w:pPr>
              <w:spacing w:after="0" w:line="126" w:lineRule="exact"/>
              <w:rPr>
                <w:sz w:val="20"/>
                <w:szCs w:val="20"/>
                <w:color w:val="auto"/>
              </w:rPr>
            </w:pPr>
            <w:r>
              <w:rPr>
                <w:rFonts w:ascii="Arial" w:cs="Arial" w:eastAsia="Arial" w:hAnsi="Arial"/>
                <w:sz w:val="14"/>
                <w:szCs w:val="14"/>
                <w:b w:val="1"/>
                <w:bCs w:val="1"/>
                <w:color w:val="auto"/>
              </w:rPr>
              <w:t>For the nine months</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at</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84,188,202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228,755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(113,483)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$114,271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Issuance of employee</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ind w:left="100"/>
              <w:spacing w:after="0" w:line="149" w:lineRule="exact"/>
              <w:rPr>
                <w:sz w:val="20"/>
                <w:szCs w:val="20"/>
                <w:color w:val="auto"/>
              </w:rPr>
            </w:pPr>
            <w:r>
              <w:rPr>
                <w:rFonts w:ascii="Arial" w:cs="Arial" w:eastAsia="Arial" w:hAnsi="Arial"/>
                <w:sz w:val="14"/>
                <w:szCs w:val="14"/>
                <w:color w:val="auto"/>
              </w:rPr>
              <w:t>equity awards, net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shares withheld</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2,354,717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Stock-based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Reduction in initial</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public offering costs</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Other comprehensive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left w:val="single" w:sz="8" w:color="auto"/>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7,600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86,542,919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234,134</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(105,883)</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$127,268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September 30, 2020</w:t>
            </w:r>
          </w:p>
        </w:tc>
        <w:tc>
          <w:tcPr>
            <w:tcW w:w="9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nine months</w:t>
            </w: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2019:</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Balance at</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gridSpan w:val="2"/>
          </w:tcPr>
          <w:p>
            <w:pPr>
              <w:spacing w:after="0"/>
              <w:rPr>
                <w:sz w:val="20"/>
                <w:szCs w:val="20"/>
                <w:color w:val="auto"/>
              </w:rPr>
            </w:pPr>
            <w:r>
              <w:rPr>
                <w:rFonts w:ascii="Arial" w:cs="Arial" w:eastAsia="Arial" w:hAnsi="Arial"/>
                <w:sz w:val="14"/>
                <w:szCs w:val="14"/>
                <w:color w:val="auto"/>
              </w:rPr>
              <w:t>December 31, 2018</w:t>
            </w:r>
          </w:p>
        </w:tc>
        <w:tc>
          <w:tcPr>
            <w:tcW w:w="980" w:type="dxa"/>
            <w:vAlign w:val="bottom"/>
          </w:tcPr>
          <w:p>
            <w:pPr>
              <w:jc w:val="right"/>
              <w:spacing w:after="0"/>
              <w:rPr>
                <w:sz w:val="20"/>
                <w:szCs w:val="20"/>
                <w:color w:val="auto"/>
              </w:rPr>
            </w:pPr>
            <w:r>
              <w:rPr>
                <w:rFonts w:ascii="Arial" w:cs="Arial" w:eastAsia="Arial" w:hAnsi="Arial"/>
                <w:sz w:val="14"/>
                <w:szCs w:val="14"/>
                <w:color w:val="auto"/>
              </w:rPr>
              <w:t>65,428,088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106,237</w:t>
            </w: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5,155,407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(884)</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10,622</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(104,854)</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(95,115)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awards, net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withheld</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4,917,957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ind w:left="100"/>
              <w:spacing w:after="0" w:line="130" w:lineRule="exact"/>
              <w:rPr>
                <w:sz w:val="20"/>
                <w:szCs w:val="20"/>
                <w:color w:val="auto"/>
              </w:rPr>
            </w:pPr>
            <w:r>
              <w:rPr>
                <w:rFonts w:ascii="Arial" w:cs="Arial" w:eastAsia="Arial" w:hAnsi="Arial"/>
                <w:sz w:val="14"/>
                <w:szCs w:val="14"/>
                <w:color w:val="auto"/>
              </w:rPr>
              <w:t>Stock-based</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Repurchase of 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w:t>
            </w:r>
          </w:p>
        </w:tc>
        <w:tc>
          <w:tcPr>
            <w:tcW w:w="9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left w:val="single" w:sz="8" w:color="auto"/>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(4,169)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65,428,088</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106,237</w:t>
            </w:r>
          </w:p>
        </w:tc>
        <w:tc>
          <w:tcPr>
            <w:tcW w:w="8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10,046,705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18,838</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(109,081)</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(91,250)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September 30, 2019</w:t>
            </w:r>
          </w:p>
        </w:tc>
        <w:tc>
          <w:tcPr>
            <w:tcW w:w="9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680"/>
        <w:spacing w:after="0"/>
        <w:rPr>
          <w:sz w:val="20"/>
          <w:szCs w:val="20"/>
          <w:color w:val="auto"/>
        </w:rPr>
      </w:pPr>
      <w:r>
        <w:rPr>
          <w:rFonts w:ascii="Arial" w:cs="Arial" w:eastAsia="Arial" w:hAnsi="Arial"/>
          <w:sz w:val="16"/>
          <w:szCs w:val="16"/>
          <w:i w:val="1"/>
          <w:iCs w:val="1"/>
          <w:color w:val="auto"/>
        </w:rPr>
        <w:t>The accompanying notes are an integral part of these unaudited financial statements.</w:t>
      </w:r>
    </w:p>
    <w:p>
      <w:pPr>
        <w:sectPr>
          <w:pgSz w:w="11900" w:h="16838" w:orient="portrait"/>
          <w:cols w:equalWidth="0" w:num="1">
            <w:col w:w="10240"/>
          </w:cols>
          <w:pgMar w:left="820" w:top="517" w:right="8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394335</wp:posOffset>
            </wp:positionV>
            <wp:extent cx="64808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PROGYNY, INC.</w:t>
      </w:r>
    </w:p>
    <w:p>
      <w:pPr>
        <w:spacing w:after="0" w:line="30"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Statements of Cash Flows</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149" w:lineRule="exact"/>
        <w:rPr>
          <w:sz w:val="20"/>
          <w:szCs w:val="20"/>
          <w:color w:val="auto"/>
        </w:rPr>
      </w:pPr>
    </w:p>
    <w:p>
      <w:pPr>
        <w:ind w:left="6760"/>
        <w:spacing w:after="0"/>
        <w:rPr>
          <w:sz w:val="20"/>
          <w:szCs w:val="20"/>
          <w:color w:val="auto"/>
        </w:rPr>
      </w:pPr>
      <w:r>
        <w:rPr>
          <w:rFonts w:ascii="Arial" w:cs="Arial" w:eastAsia="Arial" w:hAnsi="Arial"/>
          <w:sz w:val="15"/>
          <w:szCs w:val="15"/>
          <w:b w:val="1"/>
          <w:bCs w:val="1"/>
          <w:color w:val="auto"/>
        </w:rPr>
        <w:t>Nine Months Ended</w:t>
      </w:r>
    </w:p>
    <w:p>
      <w:pPr>
        <w:ind w:left="6940"/>
        <w:spacing w:after="0" w:line="234"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6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24"/>
              <w:spacing w:after="0" w:line="156" w:lineRule="exact"/>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OPERATING ACTIVITIES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737"/>
              <w:spacing w:after="0" w:line="162"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7,600</w:t>
            </w:r>
          </w:p>
        </w:tc>
        <w:tc>
          <w:tcPr>
            <w:tcW w:w="50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Adjustments to reconcile net income to net cash provided by (used in) operating activities: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80"/>
              <w:spacing w:after="0" w:line="162" w:lineRule="exact"/>
              <w:rPr>
                <w:sz w:val="20"/>
                <w:szCs w:val="20"/>
                <w:color w:val="auto"/>
              </w:rPr>
            </w:pPr>
            <w:r>
              <w:rPr>
                <w:rFonts w:ascii="Arial" w:cs="Arial" w:eastAsia="Arial" w:hAnsi="Arial"/>
                <w:sz w:val="15"/>
                <w:szCs w:val="15"/>
                <w:color w:val="auto"/>
              </w:rPr>
              <w:t>Deferred tax expense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Non-cash interest expense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1,442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Stock-based compensation expense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8,661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80"/>
              <w:spacing w:after="0" w:line="162" w:lineRule="exact"/>
              <w:rPr>
                <w:sz w:val="20"/>
                <w:szCs w:val="20"/>
                <w:color w:val="auto"/>
              </w:rPr>
            </w:pPr>
            <w:r>
              <w:rPr>
                <w:rFonts w:ascii="Arial" w:cs="Arial" w:eastAsia="Arial" w:hAnsi="Arial"/>
                <w:sz w:val="15"/>
                <w:szCs w:val="15"/>
                <w:color w:val="auto"/>
              </w:rPr>
              <w:t>Bad debt expense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3,709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80"/>
              <w:spacing w:after="0" w:line="162" w:lineRule="exact"/>
              <w:rPr>
                <w:sz w:val="20"/>
                <w:szCs w:val="20"/>
                <w:color w:val="auto"/>
              </w:rPr>
            </w:pPr>
            <w:r>
              <w:rPr>
                <w:rFonts w:ascii="Arial" w:cs="Arial" w:eastAsia="Arial" w:hAnsi="Arial"/>
                <w:sz w:val="15"/>
                <w:szCs w:val="15"/>
                <w:color w:val="auto"/>
              </w:rPr>
              <w:t>Change in fair value of warrant liabilities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12,419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w w:val="93"/>
              </w:rPr>
              <w:t>(34,952)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(22,344)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Prepaid expenses and current other assets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3,619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00"/>
              <w:spacing w:after="0" w:line="162" w:lineRule="exact"/>
              <w:rPr>
                <w:sz w:val="20"/>
                <w:szCs w:val="20"/>
                <w:color w:val="auto"/>
              </w:rPr>
            </w:pPr>
            <w:r>
              <w:rPr>
                <w:rFonts w:ascii="Arial" w:cs="Arial" w:eastAsia="Arial" w:hAnsi="Arial"/>
                <w:sz w:val="15"/>
                <w:szCs w:val="15"/>
                <w:color w:val="auto"/>
              </w:rPr>
              <w:t>Accounts payable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23,719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15,019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Other noncurrent assets and liabilities</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677</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(667)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29,666</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3,955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INVESTING ACTIVITIES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net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(940)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marketable securities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(64,978)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Sale of marketable securities</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14,000</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cash (used in) continuing operations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(51,918)</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Net cash provided by discontinued operations</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provided by investing activities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(51,918)</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(478)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line="162" w:lineRule="exact"/>
              <w:rPr>
                <w:sz w:val="20"/>
                <w:szCs w:val="20"/>
                <w:color w:val="auto"/>
              </w:rPr>
            </w:pPr>
            <w:r>
              <w:rPr>
                <w:rFonts w:ascii="Arial" w:cs="Arial" w:eastAsia="Arial" w:hAnsi="Arial"/>
                <w:sz w:val="15"/>
                <w:szCs w:val="15"/>
                <w:color w:val="auto"/>
              </w:rPr>
              <w:t>Payment of initial public offering costs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(892)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revolving line of credit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157,850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line="162" w:lineRule="exact"/>
              <w:rPr>
                <w:sz w:val="20"/>
                <w:szCs w:val="20"/>
                <w:color w:val="auto"/>
              </w:rPr>
            </w:pPr>
            <w:r>
              <w:rPr>
                <w:rFonts w:ascii="Arial" w:cs="Arial" w:eastAsia="Arial" w:hAnsi="Arial"/>
                <w:sz w:val="15"/>
                <w:szCs w:val="15"/>
                <w:color w:val="auto"/>
              </w:rPr>
              <w:t>Repayments made against revolving line of credit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(158,103)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Repurchase of common stock</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2,078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 of employee taxes related to equity awards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(6,419)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Proceeds from contributions to employee stock purchase plan</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1,068</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14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(4,165)</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4,060</w:t>
            </w:r>
          </w:p>
        </w:tc>
        <w:tc>
          <w:tcPr>
            <w:tcW w:w="0" w:type="dxa"/>
            <w:vAlign w:val="bottom"/>
          </w:tcPr>
          <w:p>
            <w:pPr>
              <w:spacing w:after="0"/>
              <w:rPr>
                <w:sz w:val="1"/>
                <w:szCs w:val="1"/>
                <w:color w:val="auto"/>
              </w:rPr>
            </w:pPr>
          </w:p>
        </w:tc>
      </w:tr>
      <w:tr>
        <w:trPr>
          <w:trHeight w:val="155"/>
        </w:trPr>
        <w:tc>
          <w:tcPr>
            <w:tcW w:w="5700" w:type="dxa"/>
            <w:vAlign w:val="bottom"/>
            <w:gridSpan w:val="2"/>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w w:val="93"/>
              </w:rPr>
              <w:t>(26,417)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5"/>
                <w:szCs w:val="15"/>
                <w:color w:val="auto"/>
              </w:rPr>
              <w:t>7,537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80,382</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195"/>
        </w:trPr>
        <w:tc>
          <w:tcPr>
            <w:tcW w:w="5700" w:type="dxa"/>
            <w:vAlign w:val="bottom"/>
            <w:gridSpan w:val="2"/>
          </w:tcPr>
          <w:p>
            <w:pPr>
              <w:spacing w:after="0" w:line="156" w:lineRule="exact"/>
              <w:rPr>
                <w:sz w:val="20"/>
                <w:szCs w:val="20"/>
                <w:color w:val="auto"/>
              </w:rPr>
            </w:pPr>
            <w:r>
              <w:rPr>
                <w:rFonts w:ascii="Arial" w:cs="Arial" w:eastAsia="Arial" w:hAnsi="Arial"/>
                <w:sz w:val="15"/>
                <w:szCs w:val="15"/>
                <w:color w:val="auto"/>
              </w:rPr>
              <w:t>Cash and cash equivalents, end of period</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737"/>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53,965</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7,664</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tcPr>
          <w:p>
            <w:pPr>
              <w:spacing w:after="0" w:line="162"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paid for interest</w:t>
            </w:r>
          </w:p>
        </w:tc>
        <w:tc>
          <w:tcPr>
            <w:tcW w:w="1000" w:type="dxa"/>
            <w:vAlign w:val="bottom"/>
            <w:gridSpan w:val="2"/>
            <w:shd w:val="clear" w:color="auto" w:fill="CCEEFF"/>
          </w:tcPr>
          <w:p>
            <w:pPr>
              <w:jc w:val="right"/>
              <w:ind w:right="737"/>
              <w:spacing w:after="0" w:line="162"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680" w:type="dxa"/>
            <w:vAlign w:val="bottom"/>
          </w:tcPr>
          <w:p>
            <w:pPr>
              <w:spacing w:after="0" w:line="145"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700" w:type="dxa"/>
            <w:vAlign w:val="bottom"/>
            <w:gridSpan w:val="2"/>
          </w:tcPr>
          <w:p>
            <w:pPr>
              <w:spacing w:after="0"/>
              <w:rPr>
                <w:sz w:val="20"/>
                <w:szCs w:val="20"/>
                <w:color w:val="auto"/>
              </w:rPr>
            </w:pPr>
            <w:r>
              <w:rPr>
                <w:rFonts w:ascii="Arial" w:cs="Arial" w:eastAsia="Arial" w:hAnsi="Arial"/>
                <w:sz w:val="15"/>
                <w:szCs w:val="15"/>
                <w:b w:val="1"/>
                <w:bCs w:val="1"/>
                <w:color w:val="auto"/>
              </w:rPr>
              <w:t>ACTIVITIES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Additions of property and equipment, net included in accounts payable and accrued</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expenses</w:t>
            </w:r>
          </w:p>
        </w:tc>
        <w:tc>
          <w:tcPr>
            <w:tcW w:w="1000" w:type="dxa"/>
            <w:vAlign w:val="bottom"/>
            <w:gridSpan w:val="2"/>
            <w:shd w:val="clear" w:color="auto" w:fill="CCEEFF"/>
          </w:tcPr>
          <w:p>
            <w:pPr>
              <w:jc w:val="right"/>
              <w:ind w:right="737"/>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50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Deferred initial public offering costs in accounts payable and accrued expenses</w:t>
            </w:r>
          </w:p>
        </w:tc>
        <w:tc>
          <w:tcPr>
            <w:tcW w:w="1000" w:type="dxa"/>
            <w:vAlign w:val="bottom"/>
            <w:gridSpan w:val="2"/>
          </w:tcPr>
          <w:p>
            <w:pPr>
              <w:jc w:val="right"/>
              <w:ind w:right="737"/>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2,308</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700" w:right="5699" w:hanging="650"/>
        <w:spacing w:after="0" w:line="603" w:lineRule="auto"/>
        <w:tabs>
          <w:tab w:leader="none" w:pos="68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and Basis of Presentation </w:t>
      </w:r>
      <w:r>
        <w:rPr>
          <w:rFonts w:ascii="Arial" w:cs="Arial" w:eastAsia="Arial" w:hAnsi="Arial"/>
          <w:sz w:val="15"/>
          <w:szCs w:val="15"/>
          <w:b w:val="1"/>
          <w:bCs w:val="1"/>
          <w:i w:val="1"/>
          <w:iCs w:val="1"/>
          <w:color w:val="auto"/>
        </w:rPr>
        <w:t>Description of Business</w:t>
      </w:r>
    </w:p>
    <w:p>
      <w:pPr>
        <w:spacing w:after="0" w:line="1" w:lineRule="exact"/>
        <w:rPr>
          <w:rFonts w:ascii="Arial" w:cs="Arial" w:eastAsia="Arial" w:hAnsi="Arial"/>
          <w:sz w:val="15"/>
          <w:szCs w:val="15"/>
          <w:b w:val="1"/>
          <w:bCs w:val="1"/>
          <w:color w:val="auto"/>
        </w:rPr>
      </w:pPr>
    </w:p>
    <w:p>
      <w:pPr>
        <w:ind w:left="700" w:right="59"/>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Progyny, Inc. (referred to as “Progyny” or the “Company”) was incorporated in the state of Delaware on April 3, 2008, and maintains its corporate headquarters in New York, NY.</w:t>
      </w:r>
    </w:p>
    <w:p>
      <w:pPr>
        <w:spacing w:after="0" w:line="170" w:lineRule="exact"/>
        <w:rPr>
          <w:rFonts w:ascii="Arial" w:cs="Arial" w:eastAsia="Arial" w:hAnsi="Arial"/>
          <w:sz w:val="15"/>
          <w:szCs w:val="15"/>
          <w:b w:val="1"/>
          <w:bCs w:val="1"/>
          <w:color w:val="auto"/>
        </w:rPr>
      </w:pPr>
    </w:p>
    <w:p>
      <w:pPr>
        <w:jc w:val="both"/>
        <w:ind w:left="700" w:right="59"/>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78" w:lineRule="exact"/>
        <w:rPr>
          <w:rFonts w:ascii="Arial" w:cs="Arial" w:eastAsia="Arial" w:hAnsi="Arial"/>
          <w:sz w:val="15"/>
          <w:szCs w:val="15"/>
          <w:b w:val="1"/>
          <w:bCs w:val="1"/>
          <w:color w:val="auto"/>
        </w:rPr>
      </w:pPr>
    </w:p>
    <w:p>
      <w:pPr>
        <w:jc w:val="both"/>
        <w:ind w:left="700" w:right="59"/>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Initial Public Offering</w:t>
      </w:r>
    </w:p>
    <w:p>
      <w:pPr>
        <w:spacing w:after="0" w:line="225" w:lineRule="exact"/>
        <w:rPr>
          <w:rFonts w:ascii="Arial" w:cs="Arial" w:eastAsia="Arial" w:hAnsi="Arial"/>
          <w:sz w:val="15"/>
          <w:szCs w:val="15"/>
          <w:b w:val="1"/>
          <w:bCs w:val="1"/>
          <w:color w:val="auto"/>
        </w:rPr>
      </w:pPr>
    </w:p>
    <w:p>
      <w:pPr>
        <w:jc w:val="both"/>
        <w:ind w:left="700" w:right="59"/>
        <w:spacing w:after="0" w:line="269" w:lineRule="auto"/>
        <w:rPr>
          <w:rFonts w:ascii="Arial" w:cs="Arial" w:eastAsia="Arial" w:hAnsi="Arial"/>
          <w:sz w:val="15"/>
          <w:szCs w:val="15"/>
          <w:b w:val="1"/>
          <w:bCs w:val="1"/>
          <w:color w:val="auto"/>
        </w:rPr>
      </w:pPr>
      <w:r>
        <w:rPr>
          <w:rFonts w:ascii="Arial" w:cs="Arial" w:eastAsia="Arial" w:hAnsi="Arial"/>
          <w:sz w:val="17"/>
          <w:szCs w:val="17"/>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$77.6 million from the IPO, after deducting underwriters’ discounts and commissions of $5.9 million and offering costs of $3.6 million. Upon completion of the IPO, these offering costs were reclassified to stockholders’ equity and offset against the proceeds from the offering on the balance sheet. Immediately prior to the completion of the IPO, all shares 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18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Emerging Growth Company Status</w:t>
      </w:r>
    </w:p>
    <w:p>
      <w:pPr>
        <w:spacing w:after="0" w:line="225" w:lineRule="exact"/>
        <w:rPr>
          <w:rFonts w:ascii="Arial" w:cs="Arial" w:eastAsia="Arial" w:hAnsi="Arial"/>
          <w:sz w:val="15"/>
          <w:szCs w:val="15"/>
          <w:b w:val="1"/>
          <w:bCs w:val="1"/>
          <w:color w:val="auto"/>
        </w:rPr>
      </w:pPr>
    </w:p>
    <w:p>
      <w:pPr>
        <w:jc w:val="both"/>
        <w:ind w:left="700" w:right="59"/>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6" w:lineRule="exact"/>
        <w:rPr>
          <w:rFonts w:ascii="Arial" w:cs="Arial" w:eastAsia="Arial" w:hAnsi="Arial"/>
          <w:sz w:val="15"/>
          <w:szCs w:val="15"/>
          <w:b w:val="1"/>
          <w:bCs w:val="1"/>
          <w:color w:val="auto"/>
        </w:rPr>
      </w:pPr>
    </w:p>
    <w:p>
      <w:pPr>
        <w:jc w:val="both"/>
        <w:ind w:left="700" w:right="59"/>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it is</w:t>
      </w:r>
    </w:p>
    <w:p>
      <w:pPr>
        <w:jc w:val="both"/>
        <w:ind w:left="700" w:right="59"/>
        <w:spacing w:after="0" w:line="302" w:lineRule="auto"/>
        <w:rPr>
          <w:rFonts w:ascii="Arial" w:cs="Arial" w:eastAsia="Arial" w:hAnsi="Arial"/>
          <w:sz w:val="15"/>
          <w:szCs w:val="15"/>
          <w:b w:val="1"/>
          <w:bCs w:val="1"/>
          <w:color w:val="auto"/>
        </w:rPr>
      </w:pPr>
      <w:r>
        <w:rPr>
          <w:rFonts w:ascii="Arial" w:cs="Arial" w:eastAsia="Arial" w:hAnsi="Arial"/>
          <w:sz w:val="16"/>
          <w:szCs w:val="16"/>
          <w:color w:val="auto"/>
        </w:rPr>
        <w:t>(i) no longer an emerging growth company or (ii) affirmatively and irrevocably opt out of the extended transition period provided in the JOBS Act. As a result, the Company’s financial statements may not be comparable to companies that comply with the new or revised accounting pronouncements as of public company effective dates.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Based on the market value of the Company’s common stock as of June 30, 2020, the Company will cease to qualify as an emerging growth company as of December 31, 2020. As a result, the Company will no longer be able to use the extended transition period for complying with new or revised accounting standards available to emerging growth companies and will be required to adopt new or revised accounting standards as of the effective dates for public companies.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The interim unaudited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financial statements have been prepared on a basis consistent with the annual financial statements and, in the opinion of management, include all adjustments necessary to fairly state our financial position as of September 30, 2020, the results of our operations for the three and nine months ended September 30, 2020 and 2019 and the results of our cash flows for the nine months ended September 30, 2020 and 2019. Therefore, these unaudited financial statements should be read in conjunction with the audited financial statements and related footnotes included in the Annual Report on Form 10-K filed with the SEC on March 10, 2020.</w:t>
      </w:r>
    </w:p>
    <w:p>
      <w:pPr>
        <w:spacing w:after="0" w:line="166"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6"/>
          <w:szCs w:val="16"/>
          <w:color w:val="auto"/>
        </w:rPr>
        <w:t>The results for the three and nine months ended September 30, 2020 are not necessarily indicative of the operating results expected for the year ending December 31, 2020 or any other future period. Additionally, there are many uncertainties regarding the ongoing coronavirus (“COVID-19”) pandemic,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700" w:right="59"/>
        <w:spacing w:after="0" w:line="290" w:lineRule="auto"/>
        <w:rPr>
          <w:sz w:val="20"/>
          <w:szCs w:val="20"/>
          <w:color w:val="auto"/>
        </w:rPr>
      </w:pPr>
      <w:r>
        <w:rPr>
          <w:rFonts w:ascii="Arial" w:cs="Arial" w:eastAsia="Arial" w:hAnsi="Arial"/>
          <w:sz w:val="16"/>
          <w:szCs w:val="16"/>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The accounting estimates that require the most complex and subjective judgements include accrued receivables, accrued claims payable, allowance for doubtful accounts, accrued rebates, and stock-based compensation.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On October 14, 2019, Progyny’s stockholders approved and the Company effected a one-for-4.5454 reverse stock split of its common and convertible preferred stock. The par value of the common stock and convertible preferred stock was not adjusted as a result of the reverse stock split. Accordingly, the financial statements and notes retroactively reflect Progyny’s capital structure after giving effect to the reverse stock split.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0" w:hanging="630"/>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700" w:right="53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year ended December 31, 2019.</w:t>
      </w:r>
    </w:p>
    <w:p>
      <w:pPr>
        <w:spacing w:after="0" w:line="18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rFonts w:ascii="Arial" w:cs="Arial" w:eastAsia="Arial" w:hAnsi="Arial"/>
          <w:sz w:val="18"/>
          <w:szCs w:val="18"/>
          <w:b w:val="1"/>
          <w:bCs w:val="1"/>
          <w:color w:val="auto"/>
        </w:rPr>
      </w:pPr>
    </w:p>
    <w:p>
      <w:pPr>
        <w:ind w:left="700" w:right="7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4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rFonts w:ascii="Arial" w:cs="Arial" w:eastAsia="Arial" w:hAnsi="Arial"/>
          <w:sz w:val="18"/>
          <w:szCs w:val="18"/>
          <w:b w:val="1"/>
          <w:bCs w:val="1"/>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fertility benefits, primarily to self-insured enterprise entities (“clients”) and their employees and partners (together, “members”).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8"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6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9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8"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7"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There are no material contract asset or contract liability balances as of September 30, 2020 and December 31, 2019.</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p>
      <w:pPr>
        <w:spacing w:after="0" w:line="225"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8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As of September 30, 2020, accrued receivables and accrued claims payables were $25.0 million and $22.8 million, respectively, as compared to $16.0 million and $9.8 million, respectively, as of December 31, 2019. Accrued receivables are included within accounts receivable in the balance sheet. Accrued claims payable are included within accrued expenses and other current liabilities in the balance sheet. Claims payable are paid within 30 days based on contractual terms.</w:t>
      </w:r>
    </w:p>
    <w:p>
      <w:pPr>
        <w:spacing w:after="0" w:line="18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As of September 30, 2020 and December 31, 2019, unbilled receivables, which represent claims received and approved but unbilled at the end of the reporting period, were $17.1 million and $8.5 million, respectively. Unbilled receivables are typically billed to clients within 30 days of the approved claim based on the contractual billing schedule agreed upon with the client. Unbilled receivables are included in accounts receivable in the balance sheet.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accounts receivable balance primarily includes amounts due from clients and members. Accounts receivable also includes accrued receivables for fertility benefits claims from provider clinics at the end of each period for services provided that have not yet been received. The Company estimates an allowance for changes and cancellations of services based upon historical experience and estimates uncollectible amounts based upon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historical bad debts, current receivable balances and the age of receivable balances. The following table provides a summary of the activity in these allowances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Charged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to Costs</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Write-offs</w:t>
            </w:r>
          </w:p>
        </w:tc>
        <w:tc>
          <w:tcPr>
            <w:tcW w:w="140" w:type="dxa"/>
            <w:vAlign w:val="bottom"/>
          </w:tcPr>
          <w:p>
            <w:pPr>
              <w:spacing w:after="0"/>
              <w:rPr>
                <w:sz w:val="12"/>
                <w:szCs w:val="12"/>
                <w:color w:val="auto"/>
              </w:rPr>
            </w:pPr>
          </w:p>
        </w:tc>
        <w:tc>
          <w:tcPr>
            <w:tcW w:w="1120" w:type="dxa"/>
            <w:vAlign w:val="bottom"/>
            <w:gridSpan w:val="3"/>
            <w:vMerge w:val="restart"/>
          </w:tcPr>
          <w:p>
            <w:pPr>
              <w:jc w:val="right"/>
              <w:ind w:right="347"/>
              <w:spacing w:after="0"/>
              <w:rPr>
                <w:sz w:val="20"/>
                <w:szCs w:val="20"/>
                <w:color w:val="auto"/>
              </w:rPr>
            </w:pPr>
            <w:r>
              <w:rPr>
                <w:rFonts w:ascii="Arial" w:cs="Arial" w:eastAsia="Arial" w:hAnsi="Arial"/>
                <w:sz w:val="14"/>
                <w:szCs w:val="14"/>
                <w:b w:val="1"/>
                <w:bCs w:val="1"/>
                <w:color w:val="auto"/>
              </w:rPr>
              <w:t>Utilization</w:t>
            </w:r>
          </w:p>
        </w:tc>
        <w:tc>
          <w:tcPr>
            <w:tcW w:w="8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71"/>
        </w:trPr>
        <w:tc>
          <w:tcPr>
            <w:tcW w:w="2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 Revenue</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and Expenses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02"/>
        </w:trPr>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6"/>
              </w:rPr>
              <w:t>Allowance for service changes and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cancellations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(12,938)</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 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and Cash Equivalents and Marketable Securities</w:t>
      </w:r>
    </w:p>
    <w:p>
      <w:pPr>
        <w:spacing w:after="0" w:line="22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value. Unrealized gains and losses on marketable securities are excluded from earnings and reported as a component of other comprehensive income (loss).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achieve a consistent application of revenue recognition within the U.S.,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In addition, the revised guidance required that reporting companies disclose the nature, amount, timing, and uncertainty of revenue and cash flows arising from contracts with customers. The Company adopted this standard on January 1, 2019 using the full retrospective approach. The adoption of the new standard did not have a material impact on the financial statements.</w:t>
      </w:r>
    </w:p>
    <w:p>
      <w:pPr>
        <w:spacing w:after="0" w:line="181"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new standard clarifies the definition of a business to assist entities with evaluating whether transactions should be accounted for as acquisitions (or disposals) of assets or businesses. The new standard is effective for the Company for fiscal years beginning after December 15, 2018 and interim periods within annual periods beginning after December 15, 2019. The Company adopted this guidance effective January 1, 2019, which did not have a material impact on the Company’s financial statements.</w:t>
      </w:r>
    </w:p>
    <w:p>
      <w:pPr>
        <w:spacing w:after="0" w:line="19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(ASC 740)</w:t>
      </w:r>
      <w:r>
        <w:rPr>
          <w:rFonts w:ascii="Arial" w:cs="Arial" w:eastAsia="Arial" w:hAnsi="Arial"/>
          <w:sz w:val="18"/>
          <w:szCs w:val="18"/>
          <w:color w:val="auto"/>
        </w:rPr>
        <w:t>, to conform to SEC Staff Accounting Bulletin No. 118 (“SAB 118”). The standard was issued to allow registrants to record provisional amounts during a measurement period not to extend beyond one year from the enactment date in instances when a registrant does not have the necessary information available, prepared, or analyzed in reasonable detail to complete the accounting for certain income tax effects of the Tax Cuts and Jobs Act (the “Tax Reform Act”). The standard was effective upon issuance. The adoption of this guidance did not have a material impact on the Company’s financial statements.</w:t>
      </w:r>
    </w:p>
    <w:p>
      <w:pPr>
        <w:spacing w:after="0" w:line="195"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(ASC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Employee Share-Based Payment Accounting</w:t>
      </w:r>
      <w:r>
        <w:rPr>
          <w:rFonts w:ascii="Arial" w:cs="Arial" w:eastAsia="Arial" w:hAnsi="Arial"/>
          <w:sz w:val="17"/>
          <w:szCs w:val="17"/>
          <w:color w:val="auto"/>
        </w:rPr>
        <w:t>, which changes the accounting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nonemployees. The Company adopted this guidance effective January 1, 2019. The adoption of this guidance did not have a material impact on the Company’s financial statements.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In November 2019, the FASB most recently voted to defer the effective date of ASU 2016-02 for certain entities. As the Company will lose its emerging growth company status as of December 31, 2020, the new standard will be effective for the Company for the fiscal year beginning January 1, 2020. The Company plans to adopt the new standard using the modified retrospective approach for all leases entered into before the effective date. The Company is currently evaluating the impact this ASU will have on its financial statements.</w:t>
      </w:r>
    </w:p>
    <w:p>
      <w:pPr>
        <w:spacing w:after="0" w:line="181" w:lineRule="exact"/>
        <w:rPr>
          <w:sz w:val="20"/>
          <w:szCs w:val="20"/>
          <w:color w:val="auto"/>
        </w:rPr>
      </w:pPr>
    </w:p>
    <w:p>
      <w:pPr>
        <w:jc w:val="both"/>
        <w:ind w:left="700" w:right="59"/>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to determine which implementation costs to capitalize as assets.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lose its emerging growth company status as of December 31, 2020, the new standard will be effective for the Company for the fiscal year beginning January 1, 2020. The Company is currently reviewing its cloud computing arrangements to evaluate the impact of adoption of the final guidance but does not expect that the pending adoption of this ASU will have a material effect on its financial statements.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which replaces the incurred loss impairment methodology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with a methodology that reflects expected credit losses and requires consideration of a broader range of reasonable and supportable information to inform credit loss estimates. In July 2019, the FASB voted to defer the effective date of the standard to fiscal years beginning after December 15, 2019 for most public companies and fiscal years beginning after December 15, 2022 for private companies and public companies who elect to use the extended transition period for complying with new or revised accounting standards applicable to private companies. As the Company will lose its emerging growth company status as of December 31, 2020, the ASU will be effective for the Company for the fiscal year beginning January 1, 2020. The Company is currently evaluating the impact this ASU will have on its financial statements.</w:t>
      </w:r>
    </w:p>
    <w:p>
      <w:pPr>
        <w:spacing w:after="0" w:line="168" w:lineRule="exact"/>
        <w:rPr>
          <w:sz w:val="20"/>
          <w:szCs w:val="20"/>
          <w:color w:val="auto"/>
        </w:rPr>
      </w:pPr>
    </w:p>
    <w:p>
      <w:pPr>
        <w:ind w:left="700" w:right="59"/>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The standard is intended to simplify the accounting for income taxes by removing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to the general principles in Topic 740, as well as improve consistent application of and simplify GAAP for other areas of Topic 740 by clarifying and amending existing guidance. As the Company will lose its emerging growth company status as of December 31, 2020, the new standard will be effective for the Company for the fiscal year beginning January 1, 2021. The Company is currently evaluating the impact this ASU will have on its financial statements.</w:t>
      </w:r>
    </w:p>
    <w:p>
      <w:pPr>
        <w:spacing w:after="0" w:line="204" w:lineRule="exact"/>
        <w:rPr>
          <w:sz w:val="20"/>
          <w:szCs w:val="20"/>
          <w:color w:val="auto"/>
        </w:rPr>
      </w:pPr>
    </w:p>
    <w:p>
      <w:pPr>
        <w:ind w:left="700" w:right="6619" w:hanging="650"/>
        <w:spacing w:after="0" w:line="603" w:lineRule="auto"/>
        <w:tabs>
          <w:tab w:leader="none" w:pos="68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spacing w:after="0" w:line="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75"/>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1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50,024</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178,845</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11,172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61,196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244,557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30"/>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jc w:val="both"/>
        <w:ind w:left="700" w:right="5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83"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17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Level 2 — Inputs, other than quoted prices in active markets, that are observable either directly or indirectly.</w:t>
      </w:r>
    </w:p>
    <w:p>
      <w:pPr>
        <w:spacing w:after="0" w:line="236"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As of September 30, 2020, the Company had $107.9 million, in financial assets held in money market accounts and U.S. treasury bills, all of which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71"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As of September 30, 2020 and December 31, 2019, the Company did not have any assets or liabilities classified as Level 2 or Level 3 in the fair value hierarchy.</w:t>
      </w:r>
    </w:p>
    <w:p>
      <w:pPr>
        <w:spacing w:after="0" w:line="166" w:lineRule="exact"/>
        <w:rPr>
          <w:sz w:val="20"/>
          <w:szCs w:val="20"/>
          <w:color w:val="auto"/>
        </w:rPr>
      </w:pPr>
    </w:p>
    <w:p>
      <w:pPr>
        <w:ind w:left="680" w:hanging="630"/>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jc w:val="both"/>
        <w:ind w:left="700" w:right="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entered into a loan and security agreement with Silicon Valley Bank for a revolving line of credit up to $15.0 million based upon an advance rate of 80% on “eligible” accounts receivable to fund its working capital and other general corporate needs, which was amended in April 2019, January 2020 and June 2020 (as amended, the “SVB Line of Credit”). Eligible accounts receivable is defined in the loan agreement as accounts billed with aging 90 days or less and excludes accounts receivable due for member copayments, coinsurance, and deductibles.</w:t>
      </w:r>
    </w:p>
    <w:p>
      <w:pPr>
        <w:spacing w:after="0" w:line="192" w:lineRule="exact"/>
        <w:rPr>
          <w:rFonts w:ascii="Arial" w:cs="Arial" w:eastAsia="Arial" w:hAnsi="Arial"/>
          <w:sz w:val="18"/>
          <w:szCs w:val="18"/>
          <w:b w:val="1"/>
          <w:bCs w:val="1"/>
          <w:color w:val="auto"/>
        </w:rPr>
      </w:pPr>
    </w:p>
    <w:p>
      <w:pPr>
        <w:jc w:val="both"/>
        <w:ind w:left="700" w:right="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required to pay a revolving line commitment fee of $225,000 in three equal annual installments of $75,000 starting on the one-year anniversary of the SVB Line of Credit. The Company made the first installment payment of $75,000 in June 2019 and accrues this cost monthly.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Interest is paid based upon the borrowed funds.</w:t>
      </w:r>
    </w:p>
    <w:p>
      <w:pPr>
        <w:spacing w:after="0" w:line="177" w:lineRule="exact"/>
        <w:rPr>
          <w:rFonts w:ascii="Arial" w:cs="Arial" w:eastAsia="Arial" w:hAnsi="Arial"/>
          <w:sz w:val="18"/>
          <w:szCs w:val="18"/>
          <w:b w:val="1"/>
          <w:bCs w:val="1"/>
          <w:color w:val="auto"/>
        </w:rPr>
      </w:pPr>
    </w:p>
    <w:p>
      <w:pPr>
        <w:jc w:val="both"/>
        <w:ind w:left="700" w:right="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to achieve a specified minimum quarterly revenue as defined by the SVB Line of Credit.</w:t>
      </w:r>
    </w:p>
    <w:p>
      <w:pPr>
        <w:spacing w:after="0" w:line="178" w:lineRule="exact"/>
        <w:rPr>
          <w:rFonts w:ascii="Arial" w:cs="Arial" w:eastAsia="Arial" w:hAnsi="Arial"/>
          <w:sz w:val="18"/>
          <w:szCs w:val="18"/>
          <w:b w:val="1"/>
          <w:bCs w:val="1"/>
          <w:color w:val="auto"/>
        </w:rPr>
      </w:pPr>
    </w:p>
    <w:p>
      <w:pPr>
        <w:ind w:left="700" w:right="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was in compliance with all requirements and covenants of the revolving credit facility as of September 30, 2020 and December 31, 2019.</w:t>
      </w:r>
    </w:p>
    <w:p>
      <w:pPr>
        <w:spacing w:after="0" w:line="170" w:lineRule="exact"/>
        <w:rPr>
          <w:rFonts w:ascii="Arial" w:cs="Arial" w:eastAsia="Arial" w:hAnsi="Arial"/>
          <w:sz w:val="18"/>
          <w:szCs w:val="18"/>
          <w:b w:val="1"/>
          <w:bCs w:val="1"/>
          <w:color w:val="auto"/>
        </w:rPr>
      </w:pPr>
    </w:p>
    <w:p>
      <w:pPr>
        <w:jc w:val="both"/>
        <w:ind w:left="700" w:right="7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both September 30, 2020 and December 31, 2019, the Company had $0 drawn on the SVB Line of Credit. The Company recorded interest expense on the SVB Line of Credit of $56,000 and $195,000 in the nine months ended September 30, 2020 and 2019, respectively.</w:t>
      </w:r>
    </w:p>
    <w:p>
      <w:pPr>
        <w:spacing w:after="0" w:line="179" w:lineRule="exact"/>
        <w:rPr>
          <w:rFonts w:ascii="Arial" w:cs="Arial" w:eastAsia="Arial" w:hAnsi="Arial"/>
          <w:sz w:val="18"/>
          <w:szCs w:val="18"/>
          <w:b w:val="1"/>
          <w:bCs w:val="1"/>
          <w:color w:val="auto"/>
        </w:rPr>
      </w:pPr>
    </w:p>
    <w:p>
      <w:pPr>
        <w:ind w:left="640" w:hanging="590"/>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229"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In connection with the IPO on October 25, 2019, the convertible preferred warrants converted to common stock warrants. Therefore, as of September 30, 2020 and December 31, 2019 the Company had no outstanding convertible preferred warrants. Prior to the conversion, the convertible preferred stock warrants were valued using the IPO price of $13.00 per common share less the exercise price of $1.73 per common share. During the three months ended December 31, 2019, 482,661 common stock warrants were exercised for 441,307 shares of common stock at a weighted-average exercise price of $1.59 per common share.</w:t>
      </w:r>
    </w:p>
    <w:p>
      <w:pPr>
        <w:spacing w:after="0" w:line="178" w:lineRule="exact"/>
        <w:rPr>
          <w:sz w:val="20"/>
          <w:szCs w:val="20"/>
          <w:color w:val="auto"/>
        </w:rPr>
      </w:pPr>
    </w:p>
    <w:p>
      <w:pPr>
        <w:jc w:val="both"/>
        <w:ind w:left="700" w:right="79"/>
        <w:spacing w:after="0" w:line="342" w:lineRule="auto"/>
        <w:rPr>
          <w:sz w:val="20"/>
          <w:szCs w:val="20"/>
          <w:color w:val="auto"/>
        </w:rPr>
      </w:pPr>
      <w:r>
        <w:rPr>
          <w:rFonts w:ascii="Arial" w:cs="Arial" w:eastAsia="Arial" w:hAnsi="Arial"/>
          <w:sz w:val="16"/>
          <w:szCs w:val="16"/>
          <w:color w:val="auto"/>
        </w:rPr>
        <w:t>The Company recognized the warrants at fair value at the time of issuance and remeasured the warrants at their fair value on a recurring basis thereafter. Given the deemed liquidation provisions of the underlying convertible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59"/>
        <w:spacing w:after="0" w:line="308" w:lineRule="auto"/>
        <w:rPr>
          <w:sz w:val="20"/>
          <w:szCs w:val="20"/>
          <w:color w:val="auto"/>
        </w:rPr>
      </w:pPr>
      <w:r>
        <w:rPr>
          <w:rFonts w:ascii="Arial" w:cs="Arial" w:eastAsia="Arial" w:hAnsi="Arial"/>
          <w:sz w:val="17"/>
          <w:szCs w:val="17"/>
          <w:color w:val="auto"/>
        </w:rPr>
        <w:t>preferred stock, the convertible preferred stock warrant liabilities are recorded at fair value and are subject to remeasurement at each balance sheet date. The Company calculates the warrants’ fair value as follows:</w:t>
      </w:r>
    </w:p>
    <w:p>
      <w:pPr>
        <w:spacing w:after="0" w:line="146" w:lineRule="exact"/>
        <w:rPr>
          <w:sz w:val="20"/>
          <w:szCs w:val="20"/>
          <w:color w:val="auto"/>
        </w:rPr>
      </w:pPr>
    </w:p>
    <w:p>
      <w:pPr>
        <w:ind w:left="1680" w:hanging="334"/>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Company’s equity value is estimated using the market approach.</w:t>
      </w:r>
    </w:p>
    <w:p>
      <w:pPr>
        <w:spacing w:after="0" w:line="225" w:lineRule="exact"/>
        <w:rPr>
          <w:rFonts w:ascii="Arial" w:cs="Arial" w:eastAsia="Arial" w:hAnsi="Arial"/>
          <w:sz w:val="18"/>
          <w:szCs w:val="18"/>
          <w:color w:val="auto"/>
        </w:rPr>
      </w:pPr>
    </w:p>
    <w:p>
      <w:pPr>
        <w:ind w:left="1680" w:right="79" w:hanging="334"/>
        <w:spacing w:after="0" w:line="293" w:lineRule="auto"/>
        <w:tabs>
          <w:tab w:leader="none" w:pos="16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Company’s equity value is then allocated among classes of its capital structure, including Series B convertible preferred shares. The allocation is performed using the Option Pricing Methodology. This method treats securities as options with the Company. The allocation is used to determine the value of Series B convertible preferred shares, as well as the Series B convertible preferred stock warrants. The Company assumes that any exercise of the warrants would be to purchase Series B convertible preferred shares, and assumes scenarios where the warrants will not be exercised.</w:t>
      </w:r>
    </w:p>
    <w:p>
      <w:pPr>
        <w:spacing w:after="0" w:line="160" w:lineRule="exact"/>
        <w:rPr>
          <w:rFonts w:ascii="Arial" w:cs="Arial" w:eastAsia="Arial" w:hAnsi="Arial"/>
          <w:sz w:val="16"/>
          <w:szCs w:val="16"/>
          <w:color w:val="auto"/>
        </w:rPr>
      </w:pPr>
    </w:p>
    <w:p>
      <w:pPr>
        <w:ind w:left="600" w:hanging="550"/>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Arbitration/Litigation</w:t>
      </w:r>
    </w:p>
    <w:p>
      <w:pPr>
        <w:spacing w:after="0" w:line="225" w:lineRule="exact"/>
        <w:rPr>
          <w:sz w:val="20"/>
          <w:szCs w:val="20"/>
          <w:color w:val="auto"/>
        </w:rPr>
      </w:pPr>
    </w:p>
    <w:p>
      <w:pPr>
        <w:jc w:val="both"/>
        <w:ind w:left="700" w:right="59"/>
        <w:spacing w:after="0" w:line="268" w:lineRule="auto"/>
        <w:rPr>
          <w:sz w:val="20"/>
          <w:szCs w:val="20"/>
          <w:color w:val="auto"/>
        </w:rPr>
      </w:pPr>
      <w:r>
        <w:rPr>
          <w:rFonts w:ascii="Arial" w:cs="Arial" w:eastAsia="Arial" w:hAnsi="Arial"/>
          <w:sz w:val="17"/>
          <w:szCs w:val="17"/>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by the vendor. On April 3, 2019, the vendor filed a Second Amended Demand for Arbitration (“SAD”) for breach of the Agreement. The vendor seeks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Arbitration Panel held additional hearings for the two remaining claims between August 17, 2020 and August 26, 2020 and final arguments were held on October 20, 2020. The Company believes the vendor’s claims are without merit and is awaiting a decision from the Arbitration. Due to the inherent uncertainties of litigation, the Company cannot predict the outcome of the actions at this time and can give no assurances that the asserted claims will not have a material adverse effect on the financial position or results of operations of the Company.</w:t>
      </w:r>
    </w:p>
    <w:p>
      <w:pPr>
        <w:spacing w:after="0" w:line="186"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142" w:lineRule="exact"/>
        <w:rPr>
          <w:sz w:val="20"/>
          <w:szCs w:val="20"/>
          <w:color w:val="auto"/>
        </w:rPr>
      </w:pPr>
    </w:p>
    <w:p>
      <w:pPr>
        <w:ind w:left="640" w:hanging="590"/>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ind w:left="700" w:right="59"/>
        <w:spacing w:after="0" w:line="342" w:lineRule="auto"/>
        <w:rPr>
          <w:sz w:val="20"/>
          <w:szCs w:val="20"/>
          <w:color w:val="auto"/>
        </w:rPr>
      </w:pPr>
      <w:r>
        <w:rPr>
          <w:rFonts w:ascii="Arial" w:cs="Arial" w:eastAsia="Arial" w:hAnsi="Arial"/>
          <w:sz w:val="16"/>
          <w:szCs w:val="16"/>
          <w:color w:val="auto"/>
        </w:rPr>
        <w:t>During March, June and November 2017, the Company raised approximately $15.0 million through the issuance of 8,691,179 shares of its Series B convertible preferred stock at $1.73 per share to new and existing investors.</w:t>
      </w:r>
    </w:p>
    <w:p>
      <w:pPr>
        <w:spacing w:after="0" w:line="124"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In June 2018, the Company redeemed and retired 1,202,196 shares of Series B convertible preferred stock from a former employee pursuant to its contractual right of first refusal at a purchase price of $2.5 million. The difference of $425,000 between the purchase price (at $2.04 per share) and the carrying value (at $1.73 per share) has been recorded as a dividend in accumulated deficit as of December 31, 2018.</w:t>
      </w:r>
    </w:p>
    <w:p>
      <w:pPr>
        <w:spacing w:after="0" w:line="171"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In conjunction with the above convertible preferred stock redemption, certain stockholders purchased convertible preferred stock and common stock from the same former employee at the same price per share.</w:t>
      </w:r>
    </w:p>
    <w:p>
      <w:pPr>
        <w:spacing w:after="0" w:line="146"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In connection with the transactions above, an outstanding severance liability was settled. As the total paid by the stockholders to the former employee was in excess of the common stock and preferred stock fair value, this premium was deemed consideration paid on behalf of the Company for the settlement of the severance liability. As such, the Company has accounted for this excess paid of $414,000 as a non-cash contribution in additional paid in capital.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79"/>
        <w:spacing w:after="0" w:line="308" w:lineRule="auto"/>
        <w:rPr>
          <w:sz w:val="20"/>
          <w:szCs w:val="20"/>
          <w:color w:val="auto"/>
        </w:rPr>
      </w:pPr>
      <w:r>
        <w:rPr>
          <w:rFonts w:ascii="Arial" w:cs="Arial" w:eastAsia="Arial" w:hAnsi="Arial"/>
          <w:sz w:val="17"/>
          <w:szCs w:val="17"/>
          <w:color w:val="auto"/>
        </w:rPr>
        <w:t>The authorized, issued and outstanding shares, and liquidation preference of the Company’s convertible preferred stock as of the dates indicated were as follows (in thousands, except for share and per share data):</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tcBorders>
              <w:bottom w:val="single" w:sz="8" w:color="auto"/>
            </w:tcBorders>
            <w:gridSpan w:val="9"/>
          </w:tcPr>
          <w:p>
            <w:pPr>
              <w:jc w:val="right"/>
              <w:ind w:right="667"/>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2"/>
              </w:rPr>
              <w:t>Authorized</w:t>
            </w:r>
          </w:p>
        </w:tc>
        <w:tc>
          <w:tcPr>
            <w:tcW w:w="10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Issued and</w:t>
            </w:r>
          </w:p>
        </w:tc>
        <w:tc>
          <w:tcPr>
            <w:tcW w:w="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w:t>
            </w:r>
          </w:p>
        </w:tc>
        <w:tc>
          <w:tcPr>
            <w:tcW w:w="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100,000,000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jc w:val="right"/>
              <w:ind w:right="687"/>
              <w:spacing w:after="0"/>
              <w:rPr>
                <w:sz w:val="20"/>
                <w:szCs w:val="20"/>
                <w:color w:val="auto"/>
              </w:rPr>
            </w:pPr>
            <w:r>
              <w:rPr>
                <w:rFonts w:ascii="Arial" w:cs="Arial" w:eastAsia="Arial" w:hAnsi="Arial"/>
                <w:sz w:val="14"/>
                <w:szCs w:val="14"/>
                <w:b w:val="1"/>
                <w:bCs w:val="1"/>
                <w:color w:val="auto"/>
              </w:rPr>
              <w:t>As of September 30, 2019</w:t>
            </w: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Authorized</w:t>
            </w:r>
          </w:p>
        </w:tc>
        <w:tc>
          <w:tcPr>
            <w:tcW w:w="10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Issued and</w:t>
            </w:r>
          </w:p>
        </w:tc>
        <w:tc>
          <w:tcPr>
            <w:tcW w:w="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Series A Preferred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69,930,070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15,384,798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Series B Preferred</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245,000,000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50,043,290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86,369</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314,930,070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65,428,088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80" w:hanging="63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stock-based compensation expense, which was included in the statements of operations as follows (in thousands):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3"/>
                <w:szCs w:val="13"/>
                <w:color w:val="auto"/>
              </w:rPr>
            </w:pPr>
          </w:p>
        </w:tc>
        <w:tc>
          <w:tcPr>
            <w:tcW w:w="18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8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7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10"/>
        </w:trPr>
        <w:tc>
          <w:tcPr>
            <w:tcW w:w="470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80" w:hanging="730"/>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For the nine months ended September 30, 2020 and 2019,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nine months ended September 30, 2020 and 2019, the Company recorded a provision for state income taxes of $116,000 and $89,000, respectively.</w:t>
      </w:r>
    </w:p>
    <w:p>
      <w:pPr>
        <w:spacing w:after="0" w:line="191" w:lineRule="exact"/>
        <w:rPr>
          <w:sz w:val="20"/>
          <w:szCs w:val="20"/>
          <w:color w:val="auto"/>
        </w:rPr>
      </w:pPr>
    </w:p>
    <w:p>
      <w:pPr>
        <w:ind w:left="760" w:hanging="710"/>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Share</w:t>
      </w:r>
    </w:p>
    <w:p>
      <w:pPr>
        <w:spacing w:after="0" w:line="229"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Basic net income per share attributable to common stockholders is calculated by dividing the net income attributable to common stockholders by the weighted-average number of shares of common stock outstanding for the period. The Company adjusts its net income attributable to common stockholders to reflect the impact of deemed dividends recorded for convertible preferred stock during the period.</w:t>
      </w:r>
    </w:p>
    <w:p>
      <w:pPr>
        <w:spacing w:after="0" w:line="171"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For the three and nine months ended September 30, 2019, holders of the Company’s convertible preferred stock were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securities. As a result, the Company calculated the net income per share using the two-class method. Accordingly, the net income attributable to common stockholders is derived from the net income for the period and, in periods in which the Company has net income attributable to common stockholders, an adjustment is made for the allocations of undistributed earnings to participating securities based on their outstanding stockholder rights. Under the two-class method, net loss attributable to common stockholders is not allocated to the convertible preferred stock as the convertible preferred stockholders did not have a contractual obligation to share in the Company’s losses.</w:t>
      </w:r>
    </w:p>
    <w:p>
      <w:pPr>
        <w:spacing w:after="0" w:line="195"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Diluted net income attributable to common stockholders is computed by adjusting income attributable to common stockholders to allocate undistributed earnings based on the potential impact of dilutive securities, including outstanding stock options, convertible preferred stock, convertible preferred stock warrants, and common stock warrants. Diluted net income per share attributable to common stockholders is computed by dividing the diluted net income attributable to common stockholders by the weighted average number of common shares outstanding for the period, including common stock equivalents. In periods when the Company has incurred a net loss, convertible 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66"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A reconciliation of net income available to common stockholders and the number of shares in the calculation of basic and diluted net loss per share follows (in thousands, except share and per share amounts):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earnings per common share:</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4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5,355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(8,210)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Weighted-average shares used in computing basic net income (loss)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 share attributable to common stockholders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86,265,297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7,472,469</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85,364,608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5,947,821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ind w:left="100"/>
              <w:spacing w:after="0" w:line="173" w:lineRule="exact"/>
              <w:rPr>
                <w:sz w:val="20"/>
                <w:szCs w:val="20"/>
                <w:color w:val="auto"/>
              </w:rPr>
            </w:pPr>
            <w:r>
              <w:rPr>
                <w:rFonts w:ascii="Arial" w:cs="Arial" w:eastAsia="Arial" w:hAnsi="Arial"/>
                <w:sz w:val="16"/>
                <w:szCs w:val="16"/>
                <w:color w:val="auto"/>
              </w:rPr>
              <w:t>Basic net income (loss) per share attributable to common</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3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2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rPr>
                <w:sz w:val="20"/>
                <w:szCs w:val="20"/>
                <w:color w:val="auto"/>
              </w:rPr>
            </w:pPr>
            <w:r>
              <w:rPr>
                <w:rFonts w:ascii="Arial" w:cs="Arial" w:eastAsia="Arial" w:hAnsi="Arial"/>
                <w:sz w:val="16"/>
                <w:szCs w:val="16"/>
                <w:color w:val="auto"/>
              </w:rPr>
              <w:t>Net income (loss) attributable to common stockholders</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5,355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(8,210)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 net income (loss) attributable to common stockholders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w w:val="99"/>
              </w:rPr>
              <w:t>Weighted-average shares used in computing diluted net income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rPr>
              <w:t>(loss) per share attributable to common stockholder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86,265,297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7,472,469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85,364,608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5,947,821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dilutive securities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12,704,291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13,571,881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ind w:left="100"/>
              <w:spacing w:after="0" w:line="173" w:lineRule="exact"/>
              <w:rPr>
                <w:sz w:val="20"/>
                <w:szCs w:val="20"/>
                <w:color w:val="auto"/>
              </w:rPr>
            </w:pPr>
            <w:r>
              <w:rPr>
                <w:rFonts w:ascii="Arial" w:cs="Arial" w:eastAsia="Arial" w:hAnsi="Arial"/>
                <w:sz w:val="16"/>
                <w:szCs w:val="16"/>
                <w:color w:val="auto"/>
                <w:w w:val="99"/>
              </w:rPr>
              <w:t>Weighted-average shares used in computing diluted net income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 per share attributable to common stockholders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98,969,588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7,472,469</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98,936,489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5,947,821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line="176" w:lineRule="exact"/>
              <w:rPr>
                <w:sz w:val="20"/>
                <w:szCs w:val="20"/>
                <w:color w:val="auto"/>
              </w:rPr>
            </w:pPr>
            <w:r>
              <w:rPr>
                <w:rFonts w:ascii="Arial" w:cs="Arial" w:eastAsia="Arial" w:hAnsi="Arial"/>
                <w:sz w:val="16"/>
                <w:szCs w:val="16"/>
                <w:color w:val="auto"/>
              </w:rPr>
              <w:t>Diluted net income (loss) per share attributable to common</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stockholders</w:t>
            </w:r>
          </w:p>
        </w:tc>
        <w:tc>
          <w:tcPr>
            <w:tcW w:w="2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loss per share attributable to common stockholders for the period presented because including them would have been antidilutive: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8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90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80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9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65,428,088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65,428,088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721,202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12,589,387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517,743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11,314,536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13,829</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59,876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1,564,952</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1,400,660</w:t>
            </w:r>
          </w:p>
        </w:tc>
      </w:tr>
      <w:tr>
        <w:trPr>
          <w:trHeight w:val="209"/>
        </w:trPr>
        <w:tc>
          <w:tcPr>
            <w:tcW w:w="49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79,702,101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578,047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78,255,465</w:t>
            </w:r>
          </w:p>
        </w:tc>
      </w:tr>
      <w:tr>
        <w:trPr>
          <w:trHeight w:val="20"/>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and other financial information included elsewhere in this Quarterly Report on Form 10-Q and our Annual Report on Form 10-K, filed with the Securities and Exchange Commission, or the SEC, on March 10, 2020.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130. We have retained substantially all of our clients since inception, and our member satisfaction over that same time period is evidenced by our most recent industry-leading Net Promoter Score, or NPS, of +78 for our fertility benefits solution and +80 for our integrated pharmacy benefits solution, Progyny Rx. We currently provide coverage to approximately 2.3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6"/>
              </w:rPr>
              <w:t>Progyny In-Network</w:t>
            </w:r>
          </w:p>
        </w:tc>
        <w:tc>
          <w:tcPr>
            <w:tcW w:w="15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6"/>
              </w:rPr>
              <w:t>Progyny In-Network</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10"/>
              <w:spacing w:after="0"/>
              <w:rPr>
                <w:sz w:val="20"/>
                <w:szCs w:val="20"/>
                <w:color w:val="auto"/>
              </w:rPr>
            </w:pPr>
            <w:r>
              <w:rPr>
                <w:rFonts w:ascii="Arial" w:cs="Arial" w:eastAsia="Arial" w:hAnsi="Arial"/>
                <w:sz w:val="14"/>
                <w:szCs w:val="14"/>
                <w:b w:val="1"/>
                <w:bCs w:val="1"/>
                <w:color w:val="auto"/>
                <w:w w:val="90"/>
              </w:rPr>
              <w:t>National Averages</w:t>
            </w:r>
          </w:p>
        </w:tc>
        <w:tc>
          <w:tcPr>
            <w:tcW w:w="1580" w:type="dxa"/>
            <w:vAlign w:val="bottom"/>
            <w:gridSpan w:val="2"/>
            <w:vMerge w:val="continue"/>
          </w:tcPr>
          <w:p>
            <w:pPr>
              <w:spacing w:after="0"/>
              <w:rPr>
                <w:sz w:val="12"/>
                <w:szCs w:val="12"/>
                <w:color w:val="auto"/>
              </w:rPr>
            </w:pPr>
          </w:p>
        </w:tc>
        <w:tc>
          <w:tcPr>
            <w:tcW w:w="15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7"/>
              </w:rPr>
              <w:t>Provider Clinic</w:t>
            </w:r>
          </w:p>
        </w:tc>
        <w:tc>
          <w:tcPr>
            <w:tcW w:w="150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8"/>
        </w:trPr>
        <w:tc>
          <w:tcPr>
            <w:tcW w:w="352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Outcome</w:t>
            </w:r>
          </w:p>
        </w:tc>
        <w:tc>
          <w:tcPr>
            <w:tcW w:w="14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6"/>
              </w:rPr>
              <w:t>for All Provider</w:t>
            </w:r>
          </w:p>
        </w:tc>
        <w:tc>
          <w:tcPr>
            <w:tcW w:w="15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8"/>
              </w:rPr>
              <w:t>Averages</w:t>
            </w:r>
          </w:p>
        </w:tc>
        <w:tc>
          <w:tcPr>
            <w:tcW w:w="15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1"/>
        </w:trPr>
        <w:tc>
          <w:tcPr>
            <w:tcW w:w="3520" w:type="dxa"/>
            <w:vAlign w:val="bottom"/>
            <w:gridSpan w:val="4"/>
            <w:vMerge w:val="continue"/>
          </w:tcPr>
          <w:p>
            <w:pPr>
              <w:spacing w:after="0"/>
              <w:rPr>
                <w:sz w:val="14"/>
                <w:szCs w:val="14"/>
                <w:color w:val="auto"/>
              </w:rPr>
            </w:pPr>
          </w:p>
        </w:tc>
        <w:tc>
          <w:tcPr>
            <w:tcW w:w="14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Clinics</w:t>
            </w:r>
          </w:p>
        </w:tc>
        <w:tc>
          <w:tcPr>
            <w:tcW w:w="15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for All Patients</w:t>
            </w:r>
          </w:p>
        </w:tc>
        <w:tc>
          <w:tcPr>
            <w:tcW w:w="15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Members Only</w:t>
            </w:r>
            <w:r>
              <w:rPr>
                <w:rFonts w:ascii="Arial" w:cs="Arial" w:eastAsia="Arial" w:hAnsi="Arial"/>
                <w:sz w:val="10"/>
                <w:szCs w:val="10"/>
                <w:b w:val="1"/>
                <w:bCs w:val="1"/>
                <w:color w:val="auto"/>
                <w:w w:val="95"/>
              </w:rPr>
              <w:t>(3)</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tcPr>
          <w:p>
            <w:pPr>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52.4 %</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54.0 %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19.0 %</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18.7 %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tcPr>
          <w:p>
            <w:pPr>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42.1 %</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43.7 %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12.2 %</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20" w:right="31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2017 National Summary Report, finalized in 2020.</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CDC, 2018 National Summary and Clinic Data Sets, published in 2020.</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2019.</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treatment cycle, including all necessary diagnostic testing and access to the latest technology (e.g., in the case of in vitro fertilization, or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Progyny Rx. </w:t>
      </w:r>
      <w:r>
        <w:rPr>
          <w:rFonts w:ascii="Arial" w:cs="Arial" w:eastAsia="Arial" w:hAnsi="Arial"/>
          <w:sz w:val="18"/>
          <w:szCs w:val="18"/>
          <w:color w:val="auto"/>
        </w:rPr>
        <w:t>We went live with our integrated pharmacy benefits solution in 2018. Progyny Rx can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Our Clients. </w:t>
      </w:r>
      <w:r>
        <w:rPr>
          <w:rFonts w:ascii="Arial" w:cs="Arial" w:eastAsia="Arial" w:hAnsi="Arial"/>
          <w:sz w:val="18"/>
          <w:szCs w:val="18"/>
          <w:color w:val="auto"/>
        </w:rPr>
        <w:t>We currently serve over 130 employers in the United States across more than 25 industries.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clients, who are industry leaders across both high-growth and mature industries and who range in size from 1,000 to 250,000 employees, represent 2.3 million covered lives.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1020" w:right="79" w:hanging="322"/>
        <w:spacing w:after="0" w:line="25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jc w:val="both"/>
        <w:ind w:left="1020" w:right="79" w:hanging="322"/>
        <w:spacing w:after="0" w:line="275"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Population-Based Component. </w:t>
      </w:r>
      <w:r>
        <w:rPr>
          <w:rFonts w:ascii="Arial" w:cs="Arial" w:eastAsia="Arial" w:hAnsi="Arial"/>
          <w:sz w:val="17"/>
          <w:szCs w:val="17"/>
          <w:color w:val="auto"/>
        </w:rPr>
        <w:t>Clients who purchase our fertility benefits solution also typically pay us a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2% and 1% of our total revenue for the nine months ended September 30, 2020 and 2019, respectively.</w:t>
      </w:r>
    </w:p>
    <w:p>
      <w:pPr>
        <w:spacing w:after="0" w:line="1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revenue in a given year is determined by both the utilization of our fertility benefits and Progyny Rx solutions by our members and the number of members enrolled in our clients’ benefits plans. Each year, we contract directly with new clients for our fertility benefits solution and, where added by the client, our Progyny Rx solution. 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344"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plan year start.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measures presented in our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Member and Client Base</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addressable market is primarily large self-insured employers. There are approximately 8,000 self-insured employers in the United States (excluding quasi-governmental entities, such as universities and school systems, and labor unions) who have a minimum of 1,000 employees, representing approximately 69 million potential covered lives in total. Our current member base of 2.3 million represents only 3%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2020 and 2019, we served 135 and 84 clients, respectively.</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25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Benefits Utilization</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 key driver of our revenue is the number of members we serve and the rate at which they utilize their fertility benefits. As our client base has grown, our membership has grown from approximately 110,000 members in 2016 when we launched our fertility benefits solution to 2.3 million members at September 30,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highlights the number of assisted reproductive treatment, or ART, cycles performed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Progyny members and the member utilization rates for each of the periods presented: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9"/>
              </w:rPr>
              <w:t>Three Months Ended September 30,</w:t>
            </w:r>
          </w:p>
        </w:tc>
        <w:tc>
          <w:tcPr>
            <w:tcW w:w="232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 September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12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8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24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4"/>
                <w:szCs w:val="24"/>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1120" w:type="dxa"/>
            <w:vAlign w:val="bottom"/>
          </w:tcPr>
          <w:p>
            <w:pPr>
              <w:jc w:val="right"/>
              <w:spacing w:after="0"/>
              <w:rPr>
                <w:sz w:val="20"/>
                <w:szCs w:val="20"/>
                <w:color w:val="auto"/>
              </w:rPr>
            </w:pPr>
            <w:r>
              <w:rPr>
                <w:rFonts w:ascii="Arial" w:cs="Arial" w:eastAsia="Arial" w:hAnsi="Arial"/>
                <w:sz w:val="18"/>
                <w:szCs w:val="18"/>
                <w:color w:val="auto"/>
              </w:rPr>
              <w:t>2,221,000</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1,356,000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2,156,000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1,240,000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8"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80" w:right="79" w:hanging="330"/>
        <w:spacing w:after="0" w:line="255" w:lineRule="auto"/>
        <w:tabs>
          <w:tab w:leader="none" w:pos="3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March 11, 2020, the World Health Organization designated the recent novel coronavirus, or COVID-19, as a global pandemic. COVID-19 has significantly impacted various markets around the world, including the United States. Public and private sector policies and initiatives to reduce the transmission of COVID-19 have varied significantly across the United States, but as of September 30, 2020, a significant percentage of the U.S. population remained subject to meaningful restrictions on activities, which included school closures, limitations on large gatherings and other policies to promote or enforce physical distancing. As described below, these restrictions and our responses to them have significantly impacted and may continue to impact how our members use our services, access our providers, and how our employees work and provide services to our clients and members, resulting in an impact on our revenue.</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Employee safety is our first priority, and as a result, we have implemented a remote working policy for all of our employees. Although we recently re-opened our corporate offices for a small group of employees, the majority of our employees continue to work remotely. We are also working closely with all of our clients, members, providers and other external business partners. We believe we have sufficient liquidity to satisfy our cash needs, however, we continue to evaluate and take action, as necessary, to preserve adequate liquidity and ensure that our business can continue to operate during these uncertain times.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Most of the policies and initiatives referenced above were implemented during the latter part of the first quarter of 2020. In the nine months ended September 30, 2020, the COVID-19 pandemic had a material negative impact on our operating results. In particular, the outbreak and preventative measures taken to contain COVID-19, especially in the first half of 2020, negatively impacted our members’ access to care due to a temporary unavailability of the full range of fertility treatments at our provider clinics.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March 17, 2020, the American Society for Reproductive Medicine, or ASRM, issued guidelines recommending the suspension of new treatment cycles. As a result, the significant majority of our members were unable to complete diagnostics or initiate new treatment cycles, and our volumes declined precipitously as of that date. ASRM then updated its guidelines on April 24, 2020 and reaffirmed on May 11, 2020, providing fertility clinics with a path for the safe and gradual resumption of patient care. Additionally, most state and local governments have eased stay-at-home orders and allowed for the resumption of non-emergent medical procedures. Most of our clinics resumed services towards the end of the second quarter of 2020.</w:t>
      </w:r>
    </w:p>
    <w:p>
      <w:pPr>
        <w:spacing w:after="0" w:line="19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full extent to which the COVID-19 pandemic will directly or indirectly impact our business, future results of operations and financial condition will depend on future developments that are highly uncertain and cannot be accurately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predicted, including new information that may emerge concerning COVID-19, the actions taken to contain it or treat its impact and the economic impact on local, regional and national markets. To the extent that the markets we serve experience increased cases of COVID-19, state or local governments may reinstitute measures to control the spread of COVID-19, which could again negatively impact our members’ access to care. We will continue to evaluate the nature and extent of these potential impacts to our business, results of operations and liquidity.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 and service changes.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are recognized when the drugs are dispensed. This solution was introduced in the marketplace in the third quarter of 2017 and went live with a select number of clients in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and related information technology support costs. Our contracts with provider clinics are typically for a term of one to two years.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(including a step up in public company related expenses) for employees and professional fees and insurance and related third-party consulting services on an ongoing basis as a public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(expense) includes investment income, interest income (expense), and a preferred stock warrant valuation adjustment.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subject to income taxes in the United States. As of September 30, 2020 and December 31, 2019, we recorded a full valuation allowance for our deferred tax assets based on our historical loss and the uncertainty regarding our ability to project future taxable income. In future periods, if we are able to generate income, we may reduce or eliminate the valuation allowance.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7"/>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18"/>
                <w:szCs w:val="18"/>
                <w:color w:val="auto"/>
                <w:w w:val="87"/>
              </w:rPr>
              <w:t>98,928</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61,196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244,557</w:t>
            </w:r>
          </w:p>
        </w:tc>
        <w:tc>
          <w:tcPr>
            <w:tcW w:w="1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164,561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87"/>
              </w:rPr>
              <w:t>78,092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195,164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130,825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4"/>
              <w:spacing w:after="0"/>
              <w:rPr>
                <w:sz w:val="20"/>
                <w:szCs w:val="20"/>
                <w:color w:val="auto"/>
              </w:rPr>
            </w:pPr>
            <w:r>
              <w:rPr>
                <w:rFonts w:ascii="Arial" w:cs="Arial" w:eastAsia="Arial" w:hAnsi="Arial"/>
                <w:sz w:val="18"/>
                <w:szCs w:val="18"/>
                <w:color w:val="auto"/>
                <w:w w:val="87"/>
              </w:rPr>
              <w:t>20,836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12,320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49,393</w:t>
            </w: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18"/>
                <w:szCs w:val="18"/>
                <w:color w:val="auto"/>
              </w:rPr>
              <w:t>3,355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3,183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10,230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w w:val="87"/>
              </w:rPr>
              <w:t>12,120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6,068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31,763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w w:val="87"/>
              </w:rPr>
              <w:t>15,475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9,251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41,993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(11,254)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5,355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5,355</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gridSpan w:val="2"/>
          </w:tcPr>
          <w:p>
            <w:pPr>
              <w:spacing w:after="0"/>
              <w:rPr>
                <w:sz w:val="8"/>
                <w:szCs w:val="8"/>
                <w:color w:val="auto"/>
              </w:rPr>
            </w:pPr>
          </w:p>
        </w:tc>
        <w:tc>
          <w:tcPr>
            <w:tcW w:w="2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360" w:type="dxa"/>
            <w:vAlign w:val="bottom"/>
            <w:gridSpan w:val="3"/>
          </w:tcPr>
          <w:p>
            <w:pPr>
              <w:ind w:left="20"/>
              <w:spacing w:after="0"/>
              <w:rPr>
                <w:sz w:val="20"/>
                <w:szCs w:val="20"/>
                <w:color w:val="auto"/>
              </w:rPr>
            </w:pPr>
            <w:r>
              <w:rPr>
                <w:rFonts w:ascii="Arial" w:cs="Arial" w:eastAsia="Arial" w:hAnsi="Arial"/>
                <w:sz w:val="18"/>
                <w:szCs w:val="18"/>
                <w:color w:val="auto"/>
                <w:w w:val="90"/>
              </w:rPr>
              <w:t>(1) Includes stock-based compensation expense as follows: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09"/>
        </w:trPr>
        <w:tc>
          <w:tcPr>
            <w:tcW w:w="436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1180" w:type="dxa"/>
            <w:vAlign w:val="bottom"/>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3,071</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6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80" w:type="dxa"/>
            <w:vAlign w:val="bottom"/>
            <w:vMerge w:val="restart"/>
          </w:tcPr>
          <w:p>
            <w:pPr>
              <w:jc w:val="right"/>
              <w:ind w:right="890"/>
              <w:spacing w:after="0"/>
              <w:rPr>
                <w:sz w:val="20"/>
                <w:szCs w:val="20"/>
                <w:color w:val="auto"/>
              </w:rPr>
            </w:pPr>
            <w:r>
              <w:rPr>
                <w:rFonts w:ascii="Arial" w:cs="Arial" w:eastAsia="Arial" w:hAnsi="Arial"/>
                <w:sz w:val="18"/>
                <w:szCs w:val="18"/>
                <w:color w:val="auto"/>
                <w:w w:val="89"/>
              </w:rPr>
              <w:t>28</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8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800" w:type="dxa"/>
            <w:vAlign w:val="bottom"/>
          </w:tcPr>
          <w:p>
            <w:pPr>
              <w:spacing w:after="0"/>
              <w:rPr>
                <w:sz w:val="14"/>
                <w:szCs w:val="14"/>
                <w:color w:val="auto"/>
              </w:rPr>
            </w:pPr>
          </w:p>
        </w:tc>
        <w:tc>
          <w:tcPr>
            <w:tcW w:w="208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r>
      <w:tr>
        <w:trPr>
          <w:trHeight w:val="344"/>
        </w:trPr>
        <w:tc>
          <w:tcPr>
            <w:tcW w:w="4800" w:type="dxa"/>
            <w:vAlign w:val="bottom"/>
          </w:tcPr>
          <w:p>
            <w:pPr>
              <w:spacing w:after="0"/>
              <w:rPr>
                <w:sz w:val="20"/>
                <w:szCs w:val="20"/>
                <w:color w:val="auto"/>
              </w:rPr>
            </w:pPr>
            <w:r>
              <w:rPr>
                <w:rFonts w:ascii="Arial" w:cs="Arial" w:eastAsia="Arial" w:hAnsi="Arial"/>
                <w:sz w:val="18"/>
                <w:szCs w:val="18"/>
                <w:b w:val="1"/>
                <w:bCs w:val="1"/>
                <w:color w:val="auto"/>
                <w:w w:val="93"/>
              </w:rPr>
              <w:t>Statements of Operations Data, as a percentage of revenue: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tcPr>
          <w:p>
            <w:pPr>
              <w:spacing w:after="0"/>
              <w:rPr>
                <w:sz w:val="18"/>
                <w:szCs w:val="18"/>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Adjusted EBITDA is a supplemental financial measure that is not required by, or presented in accordance with accounting principles generally accepted in the United States, or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net; (5) it does not consider the impact of any stock warrant valuation adjustment; (6) it does not reflect tax payments that may represent a reduction in cash available to us; (7) it does not include legal fees that may be payable in connection with a vendor arbitration; and (8) it does not include non-deferred costs associated with our initial public offering, or IPO,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7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calculate Adjusted EBITDA as net income (loss), adjusted to exclude depreciation and amortization, stock-based compensation expense, other income, interest (income) expense, net, convertible preferred stock warrant valuation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adjustment, provision for income taxes, legal fees associated with a vendor arbitration, and non-deferred IPO costs. The following table presents a reconciliation of Adjusted EBITDA to net income (loss) for each of the periods indicated: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right"/>
              <w:ind w:right="214"/>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3,209</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Convertible preferred stock warrant valuation adjustment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12,419</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Legal fees associated with a vendor arbitration</w:t>
            </w:r>
            <w:r>
              <w:rPr>
                <w:rFonts w:ascii="Arial" w:cs="Arial" w:eastAsia="Arial" w:hAnsi="Arial"/>
                <w:sz w:val="25"/>
                <w:szCs w:val="25"/>
                <w:color w:val="auto"/>
                <w:vertAlign w:val="superscript"/>
              </w:rPr>
              <w:t>(a)</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Non-deferred IPO costs</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10,582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20,735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14,460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engaged in other activities and transactions that can impact our net income. In recent periods, these other items included, but were not limited to, legal fees related to an arbitration resulting from our termination of an agreement with a specialty pharmacy vendor.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2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2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September 30,</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6"/>
              </w:rPr>
              <w:t>in</w:t>
            </w: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40" w:type="dxa"/>
            <w:vAlign w:val="bottom"/>
          </w:tcPr>
          <w:p>
            <w:pPr>
              <w:ind w:left="360"/>
              <w:spacing w:after="0"/>
              <w:rPr>
                <w:sz w:val="20"/>
                <w:szCs w:val="20"/>
                <w:color w:val="auto"/>
              </w:rPr>
            </w:pPr>
            <w:r>
              <w:rPr>
                <w:rFonts w:ascii="Arial" w:cs="Arial" w:eastAsia="Arial" w:hAnsi="Arial"/>
                <w:sz w:val="14"/>
                <w:szCs w:val="14"/>
                <w:b w:val="1"/>
                <w:bCs w:val="1"/>
                <w:color w:val="auto"/>
                <w:w w:val="90"/>
              </w:rPr>
              <w:t>(dollars</w:t>
            </w:r>
          </w:p>
        </w:tc>
        <w:tc>
          <w:tcPr>
            <w:tcW w:w="160" w:type="dxa"/>
            <w:vAlign w:val="bottom"/>
            <w:vMerge w:val="continue"/>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$61,196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Revenue increased by $37.7 million, or 62%, for the three months ended September 30, 2020 compared to the three months ended September 30, 2019. This increase is primarily due to a $23.1 million, or 46% increase, in revenue from our fertility benefits solution and a $14.6 million or 131%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outpaces the fertility benefits revenue growth as Progyny Rx went live with only a select number of clients on January 1, 2018 and has continued to add both new and existing fertility benefit solution clients since its initial launch. Our revenue growth for the three months ended September 30, 2020 was negatively impacted by COVID-19.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2"/>
              </w:rPr>
              <w:t>$78,092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$48,876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Cost of services increased by $29.2 million, or 60%, for the three months ended September 30, 2020 compared to the three months ended September 30, 2019 primarily due to an increase in medical treatment and pharmacy prescription costs associated with fertility treatments delivered.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39"/>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2"/>
              </w:rPr>
              <w:t>$20,836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ind w:right="2"/>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Gross profit increased by $8.5 million, or 69%, for the three months ended September 30, 2020 compared to the three months ended September 30,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Gross margin increased 100 basis points for the three months ended September 30, 2020 compared to the</w:t>
      </w:r>
    </w:p>
    <w:p>
      <w:pPr>
        <w:spacing w:after="0" w:line="23"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three months ended September 30, 2019, primarily due to higher revenues which triggered favorable contractual terms with our pharmacy dispensing and manufacturing partners and allowed for continued efficiencies gained across our care management services.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60" w:type="dxa"/>
            <w:vAlign w:val="bottom"/>
            <w:gridSpan w:val="4"/>
          </w:tcPr>
          <w:p>
            <w:pPr>
              <w:ind w:left="200"/>
              <w:spacing w:after="0"/>
              <w:rPr>
                <w:sz w:val="20"/>
                <w:szCs w:val="20"/>
                <w:color w:val="auto"/>
              </w:rPr>
            </w:pPr>
            <w:r>
              <w:rPr>
                <w:rFonts w:ascii="Arial" w:cs="Arial" w:eastAsia="Arial" w:hAnsi="Arial"/>
                <w:sz w:val="14"/>
                <w:szCs w:val="14"/>
                <w:b w:val="1"/>
                <w:bCs w:val="1"/>
                <w:color w:val="auto"/>
              </w:rPr>
              <w:t>Ended September 30,</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9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w w:val="86"/>
              </w:rPr>
              <w:t>(dollars</w:t>
            </w:r>
          </w:p>
        </w:tc>
        <w:tc>
          <w:tcPr>
            <w:tcW w:w="200" w:type="dxa"/>
            <w:vAlign w:val="bottom"/>
            <w:vMerge w:val="continue"/>
          </w:tcPr>
          <w:p>
            <w:pPr>
              <w:spacing w:after="0"/>
              <w:rPr>
                <w:sz w:val="15"/>
                <w:szCs w:val="15"/>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$3,183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Sales and marketing expense increased by $0.2 million, or 5%, for the three months ended September 30, 2020 compared to the three months ended September 30, 2019. This increase was primarily due to a $0.2 million increase in personnel-related costs relating to additional headcount and commissions for sales and marketing functions, which was partially offset by decreased travel expenses due to COVID-19.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2"/>
              </w:rPr>
              <w:t>$12,120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General and administrative expense increased by $6.1 million, or 100%, for the three months ended September 30, 2020 compared to the three months ended September 30, 2019. This increase was primarily due to a $1.9 million increase in personnel-related costs (including a $0.8 million increase in stock-based compensation) relating to additional headcount for general and administrative functions, a $1.4 million increase in legal costs for a vendor arbitration, a $1.1 million increase in insurance costs, and a $1.0 million increase in bad debt expense.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8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20" w:type="dxa"/>
            <w:vAlign w:val="bottom"/>
          </w:tcPr>
          <w:p>
            <w:pPr>
              <w:spacing w:after="0"/>
              <w:rPr>
                <w:sz w:val="20"/>
                <w:szCs w:val="20"/>
                <w:color w:val="auto"/>
              </w:rPr>
            </w:pPr>
            <w:r>
              <w:rPr>
                <w:rFonts w:ascii="Arial" w:cs="Arial" w:eastAsia="Arial" w:hAnsi="Arial"/>
                <w:sz w:val="14"/>
                <w:szCs w:val="14"/>
                <w:b w:val="1"/>
                <w:bCs w:val="1"/>
                <w:color w:val="auto"/>
                <w:w w:val="92"/>
              </w:rPr>
              <w:t>thousands)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($11,254)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Other income (expense), net improved by $11.2 million for the three months ended September 30, 2020 compared to the three months ended September 30, 2019, primarily due to the impact in 2019 of a $11.2 million charge related to the fair value adjustment of our preferred stock warrants. The preferred stock warrants were converted to common stock warrants as of the IPO and therefore were no longer subject to a mark to market adjustment.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20" w:type="dxa"/>
            <w:vAlign w:val="bottom"/>
            <w:gridSpan w:val="2"/>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jc w:val="right"/>
              <w:ind w:right="4948"/>
              <w:spacing w:after="0"/>
              <w:rPr>
                <w:sz w:val="20"/>
                <w:szCs w:val="20"/>
                <w:color w:val="auto"/>
              </w:rPr>
            </w:pPr>
            <w:r>
              <w:rPr>
                <w:rFonts w:ascii="Arial" w:cs="Arial" w:eastAsia="Arial" w:hAnsi="Arial"/>
                <w:sz w:val="18"/>
                <w:szCs w:val="18"/>
                <w:color w:val="auto"/>
                <w:w w:val="89"/>
              </w:rPr>
              <w:t>Provision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No provision was recorded for the three months ended September 30, 2020. The provision for federal and state income taxes recorded for the three months ended September 30, 2019 was less than $0.1 million.</w:t>
      </w:r>
    </w:p>
    <w:p>
      <w:pPr>
        <w:spacing w:after="0" w:line="166" w:lineRule="exact"/>
        <w:rPr>
          <w:sz w:val="20"/>
          <w:szCs w:val="20"/>
          <w:color w:val="auto"/>
        </w:rPr>
      </w:pPr>
    </w:p>
    <w:p>
      <w:pPr>
        <w:ind w:left="60" w:right="3959"/>
        <w:spacing w:after="0" w:line="470" w:lineRule="auto"/>
        <w:rPr>
          <w:sz w:val="20"/>
          <w:szCs w:val="20"/>
          <w:color w:val="auto"/>
        </w:rPr>
      </w:pPr>
      <w:r>
        <w:rPr>
          <w:rFonts w:ascii="Arial" w:cs="Arial" w:eastAsia="Arial" w:hAnsi="Arial"/>
          <w:sz w:val="18"/>
          <w:szCs w:val="18"/>
          <w:b w:val="1"/>
          <w:bCs w:val="1"/>
          <w:color w:val="auto"/>
        </w:rPr>
        <w:t xml:space="preserve">Comparison of Nine Months Ended September 30, 2020 and 2019 </w:t>
      </w:r>
      <w:r>
        <w:rPr>
          <w:rFonts w:ascii="Arial" w:cs="Arial" w:eastAsia="Arial" w:hAnsi="Arial"/>
          <w:sz w:val="18"/>
          <w:szCs w:val="18"/>
          <w:b w:val="1"/>
          <w:bCs w:val="1"/>
          <w:i w:val="1"/>
          <w:iCs w:val="1"/>
          <w:color w:val="auto"/>
        </w:rPr>
        <w:t>Revenue</w:t>
      </w:r>
    </w:p>
    <w:tbl>
      <w:tblPr>
        <w:tblLayout w:type="fixed"/>
        <w:tblInd w:w="40" w:type="dxa"/>
        <w:tblCellMar>
          <w:top w:w="0" w:type="dxa"/>
          <w:left w:w="0" w:type="dxa"/>
          <w:bottom w:w="0" w:type="dxa"/>
          <w:right w:w="0" w:type="dxa"/>
        </w:tblCellMar>
      </w:tblPr>
      <w:tr>
        <w:trPr>
          <w:trHeight w:val="157"/>
        </w:trPr>
        <w:tc>
          <w:tcPr>
            <w:tcW w:w="6020" w:type="dxa"/>
            <w:vAlign w:val="bottom"/>
          </w:tcPr>
          <w:p>
            <w:pPr>
              <w:spacing w:after="0"/>
              <w:rPr>
                <w:sz w:val="13"/>
                <w:szCs w:val="13"/>
                <w:color w:val="auto"/>
              </w:rPr>
            </w:pPr>
          </w:p>
        </w:tc>
        <w:tc>
          <w:tcPr>
            <w:tcW w:w="2220" w:type="dxa"/>
            <w:vAlign w:val="bottom"/>
            <w:gridSpan w:val="4"/>
          </w:tcPr>
          <w:p>
            <w:pPr>
              <w:ind w:left="400"/>
              <w:spacing w:after="0" w:line="157" w:lineRule="exact"/>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22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September 30,</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6"/>
              </w:rPr>
              <w:t>in</w:t>
            </w:r>
          </w:p>
        </w:tc>
        <w:tc>
          <w:tcPr>
            <w:tcW w:w="104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20" w:type="dxa"/>
            <w:vAlign w:val="bottom"/>
          </w:tcPr>
          <w:p>
            <w:pPr>
              <w:spacing w:after="0"/>
              <w:rPr>
                <w:sz w:val="15"/>
                <w:szCs w:val="15"/>
                <w:color w:val="auto"/>
              </w:rPr>
            </w:pP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w w:val="90"/>
              </w:rPr>
              <w:t>(dollars</w:t>
            </w:r>
          </w:p>
        </w:tc>
        <w:tc>
          <w:tcPr>
            <w:tcW w:w="180" w:type="dxa"/>
            <w:vAlign w:val="bottom"/>
            <w:vMerge w:val="continue"/>
          </w:tcPr>
          <w:p>
            <w:pPr>
              <w:spacing w:after="0"/>
              <w:rPr>
                <w:sz w:val="15"/>
                <w:szCs w:val="15"/>
                <w:color w:val="auto"/>
              </w:rPr>
            </w:pPr>
          </w:p>
        </w:tc>
        <w:tc>
          <w:tcPr>
            <w:tcW w:w="1040" w:type="dxa"/>
            <w:vAlign w:val="bottom"/>
          </w:tcPr>
          <w:p>
            <w:pPr>
              <w:jc w:val="right"/>
              <w:ind w:right="282"/>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$244,557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Revenue increased by $80.0 million, or 49%, for the nine months ended September 30, 2020 compared to the nine months ended September 30, 2019. This increase is primarily due to a $42.8 million, or 31% increase, in revenue from our fertility benefits solution and a $37.2 million or 131%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outpaces the fertility benefits revenue as Progyny Rx went live with only a select number of clients on January 1, 2018 and has continued to add both new and existing fertility benefit solution clients since its initial launch. Our revenue growth for the nine months ended September 30, 2020 was negatively impacted by COVID-19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4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(dollars in</w:t>
            </w:r>
          </w:p>
        </w:tc>
        <w:tc>
          <w:tcPr>
            <w:tcW w:w="740" w:type="dxa"/>
            <w:vAlign w:val="bottom"/>
          </w:tcPr>
          <w:p>
            <w:pPr>
              <w:spacing w:after="0"/>
              <w:rPr>
                <w:sz w:val="20"/>
                <w:szCs w:val="20"/>
                <w:color w:val="auto"/>
              </w:rPr>
            </w:pPr>
            <w:r>
              <w:rPr>
                <w:rFonts w:ascii="Arial" w:cs="Arial" w:eastAsia="Arial" w:hAnsi="Arial"/>
                <w:sz w:val="14"/>
                <w:szCs w:val="14"/>
                <w:b w:val="1"/>
                <w:bCs w:val="1"/>
                <w:color w:val="auto"/>
                <w:w w:val="95"/>
              </w:rPr>
              <w:t>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$195,164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5"/>
              </w:rPr>
              <w:t>$130,825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760" w:type="dxa"/>
            <w:vAlign w:val="bottom"/>
          </w:tcPr>
          <w:p>
            <w:pPr>
              <w:spacing w:after="0"/>
              <w:rPr>
                <w:sz w:val="24"/>
                <w:szCs w:val="24"/>
                <w:color w:val="auto"/>
              </w:rPr>
            </w:pPr>
          </w:p>
        </w:tc>
        <w:tc>
          <w:tcPr>
            <w:tcW w:w="3640" w:type="dxa"/>
            <w:vAlign w:val="bottom"/>
          </w:tcPr>
          <w:p>
            <w:pPr>
              <w:jc w:val="right"/>
              <w:ind w:right="175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7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Cost of services increased by $64.3 million, or 49%, for the nine months ended September 30, 2020 compared to the nine months ended September 30, 2019 primarily due to an increase in medical treatment and pharmacy prescription costs associated with fertility treatments delivered.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78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59"/>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$33,736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Gross profit increased by $15.7 million, or 46%, for the nine months ended September 30, 2020 compared to the nine months ended September 30, 2019.</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Gross margin decreased 30 basis points for the nine months ended September 30, 2020 compared to the nine months ended September 30, 2019 primarily due to our decision to keep all of our care management staff in place during the pause in treatments caused by COVID-19. This decision was made in anticipation of the resumption in services across regions, as well as the corresponding ramp up toward normal service levels.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9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960" w:type="dxa"/>
            <w:vAlign w:val="bottom"/>
            <w:gridSpan w:val="4"/>
          </w:tcPr>
          <w:p>
            <w:pPr>
              <w:ind w:left="200"/>
              <w:spacing w:after="0"/>
              <w:rPr>
                <w:sz w:val="20"/>
                <w:szCs w:val="20"/>
                <w:color w:val="auto"/>
              </w:rPr>
            </w:pPr>
            <w:r>
              <w:rPr>
                <w:rFonts w:ascii="Arial" w:cs="Arial" w:eastAsia="Arial" w:hAnsi="Arial"/>
                <w:sz w:val="14"/>
                <w:szCs w:val="14"/>
                <w:b w:val="1"/>
                <w:bCs w:val="1"/>
                <w:color w:val="auto"/>
              </w:rPr>
              <w:t>Ended September 30,</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w w:val="96"/>
              </w:rPr>
              <w:t>in</w:t>
            </w:r>
          </w:p>
        </w:tc>
        <w:tc>
          <w:tcPr>
            <w:tcW w:w="9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82"/>
              </w:rPr>
              <w:t>(dollars</w:t>
            </w:r>
          </w:p>
        </w:tc>
        <w:tc>
          <w:tcPr>
            <w:tcW w:w="200" w:type="dxa"/>
            <w:vAlign w:val="bottom"/>
            <w:vMerge w:val="continue"/>
          </w:tcPr>
          <w:p>
            <w:pPr>
              <w:spacing w:after="0"/>
              <w:rPr>
                <w:sz w:val="15"/>
                <w:szCs w:val="15"/>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Sales and marketing expense increased by $1.6 million, or 18%, for the nine months ended September 30, 2020 compared to the nine months ended September 30, 2019. This increase was primarily due to a $1.7 million increase in personnel-related costs (including a $0.9 million increase in stock-based compensation) relating to additional headcount and commissions for sales and marketing functions, which was partially offset by lower travel and other overhead costs due to COVID-19.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78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$31,763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$16,557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expense increased by $15.2 million, or 92%, for the nine months ended September 30, 2020 compared to the nine months ended September 30, 2019. This increase was primarily due to a $6.3 million increase in personnel-related costs (including a $2.9 million increase in stock-based compensation) as a result of additional headcount for general and administrative functions, a $3.3 million increase in insurance costs, a $2.4 million increase in bad debt expense, a $2.3 million increase in legal costs for a vendor arbitration, and a $0.9 million increase in other related general and administrative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20" w:type="dxa"/>
            <w:vAlign w:val="bottom"/>
          </w:tcPr>
          <w:p>
            <w:pPr>
              <w:spacing w:after="0"/>
              <w:rPr>
                <w:sz w:val="20"/>
                <w:szCs w:val="20"/>
                <w:color w:val="auto"/>
              </w:rPr>
            </w:pPr>
            <w:r>
              <w:rPr>
                <w:rFonts w:ascii="Arial" w:cs="Arial" w:eastAsia="Arial" w:hAnsi="Arial"/>
                <w:sz w:val="14"/>
                <w:szCs w:val="14"/>
                <w:b w:val="1"/>
                <w:bCs w:val="1"/>
                <w:color w:val="auto"/>
                <w:w w:val="92"/>
              </w:rPr>
              <w:t>thousands)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$316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Other income (expense), net improved by $12.9 million for the nine months ended September 30, 2020 compared to the nine months ended September 30, 2019, primarily due to the impact in 2019 of a $12.4 million charge related to the fair value adjustment of the preferred stock warrants and an increase of $0.3 million in investment and interest income for the nine months ended September 30, 2020. The preferred stock warrants were converted to common stock warrants as of the IPO and therefore were no longer subject to a mark to market adjustment.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78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the nine months ended September 30, 2020 and 2019, we recorded a provision for state income taxes of $0.1 million and $0.1 million,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7"/>
          <w:szCs w:val="17"/>
          <w:color w:val="auto"/>
        </w:rPr>
        <w:t>As of September 30, 2020, we had $54.0 million of cash and cash equivalents, $51.0 million of marketable securities, and $15.0 million of cash available on the revolving line of credit with Silicon Valley Bank.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5"/>
          <w:szCs w:val="25"/>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3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For additional information, See Note 1 – Business and Basis of Presentation to our financial statements included in Part I, Item 1 of this Quarterly Report on Form 10-Q.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1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Other than the impact on our revenues and the related cash flows resulting from the various restrictions on activities due to the COVID-19 pandemic, our sources and uses of cash were not otherwise materially impacted by the COVID-19 pandemic in the three months ended September 30, 2020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may have on our business and financial results. In addition, while the potential impact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 disruption persists and deepens, we could experience an inability to access additional capital, which could in the future negatively affect our operations.</w:t>
      </w:r>
    </w:p>
    <w:p>
      <w:pPr>
        <w:spacing w:after="0" w:line="13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June 2018, we entered into an agreement with Silicon Valley Bank to replace our then-outstanding term loan with a revolving line of credit of up to $15.0 million that will mature on June 8, 2021, which agreement was amended in April 2019, January 2020 and June 2020.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we hold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The line of credit contains customary affirmative and negative covenants, as well as a financial covenant that requires us to achieve a specified minimum quarterly revenue as defined in the agreement. As of September 30, 2020 and December 31, 2019, we were in compliance with all requirements and covenants of the revolving credit facility.</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80"/>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(26,417)</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Net cash provided by operating activities was $29.7 million for the nine months ended September 30, 2020, primarily consisting of net income from continuing operations of $7.6 million adjusted for certain non-cash items, which include $8.7 million of stock-based compensation expense, $1.4 million of depreciation and amortization, and $3.7 million of bad debt expense. Changes in operating assets and liabilities resulted in cash used in operating activities from an increase in accounts receivable of $35.0 million, more than offset by cash provided by operating activities from increases in accounts payable of $23.7 million and accrued expenses and other current liabilities of $15.0 million, and decreases in prepaid expenses and other current assets of $3.6 million and other noncurrent assets and liabilities of $0.7 million. These changes are a result of the impact of revenue growth and our operating results as well as the timing of payments to third party providers and collections from customers.</w:t>
      </w:r>
    </w:p>
    <w:p>
      <w:pPr>
        <w:spacing w:after="0" w:line="127"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Net cash provided by operating activities was $4.0 million for the nine months ended September 30, 2019, primarily consisting of a $4.2 million net loss from continuing operations adjusted for certain non-cash items, which include $3.2 million of stock-based compensation expense, a $12.4 million change in fair value of warrant liabilities, $1.6 million of depreciation and amortization, and $1.3 million of bad debt expense. Changes in operating assets and liabilities included an increase in accounts receivable of $22.3 million, an increase in accounts payable of $6.8 million and an increase of $6.1 million in accrued expenses and other current liabilities. These changes reflect the impact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revenue growth and our operating results combined with the timing of payments to third party providers and collections from clients. This was offset by changes in prepaid expenses and other noncurrent assets of $1 million.</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cash used in investing activities from continuing operations was $51.9 million and $0.7 million for the nine months ended September 30, 2020 and 2019, respectively. During the nine months ended September 30, 2020, the net cash used primarily consisted of net investments of $51.0 million in marketable securities. The remainder of the activity consists of purchases of computers, software, and leasehold improvements, including leasehold improvements associated with the buildout of our new corporate office which was occupied in February 2020.</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financing activities was $4.2 million for the nine months ended September 30, 2020, consisting of payments of $0.9 million for IPO costs, payments of $6.4 million for employee taxes related to equity awards, partially offset by $2.1 million in proceeds from stock option exercises and $1.1 million in proceeds from contributions to our employee stock purchase plan.</w:t>
      </w:r>
    </w:p>
    <w:p>
      <w:pPr>
        <w:spacing w:after="0" w:line="133" w:lineRule="exact"/>
        <w:rPr>
          <w:sz w:val="20"/>
          <w:szCs w:val="20"/>
          <w:color w:val="auto"/>
        </w:rPr>
      </w:pPr>
    </w:p>
    <w:p>
      <w:pPr>
        <w:jc w:val="both"/>
        <w:ind w:left="60" w:right="639" w:firstLine="648"/>
        <w:spacing w:after="0" w:line="259" w:lineRule="auto"/>
        <w:rPr>
          <w:sz w:val="20"/>
          <w:szCs w:val="20"/>
          <w:color w:val="auto"/>
        </w:rPr>
      </w:pPr>
      <w:r>
        <w:rPr>
          <w:rFonts w:ascii="Arial" w:cs="Arial" w:eastAsia="Arial" w:hAnsi="Arial"/>
          <w:sz w:val="18"/>
          <w:szCs w:val="18"/>
          <w:color w:val="auto"/>
        </w:rPr>
        <w:t>Net cash provided by financing activities was $4.1 million for the nine months ended September 30, 2019 primarily related to $5.0 million from stock option exercises, partially offset by $0.2 million in net payments on our revolving line of credit with Silicon Valley Bank, repurchases of common stock of $0.2 million, and $0.5 million in payments for deferred IPO costs.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than changes which occur in the ordinary course of business, as of September 30, 2020, there were no significant changes to the contractual obligations reported in our Annual Report on Form 10-K for the year ended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September 30, 2020 and December 31, 2019, we did not have any off-balance sheet arrangements, except for operating leases entered into in the normal course of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financial statements and accompanying notes have been prepared in accordance with U.S. GAAP. The preparation of these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The future effects of the COVID-19 pandemic on our results of operations, cash flows, and financial position are unclear, however, we believe we have made reasonable estimates and assumptions in preparing the financial statements. Actual results may differ from these estimates. To the extent that there are material differences between these estimates and our actual results, our future financial statements will be affected.</w:t>
      </w:r>
    </w:p>
    <w:p>
      <w:pPr>
        <w:spacing w:after="0" w:line="1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Summary of Significant Accounting Policies in the notes to the financial statements included in Part I, Item 1, of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Summary of Significant Accounting Policies, to the financial statements included in Part 1, Item 1 of this Quarterly Report on Form 10-Q.</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 Based on the market value of our common stock held by non-affiliates as of June 30, 2020, we will cease to qualify as an emerging growth company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September 30, 2020, we had cash and cash equivalents of $54.0 million and marketable securities of $51.0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the evaluation of our disclosure controls and procedures, our principal executive officer and principal financial officer concluded that, as of September 30, 2020, our disclosure controls and procedures were effective at the reasonable assurance level.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quarter ended September 30, 2020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January 14, 2019, a vendor filed a Demand for Arbitration and Statement of Claim against us for alleged breach of the November 10, 2017 Preferred Specialty Pharmacy Agreement, or the Agreement, between us and the vendor. On March 13, 2019, we terminated the Agreement for material breach with the vendor. On April 3, 2019, the vendor filed a Second Amended Demand for Arbitration, or SAD, for breach of the Agreement. The vendor is seeking $25.0 million in damages, fees, interest and costs. The alleged damages are not quantified or factually supported in the SAD. Pursuant to a schedule set forth by the Arbitration Panel, on May 3, 2019, we filed a Motion to Dismiss the SAD. That Motion to Dismiss was fully briefed on June 14, 2019 and was decided on July 31, 2019. The Arbitration Panel dismissed two of the vendor’s four claims. The Arbitration Panel held additional hearings for the two remaining claims between August 17, 2020 and August 26, 2020. Final arguments were held on October 20, 2020. We believe the vendor’s remaining claims are without merit and we are awaiting a decision from the arbitration.</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believe there is no other litigation pending that could have, individually or in the aggregate, a material adverse effect on our financial position, results of operations, or cash flows. However, in addition to the matter described above, we may, from time to time, be involved in various legal proceedings arising from the normal course of business activities. Defending such proceedings is costly and can impose a significant burden on management and employees. The results of litigation cannot be predicted with certainty, and regardless of the outcome, litigation can have an adverse impact on us because of defense and settlement costs, diversion of management resources and other factors.</w:t>
      </w:r>
    </w:p>
    <w:p>
      <w:pPr>
        <w:spacing w:after="0" w:line="16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Quarterly Report on Form 10-Q, including the section titled “Cautionary Note Regarding Forward-Looking Statements” and “Management’s Discussion and Analysis of Financial Condition and Results of Operation” and our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recent COVID-19 pandemic has had, and similar health epidemics could in the future have, an adverse impact on our business, operations, and the markets and communities in which we and our clients, members and providers operate.</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business and operations have been adversely affected by the recent COVID-19 pandemic, which has impacted the markets and communities in which we and our clients, members and providers operate. Since December 2019, when COVID-19 was first reported, the virus has spread to countries worldwide, including the United States and more specifically, New York, New York, where our primary office is located.</w:t>
      </w:r>
    </w:p>
    <w:p>
      <w:pPr>
        <w:spacing w:after="0" w:line="18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ongoing COVID-19 pandemic has adversely impacted, and may continue to adversely impact, many aspects of our business. Our providers have and may continue to delay new fertility cycles because they operate in areas acutely affected by the COVID-19 pandemic or in order to conserve medical resources for non-fertility related medical treatments. Our members do and may continue to live in communities that are acutely affected by the COVID-19 pandemic and have and may not want to continue or begin new fertility cycles during the pandemic.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our utilization rates and the number of members enrolled in our clients’ benefit plans.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COVID-19 pandemic has been declared a national emergency. In response to the COVID-19 pandemic, many state, local, and foreign governments have put in place, and continue to enforce in whole or in part, and may at any time choose to fully reinstate,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pacing w:after="0" w:line="16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light of the uncertainty and rapidly evolving situation relating to the spread of COVID-19 and in compliance with shelter-in-place orders and other government executive orders directing that all non-essential businesses close their physical operations, we implemented a work-from-home policy for all of our employees. Although we recently re-opened our offices for a small group of employees, the majority of our employees continue to work remotely.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7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 and may impact our ability to comply with the financial covenant relating to revenue targets in our loan agreement with Silicon Valley Bank if a material economic downturn results in substantially lower revenue than expected under our annual financial projections.</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November 5, 2020, we issued guidance for the fourth quarter of 2020 and the full year 2020, as well as a preliminary revenue projection for 2021.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the timing of the resumption of fertility services at clinics across the country, as well as how long it will take both clinics and patients to return to normal practice volumes, which are inherently difficult to predict. This guidance, which consists of forward-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looking statements, is qualified by, and subject to, such assumptions, estimates and expectations as of the date such guidance is given.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or economic conditions,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failure of our platform to continue to maintain market acceptance, which would harm our business,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and $5.1 million for the years ended December 31, 2019 and 2018, respectively. While we have experienced significant revenue growth since 2016, we are not certain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For example, 6% of our existing 2019 clients increased their Smart Cycle benefit for their 2020 benefits plan year. In addition, our fertility benefits solution clients can purchase our add-on Progyny Rx solution. We went live with Progyny Rx in 2018 and 70% of our clients have now launched this solution, including approximately 75% of the clients we signed in 2019.</w:t>
      </w:r>
    </w:p>
    <w:p>
      <w:pPr>
        <w:spacing w:after="0" w:line="19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currently serve over 130 employers in the United States across more than 25 industries. For the nine months ended September 30, 2020 and 2019, each of our largest two clients represented more than 10% of our total revenue. One of these clients accounted for 18% and 16% of our total revenue, for the nine months ended September 30, 2020 and 2019, respectively. The second largest client accounted for 17% and 10% of our revenue for the nine months ended September 30, 2020 and 2019, respectively.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the health insurance market could harm our business, financial condition and results of operations.</w:t>
      </w:r>
    </w:p>
    <w:p>
      <w:pPr>
        <w:spacing w:after="0" w:line="24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market for private health insurance in the United States is evolving and, as our solutions are integrated with health insurance plans offered by insurance carriers for our clients, our future financial performance will depend in part on the growth in this market. Changes and developments in the health insurance system in the United States, including taxability of medical benefits like ours, could reduce demand for our solutions and harm our business. For example, there has been an ongoing national debate relating to the health care reimbursement system in the United States. Some members of Congress have introduced proposals that would create a new single payor national health insurance program for all United States residents, others have proposed more incremental approaches such as creating a new public health insurance plan option as a supplement to private sources of coverage. In the event that laws, regulations or rules that eliminate or reduce private sources of health insurance or require such benefits to be taxable are adopted, the subsequent impact on the insurance carriers may in turn adversely impact our ability to accurately forecast future results and harm our business, financial condition and results of operations.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Patient Protection and Affordable Care Act, as amended by the Health Care and Education Reconciliation Act, or collectively the ACA.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such oral arguments are to be held and when a decision is expected to be made.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this negative publicity may lead to regulatory changes that could potentially affect our business and operations. Negative public perception or publicity of the health benefits industry in general, the insurance carriers with whom we integrate our solutions, or us could adversely affect our business, financial condition and results of operations.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despite the implementation of security measures, our internal computer systems, and those of our provider clinics, specialty pharmacies or other downstream vendors, are potentially vulnerable to damage from malicious intrusion, malware, computer viruses, unauthorized access, natural disasters, terrorism, war and telecommunication and electrical failures. While we are not aware that we have experienced any such system failure, accident or security breach to date, if such an event were to occur and cause interruptions in our operations, it could result in a material disruption to our ability to deliver our solutions. In addition, to the extent that any disruption or security breach were to result in a loss or inappropriate disclosure of confidential information, we could incur liability. See “—Risks Related to Government Regulation—We operate in a highly regulated industry and must comply with a significant number of complex and evolving requirements—Data Protection and Breaches.”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including the COVID-19 pandemic; employers no longer offering comprehensive health coverage or offering alternative solutions such as coverage on a voluntary, employee-funded basis; federal and state regulatory changes; changes to taxability of medical benefits; failure to adapt and respond effectively to changing medical landscape, changing regulations, changing client needs, requirements or preferences; premium increases and benefits changes; negative publicity, through social media or otherwise and news coverage.</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00" w:right="55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00" w:right="7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Furthermore, the healthcare industry is rapidly evolving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Unfavorable conditions in our industry or the United States economy, or reductions in employee benefits spending, could limit our ability to grow our business and negatively affect our results of operations.</w:t>
      </w:r>
    </w:p>
    <w:p>
      <w:pPr>
        <w:spacing w:after="0" w:line="14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Unfavorable changes in our industry or in the United States economy could have a negative effect on our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including the COVID-19 pandemic, warfare and terrorist attacks on the United States, could cause a decrease in business investments, including spending on employee benefits, and negatively affect the growth of our business. In addition, unfavorable economic conditions could result in the cancellation by certain clients, a reduction in their number of employees or material defaults by members on their cost share, particularly if they lose their employer coverage and do not replace it with a health benefit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plan that provides fertility coverage.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regulations, changing client needs, requirements or preferences, our offerings may become less competitive.</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regulations,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could refuse to contract, demand higher payments or take other actions that could result in higher medical costs, less attractive service for our members or difficulty meeting regulatory or accreditation requirements. Identifying high-quality fertility specialists, credentialing and negotiating contracts with them and evaluating, monitoring and maintaining our network, requires significant time and resources.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also may be negatively impacted by other factors not associated with us,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us and may compete directly with us, which could adversely affect our business, financial condition and results of operations.</w:t>
      </w:r>
    </w:p>
    <w:p>
      <w:pPr>
        <w:spacing w:after="0" w:line="16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or the failure of those specialists to meet and exceed our members’ expectations, may result in a loss of or inability to grow or maintain our client base, which could adversely affect our business, financial condition and results of operations.</w:t>
      </w:r>
    </w:p>
    <w:p>
      <w:pPr>
        <w:spacing w:after="0" w:line="17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distribution network, our business, financial condition and results of operations could suffer.</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believe that our ability to maintain and grow the adoption of Progyny Rx is highly dependent on our success in maintaining an efficient pharmacy distribution network and our record of on-time delivery. If we are unable to maintain an efficient pharmacy distribution network, or if a significant disruption thereto should occur, the use of Progyny Rx may decline due to the inability to timely deliver prescription to members, which could cause our business, financial condition and results of operations to suffer.</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14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maintain contractual relationships with select pharmaceutical manufacturers which provide us with access to limited distribution specialty pharmaceutical rebates for drugs we purchase.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 In addition, PBM programs have been the subject of debate in federal and state legislatures and various other public and governmental forums. Adoption of new laws, rules or regulations or changes in, or new interpretations of, existing laws, rules or regulations, relating to any of these programs could materially adversely affect our business and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requirements.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or impacting the healthcare industry that may apply to our business activities directly or indirectly, including, but not limited to:</w:t>
      </w:r>
    </w:p>
    <w:p>
      <w:pPr>
        <w:spacing w:after="0" w:line="170" w:lineRule="exact"/>
        <w:rPr>
          <w:sz w:val="20"/>
          <w:szCs w:val="20"/>
          <w:color w:val="auto"/>
        </w:rPr>
      </w:pPr>
    </w:p>
    <w:p>
      <w:pPr>
        <w:jc w:val="both"/>
        <w:ind w:left="1020" w:right="79" w:hanging="322"/>
        <w:spacing w:after="0" w:line="286"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as a third-party administrator, or TPA, and PBMs. The scope of these laws differs from state to state, and the application of such laws to the activities of TPAs and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are otherwise authorized under such laws in those states in which we provide our TPA and PBM services. These licenses require us to comply with the rules and regulations of the governmental bodies that issued such licenses.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70" w:lineRule="exact"/>
        <w:rPr>
          <w:rFonts w:ascii="Arial" w:cs="Arial" w:eastAsia="Arial" w:hAnsi="Arial"/>
          <w:sz w:val="16"/>
          <w:szCs w:val="16"/>
          <w:color w:val="auto"/>
        </w:rPr>
      </w:pPr>
    </w:p>
    <w:p>
      <w:pPr>
        <w:jc w:val="both"/>
        <w:ind w:left="1020" w:right="59"/>
        <w:spacing w:after="0" w:line="269" w:lineRule="auto"/>
        <w:rPr>
          <w:rFonts w:ascii="Arial" w:cs="Arial" w:eastAsia="Arial" w:hAnsi="Arial"/>
          <w:sz w:val="16"/>
          <w:szCs w:val="16"/>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which could adversely affect our results of operation. Additionally, we may need to cease operations until we are able to obtain appropriate licensure, which may adversely affect our revenue for a period of time that we cannot estimate.</w:t>
      </w:r>
    </w:p>
    <w:p>
      <w:pPr>
        <w:spacing w:after="0" w:line="181" w:lineRule="exact"/>
        <w:rPr>
          <w:rFonts w:ascii="Arial" w:cs="Arial" w:eastAsia="Arial" w:hAnsi="Arial"/>
          <w:sz w:val="16"/>
          <w:szCs w:val="16"/>
          <w:color w:val="auto"/>
        </w:rPr>
      </w:pPr>
    </w:p>
    <w:p>
      <w:pPr>
        <w:jc w:val="both"/>
        <w:ind w:left="1020" w:right="59"/>
        <w:spacing w:after="0" w:line="270" w:lineRule="auto"/>
        <w:rPr>
          <w:rFonts w:ascii="Arial" w:cs="Arial" w:eastAsia="Arial" w:hAnsi="Arial"/>
          <w:sz w:val="16"/>
          <w:szCs w:val="16"/>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80" w:lineRule="exact"/>
        <w:rPr>
          <w:rFonts w:ascii="Arial" w:cs="Arial" w:eastAsia="Arial" w:hAnsi="Arial"/>
          <w:sz w:val="16"/>
          <w:szCs w:val="16"/>
          <w:color w:val="auto"/>
        </w:rPr>
      </w:pPr>
    </w:p>
    <w:p>
      <w:pPr>
        <w:jc w:val="both"/>
        <w:ind w:left="1020" w:right="79" w:hanging="322"/>
        <w:spacing w:after="0" w:line="286"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79"/>
        <w:spacing w:after="0" w:line="277" w:lineRule="auto"/>
        <w:rPr>
          <w:sz w:val="20"/>
          <w:szCs w:val="20"/>
          <w:color w:val="auto"/>
        </w:rPr>
      </w:pPr>
      <w:r>
        <w:rPr>
          <w:rFonts w:ascii="Arial" w:cs="Arial" w:eastAsia="Arial" w:hAnsi="Arial"/>
          <w:sz w:val="18"/>
          <w:szCs w:val="18"/>
          <w:color w:val="auto"/>
        </w:rPr>
        <w:t>specified under the privacy regulations. We also have downstream Business Associates, which provide us with services and are also subject to HIPAA regulations.</w:t>
      </w:r>
    </w:p>
    <w:p>
      <w:pPr>
        <w:spacing w:after="0" w:line="170"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the U.S. Department of Health and Human Services, or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85" w:lineRule="exact"/>
        <w:rPr>
          <w:sz w:val="20"/>
          <w:szCs w:val="20"/>
          <w:color w:val="auto"/>
        </w:rPr>
      </w:pPr>
    </w:p>
    <w:p>
      <w:pPr>
        <w:jc w:val="both"/>
        <w:ind w:left="1020" w:right="79" w:hanging="322"/>
        <w:spacing w:after="0" w:line="26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9" w:lineRule="exact"/>
        <w:rPr>
          <w:rFonts w:ascii="Arial" w:cs="Arial" w:eastAsia="Arial" w:hAnsi="Arial"/>
          <w:sz w:val="17"/>
          <w:szCs w:val="17"/>
          <w:color w:val="auto"/>
        </w:rPr>
      </w:pPr>
    </w:p>
    <w:p>
      <w:pPr>
        <w:jc w:val="both"/>
        <w:ind w:left="1020" w:right="59"/>
        <w:spacing w:after="0" w:line="287" w:lineRule="auto"/>
        <w:rPr>
          <w:rFonts w:ascii="Arial" w:cs="Arial" w:eastAsia="Arial" w:hAnsi="Arial"/>
          <w:sz w:val="17"/>
          <w:szCs w:val="17"/>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90" w:lineRule="auto"/>
        <w:rPr>
          <w:sz w:val="20"/>
          <w:szCs w:val="20"/>
          <w:color w:val="auto"/>
        </w:rPr>
      </w:pPr>
      <w:r>
        <w:rPr>
          <w:rFonts w:ascii="Arial" w:cs="Arial" w:eastAsia="Arial" w:hAnsi="Arial"/>
          <w:sz w:val="16"/>
          <w:szCs w:val="16"/>
          <w:color w:val="auto"/>
        </w:rPr>
        <w:t>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65" w:lineRule="exact"/>
        <w:rPr>
          <w:sz w:val="20"/>
          <w:szCs w:val="20"/>
          <w:color w:val="auto"/>
        </w:rPr>
      </w:pPr>
    </w:p>
    <w:p>
      <w:pPr>
        <w:jc w:val="both"/>
        <w:ind w:left="1020" w:right="79" w:hanging="322"/>
        <w:spacing w:after="0" w:line="26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rFonts w:ascii="Arial" w:cs="Arial" w:eastAsia="Arial" w:hAnsi="Arial"/>
          <w:sz w:val="17"/>
          <w:szCs w:val="17"/>
          <w:color w:val="auto"/>
        </w:rPr>
      </w:pPr>
    </w:p>
    <w:p>
      <w:pPr>
        <w:jc w:val="both"/>
        <w:ind w:left="1020" w:right="59"/>
        <w:spacing w:after="0" w:line="270" w:lineRule="auto"/>
        <w:rPr>
          <w:rFonts w:ascii="Arial" w:cs="Arial" w:eastAsia="Arial" w:hAnsi="Arial"/>
          <w:sz w:val="17"/>
          <w:szCs w:val="17"/>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0" w:lineRule="exact"/>
        <w:rPr>
          <w:rFonts w:ascii="Arial" w:cs="Arial" w:eastAsia="Arial" w:hAnsi="Arial"/>
          <w:sz w:val="17"/>
          <w:szCs w:val="17"/>
          <w:color w:val="auto"/>
        </w:rPr>
      </w:pPr>
    </w:p>
    <w:p>
      <w:pPr>
        <w:jc w:val="both"/>
        <w:ind w:left="1020" w:right="59"/>
        <w:spacing w:after="0" w:line="285" w:lineRule="auto"/>
        <w:rPr>
          <w:rFonts w:ascii="Arial" w:cs="Arial" w:eastAsia="Arial" w:hAnsi="Arial"/>
          <w:sz w:val="17"/>
          <w:szCs w:val="17"/>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389" w:lineRule="exact"/>
        <w:rPr>
          <w:rFonts w:ascii="Arial" w:cs="Arial" w:eastAsia="Arial" w:hAnsi="Arial"/>
          <w:sz w:val="17"/>
          <w:szCs w:val="17"/>
          <w:color w:val="auto"/>
        </w:rPr>
      </w:pPr>
    </w:p>
    <w:p>
      <w:pPr>
        <w:jc w:val="both"/>
        <w:ind w:left="1020" w:right="59"/>
        <w:spacing w:after="0" w:line="296" w:lineRule="auto"/>
        <w:rPr>
          <w:rFonts w:ascii="Arial" w:cs="Arial" w:eastAsia="Arial" w:hAnsi="Arial"/>
          <w:sz w:val="17"/>
          <w:szCs w:val="17"/>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79" w:lineRule="exact"/>
        <w:rPr>
          <w:sz w:val="20"/>
          <w:szCs w:val="20"/>
          <w:color w:val="auto"/>
        </w:rPr>
      </w:pPr>
    </w:p>
    <w:p>
      <w:pPr>
        <w:jc w:val="both"/>
        <w:ind w:left="1020" w:right="79" w:hanging="322"/>
        <w:spacing w:after="0" w:line="287"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1" w:lineRule="exact"/>
        <w:rPr>
          <w:rFonts w:ascii="Arial" w:cs="Arial" w:eastAsia="Arial" w:hAnsi="Arial"/>
          <w:sz w:val="16"/>
          <w:szCs w:val="16"/>
          <w:color w:val="auto"/>
        </w:rPr>
      </w:pPr>
    </w:p>
    <w:p>
      <w:pPr>
        <w:jc w:val="both"/>
        <w:ind w:left="1020" w:right="59"/>
        <w:spacing w:after="0" w:line="272" w:lineRule="auto"/>
        <w:rPr>
          <w:rFonts w:ascii="Arial" w:cs="Arial" w:eastAsia="Arial" w:hAnsi="Arial"/>
          <w:sz w:val="16"/>
          <w:szCs w:val="16"/>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rFonts w:ascii="Arial" w:cs="Arial" w:eastAsia="Arial" w:hAnsi="Arial"/>
          <w:sz w:val="16"/>
          <w:szCs w:val="16"/>
          <w:color w:val="auto"/>
        </w:rPr>
      </w:pPr>
    </w:p>
    <w:p>
      <w:pPr>
        <w:jc w:val="both"/>
        <w:ind w:left="1020" w:right="79" w:hanging="322"/>
        <w:spacing w:after="0" w:line="29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For example, certain states have anti-kickback and false claims laws that may be broader in scope than analogous federal laws and may apply regardless of payor.</w:t>
      </w:r>
    </w:p>
    <w:p>
      <w:pPr>
        <w:spacing w:after="0" w:line="166" w:lineRule="exact"/>
        <w:rPr>
          <w:rFonts w:ascii="Arial" w:cs="Arial" w:eastAsia="Arial" w:hAnsi="Arial"/>
          <w:sz w:val="16"/>
          <w:szCs w:val="16"/>
          <w:color w:val="auto"/>
        </w:rPr>
      </w:pPr>
    </w:p>
    <w:p>
      <w:pPr>
        <w:jc w:val="both"/>
        <w:ind w:left="1020" w:right="59"/>
        <w:spacing w:after="0" w:line="287" w:lineRule="auto"/>
        <w:rPr>
          <w:rFonts w:ascii="Arial" w:cs="Arial" w:eastAsia="Arial" w:hAnsi="Arial"/>
          <w:sz w:val="16"/>
          <w:szCs w:val="16"/>
          <w:color w:val="auto"/>
        </w:rPr>
      </w:pPr>
      <w:r>
        <w:rPr>
          <w:rFonts w:ascii="Arial" w:cs="Arial" w:eastAsia="Arial" w:hAnsi="Arial"/>
          <w:sz w:val="16"/>
          <w:szCs w:val="16"/>
          <w:color w:val="auto"/>
        </w:rPr>
        <w:t>The laws, regulations and other requirements in this area are both broad and vague and judicial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programs and/or have an adverse impact on our business, financial condition and results of operations. Even an unsuccessful challenge by a regulatory authority of our activities could result in adverse publicity and could require a costly response from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79" w:hanging="322"/>
        <w:spacing w:after="0" w:line="28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 certain</w:t>
      </w:r>
      <w:r>
        <w:rPr>
          <w:rFonts w:ascii="Arial" w:cs="Arial" w:eastAsia="Arial" w:hAnsi="Arial"/>
          <w:sz w:val="16"/>
          <w:szCs w:val="16"/>
          <w:b w:val="1"/>
          <w:bCs w:val="1"/>
          <w:i w:val="1"/>
          <w:iCs w:val="1"/>
          <w:color w:val="auto"/>
        </w:rPr>
        <w:t xml:space="preserve"> aspects </w:t>
      </w:r>
      <w:r>
        <w:rPr>
          <w:rFonts w:ascii="Arial" w:cs="Arial" w:eastAsia="Arial" w:hAnsi="Arial"/>
          <w:sz w:val="16"/>
          <w:szCs w:val="16"/>
          <w:color w:val="auto"/>
        </w:rPr>
        <w:t>of employee pension and health benefits plans, including self-funded corporate health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sponsored by our clients, with which we have agreements to provide TPA services. As part of our agreements with a number of these clients, we offer PBM services through Progyny Rx. We believe the conduct of our business vis-à-vis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79" w:lineRule="exact"/>
        <w:rPr>
          <w:rFonts w:ascii="Arial" w:cs="Arial" w:eastAsia="Arial" w:hAnsi="Arial"/>
          <w:sz w:val="16"/>
          <w:szCs w:val="16"/>
          <w:color w:val="auto"/>
        </w:rPr>
      </w:pPr>
    </w:p>
    <w:p>
      <w:pPr>
        <w:jc w:val="both"/>
        <w:ind w:left="1020" w:right="79" w:hanging="322"/>
        <w:spacing w:after="0" w:line="287"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7" w:lineRule="exact"/>
        <w:rPr>
          <w:rFonts w:ascii="Arial" w:cs="Arial" w:eastAsia="Arial" w:hAnsi="Arial"/>
          <w:sz w:val="16"/>
          <w:szCs w:val="16"/>
          <w:color w:val="auto"/>
        </w:rPr>
      </w:pPr>
    </w:p>
    <w:p>
      <w:pPr>
        <w:jc w:val="both"/>
        <w:ind w:left="1020" w:right="79" w:hanging="322"/>
        <w:spacing w:after="0" w:line="285"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020" w:right="79" w:hanging="322"/>
        <w:spacing w:after="0" w:line="26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20" w:right="79" w:hanging="322"/>
        <w:spacing w:after="0" w:line="27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while ACA does not directly regulate our business as a benefit area, it does affect the coverage and plan designs that are or will be provided by certain insurance carriers and certain of our clients, taxability of such plans, as well as the overall reimbursement and drug pricing environment for healthcare providers.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a decision is expected to be made. Health reform efforts, including reforms to the ACA, and measures that would expand the role of government-sponsored coverage, including single payer or so-called “Medicare-for-All” proposals, which could have far-reaching implications for the healthcare industry if enacted.</w:t>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unable to predict the full impact of health reform initiatives on our operations in light of the uncertainty regarding whether, when and how the ACA will be further changed, what alternative reforms (including single payer proposals), if any, may be enacted, the timing of enactment and implementation of alternative provisions and the impact of alternative provisions on various healthcare industry participants.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Government regulation, industry standards and other requirements create risks and challenges with respect to our compliance efforts and our business strategies.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repeal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There have also been a number of reform efforts around PBMs including pricing and transparency which could</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affect our business.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currently in arbitration with a former vendor who alleges a breach of our contract with such vendor, as described in Part II, Item 1. “Legal Proceedings” of this Quarterly Report on Form 10-Q. We are unable to predict the outcome of any of these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December 2017 U.S. federal tax reform may subject us to potential adverse tax consequences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Tax Cuts and Jobs Act, or the Tax Act, enacted in December 2017, among other things, includes changes to U.S. federal tax rates, imposes additional limitations on the deductibility of interest, has both positive and negative changes to the utilization of future net operating loss carryforwards, allows for the expensing of certain capital expenditures, and puts into effect the migration from a “worldwide” system of taxation to a “quasi-territorial system”. Our net deferred tax assets and liabilities and valuation allowance have been revalued at the U.S. corporate rate, which the Tax Act reduced to 21%. We continue to examine the impact this tax reform legislation may have on our business. The impact of this tax reform on holders of our common stock is uncertain and could be adverse.</w:t>
      </w:r>
    </w:p>
    <w:p>
      <w:pPr>
        <w:spacing w:after="0" w:line="177" w:lineRule="exact"/>
        <w:rPr>
          <w:sz w:val="20"/>
          <w:szCs w:val="20"/>
          <w:color w:val="auto"/>
        </w:rPr>
      </w:pPr>
    </w:p>
    <w:p>
      <w:pPr>
        <w:jc w:val="center"/>
        <w:ind w:right="1219"/>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increase due to several factors, including, but not limited to:</w:t>
      </w:r>
    </w:p>
    <w:p>
      <w:pPr>
        <w:spacing w:after="0" w:line="225" w:lineRule="exact"/>
        <w:rPr>
          <w:sz w:val="20"/>
          <w:szCs w:val="20"/>
          <w:color w:val="auto"/>
        </w:rPr>
      </w:pPr>
    </w:p>
    <w:p>
      <w:pPr>
        <w:ind w:left="700" w:right="19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225" w:lineRule="exact"/>
        <w:rPr>
          <w:rFonts w:ascii="Arial" w:cs="Arial" w:eastAsia="Arial" w:hAnsi="Arial"/>
          <w:sz w:val="18"/>
          <w:szCs w:val="18"/>
          <w:color w:val="auto"/>
        </w:rPr>
      </w:pPr>
    </w:p>
    <w:p>
      <w:pPr>
        <w:ind w:left="700" w:right="379" w:hanging="326"/>
        <w:spacing w:after="0" w:line="26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225" w:lineRule="exact"/>
        <w:rPr>
          <w:rFonts w:ascii="Arial" w:cs="Arial" w:eastAsia="Arial" w:hAnsi="Arial"/>
          <w:sz w:val="18"/>
          <w:szCs w:val="18"/>
          <w:color w:val="auto"/>
        </w:rPr>
      </w:pPr>
    </w:p>
    <w:p>
      <w:pPr>
        <w:ind w:left="700" w:right="1939" w:hanging="326"/>
        <w:spacing w:after="0" w:line="623"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 Any of these developments could have an adverse effect on our results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income taxes which could adversely affect our results of operations.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currently file state income tax returns in certain states. There is a risk that certain state tax authorities where we do not currently file a state income tax return could assert that we are liable for state and local income taxes based upon income or gross receipts allocable to such states. States are becoming increasingly aggressive in asserting a nexus for state income tax purposes. We could be subject to state and local taxation, including penalties and interest attributable to prior periods, if a state tax authority in which we do not currently file a state income tax return successfully asserts that our activities give rise to a taxable nexus. Such tax assessments, penalties and interest may adversely affect our results of operations.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of December 31, 2019, we had federal and state net operating loss carryforwards of approximately $92 million and $71 million, respectively, due to prior period losses, some of which, if not utilized, will begin to expire in 2031 for federal and state purposes. Under the Tax Cuts and Jobs Act, or the U.S. Tax Act (as amended by the Coronavirus Aid, Relief, and Economic Security Act, or CARES Act), the use of our federal net operating loss carryforwards generated during the year ended December 31, 2019 is limited to 80% of our taxable income in any future taxable year beginning after December 31, 2020, although such losses may be carried forward indefinitely. Federal and California research and development tax credit carryforwards are approximately $729,000 and $830,000, respectively. The federal research and development tax credits begin to expire in 2030, and the California research and development tax credits have no expiration date. These net operating loss and research tax credit carryforwards could expire unused and be unavailable to offset future income tax liabilities, which could adversely affect our profitability.</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Accounting principles generally accepted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5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example, in February 2016, the FASB issued ASU No. 2016-02, Leases (Topic 842). The new standard establishes a right-of-use, or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 an “emerging growth company,” we are allowed under the JOBS Act to delay adoption of new or revised accounting pronouncements applicable to public companies until such pronouncements are made applicable to private companies.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used in preparing our financial statements include those related to the determination of fair value of our common stock, estimates of accounts receivable relating to member copayments and revenue recognition relating to services rendered but for which no claim has yet been reported,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but not limited to:</w:t>
      </w:r>
    </w:p>
    <w:p>
      <w:pPr>
        <w:spacing w:after="0" w:line="170" w:lineRule="exact"/>
        <w:rPr>
          <w:sz w:val="20"/>
          <w:szCs w:val="20"/>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recent COVID-19 pandemic, may also negatively impact the market price of our common stock. Fluctuations in our quarterly operating results and the price of our common stock may be particularly pronounced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recent COVID-19 pandemic;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will be required to attest to the effectiveness of our internal control over financial reporting for the fiscal year ending December 31, 2020. We have already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In addition, we have registered all of the shares of common stock issuable upon exercise of outstanding options or other equity awards we may grant in the future, for public resale under the Securities Act. Accordingly, these shares are eligible for sale in the public market to the extent such options are exercised, and in compliance with applicable securities laws.</w:t>
      </w:r>
    </w:p>
    <w:p>
      <w:pPr>
        <w:spacing w:after="0" w:line="187"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will no longer qualify as an “emerging growth company” as of December 31, 2020 and, as a result, we will no longer be able to avail ourselves of certain reduced reporting and disclosure requirements.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currently an “emerging growth company” as defined in the JOBS Act and we have taken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It is possible that investors have found or will continue to find our common stock less attractive in light of the fact that we have relied on certain of these exemptions.</w:t>
      </w:r>
    </w:p>
    <w:p>
      <w:pPr>
        <w:spacing w:after="0" w:line="17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Based on the market value of our common stock held by non-affiliates as of June 30, 2020, we will cease to qualify as an emerging growth company, effective as of December 31, 2020. We will no longer be able to take advantage of any of the exemptions from various reporting requirements that are applicable to other public companies that are not “emerging growth companies” as described above, and we will no longer be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which we expect to further increase as we transition out of “emerging growth company” status. Based on the market value of our common stock held by non-affiliates as of June 30, 2020, we will cease to qualify as an emerging growth company, effective as of December 31, 2020.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Moreover, these rules and regulations increase our legal and financial compliance costs and make some activities more time- consuming and costly. We cannot predict or estimate the amount of additional costs we will incur as a public company or the specific timing of such costs.</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00" w:right="99" w:hanging="326"/>
        <w:spacing w:after="0" w:line="263"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00" w:right="1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70" w:lineRule="exact"/>
        <w:rPr>
          <w:rFonts w:ascii="Arial" w:cs="Arial" w:eastAsia="Arial" w:hAnsi="Arial"/>
          <w:sz w:val="18"/>
          <w:szCs w:val="18"/>
          <w:color w:val="auto"/>
        </w:rPr>
      </w:pPr>
    </w:p>
    <w:p>
      <w:pPr>
        <w:ind w:left="700" w:right="41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00" w:right="45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662/3% of our outstanding shares of voting stock;</w:t>
      </w:r>
    </w:p>
    <w:p>
      <w:pPr>
        <w:spacing w:after="0" w:line="170"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00" w:right="559" w:hanging="326"/>
        <w:spacing w:after="0" w:line="308"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662/3% of our outstanding shares of voting stock to amend our bylaws and certain provisions of our certificate of incorporation.</w:t>
      </w:r>
    </w:p>
    <w:p>
      <w:pPr>
        <w:spacing w:after="0" w:line="14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7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Settlement of Equity Awards</w:t>
      </w:r>
    </w:p>
    <w:p>
      <w:pPr>
        <w:spacing w:after="0" w:line="229" w:lineRule="exact"/>
        <w:rPr>
          <w:sz w:val="20"/>
          <w:szCs w:val="20"/>
          <w:color w:val="auto"/>
        </w:rPr>
      </w:pPr>
    </w:p>
    <w:p>
      <w:pPr>
        <w:ind w:left="60" w:right="459" w:firstLine="486"/>
        <w:spacing w:after="0" w:line="277" w:lineRule="auto"/>
        <w:rPr>
          <w:sz w:val="20"/>
          <w:szCs w:val="20"/>
          <w:color w:val="auto"/>
        </w:rPr>
      </w:pPr>
      <w:r>
        <w:rPr>
          <w:rFonts w:ascii="Arial" w:cs="Arial" w:eastAsia="Arial" w:hAnsi="Arial"/>
          <w:sz w:val="18"/>
          <w:szCs w:val="18"/>
          <w:color w:val="auto"/>
        </w:rPr>
        <w:t>Our restricted stock units are subject to vesting and the underlying shares of common stock are issued when the restricted stock units vest.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59" w:firstLine="486"/>
        <w:spacing w:after="0" w:line="263" w:lineRule="auto"/>
        <w:rPr>
          <w:sz w:val="20"/>
          <w:szCs w:val="20"/>
          <w:color w:val="auto"/>
        </w:rPr>
      </w:pPr>
      <w:r>
        <w:rPr>
          <w:rFonts w:ascii="Arial" w:cs="Arial" w:eastAsia="Arial" w:hAnsi="Arial"/>
          <w:sz w:val="18"/>
          <w:szCs w:val="18"/>
          <w:color w:val="auto"/>
        </w:rPr>
        <w:t>In the third quarter of 2020, we withheld shares through net settlements (where the award holder receives the net of the shares vested, after surrendering a portion of the shares back to the Company for tax withholding) for certain restricted stock units that vested.</w:t>
      </w:r>
    </w:p>
    <w:p>
      <w:pPr>
        <w:spacing w:after="0" w:line="184" w:lineRule="exact"/>
        <w:rPr>
          <w:sz w:val="20"/>
          <w:szCs w:val="20"/>
          <w:color w:val="auto"/>
        </w:rPr>
      </w:pPr>
    </w:p>
    <w:p>
      <w:pPr>
        <w:ind w:left="60" w:right="739" w:firstLine="486"/>
        <w:spacing w:after="0" w:line="342" w:lineRule="auto"/>
        <w:rPr>
          <w:sz w:val="20"/>
          <w:szCs w:val="20"/>
          <w:color w:val="auto"/>
        </w:rPr>
      </w:pPr>
      <w:r>
        <w:rPr>
          <w:rFonts w:ascii="Arial" w:cs="Arial" w:eastAsia="Arial" w:hAnsi="Arial"/>
          <w:sz w:val="16"/>
          <w:szCs w:val="16"/>
          <w:color w:val="auto"/>
        </w:rPr>
        <w:t>The following table provides a summary of shares surrendered back to the Company for tax withholding on restricted stock units that vested under our equity incentive plans in the three months ended September 30, 2020:</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6"/>
              </w:rPr>
              <w:t>Total Number of Shares</w:t>
            </w:r>
          </w:p>
        </w:tc>
        <w:tc>
          <w:tcPr>
            <w:tcW w:w="2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Average Price Paid per</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Repurchased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2020 through July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August 1, 2020 through August 31, 2020 </w:t>
            </w:r>
            <w:r>
              <w:rPr>
                <w:rFonts w:ascii="Arial" w:cs="Arial" w:eastAsia="Arial" w:hAnsi="Arial"/>
                <w:sz w:val="25"/>
                <w:szCs w:val="25"/>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September 1, 2020 through September 30, 2020 </w:t>
            </w:r>
            <w:r>
              <w:rPr>
                <w:rFonts w:ascii="Arial" w:cs="Arial" w:eastAsia="Arial" w:hAnsi="Arial"/>
                <w:sz w:val="25"/>
                <w:szCs w:val="25"/>
                <w:color w:val="auto"/>
                <w:vertAlign w:val="superscript"/>
              </w:rPr>
              <w:t>(1)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ind w:left="120"/>
              <w:spacing w:after="0"/>
              <w:rPr>
                <w:sz w:val="20"/>
                <w:szCs w:val="20"/>
                <w:color w:val="auto"/>
              </w:rPr>
            </w:pPr>
            <w:r>
              <w:rPr>
                <w:rFonts w:ascii="Arial" w:cs="Arial" w:eastAsia="Arial" w:hAnsi="Arial"/>
                <w:sz w:val="18"/>
                <w:szCs w:val="18"/>
                <w:color w:val="auto"/>
              </w:rPr>
              <w:t>Total shares repurchased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60" w:hanging="210"/>
        <w:spacing w:after="0"/>
        <w:tabs>
          <w:tab w:leader="none" w:pos="260" w:val="left"/>
        </w:tabs>
        <w:numPr>
          <w:ilvl w:val="0"/>
          <w:numId w:val="31"/>
        </w:numPr>
        <w:rPr>
          <w:rFonts w:ascii="Arial" w:cs="Arial" w:eastAsia="Arial" w:hAnsi="Arial"/>
          <w:sz w:val="24"/>
          <w:szCs w:val="24"/>
          <w:color w:val="auto"/>
          <w:vertAlign w:val="superscript"/>
        </w:rPr>
      </w:pPr>
      <w:r>
        <w:rPr>
          <w:rFonts w:ascii="Arial" w:cs="Arial" w:eastAsia="Arial" w:hAnsi="Arial"/>
          <w:sz w:val="16"/>
          <w:szCs w:val="16"/>
          <w:color w:val="auto"/>
        </w:rPr>
        <w:t>Represents shares withheld on net settlements of restricted stock units that vested under our equity incentive plans.</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17"/>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0"/>
                <w:szCs w:val="10"/>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Filing</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40" w:type="dxa"/>
            <w:vAlign w:val="bottom"/>
            <w:tcBorders>
              <w:bottom w:val="single" w:sz="8" w:color="0000EE"/>
            </w:tcBorders>
            <w:gridSpan w:val="7"/>
          </w:tcPr>
          <w:p>
            <w:pPr>
              <w:spacing w:after="0" w:line="169" w:lineRule="exact"/>
              <w:rPr>
                <w:rFonts w:ascii="Arial" w:cs="Arial" w:eastAsia="Arial" w:hAnsi="Arial"/>
                <w:sz w:val="18"/>
                <w:szCs w:val="18"/>
                <w:color w:val="0000EE"/>
                <w:w w:val="85"/>
              </w:rPr>
            </w:pPr>
            <w:hyperlink r:id="rId88">
              <w:r>
                <w:rPr>
                  <w:rFonts w:ascii="Arial" w:cs="Arial" w:eastAsia="Arial" w:hAnsi="Arial"/>
                  <w:sz w:val="18"/>
                  <w:szCs w:val="18"/>
                  <w:color w:val="0000EE"/>
                  <w:w w:val="85"/>
                </w:rPr>
                <w:t>Amended and Restated</w:t>
              </w:r>
            </w:hyperlink>
          </w:p>
        </w:tc>
        <w:tc>
          <w:tcPr>
            <w:tcW w:w="800" w:type="dxa"/>
            <w:vAlign w:val="bottom"/>
            <w:gridSpan w:val="12"/>
          </w:tcPr>
          <w:p>
            <w:pPr>
              <w:spacing w:after="0"/>
              <w:rPr>
                <w:sz w:val="14"/>
                <w:szCs w:val="14"/>
                <w:color w:val="auto"/>
              </w:rPr>
            </w:pPr>
          </w:p>
        </w:tc>
        <w:tc>
          <w:tcPr>
            <w:tcW w:w="660" w:type="dxa"/>
            <w:vAlign w:val="bottom"/>
            <w:gridSpan w:val="2"/>
          </w:tcPr>
          <w:p>
            <w:pPr>
              <w:ind w:left="100"/>
              <w:spacing w:after="0" w:line="169" w:lineRule="exact"/>
              <w:rPr>
                <w:sz w:val="20"/>
                <w:szCs w:val="20"/>
                <w:color w:val="auto"/>
              </w:rPr>
            </w:pPr>
            <w:r>
              <w:rPr>
                <w:rFonts w:ascii="Arial" w:cs="Arial" w:eastAsia="Arial" w:hAnsi="Arial"/>
                <w:sz w:val="18"/>
                <w:szCs w:val="18"/>
                <w:color w:val="auto"/>
              </w:rPr>
              <w:t>8-K</w:t>
            </w: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7"/>
              </w:rPr>
              <w:t>001-39100</w:t>
            </w:r>
          </w:p>
        </w:tc>
        <w:tc>
          <w:tcPr>
            <w:tcW w:w="740" w:type="dxa"/>
            <w:vAlign w:val="bottom"/>
          </w:tcPr>
          <w:p>
            <w:pPr>
              <w:jc w:val="right"/>
              <w:ind w:right="379"/>
              <w:spacing w:after="0" w:line="169" w:lineRule="exact"/>
              <w:rPr>
                <w:sz w:val="20"/>
                <w:szCs w:val="20"/>
                <w:color w:val="auto"/>
              </w:rPr>
            </w:pPr>
            <w:r>
              <w:rPr>
                <w:rFonts w:ascii="Arial" w:cs="Arial" w:eastAsia="Arial" w:hAnsi="Arial"/>
                <w:sz w:val="18"/>
                <w:szCs w:val="18"/>
                <w:color w:val="auto"/>
              </w:rPr>
              <w:t>3.1</w:t>
            </w:r>
          </w:p>
        </w:tc>
        <w:tc>
          <w:tcPr>
            <w:tcW w:w="1780" w:type="dxa"/>
            <w:vAlign w:val="bottom"/>
          </w:tcPr>
          <w:p>
            <w:pPr>
              <w:ind w:left="220"/>
              <w:spacing w:after="0" w:line="169" w:lineRule="exact"/>
              <w:rPr>
                <w:sz w:val="20"/>
                <w:szCs w:val="20"/>
                <w:color w:val="auto"/>
              </w:rPr>
            </w:pPr>
            <w:r>
              <w:rPr>
                <w:rFonts w:ascii="Arial" w:cs="Arial" w:eastAsia="Arial" w:hAnsi="Arial"/>
                <w:sz w:val="18"/>
                <w:szCs w:val="18"/>
                <w:color w:val="auto"/>
              </w:rPr>
              <w:t>10/31/2019</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Certificate of Incorporation of</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Progyny, Inc.</w:t>
              </w:r>
            </w:hyperlink>
          </w:p>
        </w:tc>
        <w:tc>
          <w:tcPr>
            <w:tcW w:w="1200" w:type="dxa"/>
            <w:vAlign w:val="bottom"/>
            <w:tcBorders>
              <w:top w:val="single" w:sz="8" w:color="0000EE"/>
            </w:tcBorders>
            <w:gridSpan w:val="11"/>
          </w:tcPr>
          <w:p>
            <w:pPr>
              <w:spacing w:after="0"/>
              <w:rPr>
                <w:sz w:val="17"/>
                <w:szCs w:val="17"/>
                <w:color w:val="auto"/>
              </w:rPr>
            </w:pPr>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Amended and Restated By-laws</w:t>
              </w:r>
            </w:hyperlink>
          </w:p>
        </w:tc>
        <w:tc>
          <w:tcPr>
            <w:tcW w:w="140" w:type="dxa"/>
            <w:vAlign w:val="bottom"/>
            <w:gridSpan w:val="2"/>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333-2339653.4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9/27/2019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of Progyny, Inc.</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Form of common stock</w:t>
              </w:r>
            </w:hyperlink>
          </w:p>
        </w:tc>
        <w:tc>
          <w:tcPr>
            <w:tcW w:w="780" w:type="dxa"/>
            <w:vAlign w:val="bottom"/>
            <w:gridSpan w:val="11"/>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333-2339654.1</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certificate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2013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333-2339654.2</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Form of 2014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333-2339654.3</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Form of 2015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9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Warrant to Purchase Stock</w:t>
              </w:r>
            </w:hyperlink>
          </w:p>
        </w:tc>
        <w:tc>
          <w:tcPr>
            <w:tcW w:w="560" w:type="dxa"/>
            <w:vAlign w:val="bottom"/>
            <w:gridSpan w:val="9"/>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333-2339654.5</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issued to Silicon Valley Bank</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dated October 9, 2013.</w:t>
              </w:r>
            </w:hyperlink>
          </w:p>
        </w:tc>
        <w:tc>
          <w:tcPr>
            <w:tcW w:w="360" w:type="dxa"/>
            <w:vAlign w:val="bottom"/>
            <w:gridSpan w:val="8"/>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6"/>
                <w:szCs w:val="16"/>
                <w:color w:val="auto"/>
              </w:rPr>
            </w:pPr>
          </w:p>
        </w:tc>
        <w:tc>
          <w:tcPr>
            <w:tcW w:w="2460" w:type="dxa"/>
            <w:vAlign w:val="bottom"/>
            <w:gridSpan w:val="20"/>
          </w:tcPr>
          <w:p>
            <w:pPr>
              <w:spacing w:after="0" w:line="190"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Certification of Chief Executive</w:t>
              </w:r>
            </w:hyperlink>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Officer pursuant to Exchange</w:t>
              </w:r>
            </w:hyperlink>
          </w:p>
        </w:tc>
        <w:tc>
          <w:tcPr>
            <w:tcW w:w="18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20"/>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Act Rule 13a-14(a).</w:t>
              </w:r>
            </w:hyperlink>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6"/>
                <w:szCs w:val="16"/>
                <w:color w:val="auto"/>
              </w:rPr>
            </w:pPr>
          </w:p>
        </w:tc>
        <w:tc>
          <w:tcPr>
            <w:tcW w:w="2260" w:type="dxa"/>
            <w:vAlign w:val="bottom"/>
            <w:tcBorders>
              <w:bottom w:val="single" w:sz="8" w:color="0000EE"/>
            </w:tcBorders>
            <w:gridSpan w:val="16"/>
          </w:tcPr>
          <w:p>
            <w:pPr>
              <w:spacing w:after="0" w:line="190"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Officer pursuant to Exchange</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20"/>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Act Rule 13a-14(a).</w:t>
              </w:r>
            </w:hyperlink>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6"/>
                <w:szCs w:val="16"/>
                <w:color w:val="auto"/>
              </w:rPr>
            </w:pPr>
          </w:p>
        </w:tc>
        <w:tc>
          <w:tcPr>
            <w:tcW w:w="2460" w:type="dxa"/>
            <w:vAlign w:val="bottom"/>
            <w:gridSpan w:val="20"/>
          </w:tcPr>
          <w:p>
            <w:pPr>
              <w:spacing w:after="0" w:line="190" w:lineRule="exact"/>
              <w:rPr>
                <w:rFonts w:ascii="Arial" w:cs="Arial" w:eastAsia="Arial" w:hAnsi="Arial"/>
                <w:sz w:val="18"/>
                <w:szCs w:val="18"/>
                <w:color w:val="0000EE"/>
              </w:rPr>
            </w:pPr>
            <w:hyperlink w:anchor="page74">
              <w:r>
                <w:rPr>
                  <w:rFonts w:ascii="Arial" w:cs="Arial" w:eastAsia="Arial" w:hAnsi="Arial"/>
                  <w:sz w:val="18"/>
                  <w:szCs w:val="18"/>
                  <w:color w:val="0000EE"/>
                </w:rPr>
                <w:t>Certification of Principal</w:t>
              </w:r>
            </w:hyperlink>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0"/>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Executive Officer pursuant to 18</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U.S.C. Section 1350.</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6"/>
                <w:szCs w:val="16"/>
                <w:color w:val="auto"/>
              </w:rPr>
            </w:pPr>
          </w:p>
        </w:tc>
        <w:tc>
          <w:tcPr>
            <w:tcW w:w="2260" w:type="dxa"/>
            <w:vAlign w:val="bottom"/>
            <w:tcBorders>
              <w:bottom w:val="single" w:sz="8" w:color="0000EE"/>
            </w:tcBorders>
            <w:gridSpan w:val="16"/>
          </w:tcPr>
          <w:p>
            <w:pPr>
              <w:spacing w:after="0" w:line="190"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Officer pursuant to 18 U.S.C.</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Section 1350.</w:t>
              </w:r>
            </w:hyperlink>
          </w:p>
        </w:tc>
        <w:tc>
          <w:tcPr>
            <w:tcW w:w="148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Schema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w w:val="96"/>
              </w:rPr>
              <w:t>Calculation Linkbase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Definition Linkbase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Label Linkbase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20"/>
          </w:tcPr>
          <w:p>
            <w:pPr>
              <w:spacing w:after="0"/>
              <w:rPr>
                <w:sz w:val="20"/>
                <w:szCs w:val="20"/>
                <w:color w:val="auto"/>
              </w:rPr>
            </w:pPr>
            <w:r>
              <w:rPr>
                <w:rFonts w:ascii="Arial" w:cs="Arial" w:eastAsia="Arial" w:hAnsi="Arial"/>
                <w:sz w:val="18"/>
                <w:szCs w:val="18"/>
                <w:color w:val="auto"/>
                <w:w w:val="92"/>
              </w:rPr>
              <w:t>Presentation Linkbase Document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80" w:hanging="43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80" w:hanging="43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Progyny, Inc.</w:t>
            </w:r>
          </w:p>
        </w:tc>
        <w:tc>
          <w:tcPr>
            <w:tcW w:w="330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300" w:type="dxa"/>
            <w:vAlign w:val="bottom"/>
          </w:tcPr>
          <w:p>
            <w:pPr>
              <w:spacing w:after="0"/>
              <w:rPr>
                <w:sz w:val="20"/>
                <w:szCs w:val="20"/>
                <w:color w:val="auto"/>
              </w:rPr>
            </w:pP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Date: November 6, 2020</w:t>
            </w: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0"/>
              </w:rPr>
              <w:t>David Schlanger</w:t>
            </w:r>
          </w:p>
        </w:tc>
      </w:tr>
      <w:tr>
        <w:trPr>
          <w:trHeight w:val="216"/>
        </w:trPr>
        <w:tc>
          <w:tcPr>
            <w:tcW w:w="3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Date: November 6, 2020</w:t>
            </w: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/s/ Mark Livingston</w:t>
            </w:r>
          </w:p>
        </w:tc>
      </w:tr>
      <w:tr>
        <w:trPr>
          <w:trHeight w:val="222"/>
        </w:trPr>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6"/>
              </w:rPr>
              <w:t>Mark Livingston</w:t>
            </w:r>
          </w:p>
        </w:tc>
      </w:tr>
      <w:tr>
        <w:trPr>
          <w:trHeight w:val="230"/>
        </w:trPr>
        <w:tc>
          <w:tcPr>
            <w:tcW w:w="3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jc w:val="center"/>
              <w:ind w:right="770"/>
              <w:spacing w:after="0"/>
              <w:rPr>
                <w:sz w:val="20"/>
                <w:szCs w:val="20"/>
                <w:color w:val="auto"/>
              </w:rPr>
            </w:pPr>
            <w:r>
              <w:rPr>
                <w:rFonts w:ascii="Arial" w:cs="Arial" w:eastAsia="Arial" w:hAnsi="Arial"/>
                <w:sz w:val="18"/>
                <w:szCs w:val="18"/>
                <w:color w:val="auto"/>
                <w:w w:val="94"/>
              </w:rPr>
              <w:t>Chief Financial Officer</w:t>
            </w:r>
          </w:p>
        </w:tc>
      </w:tr>
    </w:tbl>
    <w:p>
      <w:pPr>
        <w:ind w:left="5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100" w:right="20" w:hanging="444"/>
        <w:spacing w:after="0" w:line="311" w:lineRule="auto"/>
        <w:tabs>
          <w:tab w:leader="none" w:pos="11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00" w:hanging="444"/>
        <w:spacing w:after="0"/>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100" w:right="160" w:hanging="444"/>
        <w:spacing w:after="0" w:line="263"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00" w:right="280" w:hanging="444"/>
        <w:spacing w:after="0" w:line="259"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00" w:right="80" w:hanging="444"/>
        <w:spacing w:after="0" w:line="263"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00" w:right="460" w:hanging="444"/>
        <w:spacing w:after="0" w:line="277"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6, 2020</w:t>
            </w:r>
          </w:p>
        </w:tc>
        <w:tc>
          <w:tcPr>
            <w:tcW w:w="2040" w:type="dxa"/>
            <w:vAlign w:val="bottom"/>
          </w:tcPr>
          <w:p>
            <w:pPr>
              <w:ind w:left="170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6"/>
        </w:trPr>
        <w:tc>
          <w:tcPr>
            <w:tcW w:w="3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080" w:right="20" w:hanging="424"/>
        <w:spacing w:after="0" w:line="311"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hanging="424"/>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4"/>
        <w:spacing w:after="0" w:line="259"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6, 2020</w:t>
            </w:r>
          </w:p>
        </w:tc>
        <w:tc>
          <w:tcPr>
            <w:tcW w:w="2000" w:type="dxa"/>
            <w:vAlign w:val="bottom"/>
          </w:tcPr>
          <w:p>
            <w:pPr>
              <w:ind w:left="17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Livingston</w:t>
            </w:r>
          </w:p>
        </w:tc>
      </w:tr>
      <w:tr>
        <w:trPr>
          <w:trHeight w:val="222"/>
        </w:trPr>
        <w:tc>
          <w:tcPr>
            <w:tcW w:w="3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Mark Livingston</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September 30,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November 6, 2020</w:t>
            </w:r>
          </w:p>
        </w:tc>
        <w:tc>
          <w:tcPr>
            <w:tcW w:w="1800" w:type="dxa"/>
            <w:vAlign w:val="bottom"/>
          </w:tcPr>
          <w:p>
            <w:pPr>
              <w:ind w:left="15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776"/>
        </w:trPr>
        <w:tc>
          <w:tcPr>
            <w:tcW w:w="3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September 30,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November 6, 2020</w:t>
            </w:r>
          </w:p>
        </w:tc>
        <w:tc>
          <w:tcPr>
            <w:tcW w:w="1780" w:type="dxa"/>
            <w:vAlign w:val="bottom"/>
          </w:tcPr>
          <w:p>
            <w:pPr>
              <w:ind w:left="1500"/>
              <w:spacing w:after="0"/>
              <w:rPr>
                <w:sz w:val="20"/>
                <w:szCs w:val="20"/>
                <w:color w:val="auto"/>
              </w:rPr>
            </w:pPr>
            <w:r>
              <w:rPr>
                <w:rFonts w:ascii="Arial" w:cs="Arial" w:eastAsia="Arial" w:hAnsi="Arial"/>
                <w:sz w:val="18"/>
                <w:szCs w:val="18"/>
                <w:color w:val="auto"/>
                <w:w w:val="99"/>
              </w:rPr>
              <w:t>By:</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Livingston</w:t>
            </w:r>
          </w:p>
        </w:tc>
      </w:tr>
      <w:tr>
        <w:trPr>
          <w:trHeight w:val="222"/>
        </w:trPr>
        <w:tc>
          <w:tcPr>
            <w:tcW w:w="3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Mark Livingston</w:t>
            </w:r>
          </w:p>
        </w:tc>
      </w:tr>
      <w:tr>
        <w:trPr>
          <w:trHeight w:val="216"/>
        </w:trPr>
        <w:tc>
          <w:tcPr>
            <w:tcW w:w="3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6"/>
        </w:trPr>
        <w:tc>
          <w:tcPr>
            <w:tcW w:w="3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lvl w:ilvl="1">
      <w:lvlJc w:val="left"/>
      <w:lvlText w:val="●"/>
      <w:numFmt w:val="bullet"/>
      <w:start w:val="1"/>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1"/>
    </w:lvl>
    <w:lvl w:ilvl="1">
      <w:lvlJc w:val="left"/>
      <w:lvlText w:val="%2."/>
      <w:numFmt w:val="lowerLetter"/>
      <w:start w:val="1"/>
    </w:lvl>
  </w:abstractNum>
  <w:abstractNum w:abstractNumId="8">
    <w:nsid w:val="2D1D5AE9"/>
    <w:multiLevelType w:val="hybridMultilevel"/>
    <w:lvl w:ilvl="0">
      <w:lvlJc w:val="left"/>
      <w:lvlText w:val="%1."/>
      <w:numFmt w:val="decimal"/>
      <w:start w:val="7"/>
    </w:lvl>
    <w:lvl w:ilvl="1">
      <w:lvlJc w:val="left"/>
      <w:lvlText w:val="%2"/>
      <w:numFmt w:val="lowerLetter"/>
      <w:start w:val="1"/>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1."/>
      <w:numFmt w:val="decimal"/>
      <w:start w:val="10"/>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88" Type="http://schemas.openxmlformats.org/officeDocument/2006/relationships/hyperlink" Target="http://www.sec.gov/Archives/edgar/data/1551306/000110465919058484/a19-21599_1ex3d1.htm" TargetMode="External"/><Relationship Id="rId89" Type="http://schemas.openxmlformats.org/officeDocument/2006/relationships/hyperlink" Target="http://www.sec.gov/Archives/edgar/data/1551306/000104746919005487/a2239750zex-3_4.htm" TargetMode="External"/><Relationship Id="rId90" Type="http://schemas.openxmlformats.org/officeDocument/2006/relationships/hyperlink" Target="http://www.sec.gov/Archives/edgar/data/1551306/000104746919005727/a2239825zex-4_1.htm" TargetMode="External"/><Relationship Id="rId91" Type="http://schemas.openxmlformats.org/officeDocument/2006/relationships/hyperlink" Target="http://www.sec.gov/Archives/edgar/data/1551306/000104746919005727/a2239825zex-4_2.htm" TargetMode="External"/><Relationship Id="rId92" Type="http://schemas.openxmlformats.org/officeDocument/2006/relationships/hyperlink" Target="http://www.sec.gov/Archives/edgar/data/1551306/000104746919005727/a2239825zex-4_3.htm" TargetMode="External"/><Relationship Id="rId93" Type="http://schemas.openxmlformats.org/officeDocument/2006/relationships/hyperlink" Target="http://www.sec.gov/Archives/edgar/data/1551306/000104746919005727/a2239825zex-4_4.htm" TargetMode="External"/><Relationship Id="rId94"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2020-11-06T15:57:21Z</dcterms:created>
  <dcterms:modified xsi:type="dcterms:W3CDTF">2020-11-06T15:57:21Z</dcterms:modified>
</cp:coreProperties>
</file>