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68580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88265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23" w:lineRule="exact"/>
        <w:rPr>
          <w:sz w:val="24"/>
          <w:szCs w:val="24"/>
          <w:color w:val="auto"/>
        </w:rPr>
      </w:pPr>
    </w:p>
    <w:p>
      <w:pPr>
        <w:ind w:left="1"/>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21" w:hanging="521"/>
        <w:spacing w:after="0"/>
        <w:tabs>
          <w:tab w:leader="none" w:pos="52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321" w:right="1300" w:hanging="2321"/>
        <w:spacing w:after="0" w:line="382" w:lineRule="auto"/>
        <w:tabs>
          <w:tab w:leader="none" w:pos="528"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741"/>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88900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10081"/>
          </w:cols>
          <w:pgMar w:left="919" w:top="233" w:right="89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77470</wp:posOffset>
            </wp:positionV>
            <wp:extent cx="16033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37" w:lineRule="exact"/>
        <w:rPr>
          <w:sz w:val="24"/>
          <w:szCs w:val="24"/>
          <w:color w:val="auto"/>
        </w:rPr>
      </w:pPr>
    </w:p>
    <w:p>
      <w:pPr>
        <w:jc w:val="center"/>
        <w:ind w:right="1759"/>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41"/>
        <w:spacing w:after="0"/>
        <w:rPr>
          <w:sz w:val="20"/>
          <w:szCs w:val="20"/>
          <w:color w:val="auto"/>
        </w:rPr>
      </w:pPr>
      <w:r>
        <w:rPr>
          <w:rFonts w:ascii="Arial" w:cs="Arial" w:eastAsia="Arial" w:hAnsi="Arial"/>
          <w:sz w:val="11"/>
          <w:szCs w:val="11"/>
          <w:b w:val="1"/>
          <w:bCs w:val="1"/>
          <w:color w:val="auto"/>
        </w:rPr>
        <w:t>(State or other jurisdiction of</w:t>
      </w:r>
    </w:p>
    <w:p>
      <w:pPr>
        <w:ind w:left="1821"/>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759"/>
        <w:spacing w:after="0"/>
        <w:rPr>
          <w:sz w:val="20"/>
          <w:szCs w:val="20"/>
          <w:color w:val="auto"/>
        </w:rPr>
      </w:pPr>
      <w:r>
        <w:rPr>
          <w:rFonts w:ascii="Arial" w:cs="Arial" w:eastAsia="Arial" w:hAnsi="Arial"/>
          <w:sz w:val="16"/>
          <w:szCs w:val="16"/>
          <w:b w:val="1"/>
          <w:bCs w:val="1"/>
          <w:color w:val="auto"/>
        </w:rPr>
        <w:t>245 5th Avenue</w:t>
      </w:r>
    </w:p>
    <w:p>
      <w:pPr>
        <w:spacing w:after="0" w:line="27" w:lineRule="exact"/>
        <w:rPr>
          <w:sz w:val="24"/>
          <w:szCs w:val="24"/>
          <w:color w:val="auto"/>
        </w:rPr>
      </w:pPr>
    </w:p>
    <w:p>
      <w:pPr>
        <w:jc w:val="center"/>
        <w:ind w:right="1759"/>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24" w:lineRule="exact"/>
        <w:rPr>
          <w:sz w:val="24"/>
          <w:szCs w:val="24"/>
          <w:color w:val="auto"/>
        </w:rPr>
      </w:pPr>
    </w:p>
    <w:p>
      <w:pPr>
        <w:ind w:left="240"/>
        <w:spacing w:after="0"/>
        <w:rPr>
          <w:sz w:val="20"/>
          <w:szCs w:val="20"/>
          <w:color w:val="auto"/>
        </w:rPr>
      </w:pPr>
      <w:r>
        <w:rPr>
          <w:rFonts w:ascii="Arial" w:cs="Arial" w:eastAsia="Arial" w:hAnsi="Arial"/>
          <w:sz w:val="16"/>
          <w:szCs w:val="16"/>
          <w:b w:val="1"/>
          <w:bCs w:val="1"/>
          <w:color w:val="auto"/>
        </w:rPr>
        <w:t>10016</w:t>
      </w:r>
    </w:p>
    <w:p>
      <w:pPr>
        <w:spacing w:after="0" w:line="86" w:lineRule="exact"/>
        <w:rPr>
          <w:sz w:val="24"/>
          <w:szCs w:val="24"/>
          <w:color w:val="auto"/>
        </w:rPr>
      </w:pPr>
    </w:p>
    <w:p>
      <w:pPr>
        <w:sectPr>
          <w:pgSz w:w="11900" w:h="16838" w:orient="portrait"/>
          <w:cols w:equalWidth="0" w:num="2">
            <w:col w:w="6821" w:space="300"/>
            <w:col w:w="2960"/>
          </w:cols>
          <w:pgMar w:left="919" w:top="233" w:right="899" w:bottom="1440" w:gutter="0" w:footer="0" w:header="0"/>
          <w:type w:val="continuous"/>
        </w:sectPr>
      </w:pPr>
    </w:p>
    <w:p>
      <w:pPr>
        <w:ind w:left="1621"/>
        <w:spacing w:after="0"/>
        <w:tabs>
          <w:tab w:leader="none" w:pos="728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401"/>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921"/>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64770</wp:posOffset>
            </wp:positionV>
            <wp:extent cx="1603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639762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7625" cy="386080"/>
                    </a:xfrm>
                    <a:prstGeom prst="rect">
                      <a:avLst/>
                    </a:prstGeom>
                    <a:noFill/>
                  </pic:spPr>
                </pic:pic>
              </a:graphicData>
            </a:graphic>
          </wp:anchor>
        </w:drawing>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162"/>
        </w:trPr>
        <w:tc>
          <w:tcPr>
            <w:tcW w:w="3400" w:type="dxa"/>
            <w:vAlign w:val="bottom"/>
            <w:tcBorders>
              <w:top w:val="single" w:sz="8" w:color="auto"/>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Title of each class</w:t>
            </w:r>
          </w:p>
        </w:tc>
        <w:tc>
          <w:tcPr>
            <w:tcW w:w="290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8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400" w:type="dxa"/>
            <w:vAlign w:val="bottom"/>
          </w:tcPr>
          <w:p>
            <w:pPr>
              <w:jc w:val="center"/>
              <w:ind w:left="68"/>
              <w:spacing w:after="0"/>
              <w:rPr>
                <w:sz w:val="20"/>
                <w:szCs w:val="20"/>
                <w:color w:val="auto"/>
              </w:rPr>
            </w:pPr>
            <w:r>
              <w:rPr>
                <w:rFonts w:ascii="Arial" w:cs="Arial" w:eastAsia="Arial" w:hAnsi="Arial"/>
                <w:sz w:val="14"/>
                <w:szCs w:val="14"/>
                <w:color w:val="auto"/>
                <w:w w:val="94"/>
              </w:rPr>
              <w:t>Common Stock,</w:t>
            </w:r>
          </w:p>
        </w:tc>
        <w:tc>
          <w:tcPr>
            <w:tcW w:w="2900" w:type="dxa"/>
            <w:vAlign w:val="bottom"/>
          </w:tcPr>
          <w:p>
            <w:pPr>
              <w:jc w:val="center"/>
              <w:ind w:left="328"/>
              <w:spacing w:after="0"/>
              <w:rPr>
                <w:sz w:val="20"/>
                <w:szCs w:val="20"/>
                <w:color w:val="auto"/>
              </w:rPr>
            </w:pPr>
            <w:r>
              <w:rPr>
                <w:rFonts w:ascii="Arial" w:cs="Arial" w:eastAsia="Arial" w:hAnsi="Arial"/>
                <w:sz w:val="14"/>
                <w:szCs w:val="14"/>
                <w:color w:val="auto"/>
                <w:w w:val="95"/>
              </w:rPr>
              <w:t>PGNY</w:t>
            </w:r>
          </w:p>
        </w:tc>
        <w:tc>
          <w:tcPr>
            <w:tcW w:w="378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Market</w:t>
            </w:r>
          </w:p>
        </w:tc>
      </w:tr>
    </w:tbl>
    <w:p>
      <w:pPr>
        <w:ind w:left="981"/>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left="1" w:right="20" w:firstLine="51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41"/>
        <w:spacing w:after="0" w:line="161" w:lineRule="exact"/>
        <w:tabs>
          <w:tab w:leader="none" w:pos="68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2"/>
          <w:szCs w:val="12"/>
          <w:color w:val="auto"/>
        </w:rPr>
        <w:t>☒</w:t>
      </w:r>
    </w:p>
    <w:p>
      <w:pPr>
        <w:spacing w:after="0" w:line="102" w:lineRule="exact"/>
        <w:rPr>
          <w:sz w:val="24"/>
          <w:szCs w:val="24"/>
          <w:color w:val="auto"/>
        </w:rPr>
      </w:pPr>
    </w:p>
    <w:p>
      <w:pPr>
        <w:jc w:val="both"/>
        <w:ind w:left="1" w:right="20" w:firstLine="51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left="1" w:right="20" w:firstLine="519"/>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1" w:type="dxa"/>
        <w:tblCellMar>
          <w:top w:w="0" w:type="dxa"/>
          <w:left w:w="0" w:type="dxa"/>
          <w:bottom w:w="0" w:type="dxa"/>
          <w:right w:w="0" w:type="dxa"/>
        </w:tblCellMar>
      </w:tblPr>
      <w:tr>
        <w:trPr>
          <w:trHeight w:val="176"/>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380"/>
              <w:spacing w:after="0"/>
              <w:rPr>
                <w:sz w:val="20"/>
                <w:szCs w:val="20"/>
                <w:color w:val="auto"/>
              </w:rPr>
            </w:pPr>
            <w:r>
              <w:rPr>
                <w:rFonts w:ascii="Arial" w:cs="Arial" w:eastAsia="Arial" w:hAnsi="Arial"/>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52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380"/>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920" w:type="dxa"/>
            <w:vAlign w:val="bottom"/>
          </w:tcPr>
          <w:p>
            <w:pPr>
              <w:ind w:left="380"/>
              <w:spacing w:after="0"/>
              <w:rPr>
                <w:sz w:val="20"/>
                <w:szCs w:val="20"/>
                <w:color w:val="auto"/>
              </w:rPr>
            </w:pPr>
            <w:r>
              <w:rPr>
                <w:rFonts w:ascii="Arial" w:cs="Arial" w:eastAsia="Arial" w:hAnsi="Arial"/>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ind w:left="1" w:right="20" w:firstLine="5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1" w:right="1960" w:firstLine="519"/>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November 29, 2019, the registrant had 84,046,372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33655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50800</wp:posOffset>
            </wp:positionV>
            <wp:extent cx="638873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985520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233"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gridSpan w:val="2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620" w:type="dxa"/>
            <w:vAlign w:val="bottom"/>
            <w:gridSpan w:val="27"/>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544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2019 and December 31, 2018</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Operations and Comprehensive Income (Loss) for the Three and</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Nine Months Ended September 30, 2019 and 2018</w:t>
              </w:r>
            </w:hyperlink>
          </w:p>
        </w:tc>
        <w:tc>
          <w:tcPr>
            <w:tcW w:w="3860" w:type="dxa"/>
            <w:vAlign w:val="bottom"/>
            <w:tcBorders>
              <w:top w:val="single" w:sz="8" w:color="0000EE"/>
            </w:tcBorders>
            <w:gridSpan w:val="7"/>
          </w:tcPr>
          <w:p>
            <w:pPr>
              <w:spacing w:after="0"/>
              <w:rPr>
                <w:sz w:val="17"/>
                <w:szCs w:val="17"/>
                <w:color w:val="auto"/>
              </w:rPr>
            </w:pPr>
          </w:p>
        </w:tc>
        <w:tc>
          <w:tcPr>
            <w:tcW w:w="2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Changes in Convertible Preferred Stock and Stockholders’ Deficit</w:t>
              </w:r>
            </w:hyperlink>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for the Three and Nine Months Ended September 30, 2019 and 2018</w:t>
              </w:r>
            </w:hyperlink>
          </w:p>
        </w:tc>
        <w:tc>
          <w:tcPr>
            <w:tcW w:w="1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Nine Months Ended September 30, 2019 and</w:t>
              </w:r>
            </w:hyperlink>
          </w:p>
        </w:tc>
        <w:tc>
          <w:tcPr>
            <w:tcW w:w="2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4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2.</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14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Quantitative and Qualitative Disclosures About Market Risk</w:t>
              </w:r>
            </w:hyperlink>
          </w:p>
        </w:tc>
        <w:tc>
          <w:tcPr>
            <w:tcW w:w="350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Item 4.</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20" w:type="dxa"/>
            <w:vAlign w:val="bottom"/>
            <w:gridSpan w:val="27"/>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w:t>
              </w:r>
            </w:hyperlink>
          </w:p>
        </w:tc>
        <w:tc>
          <w:tcPr>
            <w:tcW w:w="180" w:type="dxa"/>
            <w:vAlign w:val="bottom"/>
            <w:tcBorders>
              <w:top w:val="single" w:sz="8" w:color="0000EE"/>
            </w:tcBorders>
            <w:gridSpan w:val="2"/>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84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1A.</w:t>
              </w:r>
            </w:hyperlink>
          </w:p>
        </w:tc>
        <w:tc>
          <w:tcPr>
            <w:tcW w:w="6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gridSpan w:val="2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3.</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Defaults Upon Senior Securities</w:t>
              </w:r>
            </w:hyperlink>
          </w:p>
        </w:tc>
        <w:tc>
          <w:tcPr>
            <w:tcW w:w="35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4.</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Mine Safety Disclosures</w:t>
              </w:r>
            </w:hyperlink>
          </w:p>
        </w:tc>
        <w:tc>
          <w:tcPr>
            <w:tcW w:w="5540" w:type="dxa"/>
            <w:vAlign w:val="bottom"/>
            <w:gridSpan w:val="1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5.</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610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Item 6.</w:t>
              </w:r>
            </w:hyperlink>
          </w:p>
        </w:tc>
        <w:tc>
          <w:tcPr>
            <w:tcW w:w="1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Exhibits</w:t>
              </w:r>
            </w:hyperlink>
          </w:p>
        </w:tc>
        <w:tc>
          <w:tcPr>
            <w:tcW w:w="7260" w:type="dxa"/>
            <w:vAlign w:val="bottom"/>
            <w:gridSpan w:val="2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75">
              <w:r>
                <w:rPr>
                  <w:rFonts w:ascii="Arial" w:cs="Arial" w:eastAsia="Arial" w:hAnsi="Arial"/>
                  <w:sz w:val="18"/>
                  <w:szCs w:val="18"/>
                  <w:color w:val="0000EE"/>
                  <w:w w:val="85"/>
                </w:rPr>
                <w:t>Signatures</w:t>
              </w:r>
            </w:hyperlink>
          </w:p>
        </w:tc>
        <w:tc>
          <w:tcPr>
            <w:tcW w:w="710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and the plans and objectives of management for future operations and capital expenditures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r>
      <w:tr>
        <w:trPr>
          <w:trHeight w:val="142"/>
        </w:trPr>
        <w:tc>
          <w:tcPr>
            <w:tcW w:w="6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02"/>
        </w:trPr>
        <w:tc>
          <w:tcPr>
            <w:tcW w:w="6820" w:type="dxa"/>
            <w:vAlign w:val="bottom"/>
          </w:tcPr>
          <w:p>
            <w:pPr>
              <w:ind w:left="120"/>
              <w:spacing w:after="0" w:line="201" w:lineRule="exact"/>
              <w:rPr>
                <w:sz w:val="20"/>
                <w:szCs w:val="20"/>
                <w:color w:val="auto"/>
              </w:rPr>
            </w:pPr>
            <w:r>
              <w:rPr>
                <w:rFonts w:ascii="Arial" w:cs="Arial" w:eastAsia="Arial" w:hAnsi="Arial"/>
                <w:sz w:val="18"/>
                <w:szCs w:val="18"/>
                <w:color w:val="auto"/>
                <w:w w:val="94"/>
              </w:rPr>
              <w:t>Accounts receivable, net of $7,582 and $3,486 of allowances at September 30, 2019 and</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December 31, 2018, respectively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23,325</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Assets of discontinued operations, current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7"/>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72,551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r>
      <w:tr>
        <w:trPr>
          <w:trHeight w:val="184"/>
        </w:trPr>
        <w:tc>
          <w:tcPr>
            <w:tcW w:w="682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LIABILITIES, CONVERTIBLE PREFERRED STOCK AND STOCKHOLDERS’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34"/>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DEFICIT</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15,578</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9,782</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 preferred stock warrant liabilities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Short term debt</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57,564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w:t>
            </w: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57,564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30,202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Convertible preferred stock, $0.0001 par value; 314,930,070 shares authorized as of</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w w:val="93"/>
              </w:rPr>
              <w:t>September 30, 2019 and December 31, 2018; 65,428,088 shares issued and outstanding at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September 30, 2019 and December 31, 2018, respectively; aggregate liquidation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w w:val="96"/>
              </w:rPr>
              <w:t>preference of $106,369 as of September 30, 2019 and December 31, 2018, respectively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106,237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4"/>
              </w:rPr>
              <w:t>Common stock, $0.0001 par value; 443,500,000 shares authorized at September 30, 2019</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w w:val="98"/>
              </w:rPr>
              <w:t>and 441,000,000 at December 31, 2018; 10,046,705 and 5,155,407 shares issued and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10,622</w:t>
            </w:r>
          </w:p>
        </w:tc>
      </w:tr>
      <w:tr>
        <w:trPr>
          <w:trHeight w:val="202"/>
        </w:trPr>
        <w:tc>
          <w:tcPr>
            <w:tcW w:w="6820" w:type="dxa"/>
            <w:vAlign w:val="bottom"/>
          </w:tcPr>
          <w:p>
            <w:pPr>
              <w:ind w:left="120"/>
              <w:spacing w:after="0" w:line="201" w:lineRule="exact"/>
              <w:rPr>
                <w:sz w:val="20"/>
                <w:szCs w:val="20"/>
                <w:color w:val="auto"/>
              </w:rPr>
            </w:pPr>
            <w:r>
              <w:rPr>
                <w:rFonts w:ascii="Arial" w:cs="Arial" w:eastAsia="Arial" w:hAnsi="Arial"/>
                <w:sz w:val="18"/>
                <w:szCs w:val="18"/>
                <w:color w:val="auto"/>
              </w:rPr>
              <w:t>Treasury stock, at cost , $0.0001 par value; 615,980 shares outstanding at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September 30, 2019 and 589,320 at December 31, 2018</w:t>
            </w: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(109,081)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(104,854)</w:t>
            </w:r>
          </w:p>
        </w:tc>
      </w:tr>
      <w:tr>
        <w:trPr>
          <w:trHeight w:val="210"/>
        </w:trPr>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(91,250)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(95,115)</w:t>
            </w:r>
          </w:p>
        </w:tc>
      </w:tr>
      <w:tr>
        <w:trPr>
          <w:trHeight w:val="217"/>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deficit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41,324</w:t>
            </w: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08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08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76,213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Convertible preferred stock warrant valuation</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tax</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4"/>
              </w:rPr>
              <w:t>Net income from discontinued operations, net of taxes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 income</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188"/>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Net (loss) earnings per share attributable to common</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2"/>
        </w:trPr>
        <w:tc>
          <w:tcPr>
            <w:tcW w:w="420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net (loss) earnings per share attributable to</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stockholders basic and diluted</w:t>
            </w:r>
          </w:p>
        </w:tc>
        <w:tc>
          <w:tcPr>
            <w:tcW w:w="3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w w:val="95"/>
              </w:rPr>
              <w:t>Weighted-average shares used in computing net (loss)</w:t>
            </w: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earnings per share: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7,472,469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5,627,656</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5,947,821</w:t>
            </w: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5,669,913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Progyny, Inc.</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7"/>
          <w:szCs w:val="17"/>
          <w:b w:val="1"/>
          <w:bCs w:val="1"/>
          <w:color w:val="auto"/>
        </w:rPr>
        <w:t>Condensed Consolidated Statements of Changes in Convertible Preferred Stock and Stockholders’ Deficit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7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Convertible Preferred</w:t>
            </w: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700" w:type="dxa"/>
            <w:vAlign w:val="bottom"/>
            <w:gridSpan w:val="5"/>
            <w:vMerge w:val="continue"/>
          </w:tcPr>
          <w:p>
            <w:pPr>
              <w:spacing w:after="0"/>
              <w:rPr>
                <w:sz w:val="9"/>
                <w:szCs w:val="9"/>
                <w:color w:val="auto"/>
              </w:rPr>
            </w:pPr>
          </w:p>
        </w:tc>
        <w:tc>
          <w:tcPr>
            <w:tcW w:w="80" w:type="dxa"/>
            <w:vAlign w:val="bottom"/>
            <w:tcBorders>
              <w:left w:val="single" w:sz="8" w:color="auto"/>
            </w:tcBorders>
          </w:tcPr>
          <w:p>
            <w:pPr>
              <w:spacing w:after="0"/>
              <w:rPr>
                <w:sz w:val="9"/>
                <w:szCs w:val="9"/>
                <w:color w:val="auto"/>
              </w:rPr>
            </w:pPr>
          </w:p>
        </w:tc>
        <w:tc>
          <w:tcPr>
            <w:tcW w:w="156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Paid in</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8"/>
              </w:rPr>
              <w:t>Capital</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5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three months ended</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left w:val="single" w:sz="8" w:color="auto"/>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2019:</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left w:val="single" w:sz="8" w:color="auto"/>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Balance at June 30, 2019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65,428,088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106,237</w:t>
            </w: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5,187,474</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12,182</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(100,813)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(89,514)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Repurchase of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Stock option exercise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4,885,890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4,976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(8,210)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65,428,088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10,046,705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18,838</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(109,081)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(91,250)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For the three months ended</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2018:</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Balance at June 30, 2018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65,428,088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106,237</w:t>
            </w: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5,694,895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9,075</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(101,872)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(92,796)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Repurchase of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Stock option exercise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29,207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(1,136)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2018</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65,428,088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5,134,781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9,910</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(103,329)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(94,302)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nine months ended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lef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lef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65,428,088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106,237</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5,155,407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10,622</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(104,854)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(95,115)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Repurchase of Common Stock</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(26,659)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option exercise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4,917,957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3,209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(4,169)</w:t>
            </w:r>
          </w:p>
        </w:tc>
        <w:tc>
          <w:tcPr>
            <w:tcW w:w="0" w:type="dxa"/>
            <w:vAlign w:val="bottom"/>
          </w:tcPr>
          <w:p>
            <w:pPr>
              <w:spacing w:after="0"/>
              <w:rPr>
                <w:sz w:val="1"/>
                <w:szCs w:val="1"/>
                <w:color w:val="auto"/>
              </w:rPr>
            </w:pPr>
          </w:p>
        </w:tc>
      </w:tr>
      <w:tr>
        <w:trPr>
          <w:trHeight w:val="149"/>
        </w:trPr>
        <w:tc>
          <w:tcPr>
            <w:tcW w:w="2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65,428,088</w:t>
            </w: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106,237</w:t>
            </w: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10,046,705</w:t>
            </w:r>
          </w:p>
        </w:tc>
        <w:tc>
          <w:tcPr>
            <w:tcW w:w="16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(1,008)</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18,838</w:t>
            </w:r>
          </w:p>
        </w:tc>
        <w:tc>
          <w:tcPr>
            <w:tcW w:w="30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(109,081)</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(91,250)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00" w:type="dxa"/>
            <w:vAlign w:val="bottom"/>
          </w:tcPr>
          <w:p>
            <w:pPr>
              <w:spacing w:after="0" w:line="126" w:lineRule="exact"/>
              <w:rPr>
                <w:sz w:val="20"/>
                <w:szCs w:val="20"/>
                <w:color w:val="auto"/>
              </w:rPr>
            </w:pPr>
            <w:r>
              <w:rPr>
                <w:rFonts w:ascii="Arial" w:cs="Arial" w:eastAsia="Arial" w:hAnsi="Arial"/>
                <w:sz w:val="14"/>
                <w:szCs w:val="14"/>
                <w:b w:val="1"/>
                <w:bCs w:val="1"/>
                <w:color w:val="auto"/>
              </w:rPr>
              <w:t>For the nine months ended</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66,630,284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108,312</w:t>
            </w:r>
          </w:p>
        </w:tc>
        <w:tc>
          <w:tcPr>
            <w:tcW w:w="100" w:type="dxa"/>
            <w:vAlign w:val="bottom"/>
            <w:shd w:val="clear" w:color="auto" w:fill="CCEEFF"/>
          </w:tcPr>
          <w:p>
            <w:pPr>
              <w:spacing w:after="0"/>
              <w:rPr>
                <w:sz w:val="12"/>
                <w:szCs w:val="12"/>
                <w:color w:val="auto"/>
              </w:rPr>
            </w:pP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5,690,083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6,933</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(104,556)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(97,622)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Repurchase of Preferred Stock</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(1,202,196)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(2,075)</w:t>
            </w:r>
          </w:p>
        </w:tc>
        <w:tc>
          <w:tcPr>
            <w:tcW w:w="100" w:type="dxa"/>
            <w:vAlign w:val="bottom"/>
          </w:tcPr>
          <w:p>
            <w:pPr>
              <w:spacing w:after="0"/>
              <w:rPr>
                <w:sz w:val="12"/>
                <w:szCs w:val="12"/>
                <w:color w:val="auto"/>
              </w:rPr>
            </w:pP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Repurchase of Common Stock</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(589,320)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Non-cash contribution</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 option exercise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Impact of adoption of 2016</w:t>
            </w:r>
            <w:r>
              <w:rPr>
                <w:rFonts w:ascii="MS PGothic" w:cs="MS PGothic" w:eastAsia="MS PGothic" w:hAnsi="MS PGothic"/>
                <w:sz w:val="14"/>
                <w:szCs w:val="14"/>
                <w:color w:val="auto"/>
              </w:rPr>
              <w:t>‑</w:t>
            </w:r>
            <w:r>
              <w:rPr>
                <w:rFonts w:ascii="Arial" w:cs="Arial" w:eastAsia="Arial" w:hAnsi="Arial"/>
                <w:sz w:val="14"/>
                <w:szCs w:val="14"/>
                <w:color w:val="auto"/>
              </w:rPr>
              <w:t>09</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8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Borders>
              <w:left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2,186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2018</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65,428,088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106,237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left w:val="single" w:sz="8" w:color="auto"/>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5,134,781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9,910</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(103,329)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 xml:space="preserve"> (94,302)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56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972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7270" cy="26035"/>
                    </a:xfrm>
                    <a:prstGeom prst="rect">
                      <a:avLst/>
                    </a:prstGeom>
                    <a:noFill/>
                  </pic:spPr>
                </pic:pic>
              </a:graphicData>
            </a:graphic>
          </wp:anchor>
        </w:drawing>
      </w:r>
    </w:p>
    <w:p>
      <w:pPr>
        <w:sectPr>
          <w:pgSz w:w="11900" w:h="16838" w:orient="portrait"/>
          <w:cols w:equalWidth="0" w:num="1">
            <w:col w:w="9600"/>
          </w:cols>
          <w:pgMar w:left="1160" w:top="125" w:right="11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Progyny, Inc.</w:t>
      </w:r>
    </w:p>
    <w:p>
      <w:pPr>
        <w:spacing w:after="0" w:line="5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20"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Nine Months Ended</w:t>
      </w:r>
    </w:p>
    <w:p>
      <w:pPr>
        <w:ind w:left="7700"/>
        <w:spacing w:after="0" w:line="223" w:lineRule="auto"/>
        <w:rPr>
          <w:sz w:val="20"/>
          <w:szCs w:val="20"/>
          <w:color w:val="auto"/>
        </w:rPr>
      </w:pPr>
      <w:r>
        <w:rPr>
          <w:rFonts w:ascii="Arial" w:cs="Arial" w:eastAsia="Arial" w:hAnsi="Arial"/>
          <w:sz w:val="13"/>
          <w:szCs w:val="13"/>
          <w:b w:val="1"/>
          <w:bCs w:val="1"/>
          <w:color w:val="auto"/>
        </w:rPr>
        <w:t>September 30,</w:t>
      </w:r>
    </w:p>
    <w:tbl>
      <w:tblPr>
        <w:tblLayout w:type="fixed"/>
        <w:tblInd w:w="0" w:type="dxa"/>
        <w:tblCellMar>
          <w:top w:w="0" w:type="dxa"/>
          <w:left w:w="0" w:type="dxa"/>
          <w:bottom w:w="0" w:type="dxa"/>
          <w:right w:w="0" w:type="dxa"/>
        </w:tblCellMar>
      </w:tblPr>
      <w:tr>
        <w:trPr>
          <w:trHeight w:val="129"/>
        </w:trPr>
        <w:tc>
          <w:tcPr>
            <w:tcW w:w="71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2018</w:t>
            </w:r>
          </w:p>
        </w:tc>
      </w:tr>
      <w:tr>
        <w:trPr>
          <w:trHeight w:val="129"/>
        </w:trPr>
        <w:tc>
          <w:tcPr>
            <w:tcW w:w="7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ACTIVITIES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Net (loss) income</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(4,169)</w:t>
            </w:r>
          </w:p>
        </w:tc>
        <w:tc>
          <w:tcPr>
            <w:tcW w:w="2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2,186</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Less: Income from discontinued operations, net of income tax</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(5,725)</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Adjustments to reconcile net (loss) income to net cash provided by (used in) operating activities: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1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tax expense (benefit)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(1,230)</w:t>
            </w:r>
          </w:p>
        </w:tc>
      </w:tr>
      <w:tr>
        <w:trPr>
          <w:trHeight w:val="135"/>
        </w:trPr>
        <w:tc>
          <w:tcPr>
            <w:tcW w:w="7140" w:type="dxa"/>
            <w:vAlign w:val="bottom"/>
          </w:tcPr>
          <w:p>
            <w:pPr>
              <w:ind w:left="120"/>
              <w:spacing w:after="0" w:line="135" w:lineRule="exact"/>
              <w:rPr>
                <w:sz w:val="20"/>
                <w:szCs w:val="20"/>
                <w:color w:val="auto"/>
              </w:rPr>
            </w:pPr>
            <w:r>
              <w:rPr>
                <w:rFonts w:ascii="Arial" w:cs="Arial" w:eastAsia="Arial" w:hAnsi="Arial"/>
                <w:sz w:val="13"/>
                <w:szCs w:val="13"/>
                <w:color w:val="auto"/>
              </w:rPr>
              <w:t>Loss on debt extinguishment</w:t>
            </w: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88</w:t>
            </w:r>
          </w:p>
        </w:tc>
      </w:tr>
      <w:tr>
        <w:trPr>
          <w:trHeight w:val="135"/>
        </w:trPr>
        <w:tc>
          <w:tcPr>
            <w:tcW w:w="71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1,594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1,395</w:t>
            </w:r>
          </w:p>
        </w:tc>
      </w:tr>
      <w:tr>
        <w:trPr>
          <w:trHeight w:val="135"/>
        </w:trPr>
        <w:tc>
          <w:tcPr>
            <w:tcW w:w="7140" w:type="dxa"/>
            <w:vAlign w:val="bottom"/>
          </w:tcPr>
          <w:p>
            <w:pPr>
              <w:ind w:left="120"/>
              <w:spacing w:after="0" w:line="135" w:lineRule="exact"/>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2,304</w:t>
            </w:r>
          </w:p>
        </w:tc>
      </w:tr>
      <w:tr>
        <w:trPr>
          <w:trHeight w:val="135"/>
        </w:trPr>
        <w:tc>
          <w:tcPr>
            <w:tcW w:w="71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Bad debt expense</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w:t>
            </w:r>
          </w:p>
        </w:tc>
      </w:tr>
      <w:tr>
        <w:trPr>
          <w:trHeight w:val="135"/>
        </w:trPr>
        <w:tc>
          <w:tcPr>
            <w:tcW w:w="7140" w:type="dxa"/>
            <w:vAlign w:val="bottom"/>
          </w:tcPr>
          <w:p>
            <w:pPr>
              <w:ind w:left="120"/>
              <w:spacing w:after="0" w:line="135" w:lineRule="exact"/>
              <w:rPr>
                <w:sz w:val="20"/>
                <w:szCs w:val="20"/>
                <w:color w:val="auto"/>
              </w:rPr>
            </w:pPr>
            <w:r>
              <w:rPr>
                <w:rFonts w:ascii="Arial" w:cs="Arial" w:eastAsia="Arial" w:hAnsi="Arial"/>
                <w:sz w:val="13"/>
                <w:szCs w:val="13"/>
                <w:color w:val="auto"/>
              </w:rPr>
              <w:t>Loss on disposal of property and equipment</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71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Accretion of debt discount and debt issuance costs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r>
      <w:tr>
        <w:trPr>
          <w:trHeight w:val="135"/>
        </w:trPr>
        <w:tc>
          <w:tcPr>
            <w:tcW w:w="7140" w:type="dxa"/>
            <w:vAlign w:val="bottom"/>
          </w:tcPr>
          <w:p>
            <w:pPr>
              <w:ind w:left="120"/>
              <w:spacing w:after="0" w:line="135" w:lineRule="exact"/>
              <w:rPr>
                <w:sz w:val="20"/>
                <w:szCs w:val="20"/>
                <w:color w:val="auto"/>
              </w:rPr>
            </w:pPr>
            <w:r>
              <w:rPr>
                <w:rFonts w:ascii="Arial" w:cs="Arial" w:eastAsia="Arial" w:hAnsi="Arial"/>
                <w:sz w:val="13"/>
                <w:szCs w:val="13"/>
                <w:color w:val="auto"/>
              </w:rPr>
              <w:t>Change in fair value of warrant liabilities</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12,419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1,561</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7140" w:type="dxa"/>
            <w:vAlign w:val="bottom"/>
          </w:tcPr>
          <w:p>
            <w:pPr>
              <w:ind w:left="220"/>
              <w:spacing w:after="0" w:line="135" w:lineRule="exact"/>
              <w:rPr>
                <w:sz w:val="20"/>
                <w:szCs w:val="20"/>
                <w:color w:val="auto"/>
              </w:rPr>
            </w:pPr>
            <w:r>
              <w:rPr>
                <w:rFonts w:ascii="Arial" w:cs="Arial" w:eastAsia="Arial" w:hAnsi="Arial"/>
                <w:sz w:val="13"/>
                <w:szCs w:val="13"/>
                <w:color w:val="auto"/>
              </w:rPr>
              <w:t>Accounts receivable</w:t>
            </w: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(22,344)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(15,340)</w:t>
            </w:r>
          </w:p>
        </w:tc>
      </w:tr>
      <w:tr>
        <w:trPr>
          <w:trHeight w:val="135"/>
        </w:trPr>
        <w:tc>
          <w:tcPr>
            <w:tcW w:w="71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Prepaid expenses and current other assets</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(452)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w:t>
            </w:r>
          </w:p>
        </w:tc>
      </w:tr>
      <w:tr>
        <w:trPr>
          <w:trHeight w:val="135"/>
        </w:trPr>
        <w:tc>
          <w:tcPr>
            <w:tcW w:w="7140" w:type="dxa"/>
            <w:vAlign w:val="bottom"/>
          </w:tcPr>
          <w:p>
            <w:pPr>
              <w:ind w:left="220"/>
              <w:spacing w:after="0" w:line="135" w:lineRule="exact"/>
              <w:rPr>
                <w:sz w:val="20"/>
                <w:szCs w:val="20"/>
                <w:color w:val="auto"/>
              </w:rPr>
            </w:pPr>
            <w:r>
              <w:rPr>
                <w:rFonts w:ascii="Arial" w:cs="Arial" w:eastAsia="Arial" w:hAnsi="Arial"/>
                <w:sz w:val="13"/>
                <w:szCs w:val="13"/>
                <w:color w:val="auto"/>
              </w:rPr>
              <w:t>Other assets</w:t>
            </w: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(667)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89</w:t>
            </w:r>
          </w:p>
        </w:tc>
      </w:tr>
      <w:tr>
        <w:trPr>
          <w:trHeight w:val="135"/>
        </w:trPr>
        <w:tc>
          <w:tcPr>
            <w:tcW w:w="714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7,892</w:t>
            </w:r>
          </w:p>
        </w:tc>
      </w:tr>
      <w:tr>
        <w:trPr>
          <w:trHeight w:val="135"/>
        </w:trPr>
        <w:tc>
          <w:tcPr>
            <w:tcW w:w="714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6,119</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4,428</w:t>
            </w:r>
          </w:p>
        </w:tc>
      </w:tr>
      <w:tr>
        <w:trPr>
          <w:trHeight w:val="129"/>
        </w:trPr>
        <w:tc>
          <w:tcPr>
            <w:tcW w:w="7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cash provided by (used in) continuing operations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3,955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(1,824)</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Net cash provided by (used in) discontinued operations</w:t>
            </w: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7140" w:type="dxa"/>
            <w:vAlign w:val="bottom"/>
            <w:tcBorders>
              <w:top w:val="single" w:sz="8" w:color="CCEEFF"/>
            </w:tcBorders>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provided by (used in) operating activities</w:t>
            </w: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3,955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(1,824)</w:t>
            </w:r>
          </w:p>
        </w:tc>
      </w:tr>
      <w:tr>
        <w:trPr>
          <w:trHeight w:val="135"/>
        </w:trPr>
        <w:tc>
          <w:tcPr>
            <w:tcW w:w="7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INVESTING ACTIVITIES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Purchase of property and equipment, net</w:t>
            </w: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(401)</w:t>
            </w:r>
          </w:p>
        </w:tc>
      </w:tr>
      <w:tr>
        <w:trPr>
          <w:trHeight w:val="129"/>
        </w:trPr>
        <w:tc>
          <w:tcPr>
            <w:tcW w:w="7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cash provided by (used in) continuing operations</w:t>
            </w:r>
          </w:p>
        </w:tc>
        <w:tc>
          <w:tcPr>
            <w:tcW w:w="1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(401)</w:t>
            </w:r>
          </w:p>
        </w:tc>
      </w:tr>
      <w:tr>
        <w:trPr>
          <w:trHeight w:val="135"/>
        </w:trPr>
        <w:tc>
          <w:tcPr>
            <w:tcW w:w="71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Net cash provided by (used in) discontinued operations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200</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2,428</w:t>
            </w:r>
          </w:p>
        </w:tc>
      </w:tr>
      <w:tr>
        <w:trPr>
          <w:trHeight w:val="129"/>
        </w:trPr>
        <w:tc>
          <w:tcPr>
            <w:tcW w:w="7140" w:type="dxa"/>
            <w:vAlign w:val="bottom"/>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provided by (used in) investing activities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2,027</w:t>
            </w:r>
          </w:p>
        </w:tc>
      </w:tr>
      <w:tr>
        <w:trPr>
          <w:trHeight w:val="135"/>
        </w:trPr>
        <w:tc>
          <w:tcPr>
            <w:tcW w:w="7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FINANCING ACTIVITIES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Payment of deferred initial public offering costs</w:t>
            </w:r>
          </w:p>
        </w:tc>
        <w:tc>
          <w:tcPr>
            <w:tcW w:w="1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Repayment of term loan</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(5,351)</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Proceeds from revolving line of credit</w:t>
            </w:r>
          </w:p>
        </w:tc>
        <w:tc>
          <w:tcPr>
            <w:tcW w:w="1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157,850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35,003</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Repayments made against revolving line of credit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(158,103)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(30,715)</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Repurchase of convertible preferred stock</w:t>
            </w: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(2,500)</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(1,205)</w:t>
            </w:r>
          </w:p>
        </w:tc>
      </w:tr>
      <w:tr>
        <w:trPr>
          <w:trHeight w:val="135"/>
        </w:trPr>
        <w:tc>
          <w:tcPr>
            <w:tcW w:w="71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Exercise of stock options</w:t>
            </w: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5,007</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w:t>
            </w:r>
          </w:p>
        </w:tc>
      </w:tr>
      <w:tr>
        <w:trPr>
          <w:trHeight w:val="129"/>
        </w:trPr>
        <w:tc>
          <w:tcPr>
            <w:tcW w:w="71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Net cash provided by (used in) continuing operations</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4,060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Net cash provided by (used in) discontinued operations</w:t>
            </w:r>
          </w:p>
        </w:tc>
        <w:tc>
          <w:tcPr>
            <w:tcW w:w="1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9"/>
        </w:trPr>
        <w:tc>
          <w:tcPr>
            <w:tcW w:w="7140" w:type="dxa"/>
            <w:vAlign w:val="bottom"/>
            <w:tcBorders>
              <w:top w:val="single" w:sz="8" w:color="CCEEFF"/>
            </w:tcBorders>
            <w:shd w:val="clear" w:color="auto" w:fill="CCEEFF"/>
          </w:tcPr>
          <w:p>
            <w:pPr>
              <w:ind w:left="220"/>
              <w:spacing w:after="0" w:line="129" w:lineRule="exact"/>
              <w:rPr>
                <w:sz w:val="20"/>
                <w:szCs w:val="20"/>
                <w:color w:val="auto"/>
              </w:rPr>
            </w:pPr>
            <w:r>
              <w:rPr>
                <w:rFonts w:ascii="Arial" w:cs="Arial" w:eastAsia="Arial" w:hAnsi="Arial"/>
                <w:sz w:val="13"/>
                <w:szCs w:val="13"/>
                <w:color w:val="auto"/>
              </w:rPr>
              <w:t>Net cash provided by (used in) financing activities</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4,060</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(4,722)</w:t>
            </w:r>
          </w:p>
        </w:tc>
      </w:tr>
      <w:tr>
        <w:trPr>
          <w:trHeight w:val="129"/>
        </w:trPr>
        <w:tc>
          <w:tcPr>
            <w:tcW w:w="7140" w:type="dxa"/>
            <w:vAlign w:val="bottom"/>
          </w:tcPr>
          <w:p>
            <w:pPr>
              <w:spacing w:after="0" w:line="129" w:lineRule="exact"/>
              <w:rPr>
                <w:sz w:val="20"/>
                <w:szCs w:val="20"/>
                <w:color w:val="auto"/>
              </w:rPr>
            </w:pPr>
            <w:r>
              <w:rPr>
                <w:rFonts w:ascii="Arial" w:cs="Arial" w:eastAsia="Arial" w:hAnsi="Arial"/>
                <w:sz w:val="13"/>
                <w:szCs w:val="13"/>
                <w:color w:val="auto"/>
              </w:rPr>
              <w:t>Net increase (decrease) in cash and cash equivalents</w:t>
            </w:r>
          </w:p>
        </w:tc>
        <w:tc>
          <w:tcPr>
            <w:tcW w:w="1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7,537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(4,519)</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beginning of year</w:t>
            </w: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4,691</w:t>
            </w:r>
          </w:p>
        </w:tc>
      </w:tr>
      <w:tr>
        <w:trPr>
          <w:trHeight w:val="136"/>
        </w:trPr>
        <w:tc>
          <w:tcPr>
            <w:tcW w:w="7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Cash and cash equivalents, end of year</w:t>
            </w:r>
          </w:p>
        </w:tc>
        <w:tc>
          <w:tcPr>
            <w:tcW w:w="180" w:type="dxa"/>
            <w:vAlign w:val="bottom"/>
            <w:tcBorders>
              <w:bottom w:val="single" w:sz="8" w:color="auto"/>
            </w:tcBorders>
          </w:tcPr>
          <w:p>
            <w:pPr>
              <w:jc w:val="right"/>
              <w:ind w:right="7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7,664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172</w:t>
            </w:r>
          </w:p>
        </w:tc>
      </w:tr>
      <w:tr>
        <w:trPr>
          <w:trHeight w:val="135"/>
        </w:trPr>
        <w:tc>
          <w:tcPr>
            <w:tcW w:w="7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paid for interest</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450</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settlement of liability</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414</w:t>
            </w:r>
          </w:p>
        </w:tc>
      </w:tr>
      <w:tr>
        <w:trPr>
          <w:trHeight w:val="135"/>
        </w:trPr>
        <w:tc>
          <w:tcPr>
            <w:tcW w:w="7140" w:type="dxa"/>
            <w:vAlign w:val="bottom"/>
          </w:tcPr>
          <w:p>
            <w:pPr>
              <w:spacing w:after="0" w:line="135" w:lineRule="exact"/>
              <w:rPr>
                <w:sz w:val="20"/>
                <w:szCs w:val="20"/>
                <w:color w:val="auto"/>
              </w:rPr>
            </w:pPr>
            <w:r>
              <w:rPr>
                <w:rFonts w:ascii="Arial" w:cs="Arial" w:eastAsia="Arial" w:hAnsi="Arial"/>
                <w:sz w:val="13"/>
                <w:szCs w:val="13"/>
                <w:color w:val="auto"/>
              </w:rPr>
              <w:t>Non-cash liability forgiveness related to divestiture</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4,869</w:t>
            </w:r>
          </w:p>
        </w:tc>
      </w:tr>
      <w:tr>
        <w:trPr>
          <w:trHeight w:val="135"/>
        </w:trPr>
        <w:tc>
          <w:tcPr>
            <w:tcW w:w="7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deferred initial public offering costs in accounts payable and accrued liabilities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2,308</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ind w:left="4080" w:right="1260" w:hanging="2171"/>
        <w:spacing w:after="0" w:line="261"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b w:val="1"/>
          <w:bCs w:val="1"/>
          <w:i w:val="1"/>
          <w:iCs w:val="1"/>
          <w:color w:val="auto"/>
        </w:rPr>
        <w:t>(Unaudited)</w:t>
      </w:r>
    </w:p>
    <w:p>
      <w:pPr>
        <w:spacing w:after="0" w:line="396" w:lineRule="exact"/>
        <w:rPr>
          <w:sz w:val="20"/>
          <w:szCs w:val="20"/>
          <w:color w:val="auto"/>
        </w:rPr>
      </w:pPr>
    </w:p>
    <w:p>
      <w:pPr>
        <w:ind w:left="660" w:right="5780" w:hanging="657"/>
        <w:spacing w:after="0" w:line="604" w:lineRule="auto"/>
        <w:tabs>
          <w:tab w:leader="none" w:pos="64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Business and Basis of Presentation </w:t>
      </w:r>
      <w:r>
        <w:rPr>
          <w:rFonts w:ascii="Arial" w:cs="Arial" w:eastAsia="Arial" w:hAnsi="Arial"/>
          <w:sz w:val="15"/>
          <w:szCs w:val="15"/>
          <w:b w:val="1"/>
          <w:bCs w:val="1"/>
          <w:i w:val="1"/>
          <w:iCs w:val="1"/>
          <w:color w:val="auto"/>
        </w:rPr>
        <w:t>Description of Business</w:t>
      </w:r>
    </w:p>
    <w:p>
      <w:pPr>
        <w:jc w:val="both"/>
        <w:ind w:left="66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 Prior to its 2015 acquisition of Fertility Authority, LLC, the Company was exclusively a medical device company in the field of reproductive medicine, translating scientific discoveries related to early embryo development into clinical tools. The Company’s product, the Early Embryo Viability Assessment Test (“Eeva”), was designed to assist clinicians and patients in assessing the likelihood of certain in vitro fertilization (“IVF”) outcomes.</w:t>
      </w:r>
    </w:p>
    <w:p>
      <w:pPr>
        <w:spacing w:after="0" w:line="193" w:lineRule="exact"/>
        <w:rPr>
          <w:rFonts w:ascii="Arial" w:cs="Arial" w:eastAsia="Arial" w:hAnsi="Arial"/>
          <w:sz w:val="15"/>
          <w:szCs w:val="15"/>
          <w:b w:val="1"/>
          <w:bCs w:val="1"/>
          <w:color w:val="auto"/>
        </w:rPr>
      </w:pPr>
    </w:p>
    <w:p>
      <w:pPr>
        <w:jc w:val="both"/>
        <w:ind w:left="660"/>
        <w:spacing w:after="0" w:line="312" w:lineRule="auto"/>
        <w:rPr>
          <w:rFonts w:ascii="Arial" w:cs="Arial" w:eastAsia="Arial" w:hAnsi="Arial"/>
          <w:sz w:val="15"/>
          <w:szCs w:val="15"/>
          <w:b w:val="1"/>
          <w:bCs w:val="1"/>
          <w:color w:val="auto"/>
        </w:rPr>
      </w:pPr>
      <w:r>
        <w:rPr>
          <w:rFonts w:ascii="Arial" w:cs="Arial" w:eastAsia="Arial" w:hAnsi="Arial"/>
          <w:sz w:val="16"/>
          <w:szCs w:val="16"/>
          <w:color w:val="auto"/>
        </w:rPr>
        <w:t>With the acquisition of Fertility Authority, LLC in March 2015, the Company established and operated as two segments (i) the medical device business and (ii) the fertility benefits solution. In January 2018, the Company executed an agreement with a related party to sell the Eeva business, representing all of the medical device segment.</w:t>
      </w:r>
    </w:p>
    <w:p>
      <w:pPr>
        <w:spacing w:after="0" w:line="146" w:lineRule="exact"/>
        <w:rPr>
          <w:rFonts w:ascii="Arial" w:cs="Arial" w:eastAsia="Arial" w:hAnsi="Arial"/>
          <w:sz w:val="15"/>
          <w:szCs w:val="15"/>
          <w:b w:val="1"/>
          <w:bCs w:val="1"/>
          <w:color w:val="auto"/>
        </w:rPr>
      </w:pPr>
    </w:p>
    <w:p>
      <w:pPr>
        <w:jc w:val="both"/>
        <w:ind w:left="660"/>
        <w:spacing w:after="0" w:line="290" w:lineRule="auto"/>
        <w:rPr>
          <w:rFonts w:ascii="Arial" w:cs="Arial" w:eastAsia="Arial" w:hAnsi="Arial"/>
          <w:sz w:val="15"/>
          <w:szCs w:val="15"/>
          <w:b w:val="1"/>
          <w:bCs w:val="1"/>
          <w:color w:val="auto"/>
        </w:rPr>
      </w:pPr>
      <w:r>
        <w:rPr>
          <w:rFonts w:ascii="Arial" w:cs="Arial" w:eastAsia="Arial" w:hAnsi="Arial"/>
          <w:sz w:val="16"/>
          <w:szCs w:val="16"/>
          <w:color w:val="auto"/>
        </w:rPr>
        <w:t>Subsequent to the sale of the Eeva business, 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66" w:lineRule="exact"/>
        <w:rPr>
          <w:rFonts w:ascii="Arial" w:cs="Arial" w:eastAsia="Arial" w:hAnsi="Arial"/>
          <w:sz w:val="15"/>
          <w:szCs w:val="15"/>
          <w:b w:val="1"/>
          <w:bCs w:val="1"/>
          <w:color w:val="auto"/>
        </w:rPr>
      </w:pPr>
    </w:p>
    <w:p>
      <w:pPr>
        <w:jc w:val="both"/>
        <w:ind w:left="660"/>
        <w:spacing w:after="0" w:line="255" w:lineRule="auto"/>
        <w:rPr>
          <w:rFonts w:ascii="Arial" w:cs="Arial" w:eastAsia="Arial" w:hAnsi="Arial"/>
          <w:sz w:val="15"/>
          <w:szCs w:val="15"/>
          <w:b w:val="1"/>
          <w:bCs w:val="1"/>
          <w:color w:val="auto"/>
        </w:rPr>
      </w:pPr>
      <w:r>
        <w:rPr>
          <w:rFonts w:ascii="Arial" w:cs="Arial" w:eastAsia="Arial" w:hAnsi="Arial"/>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9"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Initial Public Offering</w:t>
      </w:r>
    </w:p>
    <w:p>
      <w:pPr>
        <w:spacing w:after="0" w:line="225" w:lineRule="exact"/>
        <w:rPr>
          <w:rFonts w:ascii="Arial" w:cs="Arial" w:eastAsia="Arial" w:hAnsi="Arial"/>
          <w:sz w:val="15"/>
          <w:szCs w:val="15"/>
          <w:b w:val="1"/>
          <w:bCs w:val="1"/>
          <w:color w:val="auto"/>
        </w:rPr>
      </w:pPr>
    </w:p>
    <w:p>
      <w:pPr>
        <w:jc w:val="both"/>
        <w:ind w:left="660"/>
        <w:spacing w:after="0" w:line="268" w:lineRule="auto"/>
        <w:rPr>
          <w:rFonts w:ascii="Arial" w:cs="Arial" w:eastAsia="Arial" w:hAnsi="Arial"/>
          <w:sz w:val="15"/>
          <w:szCs w:val="15"/>
          <w:b w:val="1"/>
          <w:bCs w:val="1"/>
          <w:color w:val="auto"/>
        </w:rPr>
      </w:pPr>
      <w:r>
        <w:rPr>
          <w:rFonts w:ascii="Arial" w:cs="Arial" w:eastAsia="Arial" w:hAnsi="Arial"/>
          <w:sz w:val="17"/>
          <w:szCs w:val="17"/>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approximately $77.7 million from the IPO, after deducting underwriters’ discounts and commissions of $5.9 million and offering costs of $3.5 million. Deferred offering costs are capitalized and consist of fees and expenses incurred in connection with the sale of common stock in the IPO, including legal, accounting, printing and other IPO-related costs. Upon completion of the IPO, these deferred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September 30, 2019, $2.7 million of deferred offering costs were recorded as other assets on the consolidated balance sheet. There were no deferred offering costs capitalized as of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 Company’s consolidated financial statements may not be comparable to companies that comply with the new or revised accounting pronouncements as of public company effective dates.</w:t>
      </w:r>
    </w:p>
    <w:p>
      <w:pPr>
        <w:spacing w:after="0" w:line="193"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will remain an emerging growth company until the earliest of (1) December 31, 2024; (2) the last day of the Company’s first fiscal year in which the Company has total annual gross revenue of at least $1.07 billion; (3) the date on which the Company has issued more than $1.0 billion in non-convertible debt securities during the prior three-year period; and (4) the last day of the Company’s first fiscal year in which the market value of the Company’s common stock that is held by non-affiliates exceeds $700.0 million as of the prior June 30</w:t>
      </w:r>
      <w:r>
        <w:rPr>
          <w:rFonts w:ascii="Arial" w:cs="Arial" w:eastAsia="Arial" w:hAnsi="Arial"/>
          <w:sz w:val="7"/>
          <w:szCs w:val="7"/>
          <w:color w:val="auto"/>
        </w:rPr>
        <w:t>th</w:t>
      </w:r>
      <w:r>
        <w:rPr>
          <w:rFonts w:ascii="Arial" w:cs="Arial" w:eastAsia="Arial" w:hAnsi="Arial"/>
          <w:sz w:val="16"/>
          <w:szCs w:val="16"/>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Certain information and note disclosures included in complete financial statements prepared in accordance with accounting principles generally accepted in the United States of America (“U.S. GAAP”) have been condensed or omitted pursuant to the rules and regulations of the Securities and Exchange Commission (“SEC”) applicable to interim financial reporting. Therefore, these unaudited condensed consolidated financial statements should be read in conjunction with the audited consolidated financial statements and related footnotes included in the final prospectus for our IPO filed with the SEC on October 25, 2019 pursuant to Rule 424(b)(4) under the Securities Act of 1933, as amended (File No. 333-233965).</w:t>
      </w:r>
    </w:p>
    <w:p>
      <w:pPr>
        <w:spacing w:after="0" w:line="17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condensed consolidated financial statements and accompanying notes include the accounts of Company and its wholly owned subsidiary, Fertility Authority LLC. Effective June 2018, the Company legally dissolved the Fertility Authority LLC legal entity. All intercompany balances and transactions have been eliminated.</w:t>
      </w:r>
    </w:p>
    <w:p>
      <w:pPr>
        <w:spacing w:after="0" w:line="166"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The condensed consolidated balance sheet as of December 31, 2018 included herein was derived from the audited financial statements as of that date, but does not include all disclosures including notes required by U.S. GAAP. The accompanying interim condensed consolidated balance sheets as of September 30, 2019, the interim condensed consolidated statements of operations and comprehensive income (loss) and the interim condensed consolidated statements of convertible preferred stock and stockholders’ deficit for the three and nine months ended September 30, 2019 and 2018, and the interim condensed consolidated statements of cash flows for the nine months ended September 30, 2019 and 2018 are unaudited. These interim condensed consolidated financial statements have been prepared on a basis consistent with the annual consolidated financial statements and, in the opinion of management, include all adjustments necessary to fairly state our financial position as of September 30, 2019, the results of our operations for the three and nine months ended September 30, 2019 and 2018 and the results of our cash flows for the nine months ended September 30, 2019 and 2018. The financial data and other financial information disclosure in the notes to these interim condensed consolidated financial statements related to the three and nine months periods are also unaudited. The results for the three and nine months ended September 30, 2019 are not necessarily indicative of the operating results expected for the year ending December 31, 2019 or any other future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Specific accounts that require management estimates include accrued receivables, accrued claims payable, allowance for doubtful accounts, accrued rebates, convertible preferred stock warrant liabilities and stock-based compensation.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On October 14, 2019, Progyny’s stockholders approved and the Company effected a one-for-4.5454 reverse stock split of its common and convertible preferred stock. The par value of the common stock and convertible preferred stock was not adjusted as a result of the reverse stock split. Accordingly, the consolidated financial statements and notes retroactively reflect Progyny’s capital structure after giving effect to the reverse stock split.</w:t>
      </w:r>
    </w:p>
    <w:p>
      <w:pPr>
        <w:spacing w:after="0" w:line="150" w:lineRule="exact"/>
        <w:rPr>
          <w:sz w:val="20"/>
          <w:szCs w:val="20"/>
          <w:color w:val="auto"/>
        </w:rPr>
      </w:pPr>
    </w:p>
    <w:p>
      <w:pPr>
        <w:ind w:left="660" w:right="6040" w:hanging="657"/>
        <w:spacing w:after="0" w:line="566" w:lineRule="auto"/>
        <w:tabs>
          <w:tab w:leader="none" w:pos="64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Revenue Recognition</w:t>
      </w:r>
    </w:p>
    <w:p>
      <w:pPr>
        <w:ind w:left="6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rFonts w:ascii="Arial" w:cs="Arial" w:eastAsia="Arial" w:hAnsi="Arial"/>
          <w:sz w:val="16"/>
          <w:szCs w:val="16"/>
          <w:b w:val="1"/>
          <w:bCs w:val="1"/>
          <w:color w:val="auto"/>
        </w:rPr>
      </w:pPr>
    </w:p>
    <w:p>
      <w:pPr>
        <w:ind w:left="1300" w:hanging="32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8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6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Clients are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6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6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pharmacy. Once an invoice is issued, payment terms are typically between 30 to 60 days.</w:t>
      </w:r>
    </w:p>
    <w:p>
      <w:pPr>
        <w:spacing w:after="0" w:line="18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6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Receivable and Accrued Claims Payable</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September 30, 2019, accrued receivables and accrued claims payables were $17.3 million and $11.6 million, respectively as compared to $9.5 million and $6.7 million, respectively as of December 31, 2018. Accrued receivables are included within accounts receivable in the consolidated balance sheet. Accrued claims payable are included within accrued expenses and other current liabilities in the consolidated balance sheet. Claims payable are paid within 30 days based on contractual terms.</w:t>
      </w:r>
    </w:p>
    <w:p>
      <w:pPr>
        <w:spacing w:after="0" w:line="18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September 30, 2019 and December 31, 2018, unbilled receivables, which represent claims received and approved but unbilled at the end of the reporting period, were $9.2 million and $3.6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accounts receivable balance primarily includes amounts due from clients and members. Accounts receivable also includes certain accrued receivables for fertility benefits claims from provider clinics at the end of each period for services provided that have not yet been received. The Company estimates an allowance for changes and cancellations of services based upon historical experience and estimates member uncollectible amounts based upon historical bad debts, current member receivable balances and the age of member receivable balances.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40" w:type="dxa"/>
            <w:vAlign w:val="bottom"/>
            <w:tcBorders>
              <w:bottom w:val="single" w:sz="8" w:color="auto"/>
            </w:tcBorders>
            <w:gridSpan w:val="17"/>
          </w:tcPr>
          <w:p>
            <w:pPr>
              <w:jc w:val="right"/>
              <w:ind w:right="576"/>
              <w:spacing w:after="0"/>
              <w:rPr>
                <w:sz w:val="20"/>
                <w:szCs w:val="20"/>
                <w:color w:val="auto"/>
              </w:rPr>
            </w:pPr>
            <w:r>
              <w:rPr>
                <w:rFonts w:ascii="Arial" w:cs="Arial" w:eastAsia="Arial" w:hAnsi="Arial"/>
                <w:sz w:val="14"/>
                <w:szCs w:val="14"/>
                <w:b w:val="1"/>
                <w:bCs w:val="1"/>
                <w:color w:val="auto"/>
              </w:rPr>
              <w:t>Nine Months Ended September 30, 2019 and Year Ended December 31, 2018</w:t>
            </w:r>
          </w:p>
        </w:tc>
        <w:tc>
          <w:tcPr>
            <w:tcW w:w="0" w:type="dxa"/>
            <w:vAlign w:val="bottom"/>
          </w:tcPr>
          <w:p>
            <w:pPr>
              <w:spacing w:after="0"/>
              <w:rPr>
                <w:sz w:val="1"/>
                <w:szCs w:val="1"/>
                <w:color w:val="auto"/>
              </w:rPr>
            </w:pPr>
          </w:p>
        </w:tc>
      </w:tr>
      <w:tr>
        <w:trPr>
          <w:trHeight w:val="268"/>
        </w:trPr>
        <w:tc>
          <w:tcPr>
            <w:tcW w:w="2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Charged</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center"/>
              <w:ind w:right="34"/>
              <w:spacing w:after="0"/>
              <w:rPr>
                <w:sz w:val="20"/>
                <w:szCs w:val="20"/>
                <w:color w:val="auto"/>
              </w:rPr>
            </w:pPr>
            <w:r>
              <w:rPr>
                <w:rFonts w:ascii="Arial" w:cs="Arial" w:eastAsia="Arial" w:hAnsi="Arial"/>
                <w:sz w:val="14"/>
                <w:szCs w:val="14"/>
                <w:b w:val="1"/>
                <w:bCs w:val="1"/>
                <w:color w:val="auto"/>
                <w:w w:val="95"/>
              </w:rPr>
              <w:t>Charged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to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Write-offs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Utilization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of Period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to Revenue</w:t>
            </w: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and Expenses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w w:val="99"/>
              </w:rPr>
              <w:t>Allowance for service changes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cancellations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7"/>
        </w:trPr>
        <w:tc>
          <w:tcPr>
            <w:tcW w:w="2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Allowance for service changes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related information technology support costs. Our contracts with provider clinics are typically for a term of one to two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pharmacy, net of any volume-related or other discounts.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Company receives a rebate on formulations purchased and dispensed by the Company’s specialty pharmacy. The Company’s contractual arrangements with pharmaceutical manufacturers provide for the Company to receive a discount (or rebate) from established list prices paid subsequent to dispensing when products are purchased indirectly from a pharmaceutical manufacturer (e.g., through a specialty pharmacy.) These rebates are recognized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a reduction of Cost of services when prescriptions are dispensed and are generally estimated and billed to manufacturers within 15 days of the end of each month. The effect of adjustments resulting from the reconciliation of rebates recognized to the amounts billed and collected has not been material to the Company’s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Off-Balance-Sheet Risk</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consists primarily of cash and cash equivalents and accounts receivable.</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invests its cash and cash equivalents with highly rated financial institutions and management believes that the financial risks associated with its cash equivalents are minimal. Substantially all of the Company’s cash is maintained with one financial institution with a high credit standing. From time to time, such deposits may exceed federally insured limits.</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regularly reviews the outstanding accounts receivable, including consideration of factors such as the age of the receivable balance. Two customers accounted for 16% and 15% each, or 31% total receivables, as of September 30, 2019. Three customers accounted for 25%, 13% and 10% each, or 48% of total accounts receivables as of December 31, 2018. To manage credit risk related to accounts receivable, the Company evaluates customers’ financial condition and collateral is generally not required.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Basic net income (loss) per share attributable to common stockholders is calculated by dividing the net income (loss) attributable to common stockholders by the weighted-average number of shares of common stock outstanding for the period. The Company adjusts its net income (loss) attributable to common stockholders to reflect the impact of deemed dividends recorded for convertible preferred stock during the period.</w:t>
      </w:r>
    </w:p>
    <w:p>
      <w:pPr>
        <w:spacing w:after="0" w:line="171"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income (loss) per share using the two-class method. Accordingly, the net income (loss) attributable to common stockholders is derived from the net income (loss) for the period and, in periods in which the Company has net income attributable to common stockholders, an adjustment is made for the allocations of undistributed earnings to participating securities based on their outstanding stockholder rights. Under the two-class method, the net loss attributable to common stockholders is not allocated to the convertible preferred stock as the convertible preferred stockholders did not have a contractual obligation to share in the Company’s losses.</w:t>
      </w:r>
    </w:p>
    <w:p>
      <w:pPr>
        <w:spacing w:after="0" w:line="178"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Diluted net income (loss) attributable to common stockholders is computed by adjusting income (loss) attributable to common stockholders to allocate undistributed earnings based on the potential impact of dilutive securities, including outstanding stock options, convertible preferred stock, convertible preferred stock warrants, and common stock warrants. Diluted net income (loss) per share attributable to common stockholders is computed by dividing the diluted net income (loss) attributable to common stockholders by the weighted average number of common shares outstanding for the period, including common stock equivalents. In periods when the Company has incurred a net loss, convertible preferred stock, options to purchase common stock, convertible preferred stock warrants, and common stock warrants are considered common stock equivalents but have been excluded from the calculation of diluted net loss per share attributable to common stockholders as their effect is antidilutive.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achieve a consistent application of revenue recognition within the U.S., resulting in a single revenue model to be applied by reporting companies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under U.S. GAAP. Under the new model, recognition of revenue occurs when a customer obtains control of promised goods or services in an amount that reflects the consideration to which the entity expects to be entitled in exchange for those goods or services. In addition, the revised guidance required that reporting companies disclose the nature, amount, timing, and uncertainty of revenue and cash flows arising from contracts with customers. The Company adopted this standard on January 1, 2019 using the full retrospective approach. The adoption of the new standard had an immaterial impact on the consolidated financial statements.</w:t>
      </w:r>
    </w:p>
    <w:p>
      <w:pPr>
        <w:spacing w:after="0" w:line="165"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requiring companies to classify all deferred tax assets and liabilities as noncurrent on the balance sheet instead of separating deferred taxes into current and noncurrent amounts. The Company prospectively adopted this guidance effective January 1, 2018, which did not have a significant effect on the Company’s consolidated financial statements.</w:t>
      </w:r>
    </w:p>
    <w:p>
      <w:pPr>
        <w:spacing w:after="0" w:line="15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(‘‘ASC 718’’)</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w:t>
      </w:r>
      <w:r>
        <w:rPr>
          <w:rFonts w:ascii="Arial" w:cs="Arial" w:eastAsia="Arial" w:hAnsi="Arial"/>
          <w:sz w:val="18"/>
          <w:szCs w:val="18"/>
          <w:color w:val="auto"/>
        </w:rPr>
        <w:t xml:space="preserve"> </w:t>
      </w:r>
      <w:r>
        <w:rPr>
          <w:rFonts w:ascii="Arial" w:cs="Arial" w:eastAsia="Arial" w:hAnsi="Arial"/>
          <w:sz w:val="18"/>
          <w:szCs w:val="18"/>
          <w:i w:val="1"/>
          <w:iCs w:val="1"/>
          <w:color w:val="auto"/>
        </w:rPr>
        <w:t>to Employee Share-Based Payment Accounting</w:t>
      </w:r>
      <w:r>
        <w:rPr>
          <w:rFonts w:ascii="Arial" w:cs="Arial" w:eastAsia="Arial" w:hAnsi="Arial"/>
          <w:sz w:val="18"/>
          <w:szCs w:val="18"/>
          <w:color w:val="auto"/>
        </w:rPr>
        <w:t>, which changes the accounting for share-based payment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income tax consequences, classification of awards as either equity or liabilities, and classification in the statement of cash flows. The Company adopted this standard on a prospective basis as of January 1, 2018, which resulted in a transition adjustment of $213,000, recorded through Accumulated deficit. The adoption had no other effect on the net deferred tax balances, the consolidated statement of cash flows or otherwise on its consolidated financial statements.</w:t>
      </w:r>
    </w:p>
    <w:p>
      <w:pPr>
        <w:spacing w:after="0" w:line="18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September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(‘‘ASC 230’’): </w:t>
      </w:r>
      <w:r>
        <w:rPr>
          <w:rFonts w:ascii="Arial" w:cs="Arial" w:eastAsia="Arial" w:hAnsi="Arial"/>
          <w:sz w:val="18"/>
          <w:szCs w:val="18"/>
          <w:i w:val="1"/>
          <w:iCs w:val="1"/>
          <w:color w:val="auto"/>
        </w:rPr>
        <w:t>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Cash Receipts and Cash Payments (a consensus of the Emerging Issues Task Force)</w:t>
      </w:r>
      <w:r>
        <w:rPr>
          <w:rFonts w:ascii="Arial" w:cs="Arial" w:eastAsia="Arial" w:hAnsi="Arial"/>
          <w:sz w:val="18"/>
          <w:szCs w:val="18"/>
          <w:color w:val="auto"/>
        </w:rPr>
        <w:t>, which changes how</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cash receipts and cash payments are presented and classified in the statement of cash flows. The Company adopted this guidance effective January 1, 2018, which did not have a significant effect on the Company’s consolidated financial statements.</w:t>
      </w:r>
    </w:p>
    <w:p>
      <w:pPr>
        <w:spacing w:after="0" w:line="188"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Simplifying the Test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to simplify the subsequent measurement of goodwill by eliminating Step 2 from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The new standard requires goodwill impairment to be based upon the results of Step 1 of the goodwill impairment test, which evaluates the extent, if any, by which the carrying value of a reporting unit exceeds its fair value, with any resulting impairment not exceeding the carrying amount of goodwill. The Company early adopted ASU 2017-04 on a prospective basis effective January 1, 2018. The adoption of this guidance did not have a significant effect on the Company’s consolidated financial statements.</w:t>
      </w:r>
    </w:p>
    <w:p>
      <w:pPr>
        <w:spacing w:after="0" w:line="178"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The new standard clarifies the definition of a business to assist entities with evaluating whether transactions should be accounted for as acquisitions (or disposals) of assets or businesses. The new standard is effective for the Company for fiscal years beginning after December 15, 2018 and interim periods within annual periods beginning after December 15, 2019. The Company adopted this guidance effective January 1, 2019, which did not have a significant effect on the Company’s consolidated financial statements.</w:t>
      </w:r>
    </w:p>
    <w:p>
      <w:pPr>
        <w:spacing w:after="0" w:line="178"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w:t>
      </w:r>
      <w:r>
        <w:rPr>
          <w:rFonts w:ascii="Arial" w:cs="Arial" w:eastAsia="Arial" w:hAnsi="Arial"/>
          <w:sz w:val="16"/>
          <w:szCs w:val="16"/>
          <w:color w:val="auto"/>
        </w:rPr>
        <w:t xml:space="preserve"> </w:t>
      </w:r>
      <w:r>
        <w:rPr>
          <w:rFonts w:ascii="Arial" w:cs="Arial" w:eastAsia="Arial" w:hAnsi="Arial"/>
          <w:sz w:val="16"/>
          <w:szCs w:val="16"/>
          <w:i w:val="1"/>
          <w:iCs w:val="1"/>
          <w:color w:val="auto"/>
        </w:rPr>
        <w:t>Modification Accounting</w:t>
      </w:r>
      <w:r>
        <w:rPr>
          <w:rFonts w:ascii="Arial" w:cs="Arial" w:eastAsia="Arial" w:hAnsi="Arial"/>
          <w:sz w:val="16"/>
          <w:szCs w:val="16"/>
          <w:color w:val="auto"/>
        </w:rPr>
        <w:t>. The amendments provide guidance on determining which changes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share-based payment awards require an entity to apply modification accounting under ASC 718. An entity should account for the effects of a modification unless all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The Company adopted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guidance effective January 1, 2018. The adoption of this guidance did not have a significant effect on the Company’s consolidated financial statements.</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March 2018, the FASB issued ASU No. 2018-05, </w:t>
      </w:r>
      <w:r>
        <w:rPr>
          <w:rFonts w:ascii="Arial" w:cs="Arial" w:eastAsia="Arial" w:hAnsi="Arial"/>
          <w:sz w:val="18"/>
          <w:szCs w:val="18"/>
          <w:i w:val="1"/>
          <w:iCs w:val="1"/>
          <w:color w:val="auto"/>
        </w:rPr>
        <w:t>Income Taxes (ASC 740)</w:t>
      </w:r>
      <w:r>
        <w:rPr>
          <w:rFonts w:ascii="Arial" w:cs="Arial" w:eastAsia="Arial" w:hAnsi="Arial"/>
          <w:sz w:val="18"/>
          <w:szCs w:val="18"/>
          <w:color w:val="auto"/>
        </w:rPr>
        <w:t>, to conform to SEC Staff Accounting Bulletin No. 118 (“SAB 118”). The standard was issued to allow registrants to record provisional amounts during a measurement period not to extend beyond one year from the enactment date in instances when a registrant does not have the necessary information available, prepared, or analyzed in reasonable detail to complete the accounting for certain income tax effects of the Tax Cuts and Jobs Act (the ‘‘Tax Reform Act’’). The standard was effective upon issuance. The adoption of this guidance did not have a significant effect on the Company’s consolidated financial statements.</w:t>
      </w:r>
    </w:p>
    <w:p>
      <w:pPr>
        <w:spacing w:after="0" w:line="18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(ASC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Employee Share-Based Payment Accounting</w:t>
      </w:r>
      <w:r>
        <w:rPr>
          <w:rFonts w:ascii="Arial" w:cs="Arial" w:eastAsia="Arial" w:hAnsi="Arial"/>
          <w:sz w:val="16"/>
          <w:szCs w:val="16"/>
          <w:color w:val="auto"/>
        </w:rPr>
        <w:t>, which changes the accounting for share-based payment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nonemployees. For private companies the new standard is effective for fiscal years beginning after December 15, 2019, and for interim periods therein. The Company adopted this guidance effective January 1, 2019. The adoption of this guidance did not have a significant effect on the Company’s consolidated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Accounting Pronouncements Issued but Not Yet Adopted</w:t>
      </w:r>
    </w:p>
    <w:p>
      <w:pPr>
        <w:spacing w:after="0" w:line="225" w:lineRule="exact"/>
        <w:rPr>
          <w:sz w:val="20"/>
          <w:szCs w:val="20"/>
          <w:color w:val="auto"/>
        </w:rPr>
      </w:pPr>
    </w:p>
    <w:p>
      <w:pPr>
        <w:jc w:val="both"/>
        <w:ind w:left="660"/>
        <w:spacing w:after="0" w:line="217" w:lineRule="exact"/>
        <w:rPr>
          <w:sz w:val="20"/>
          <w:szCs w:val="20"/>
          <w:color w:val="auto"/>
        </w:rPr>
      </w:pPr>
      <w:r>
        <w:rPr>
          <w:rFonts w:ascii="Arial" w:cs="Arial" w:eastAsia="Arial" w:hAnsi="Arial"/>
          <w:sz w:val="16"/>
          <w:szCs w:val="16"/>
          <w:color w:val="auto"/>
        </w:rPr>
        <w:t>In February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 xml:space="preserve">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the Company for fiscal years beginning after December 15, 2019, including interim periods within those fiscal years. On July 17, 2019, the FASB voted to propose a deferral of the effective date of the standard to fiscal years beginning after December 15, 2020. The Company plans to adopt this standard as of the effective date for private companies using the modified retrospective approach of all leases entered into before the effective date. The Company is currently evaluating the impact this ASU will have on its consolidated financial statements.</w:t>
      </w:r>
    </w:p>
    <w:p>
      <w:pPr>
        <w:spacing w:after="0" w:line="208"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In August 2018, the FASB issued final guidance requiring a customer in a cloud computing arrangement that is a service contract to follow the internal use software guidance in </w:t>
      </w:r>
      <w:r>
        <w:rPr>
          <w:rFonts w:ascii="Arial" w:cs="Arial" w:eastAsia="Arial" w:hAnsi="Arial"/>
          <w:sz w:val="18"/>
          <w:szCs w:val="18"/>
          <w:i w:val="1"/>
          <w:iCs w:val="1"/>
          <w:color w:val="auto"/>
        </w:rPr>
        <w:t>(ASC 350-402) 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 Use Software (Subtopic 350-40</w:t>
      </w:r>
      <w:r>
        <w:rPr>
          <w:rFonts w:ascii="Arial" w:cs="Arial" w:eastAsia="Arial" w:hAnsi="Arial"/>
          <w:sz w:val="18"/>
          <w:szCs w:val="18"/>
          <w:color w:val="auto"/>
        </w:rPr>
        <w:t>) to determine which implementation costs to capitalize as assets.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ASU are effective for fiscal years beginning after December 15, 2019. Early adoption of the amendments is permitted, including adoption in any interim period, for all entities and should be applied either retrospectively or prospectively to all implementation costs incurred after the date of adoption. The Company is currently reviewing its cloud computing arrangements to evaluate the impact of adoption of the final guidance but does not expect that the pending adoption of this ASU will have a material effect on its consolidated financial statements.</w:t>
      </w:r>
    </w:p>
    <w:p>
      <w:pPr>
        <w:spacing w:after="0" w:line="193" w:lineRule="exact"/>
        <w:rPr>
          <w:sz w:val="20"/>
          <w:szCs w:val="20"/>
          <w:color w:val="auto"/>
        </w:rPr>
      </w:pPr>
    </w:p>
    <w:p>
      <w:pPr>
        <w:ind w:left="660" w:right="6700" w:hanging="657"/>
        <w:spacing w:after="0" w:line="604" w:lineRule="auto"/>
        <w:tabs>
          <w:tab w:leader="none" w:pos="642"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7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10"/>
        </w:trPr>
        <w:tc>
          <w:tcPr>
            <w:tcW w:w="3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136,085</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72,004</w:t>
            </w:r>
          </w:p>
        </w:tc>
      </w:tr>
      <w:tr>
        <w:trPr>
          <w:trHeight w:val="216"/>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1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4,209</w:t>
            </w:r>
          </w:p>
        </w:tc>
      </w:tr>
      <w:tr>
        <w:trPr>
          <w:trHeight w:val="230"/>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61,196</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27,798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164,561</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76,213</w:t>
            </w:r>
          </w:p>
        </w:tc>
      </w:tr>
      <w:tr>
        <w:trPr>
          <w:trHeight w:val="851"/>
        </w:trPr>
        <w:tc>
          <w:tcPr>
            <w:tcW w:w="3480" w:type="dxa"/>
            <w:vAlign w:val="bottom"/>
          </w:tcPr>
          <w:p>
            <w:pPr>
              <w:spacing w:after="0"/>
              <w:rPr>
                <w:sz w:val="24"/>
                <w:szCs w:val="24"/>
                <w:color w:val="auto"/>
              </w:rPr>
            </w:pP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61"/>
        </w:trPr>
        <w:tc>
          <w:tcPr>
            <w:tcW w:w="3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Major Clients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the nine months ended September 30, 2019 and 2018, each of our largest four clients represented 10% or more of our total revenue. One of our clients accounted for 16% and 24%, respectively. Another client accounted for 10% and 15%, respectively. A third client accounted for less than 10% and 10%, respectively. Lastly, a fourth client accounted for 12% for the nine months ended September 30,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material contract asset or contract liability balances as of September 30, 2019 and December 31, 2018.</w:t>
      </w:r>
    </w:p>
    <w:p>
      <w:pPr>
        <w:spacing w:after="0" w:line="244" w:lineRule="exact"/>
        <w:rPr>
          <w:sz w:val="20"/>
          <w:szCs w:val="20"/>
          <w:color w:val="auto"/>
        </w:rPr>
      </w:pPr>
    </w:p>
    <w:p>
      <w:pPr>
        <w:ind w:left="640" w:hanging="637"/>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Assets and liabilities measured at fair value on a recurring basis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Level 3</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Convertible preferred stock warrant liability</w:t>
            </w:r>
          </w:p>
        </w:tc>
        <w:tc>
          <w:tcPr>
            <w:tcW w:w="11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17,008</w:t>
            </w:r>
          </w:p>
        </w:tc>
      </w:tr>
      <w:tr>
        <w:trPr>
          <w:trHeight w:val="217"/>
        </w:trPr>
        <w:tc>
          <w:tcPr>
            <w:tcW w:w="4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r>
      <w:tr>
        <w:trPr>
          <w:trHeight w:val="594"/>
        </w:trPr>
        <w:tc>
          <w:tcPr>
            <w:tcW w:w="4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4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6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Level 3</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Convertible preferred stock warrant liability</w:t>
            </w:r>
          </w:p>
        </w:tc>
        <w:tc>
          <w:tcPr>
            <w:tcW w:w="11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4,589</w:t>
            </w:r>
          </w:p>
        </w:tc>
      </w:tr>
      <w:tr>
        <w:trPr>
          <w:trHeight w:val="217"/>
        </w:trPr>
        <w:tc>
          <w:tcPr>
            <w:tcW w:w="4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r>
    </w:tbl>
    <w:p>
      <w:pPr>
        <w:spacing w:after="0" w:line="202"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estimated fair values of the convertible preferred stock warrant liabilities (see Note 7) were determined using Level 3, or significant unobservable inputs. Changes to the estimated fair value of the warrants are recorded in other income or other expense in the statements of operations and comprehensive income (loss). The following table provides the changes in the estimated fair value of the convertible preferred stock warrants (in thousands):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Convertible</w:t>
            </w:r>
          </w:p>
        </w:tc>
      </w:tr>
      <w:tr>
        <w:trPr>
          <w:trHeight w:val="149"/>
        </w:trPr>
        <w:tc>
          <w:tcPr>
            <w:tcW w:w="62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Preferred Stock</w:t>
            </w:r>
          </w:p>
        </w:tc>
      </w:tr>
      <w:tr>
        <w:trPr>
          <w:trHeight w:val="171"/>
        </w:trPr>
        <w:tc>
          <w:tcPr>
            <w:tcW w:w="6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Warrants</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r>
      <w:tr>
        <w:trPr>
          <w:trHeight w:val="216"/>
        </w:trPr>
        <w:tc>
          <w:tcPr>
            <w:tcW w:w="6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Changes in estimate fair value of warrants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r>
      <w:tr>
        <w:trPr>
          <w:trHeight w:val="217"/>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r>
    </w:tbl>
    <w:p>
      <w:pPr>
        <w:spacing w:after="0" w:line="20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nine months ended September 30, 2019 and the year ended December 31, 2018, there were no transfers between Level 1, Level 2, or Level 3 assets or liabilities reported at fair value on a recurring basis and the valuation techniques used to value the Level 3 liabilities did not change.</w:t>
      </w:r>
    </w:p>
    <w:p>
      <w:pPr>
        <w:spacing w:after="0" w:line="177" w:lineRule="exact"/>
        <w:rPr>
          <w:sz w:val="20"/>
          <w:szCs w:val="20"/>
          <w:color w:val="auto"/>
        </w:rPr>
      </w:pPr>
    </w:p>
    <w:p>
      <w:pPr>
        <w:ind w:left="640" w:hanging="637"/>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January 18, 2018, the Company completed the divestiture of its Eeva business, the primary operations of our previous medical device segment, to a related party, Ares Trading S.A. a subsidiary of Merck Serono, S.A. (“Merck”), a stockholder in the Company. The Eeva business was sold to Merck for $7.9 million, consisting of cash of $3.0 million and the forgiveness of the $4.9 million liability remaining from the previous license agreement for the Eeva product between the two parties. The cash consideration includes $300,000 of deferred consideration, of which the last payment was received by the Company in March 2019.</w:t>
      </w:r>
    </w:p>
    <w:p>
      <w:pPr>
        <w:spacing w:after="0" w:line="178"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accordance with applicable accounting guidance, upon the sale of the Eeva business on January 18, 2018, the Company reflected the Eeva business as discontinued operations in the consolidated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Excluding the $200,000 of assets representing deferred consideration, there were no other assets or liabilities associated with the Eeva business as of December 31, 2018.</w:t>
      </w:r>
    </w:p>
    <w:p>
      <w:pPr>
        <w:spacing w:after="0" w:line="170"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This transaction had no impact on the condensed consolidated statements of operations and comprehensive income (loss) for the three months and nine ended September 30, 2019. The following is a summary of the operating results of Eeva which have been reflected within income from discontinued operations, net of tax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right"/>
              <w:ind w:right="254"/>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w:t>
            </w:r>
          </w:p>
        </w:tc>
        <w:tc>
          <w:tcPr>
            <w:tcW w:w="112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Income from discontinued operations, before taxes</w:t>
            </w:r>
          </w:p>
        </w:tc>
        <w:tc>
          <w:tcPr>
            <w:tcW w:w="5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17"/>
        </w:trPr>
        <w:tc>
          <w:tcPr>
            <w:tcW w:w="4580" w:type="dxa"/>
            <w:vAlign w:val="bottom"/>
          </w:tcPr>
          <w:p>
            <w:pPr>
              <w:ind w:left="120"/>
              <w:spacing w:after="0"/>
              <w:rPr>
                <w:sz w:val="20"/>
                <w:szCs w:val="20"/>
                <w:color w:val="auto"/>
              </w:rPr>
            </w:pPr>
            <w:r>
              <w:rPr>
                <w:rFonts w:ascii="Arial" w:cs="Arial" w:eastAsia="Arial" w:hAnsi="Arial"/>
                <w:sz w:val="18"/>
                <w:szCs w:val="18"/>
                <w:color w:val="auto"/>
              </w:rPr>
              <w:t>Net income from discontinued operations, net of taxes</w:t>
            </w:r>
          </w:p>
        </w:tc>
        <w:tc>
          <w:tcPr>
            <w:tcW w:w="560" w:type="dxa"/>
            <w:vAlign w:val="bottom"/>
          </w:tcPr>
          <w:p>
            <w:pPr>
              <w:spacing w:after="0"/>
              <w:rPr>
                <w:sz w:val="18"/>
                <w:szCs w:val="18"/>
                <w:color w:val="auto"/>
              </w:rPr>
            </w:pPr>
          </w:p>
        </w:tc>
        <w:tc>
          <w:tcPr>
            <w:tcW w:w="560" w:type="dxa"/>
            <w:vAlign w:val="bottom"/>
            <w:tcBorders>
              <w:bottom w:val="single" w:sz="8" w:color="auto"/>
            </w:tcBorders>
          </w:tcPr>
          <w:p>
            <w:pPr>
              <w:jc w:val="right"/>
              <w:ind w:right="38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24"/>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significant components of the Unaudited Condensed Consolidated Statement of Cash Flows for Eeva are as follows (in thousands):</w:t>
      </w:r>
    </w:p>
    <w:p>
      <w:pPr>
        <w:sectPr>
          <w:pgSz w:w="11900" w:h="16838" w:orient="portrait"/>
          <w:cols w:equalWidth="0" w:num="1">
            <w:col w:w="9060"/>
          </w:cols>
          <w:pgMar w:left="1420" w:top="125" w:right="1419" w:bottom="1440" w:gutter="0" w:footer="0" w:header="0"/>
        </w:sectPr>
      </w:pPr>
    </w:p>
    <w:p>
      <w:pPr>
        <w:spacing w:after="0" w:line="176"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-3175</wp:posOffset>
            </wp:positionV>
            <wp:extent cx="1140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5480"/>
        <w:spacing w:after="0"/>
        <w:tabs>
          <w:tab w:leader="none" w:pos="644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3810</wp:posOffset>
            </wp:positionV>
            <wp:extent cx="11404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-3175</wp:posOffset>
            </wp:positionV>
            <wp:extent cx="1089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tabs>
          <w:tab w:leader="none" w:pos="10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wp:posOffset>
            </wp:positionV>
            <wp:extent cx="1174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1580"/>
          </w:cols>
          <w:pgMar w:left="1420" w:top="125" w:right="1419" w:bottom="1440" w:gutter="0" w:footer="0" w:header="0"/>
          <w:type w:val="continuous"/>
        </w:sectPr>
      </w:pP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Proceeds from sale of business, net of costs</w:t>
            </w:r>
          </w:p>
        </w:tc>
        <w:tc>
          <w:tcPr>
            <w:tcW w:w="1940" w:type="dxa"/>
            <w:vAlign w:val="bottom"/>
          </w:tcPr>
          <w:p>
            <w:pPr>
              <w:ind w:left="13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200</w:t>
            </w:r>
          </w:p>
        </w:tc>
        <w:tc>
          <w:tcPr>
            <w:tcW w:w="720" w:type="dxa"/>
            <w:vAlign w:val="bottom"/>
          </w:tcPr>
          <w:p>
            <w:pPr>
              <w:jc w:val="right"/>
              <w:spacing w:after="0"/>
              <w:rPr>
                <w:sz w:val="20"/>
                <w:szCs w:val="20"/>
                <w:color w:val="auto"/>
              </w:rPr>
            </w:pPr>
            <w:r>
              <w:rPr>
                <w:rFonts w:ascii="Arial" w:cs="Arial" w:eastAsia="Arial" w:hAnsi="Arial"/>
                <w:sz w:val="18"/>
                <w:szCs w:val="18"/>
                <w:color w:val="auto"/>
              </w:rPr>
              <w:t>2,428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-273685</wp:posOffset>
            </wp:positionV>
            <wp:extent cx="57543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205" w:lineRule="exact"/>
        <w:rPr>
          <w:sz w:val="20"/>
          <w:szCs w:val="20"/>
          <w:color w:val="auto"/>
        </w:rPr>
      </w:pPr>
    </w:p>
    <w:p>
      <w:pPr>
        <w:ind w:left="640" w:hanging="637"/>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$8.0 million term loan, entered into in November 2015 (“Term Loan”), carried an interest rate equal to the greater of 7.5% or LIBOR plus 7.3%. The terms contain a prepayment fee of 3.0% of the outstanding principal if repaid after the effective date but on or prior to the first anniversary, 2.0% if repaid after the first anniversary of the effective date but on or prior to the second anniversary, and 1.0% if repaid after the second anniversary of the effective date but prior to the maturity date. Additionally, the terms contained an additional significant final payment representing 8.0% of the original principal.</w:t>
      </w:r>
    </w:p>
    <w:p>
      <w:pPr>
        <w:spacing w:after="0" w:line="193"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(“SVB Line of Credit”). Eligible accounts receivable is defined in the loan agreement as accounts billed with aging 90 days or less and excludes accounts receivable due for member copayments, coinsurance, and deductibles.</w:t>
      </w:r>
    </w:p>
    <w:p>
      <w:pPr>
        <w:spacing w:after="0" w:line="188"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execution of the SVB Line of Credit, the Term Loan was paid off in full including the remaining principal balance of $2.9 million, final balloon payment of $640,000 and the 1.0% early payment penalty fee of $15,000. The repayment of the Term Loan was treated as a debt extinguishment and the Company recognized the remaining unamortized debt discount of $88,000 as a loss on debt extinguishment in Other expense, net for the year ended December 31, 2018.</w:t>
      </w:r>
    </w:p>
    <w:p>
      <w:pPr>
        <w:spacing w:after="0" w:line="188"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revolving line. The Company made the first installment payment of $75,000 in June 2019.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achieve minimum revenue targets established at 75% of the annual financial projections approved by the Board of Directors.</w:t>
      </w:r>
    </w:p>
    <w:p>
      <w:pPr>
        <w:spacing w:after="0" w:line="16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was in compliance with all requirements and its covenant of the revolving credit facility as of September 30, 2019 and December 31, 2018.</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Prior to the repayment of the Term Loan, the Company recorded interest of $0 and $129,000 and accretion of the debt discount of $0 and $75,000 in interest expense for the three and nine months ended September 30, 2018, respectively.</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As of September 30, 2019 and December 31, 2018, the Company had $0 and $253,000 drawn on the SVB Line of Credit, respectively. The Company recorded interest expense on the SVB Line of Credit of $29,000 and $27,000 in the three months ended September 30, 2019 and 2018, respectively, and $195,000 and $59,000 in the nine months ended September 30, 2019 and 2018, respectively.</w:t>
      </w:r>
    </w:p>
    <w:p>
      <w:pPr>
        <w:spacing w:after="0" w:line="183" w:lineRule="exact"/>
        <w:rPr>
          <w:sz w:val="20"/>
          <w:szCs w:val="20"/>
          <w:color w:val="auto"/>
        </w:rPr>
      </w:pPr>
    </w:p>
    <w:p>
      <w:pPr>
        <w:ind w:left="580" w:hanging="577"/>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Warrants</w:t>
      </w:r>
    </w:p>
    <w:p>
      <w:pPr>
        <w:spacing w:after="0" w:line="229"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As of September 30, 2019 and December 31, 2018, the Company had issued and outstanding warrants to acquire 2,019,245 shares of Series B convertible preferred stock for $1.73 per share with a fair value of $17.0 million and $4.6 million, respectively that were issued in conjunction with various equity and financing transactions.</w:t>
      </w:r>
    </w:p>
    <w:p>
      <w:pPr>
        <w:spacing w:after="0" w:line="14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Company recognized the warrants at fair value at the time of issuance and remeasures the warrants at their fair value on a recurring basis thereafter. Given the deemed liquidation provisions of the underlying convertible preferred stock, the convertible preferred stock warrant liabilities are recorded at fair value and are subject to remeasurement at each balance sheet date. The Company calculates the warrants’ fair value as follows:</w:t>
      </w:r>
    </w:p>
    <w:p>
      <w:pPr>
        <w:spacing w:after="0" w:line="154" w:lineRule="exact"/>
        <w:rPr>
          <w:sz w:val="20"/>
          <w:szCs w:val="20"/>
          <w:color w:val="auto"/>
        </w:rPr>
      </w:pPr>
    </w:p>
    <w:p>
      <w:pPr>
        <w:ind w:left="1620" w:hanging="321"/>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equity value is estimated using the market approach.</w:t>
      </w:r>
    </w:p>
    <w:p>
      <w:pPr>
        <w:spacing w:after="0" w:line="225" w:lineRule="exact"/>
        <w:rPr>
          <w:rFonts w:ascii="Arial" w:cs="Arial" w:eastAsia="Arial" w:hAnsi="Arial"/>
          <w:sz w:val="18"/>
          <w:szCs w:val="18"/>
          <w:color w:val="auto"/>
        </w:rPr>
      </w:pPr>
    </w:p>
    <w:p>
      <w:pPr>
        <w:jc w:val="both"/>
        <w:ind w:left="1620" w:hanging="321"/>
        <w:spacing w:after="0" w:line="293" w:lineRule="auto"/>
        <w:tabs>
          <w:tab w:leader="none" w:pos="1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Company’s equity value is then allocated among classes of its capital structure, including Series B convertible preferred shares. The allocation is performed using the Option Pricing Methodology. This method treats securities as options with the Company. The allocation is used to determine the value of Series B convertible preferred shares, as well as the Series B convertible preferred stock warrants. The Company assumes that any exercise of the warrants would be to purchase Series B convertible preferred Shares, and assumes scenarios where the warrants will not be exercised.</w:t>
      </w:r>
    </w:p>
    <w:p>
      <w:pPr>
        <w:spacing w:after="0" w:line="16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No warrants were issued during the three and nine months ended September 30, 2019. The warrants outstanding at September 30, 2019 were valued at approximately $8.42 per share utilizing an option pricing model, time to liquidity of six months, underlying stock volatility of 45% and a risk-free interest rate of 1.8%.</w:t>
      </w:r>
    </w:p>
    <w:p>
      <w:pPr>
        <w:spacing w:after="0" w:line="166"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The warrants outstanding at December 31, 2018, were valued at approximately $2.27 per share utilizing an option pricing model, time to liquidity of two years, underlying stock volatility of 43% and a risk-free interest rate of 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3"/>
          </w:tcPr>
          <w:p>
            <w:pPr>
              <w:ind w:left="880"/>
              <w:spacing w:after="0"/>
              <w:rPr>
                <w:sz w:val="20"/>
                <w:szCs w:val="20"/>
                <w:color w:val="auto"/>
              </w:rPr>
            </w:pPr>
            <w:r>
              <w:rPr>
                <w:rFonts w:ascii="Arial" w:cs="Arial" w:eastAsia="Arial" w:hAnsi="Arial"/>
                <w:sz w:val="14"/>
                <w:szCs w:val="14"/>
                <w:b w:val="1"/>
                <w:bCs w:val="1"/>
                <w:color w:val="auto"/>
              </w:rPr>
              <w:t>Rollforward of warrants and fair value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Arial" w:cs="Arial" w:eastAsia="Arial" w:hAnsi="Arial"/>
                <w:sz w:val="14"/>
                <w:szCs w:val="14"/>
                <w:b w:val="1"/>
                <w:bCs w:val="1"/>
                <w:color w:val="auto"/>
              </w:rPr>
              <w:t>Liability</w:t>
            </w:r>
          </w:p>
        </w:tc>
        <w:tc>
          <w:tcPr>
            <w:tcW w:w="88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52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Pr>
          <w:p>
            <w:pPr>
              <w:spacing w:after="0"/>
              <w:rPr>
                <w:sz w:val="12"/>
                <w:szCs w:val="12"/>
                <w:color w:val="auto"/>
              </w:rPr>
            </w:pPr>
          </w:p>
        </w:tc>
      </w:tr>
      <w:tr>
        <w:trPr>
          <w:trHeight w:val="216"/>
        </w:trPr>
        <w:tc>
          <w:tcPr>
            <w:tcW w:w="88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warrants and liability as of December 31, 2018</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2,019,245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8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Revaluation of remaining warrants</w:t>
            </w: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12,419</w:t>
            </w:r>
          </w:p>
        </w:tc>
        <w:tc>
          <w:tcPr>
            <w:tcW w:w="8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warrants and liability as of September 30, 2019</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2,019,245</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17,008</w:t>
            </w:r>
          </w:p>
        </w:tc>
        <w:tc>
          <w:tcPr>
            <w:tcW w:w="880" w:type="dxa"/>
            <w:vAlign w:val="bottom"/>
          </w:tcPr>
          <w:p>
            <w:pPr>
              <w:spacing w:after="0"/>
              <w:rPr>
                <w:sz w:val="19"/>
                <w:szCs w:val="19"/>
                <w:color w:val="auto"/>
              </w:rPr>
            </w:pPr>
          </w:p>
        </w:tc>
      </w:tr>
      <w:tr>
        <w:trPr>
          <w:trHeight w:val="649"/>
        </w:trPr>
        <w:tc>
          <w:tcPr>
            <w:tcW w:w="6140" w:type="dxa"/>
            <w:vAlign w:val="bottom"/>
            <w:gridSpan w:val="2"/>
          </w:tcPr>
          <w:p>
            <w:pPr>
              <w:jc w:val="right"/>
              <w:ind w:right="14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61"/>
        </w:trPr>
        <w:tc>
          <w:tcPr>
            <w:tcW w:w="88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 w:hanging="537"/>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September 2019, the Company entered into a sublease agreement for its corporate offices in New York, NY. The sublease is for a 25,212 square foot office and will expire in May 2029. Pursuant to the sublease,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September 30,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4"/>
                <w:szCs w:val="14"/>
                <w:b w:val="1"/>
                <w:bCs w:val="1"/>
                <w:color w:val="auto"/>
                <w:w w:val="91"/>
              </w:rPr>
              <w:t>Payments Due By Period</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1 - 3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3 - 5 Years</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1 Year</w:t>
            </w:r>
          </w:p>
        </w:tc>
        <w:tc>
          <w:tcPr>
            <w:tcW w:w="900" w:type="dxa"/>
            <w:vAlign w:val="bottom"/>
            <w:tcBorders>
              <w:bottom w:val="single" w:sz="8" w:color="auto"/>
            </w:tcBorders>
            <w:gridSpan w:val="4"/>
            <w:vMerge w:val="continue"/>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12,427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$ 2,572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$ 2,581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98"/>
              </w:rPr>
              <w:t>12,427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2,572</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Rent expense under operating leases was approximately $668,000 and $663,000 for the nine months ended September 30, 2019 and 2018, respectively. The terms of the facility lease provide for rental payments on a monthly basis and on a graduated scale. The Company recognizes rent expense on a straight-line basis over the lease period and has accrued for rent expense incurred but not paid.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Arbitration/Litigation</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by the vendor. On April 3, 2019, the vendor filed a Second Amended Demand for Arbitration (“SAD”) for breach of the Agreement. The vendor seeks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Company believes the vendor’s claims are without merit and intends to vigorously defend against the claims in the Arbitration. Due to the inherent uncertainties of litigation, the Company cannot predict the outcome of the actions at this time and can give no assurances that the asserted claims will not have a material adverse effect on the financial position or results of operations of the Company.</w:t>
      </w:r>
    </w:p>
    <w:p>
      <w:pPr>
        <w:spacing w:after="0" w:line="173"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80" w:hanging="577"/>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March, June and November 2017, the Company raised approximately $15.0 million through the issuance of 8,691,179 shares of its Series B convertible preferred stock at $1.73 per share to new and existing investors. No convertible preferred stock was issued in 2018 or in the nine months ended September 30, 2019.</w:t>
      </w:r>
    </w:p>
    <w:p>
      <w:pPr>
        <w:spacing w:after="0" w:line="16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June 2018, the Company redeemed and retired 1,202,196 shares of Series B convertible preferred stock from a former employee pursuant to its contractual right of first refusal at a purchase price of $2.5 million. The difference of $425,000 between the purchase price (at $2.04 per share) and the carrying value (at $1.73 per share) has been recorded as a dividend in accumulated deficit as of December 31, 2018.</w:t>
      </w:r>
    </w:p>
    <w:p>
      <w:pPr>
        <w:spacing w:after="0" w:line="17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In conjunction with the above convertible preferred stock redemption, certain stockholders purchased convertible preferred stock and common stock from the same former employee at the same price per share.</w:t>
      </w:r>
    </w:p>
    <w:p>
      <w:pPr>
        <w:spacing w:after="0" w:line="1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connection with the transactions above, an outstanding severance liability was settled. As the total paid by the stockholders to the former employee was in excess of the common stock and preferred stock fair value, this premium was deemed consideration paid on behalf of the Company for the settlement of the severance liability. As such, the Company has accounted for this excess paid of $414,000 as a non-cash contribution in additional paid in capital.</w:t>
      </w:r>
    </w:p>
    <w:p>
      <w:pPr>
        <w:spacing w:after="0" w:line="18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The authorized, issued and outstanding shares, and liquidation preference of the Company’s convertible preferred stock as of the dates indicated were as follows (in thousands, except for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September 30, 2019</w:t>
            </w: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920" w:type="dxa"/>
            <w:vAlign w:val="bottom"/>
          </w:tcPr>
          <w:p>
            <w:pPr>
              <w:spacing w:after="0"/>
              <w:rPr>
                <w:sz w:val="20"/>
                <w:szCs w:val="20"/>
                <w:color w:val="auto"/>
              </w:rPr>
            </w:pPr>
            <w:r>
              <w:rPr>
                <w:rFonts w:ascii="Arial" w:cs="Arial" w:eastAsia="Arial" w:hAnsi="Arial"/>
                <w:sz w:val="18"/>
                <w:szCs w:val="18"/>
                <w:color w:val="auto"/>
              </w:rPr>
              <w:t>Preferred Stock:</w:t>
            </w: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 Preferred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69,930,070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15,384,798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Series B Preferred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245,000,000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50,043,290</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86,369</w:t>
            </w: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314,930,070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65,428,088</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106,369</w:t>
            </w:r>
          </w:p>
        </w:tc>
        <w:tc>
          <w:tcPr>
            <w:tcW w:w="0" w:type="dxa"/>
            <w:vAlign w:val="bottom"/>
          </w:tcPr>
          <w:p>
            <w:pPr>
              <w:spacing w:after="0"/>
              <w:rPr>
                <w:sz w:val="1"/>
                <w:szCs w:val="1"/>
                <w:color w:val="auto"/>
              </w:rPr>
            </w:pPr>
          </w:p>
        </w:tc>
      </w:tr>
      <w:tr>
        <w:trPr>
          <w:trHeight w:val="378"/>
        </w:trPr>
        <w:tc>
          <w:tcPr>
            <w:tcW w:w="5920" w:type="dxa"/>
            <w:vAlign w:val="bottom"/>
          </w:tcPr>
          <w:p>
            <w:pPr>
              <w:spacing w:after="0"/>
              <w:rPr>
                <w:sz w:val="24"/>
                <w:szCs w:val="24"/>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Authorized</w:t>
            </w:r>
          </w:p>
        </w:tc>
        <w:tc>
          <w:tcPr>
            <w:tcW w:w="10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Preference</w:t>
            </w:r>
          </w:p>
        </w:tc>
        <w:tc>
          <w:tcPr>
            <w:tcW w:w="0" w:type="dxa"/>
            <w:vAlign w:val="bottom"/>
          </w:tcPr>
          <w:p>
            <w:pPr>
              <w:spacing w:after="0"/>
              <w:rPr>
                <w:sz w:val="1"/>
                <w:szCs w:val="1"/>
                <w:color w:val="auto"/>
              </w:rPr>
            </w:pPr>
          </w:p>
        </w:tc>
      </w:tr>
      <w:tr>
        <w:trPr>
          <w:trHeight w:val="358"/>
        </w:trPr>
        <w:tc>
          <w:tcPr>
            <w:tcW w:w="5920" w:type="dxa"/>
            <w:vAlign w:val="bottom"/>
          </w:tcPr>
          <w:p>
            <w:pPr>
              <w:spacing w:after="0"/>
              <w:rPr>
                <w:sz w:val="20"/>
                <w:szCs w:val="20"/>
                <w:color w:val="auto"/>
              </w:rPr>
            </w:pPr>
            <w:r>
              <w:rPr>
                <w:rFonts w:ascii="Arial" w:cs="Arial" w:eastAsia="Arial" w:hAnsi="Arial"/>
                <w:sz w:val="18"/>
                <w:szCs w:val="18"/>
                <w:color w:val="auto"/>
              </w:rPr>
              <w:t>Preferred Stock:</w:t>
            </w: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Series A Preferred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69,930,070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15,384,798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$ 20,000</w:t>
            </w: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Series B Preferred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245,000,000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50,043,290</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86,369</w:t>
            </w: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314,930,070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65,428,088</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106,369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20"/>
        <w:spacing w:after="0" w:line="214" w:lineRule="auto"/>
        <w:rPr>
          <w:sz w:val="20"/>
          <w:szCs w:val="20"/>
          <w:color w:val="auto"/>
        </w:rPr>
      </w:pPr>
      <w:r>
        <w:rPr>
          <w:rFonts w:ascii="Arial" w:cs="Arial" w:eastAsia="Arial" w:hAnsi="Arial"/>
          <w:sz w:val="18"/>
          <w:szCs w:val="18"/>
          <w:color w:val="auto"/>
        </w:rPr>
        <w:t>As of September 30, 2019 and December 31, 2018, the holders of the Series A convertible preferred stock (‘‘Series A Preferred’’) and Series B convertible preferred stock (‘‘Series B Preferred’’ together the ‘‘Series Preferred’’) had the following rights and preferences: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The holders of the Series A Preferred and the Series B Preferred shall be entitled to receive noncumulative dividends in preference to any dividend on the Company’s common stock at the rate of 8% of their respective “Original Issuance Price” ($1.30 per share for the Series A Preferred and $1.73 per share for the Series B Preferred) per annum, when and as declared by the Board of Directors. The holders of Series Preferred also shall be entitled to participate pro rata in any dividends paid on the common stock on an as-if-converted basis.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In the event of any liquidation or winding up of the Company, the holders of the Series Preferred shall be entitled to receive in preference to the holders of the common stock a per share amount equal to the greater of (a) their respective Original Issuance Price plus any declared but unpaid dividends or (b) the amount payable to them had they converted their Series Preferred into common stock immediately prior to the liquidation event. After the payment of the liquidation preference to the holders of the Series Preferred, the remaining assets shall be distributed ratably to the holders of the common stock.</w:t>
      </w:r>
    </w:p>
    <w:p>
      <w:pPr>
        <w:spacing w:after="0" w:line="193" w:lineRule="exact"/>
        <w:rPr>
          <w:sz w:val="20"/>
          <w:szCs w:val="20"/>
          <w:color w:val="auto"/>
        </w:rPr>
      </w:pPr>
    </w:p>
    <w:p>
      <w:pPr>
        <w:jc w:val="both"/>
        <w:ind w:left="480"/>
        <w:spacing w:after="0" w:line="279" w:lineRule="auto"/>
        <w:rPr>
          <w:sz w:val="20"/>
          <w:szCs w:val="20"/>
          <w:color w:val="auto"/>
        </w:rPr>
      </w:pPr>
      <w:r>
        <w:rPr>
          <w:rFonts w:ascii="Arial" w:cs="Arial" w:eastAsia="Arial" w:hAnsi="Arial"/>
          <w:sz w:val="17"/>
          <w:szCs w:val="17"/>
          <w:color w:val="auto"/>
        </w:rPr>
        <w:t>A merger or consolidation in which the stockholders of the Company do not own a majority of the outstanding shares of the surviving corporation, a sale, lease, transfer, or other disposition of substantially all of the assets of the Company and an exclusive license of substantially all of the Company’s intellectual property shall be deemed to be a liquidation unless the holders of at least 60% of the Series Preferred elect otherwise.</w:t>
      </w:r>
    </w:p>
    <w:p>
      <w:pPr>
        <w:spacing w:after="0" w:line="171" w:lineRule="exact"/>
        <w:rPr>
          <w:sz w:val="20"/>
          <w:szCs w:val="20"/>
          <w:color w:val="auto"/>
        </w:rPr>
      </w:pPr>
    </w:p>
    <w:p>
      <w:pPr>
        <w:jc w:val="both"/>
        <w:ind w:left="480"/>
        <w:spacing w:after="0" w:line="272" w:lineRule="auto"/>
        <w:rPr>
          <w:sz w:val="20"/>
          <w:szCs w:val="20"/>
          <w:color w:val="auto"/>
        </w:rPr>
      </w:pPr>
      <w:r>
        <w:rPr>
          <w:rFonts w:ascii="Arial" w:cs="Arial" w:eastAsia="Arial" w:hAnsi="Arial"/>
          <w:sz w:val="17"/>
          <w:szCs w:val="17"/>
          <w:color w:val="auto"/>
        </w:rPr>
        <w:t>Due to the concentration of convertible preferred stock ownership interest and Board of Directors representation of the convertible preferred stockholders, the above liquidation preference represents a liquidation right not solely within the Company’s control and as such, the Company has classified its convertible preferred stock outside of stockholders’ equity. During 2018 and the nine months ended September 30, 2019, the Company did not adjust the carrying value of the convertible preferred stock to the deemed liquidation value of such shares as a qualifying liquidation event was not probable. Subsequent adjustments to increase the carrying values to the ultimate redemption values will be made only when it becomes probable that such a deemed liquidation event will occur.</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left="480"/>
        <w:spacing w:after="0" w:line="270" w:lineRule="auto"/>
        <w:rPr>
          <w:sz w:val="20"/>
          <w:szCs w:val="20"/>
          <w:color w:val="auto"/>
        </w:rPr>
      </w:pPr>
      <w:r>
        <w:rPr>
          <w:rFonts w:ascii="Arial" w:cs="Arial" w:eastAsia="Arial" w:hAnsi="Arial"/>
          <w:sz w:val="17"/>
          <w:szCs w:val="17"/>
          <w:color w:val="auto"/>
        </w:rPr>
        <w:t>The holders of the Series Preferred shall have the right to convert each share of Series Preferred, at any time, into shares of common stock. The conversion price for each series of convertible preferred stock shall initially be the Original Issuance Price of such series of convertible preferred stock and shall be adjusted in accordance with conversion provisions contained in the Company’s Amended and Restated Certificate of Incorporation. The conversion rate of the Series Preferred is 1:1 and is subject to certain anti-dilution adjustments. The Series Preferred is automatically converted into common stock, at the then-applicable conversion rate, in the event that the holders of at least 75% the outstanding Series Preferred consent to such conversion voting as a single class on an as- converted basis, or (ii) upon the event of a public offering of the Company’s common stock based upon a value of the Company of at least $150 million and which results in net proceeds of at least $40 million.</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ind w:left="480"/>
        <w:spacing w:after="0" w:line="286" w:lineRule="auto"/>
        <w:rPr>
          <w:sz w:val="20"/>
          <w:szCs w:val="20"/>
          <w:color w:val="auto"/>
        </w:rPr>
      </w:pPr>
      <w:r>
        <w:rPr>
          <w:rFonts w:ascii="Arial" w:cs="Arial" w:eastAsia="Arial" w:hAnsi="Arial"/>
          <w:sz w:val="17"/>
          <w:szCs w:val="17"/>
          <w:color w:val="auto"/>
        </w:rPr>
        <w:t>The Series Preferred will vote together with the common stock as a single class except as specifically provided herein or as otherwise required by law. Each share of Series Preferred shall have a number of votes equal to the number of shares of common stock then issuable upon conversion of such share of Series Preferred.</w:t>
      </w:r>
    </w:p>
    <w:p>
      <w:pPr>
        <w:spacing w:after="0" w:line="166" w:lineRule="exact"/>
        <w:rPr>
          <w:sz w:val="20"/>
          <w:szCs w:val="20"/>
          <w:color w:val="auto"/>
        </w:rPr>
      </w:pPr>
    </w:p>
    <w:p>
      <w:pPr>
        <w:jc w:val="both"/>
        <w:ind w:left="480"/>
        <w:spacing w:after="0" w:line="257" w:lineRule="auto"/>
        <w:rPr>
          <w:sz w:val="20"/>
          <w:szCs w:val="20"/>
          <w:color w:val="auto"/>
        </w:rPr>
      </w:pPr>
      <w:r>
        <w:rPr>
          <w:rFonts w:ascii="Arial" w:cs="Arial" w:eastAsia="Arial" w:hAnsi="Arial"/>
          <w:sz w:val="18"/>
          <w:szCs w:val="18"/>
          <w:color w:val="auto"/>
        </w:rPr>
        <w:t>Each series of convertible preferred stock is entitled to elect two directors of the Company. The common stock is entitled to elect one director. All stockholders voting together as a single class on an as-converted basis are entitled to elect the remaining directors. The directors elected by the Series A Preferred are entitled to two votes on all matters to be voted upon by the Board of Directors. The Series B Directors and all other directors are entitled to one vote on all matters to be voted upon the Board of Directors.</w:t>
      </w:r>
    </w:p>
    <w:p>
      <w:pPr>
        <w:spacing w:after="0" w:line="184" w:lineRule="exact"/>
        <w:rPr>
          <w:sz w:val="20"/>
          <w:szCs w:val="20"/>
          <w:color w:val="auto"/>
        </w:rPr>
      </w:pPr>
    </w:p>
    <w:p>
      <w:pPr>
        <w:ind w:left="500" w:right="6940" w:hanging="497"/>
        <w:spacing w:after="0" w:line="566" w:lineRule="auto"/>
        <w:tabs>
          <w:tab w:leader="none" w:pos="50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Deficit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The common stock confers upon its holders the right to receive dividends out of any assets legally available, when and as declared by the Board of Directors, but subject to the prior right of the holders of the Series Preferred as described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1380" w:type="dxa"/>
            <w:vAlign w:val="bottom"/>
          </w:tcPr>
          <w:p>
            <w:pPr>
              <w:jc w:val="right"/>
              <w:ind w:right="19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Warrants in Series B convertible preferred stock issued and outstanding</w:t>
            </w:r>
          </w:p>
        </w:tc>
        <w:tc>
          <w:tcPr>
            <w:tcW w:w="1220" w:type="dxa"/>
            <w:vAlign w:val="bottom"/>
          </w:tcPr>
          <w:p>
            <w:pPr>
              <w:jc w:val="right"/>
              <w:spacing w:after="0"/>
              <w:rPr>
                <w:sz w:val="20"/>
                <w:szCs w:val="20"/>
                <w:color w:val="auto"/>
              </w:rPr>
            </w:pPr>
            <w:r>
              <w:rPr>
                <w:rFonts w:ascii="Arial" w:cs="Arial" w:eastAsia="Arial" w:hAnsi="Arial"/>
                <w:sz w:val="18"/>
                <w:szCs w:val="18"/>
                <w:color w:val="auto"/>
              </w:rPr>
              <w:t>2,019,245</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Shares available for grants under stock option plan</w:t>
            </w:r>
          </w:p>
        </w:tc>
        <w:tc>
          <w:tcPr>
            <w:tcW w:w="1220" w:type="dxa"/>
            <w:vAlign w:val="bottom"/>
          </w:tcPr>
          <w:p>
            <w:pPr>
              <w:jc w:val="right"/>
              <w:spacing w:after="0"/>
              <w:rPr>
                <w:sz w:val="20"/>
                <w:szCs w:val="20"/>
                <w:color w:val="auto"/>
              </w:rPr>
            </w:pPr>
            <w:r>
              <w:rPr>
                <w:rFonts w:ascii="Arial" w:cs="Arial" w:eastAsia="Arial" w:hAnsi="Arial"/>
                <w:sz w:val="18"/>
                <w:szCs w:val="18"/>
                <w:color w:val="auto"/>
              </w:rPr>
              <w:t>645,399</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 under stock plan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17,409,666</w:t>
            </w:r>
          </w:p>
        </w:tc>
        <w:tc>
          <w:tcPr>
            <w:tcW w:w="2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15,932,040</w:t>
            </w:r>
          </w:p>
        </w:tc>
        <w:tc>
          <w:tcPr>
            <w:tcW w:w="0" w:type="dxa"/>
            <w:vAlign w:val="bottom"/>
          </w:tcPr>
          <w:p>
            <w:pPr>
              <w:spacing w:after="0"/>
              <w:rPr>
                <w:sz w:val="1"/>
                <w:szCs w:val="1"/>
                <w:color w:val="auto"/>
              </w:rPr>
            </w:pPr>
          </w:p>
        </w:tc>
      </w:tr>
      <w:tr>
        <w:trPr>
          <w:trHeight w:val="217"/>
        </w:trPr>
        <w:tc>
          <w:tcPr>
            <w:tcW w:w="6220" w:type="dxa"/>
            <w:vAlign w:val="bottom"/>
            <w:gridSpan w:val="2"/>
          </w:tcPr>
          <w:p>
            <w:pPr>
              <w:spacing w:after="0"/>
              <w:rPr>
                <w:sz w:val="20"/>
                <w:szCs w:val="20"/>
                <w:color w:val="auto"/>
              </w:rPr>
            </w:pPr>
            <w:r>
              <w:rPr>
                <w:rFonts w:ascii="Arial" w:cs="Arial" w:eastAsia="Arial" w:hAnsi="Arial"/>
                <w:sz w:val="18"/>
                <w:szCs w:val="18"/>
                <w:color w:val="auto"/>
              </w:rPr>
              <w:t>Total common stock reserved for future issuance</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85,642,792</w:t>
            </w:r>
          </w:p>
        </w:tc>
        <w:tc>
          <w:tcPr>
            <w:tcW w:w="24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83,663,477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In September 2018, the Company repurchased 589,320 shares of common stock, held by former employees, at a price per share of $2.04, for total consideration of $1.2 million. The difference of $321,000 between the fair value on the date of repurchase (at $1.49 per share) and the cash consideration paid has been recorded as a dividend as of December 31, 2018 as there were no ongoing services being delivered by the ex-employees since the date of termination. The Company has not retired the shares repurchased and as such, have recorded the shares repurchased at cost $884,000 and treated them as treasury shares.</w:t>
      </w:r>
    </w:p>
    <w:p>
      <w:pPr>
        <w:spacing w:after="0" w:line="193"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In August 2019, the Company repurchased 26,659 shares of common stock at an average price per share of $6.91 pursuant to its contractual right of first refusal for offers made by third parties to acquire outstanding shares from existing stockholders. The repurchased shares were recorded as treasury shares.</w:t>
      </w:r>
    </w:p>
    <w:p>
      <w:pPr>
        <w:spacing w:after="0" w:line="181"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As of September 30, 2019 and December 31, 2018, the Company had 615,980 and 589,320 shares respectively of treasury stock.</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September 30, 2019 and December 31, 2018, the Company maintains two stock-based compensation plans:</w:t>
      </w:r>
    </w:p>
    <w:p>
      <w:pPr>
        <w:spacing w:after="0" w:line="46" w:lineRule="exact"/>
        <w:rPr>
          <w:sz w:val="20"/>
          <w:szCs w:val="20"/>
          <w:color w:val="auto"/>
        </w:rPr>
      </w:pPr>
    </w:p>
    <w:p>
      <w:pPr>
        <w:ind w:left="480" w:firstLine="9"/>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2008 Stock Plan and (ii) the 2017 Equity Incentive Stock Plan. All awards issued in 2018 were issued pursuant to the 2017 Equity Incentive Stock Plan.</w:t>
      </w:r>
    </w:p>
    <w:p>
      <w:pPr>
        <w:spacing w:after="0" w:line="184" w:lineRule="exact"/>
        <w:rPr>
          <w:sz w:val="20"/>
          <w:szCs w:val="20"/>
          <w:color w:val="auto"/>
        </w:rPr>
      </w:pPr>
    </w:p>
    <w:p>
      <w:pPr>
        <w:jc w:val="both"/>
        <w:ind w:left="480"/>
        <w:spacing w:after="0" w:line="288" w:lineRule="auto"/>
        <w:rPr>
          <w:sz w:val="20"/>
          <w:szCs w:val="20"/>
          <w:color w:val="auto"/>
        </w:rPr>
      </w:pPr>
      <w:r>
        <w:rPr>
          <w:rFonts w:ascii="Arial" w:cs="Arial" w:eastAsia="Arial" w:hAnsi="Arial"/>
          <w:sz w:val="16"/>
          <w:szCs w:val="16"/>
          <w:color w:val="auto"/>
        </w:rPr>
        <w:t>Under the Company’s 2017 Equity Incentive Stock Plan and consistent with the 2008 Stock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Company’s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September 30, 2019 and December 31, 2018.</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Stock Option Activity</w:t>
      </w:r>
    </w:p>
    <w:p>
      <w:pPr>
        <w:spacing w:after="0" w:line="229" w:lineRule="exact"/>
        <w:rPr>
          <w:sz w:val="20"/>
          <w:szCs w:val="20"/>
          <w:color w:val="auto"/>
        </w:rPr>
      </w:pPr>
    </w:p>
    <w:p>
      <w:pPr>
        <w:jc w:val="both"/>
        <w:ind w:left="480"/>
        <w:spacing w:after="0" w:line="264" w:lineRule="auto"/>
        <w:rPr>
          <w:sz w:val="20"/>
          <w:szCs w:val="20"/>
          <w:color w:val="auto"/>
        </w:rPr>
      </w:pPr>
      <w:r>
        <w:rPr>
          <w:rFonts w:ascii="Arial" w:cs="Arial" w:eastAsia="Arial" w:hAnsi="Arial"/>
          <w:sz w:val="18"/>
          <w:szCs w:val="18"/>
          <w:color w:val="auto"/>
        </w:rPr>
        <w:t>During the first nine months of 2019, 6,705,417 stock options were granted to our officers, employees, and outside directors at a weighted average exercise price of $3.92. In addition, during the first nine months of 2019, 4,917,057 stock options were exercised at a weighted average exercise price of $1.02.</w:t>
      </w:r>
    </w:p>
    <w:p>
      <w:pPr>
        <w:spacing w:after="0" w:line="181" w:lineRule="exact"/>
        <w:rPr>
          <w:sz w:val="20"/>
          <w:szCs w:val="20"/>
          <w:color w:val="auto"/>
        </w:rPr>
      </w:pPr>
    </w:p>
    <w:p>
      <w:pPr>
        <w:jc w:val="both"/>
        <w:ind w:left="480"/>
        <w:spacing w:after="0" w:line="286" w:lineRule="auto"/>
        <w:rPr>
          <w:sz w:val="20"/>
          <w:szCs w:val="20"/>
          <w:color w:val="auto"/>
        </w:rPr>
      </w:pPr>
      <w:r>
        <w:rPr>
          <w:rFonts w:ascii="Arial" w:cs="Arial" w:eastAsia="Arial" w:hAnsi="Arial"/>
          <w:sz w:val="17"/>
          <w:szCs w:val="17"/>
          <w:color w:val="auto"/>
        </w:rPr>
        <w:t>The fair value of options to purchase common stock vested was $649,000 and $2.0 million in the three and nine months ended September 30, 2019, respectively. The fair value of options to purchase common stock vested was $571,000 and $3.1 million in the three and nine months ended September 30, 2018,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Certain weighted-average information and assumptions used in the option-pricing model for options granted to employees, directors, and non-employees are as follows:</w:t>
      </w:r>
    </w:p>
    <w:p>
      <w:pPr>
        <w:sectPr>
          <w:pgSz w:w="11900" w:h="16838" w:orient="portrait"/>
          <w:cols w:equalWidth="0" w:num="1">
            <w:col w:w="9060"/>
          </w:cols>
          <w:pgMar w:left="1420" w:top="125" w:right="1419" w:bottom="1440" w:gutter="0" w:footer="0" w:header="0"/>
        </w:sectPr>
      </w:pPr>
    </w:p>
    <w:p>
      <w:pPr>
        <w:spacing w:after="0" w:line="176" w:lineRule="exact"/>
        <w:rPr>
          <w:sz w:val="20"/>
          <w:szCs w:val="20"/>
          <w:color w:val="auto"/>
        </w:rPr>
      </w:pPr>
    </w:p>
    <w:p>
      <w:pPr>
        <w:jc w:val="center"/>
        <w:ind w:left="4680"/>
        <w:spacing w:after="0"/>
        <w:rPr>
          <w:sz w:val="20"/>
          <w:szCs w:val="20"/>
          <w:color w:val="auto"/>
        </w:rPr>
      </w:pPr>
      <w:r>
        <w:rPr>
          <w:rFonts w:ascii="Arial" w:cs="Arial" w:eastAsia="Arial" w:hAnsi="Arial"/>
          <w:sz w:val="13"/>
          <w:szCs w:val="13"/>
          <w:b w:val="1"/>
          <w:bCs w:val="1"/>
          <w:color w:val="auto"/>
        </w:rPr>
        <w:t>Three Months Ended</w:t>
      </w:r>
    </w:p>
    <w:p>
      <w:pPr>
        <w:spacing w:after="0" w:line="15"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-3175</wp:posOffset>
            </wp:positionV>
            <wp:extent cx="11150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ind w:left="4700"/>
        <w:spacing w:after="0"/>
        <w:tabs>
          <w:tab w:leader="none" w:pos="56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3810</wp:posOffset>
            </wp:positionV>
            <wp:extent cx="11150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-3175</wp:posOffset>
            </wp:positionV>
            <wp:extent cx="1115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10795</wp:posOffset>
            </wp:positionV>
            <wp:extent cx="11150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980" w:space="660"/>
            <w:col w:w="2420"/>
          </w:cols>
          <w:pgMar w:left="1420" w:top="125" w:right="1419" w:bottom="1440" w:gutter="0" w:footer="0" w:header="0"/>
          <w:type w:val="continuous"/>
        </w:sectPr>
      </w:pPr>
    </w:p>
    <w:tbl>
      <w:tblPr>
        <w:tblLayout w:type="fixed"/>
        <w:tblInd w:w="92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5.63 - 6.08</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5.38 - 6.10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5.63 - 6.08  5.38 - 6.10</w:t>
            </w:r>
          </w:p>
        </w:tc>
      </w:tr>
      <w:tr>
        <w:trPr>
          <w:trHeight w:val="202"/>
        </w:trPr>
        <w:tc>
          <w:tcPr>
            <w:tcW w:w="2660" w:type="dxa"/>
            <w:vAlign w:val="bottom"/>
          </w:tcPr>
          <w:p>
            <w:pPr>
              <w:spacing w:after="0"/>
              <w:rPr>
                <w:sz w:val="17"/>
                <w:szCs w:val="17"/>
                <w:color w:val="auto"/>
              </w:rPr>
            </w:pPr>
          </w:p>
        </w:tc>
        <w:tc>
          <w:tcPr>
            <w:tcW w:w="17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1.6% -</w:t>
            </w:r>
          </w:p>
        </w:tc>
        <w:tc>
          <w:tcPr>
            <w:tcW w:w="960" w:type="dxa"/>
            <w:vAlign w:val="bottom"/>
          </w:tcPr>
          <w:p>
            <w:pPr>
              <w:jc w:val="right"/>
              <w:ind w:right="70"/>
              <w:spacing w:after="0" w:line="201" w:lineRule="exact"/>
              <w:rPr>
                <w:sz w:val="20"/>
                <w:szCs w:val="20"/>
                <w:color w:val="auto"/>
              </w:rPr>
            </w:pPr>
            <w:r>
              <w:rPr>
                <w:rFonts w:ascii="Arial" w:cs="Arial" w:eastAsia="Arial" w:hAnsi="Arial"/>
                <w:sz w:val="18"/>
                <w:szCs w:val="18"/>
                <w:color w:val="auto"/>
              </w:rPr>
              <w:t>2.7% -</w:t>
            </w: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1.6% -</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2.6% -</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2"/>
        </w:trPr>
        <w:tc>
          <w:tcPr>
            <w:tcW w:w="266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48.6% -</w:t>
            </w:r>
          </w:p>
        </w:tc>
        <w:tc>
          <w:tcPr>
            <w:tcW w:w="96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48.2% -</w:t>
            </w:r>
          </w:p>
        </w:tc>
        <w:tc>
          <w:tcPr>
            <w:tcW w:w="1020" w:type="dxa"/>
            <w:vAlign w:val="bottom"/>
            <w:shd w:val="clear" w:color="auto" w:fill="CCEEFF"/>
          </w:tcPr>
          <w:p>
            <w:pPr>
              <w:jc w:val="right"/>
              <w:ind w:right="110"/>
              <w:spacing w:after="0" w:line="201" w:lineRule="exact"/>
              <w:rPr>
                <w:sz w:val="20"/>
                <w:szCs w:val="20"/>
                <w:color w:val="auto"/>
              </w:rPr>
            </w:pPr>
            <w:r>
              <w:rPr>
                <w:rFonts w:ascii="Arial" w:cs="Arial" w:eastAsia="Arial" w:hAnsi="Arial"/>
                <w:sz w:val="18"/>
                <w:szCs w:val="18"/>
                <w:color w:val="auto"/>
              </w:rPr>
              <w:t>48.6% -</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48.2% -</w:t>
            </w: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49.0%</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48.4%</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The following table summarizes stock-based compensation expense for employees, which was included in the statements of operations and comprehensive income (loss)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center"/>
              <w:ind w:right="34"/>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r>
      <w:tr>
        <w:trPr>
          <w:trHeight w:val="142"/>
        </w:trPr>
        <w:tc>
          <w:tcPr>
            <w:tcW w:w="40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89"/>
              </w:rPr>
              <w:t>2018</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17"/>
        </w:trPr>
        <w:tc>
          <w:tcPr>
            <w:tcW w:w="40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2,304</w:t>
            </w:r>
          </w:p>
        </w:tc>
      </w:tr>
    </w:tbl>
    <w:p>
      <w:pPr>
        <w:spacing w:after="0" w:line="202" w:lineRule="exact"/>
        <w:rPr>
          <w:sz w:val="20"/>
          <w:szCs w:val="20"/>
          <w:color w:val="auto"/>
        </w:rPr>
      </w:pPr>
    </w:p>
    <w:p>
      <w:pPr>
        <w:jc w:val="both"/>
        <w:ind w:left="400"/>
        <w:spacing w:after="0" w:line="279" w:lineRule="auto"/>
        <w:rPr>
          <w:sz w:val="20"/>
          <w:szCs w:val="20"/>
          <w:color w:val="auto"/>
        </w:rPr>
      </w:pPr>
      <w:r>
        <w:rPr>
          <w:rFonts w:ascii="Arial" w:cs="Arial" w:eastAsia="Arial" w:hAnsi="Arial"/>
          <w:sz w:val="17"/>
          <w:szCs w:val="17"/>
          <w:color w:val="auto"/>
        </w:rPr>
        <w:t>At September 30, 2019, the total compensation cost related to unvested stock-based awards granted to employees under the Company’s stock option plan but not yet recognized was approximately $19.5 million. This cost will be amortized on a straight-line basis over the remaining vesting period and will be adjusted for subsequent changes in estimated forfeitures. The weighted-average remaining recognition period is approximately 3.2 years.</w:t>
      </w:r>
    </w:p>
    <w:p>
      <w:pPr>
        <w:spacing w:after="0" w:line="181" w:lineRule="exact"/>
        <w:rPr>
          <w:sz w:val="20"/>
          <w:szCs w:val="20"/>
          <w:color w:val="auto"/>
        </w:rPr>
      </w:pPr>
    </w:p>
    <w:p>
      <w:pPr>
        <w:ind w:left="400" w:hanging="397"/>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jc w:val="both"/>
        <w:ind w:left="4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For the three and nine months ended September 30, 2019 and 2018, the Company calculated its year-to-date benefit (provision) for income taxes by applying the estimated annual effective tax rate to the year-to-date profit from operations before income taxes and adjusts the benefit (provision) for income taxes for discrete tax items recorded in the period. The Company updates its estimate of its annual effective tax rate at the end of each quarterly period. The estimate takes into account annual forecasted income (loss) before income taxes and any significant permanent tax items. During the three and nine months ended September 30, 2019 the Company recorded a provision of $25,000 and $89,000, respectively. During the three and nine months ended September 30, 2018 the Company recorded a benefit of $395,000 and $1.2 million from continued operations,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00" w:hanging="397"/>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Earnings Per Share</w:t>
      </w:r>
    </w:p>
    <w:p>
      <w:pPr>
        <w:spacing w:after="0" w:line="229" w:lineRule="exact"/>
        <w:rPr>
          <w:rFonts w:ascii="Arial" w:cs="Arial" w:eastAsia="Arial" w:hAnsi="Arial"/>
          <w:sz w:val="18"/>
          <w:szCs w:val="18"/>
          <w:b w:val="1"/>
          <w:bCs w:val="1"/>
          <w:color w:val="auto"/>
        </w:rPr>
      </w:pPr>
    </w:p>
    <w:p>
      <w:pPr>
        <w:ind w:left="4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 reconciliation of net (loss) income available to common stockholders and the number of shares in the calculation of basic and diluted net loss per share follows (in thousands, except share and per share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Basic and diluted earnings (loss) per common share:</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4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Net (loss)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(4,169)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8"/>
                <w:szCs w:val="18"/>
                <w:color w:val="auto"/>
              </w:rPr>
              <w:t>Net income from discontinued operations, net of tax</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Deemed dividends on convertible preferred stock</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7"/>
        </w:trPr>
        <w:tc>
          <w:tcPr>
            <w:tcW w:w="4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Weighted-average shares used in computing basic and</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net loss per share attributable to common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7,472,469</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5,627,656</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5,947,821</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5,669,913</w:t>
            </w:r>
          </w:p>
        </w:tc>
        <w:tc>
          <w:tcPr>
            <w:tcW w:w="0" w:type="dxa"/>
            <w:vAlign w:val="bottom"/>
          </w:tcPr>
          <w:p>
            <w:pPr>
              <w:spacing w:after="0"/>
              <w:rPr>
                <w:sz w:val="1"/>
                <w:szCs w:val="1"/>
                <w:color w:val="auto"/>
              </w:rPr>
            </w:pPr>
          </w:p>
        </w:tc>
      </w:tr>
      <w:tr>
        <w:trPr>
          <w:trHeight w:val="182"/>
        </w:trPr>
        <w:tc>
          <w:tcPr>
            <w:tcW w:w="4520" w:type="dxa"/>
            <w:vAlign w:val="bottom"/>
          </w:tcPr>
          <w:p>
            <w:pPr>
              <w:ind w:left="120"/>
              <w:spacing w:after="0" w:line="182" w:lineRule="exact"/>
              <w:rPr>
                <w:sz w:val="20"/>
                <w:szCs w:val="20"/>
                <w:color w:val="auto"/>
              </w:rPr>
            </w:pPr>
            <w:r>
              <w:rPr>
                <w:rFonts w:ascii="Arial" w:cs="Arial" w:eastAsia="Arial" w:hAnsi="Arial"/>
                <w:sz w:val="18"/>
                <w:szCs w:val="18"/>
                <w:color w:val="auto"/>
              </w:rPr>
              <w:t>Basic and diluted net loss per share attributable to</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(0.20)</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(0.70)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common stockholders</w:t>
            </w:r>
          </w:p>
        </w:tc>
        <w:tc>
          <w:tcPr>
            <w:tcW w:w="8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44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loss per share attributable to common stockholders for the period presented because including them would have been antidilutive:</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5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0" w:type="dxa"/>
            <w:vAlign w:val="bottom"/>
            <w:gridSpan w:val="3"/>
          </w:tcPr>
          <w:p>
            <w:pPr>
              <w:jc w:val="right"/>
              <w:ind w:right="493"/>
              <w:spacing w:after="0"/>
              <w:rPr>
                <w:sz w:val="20"/>
                <w:szCs w:val="20"/>
                <w:color w:val="auto"/>
              </w:rPr>
            </w:pPr>
            <w:r>
              <w:rPr>
                <w:rFonts w:ascii="Arial" w:cs="Arial" w:eastAsia="Arial" w:hAnsi="Arial"/>
                <w:sz w:val="14"/>
                <w:szCs w:val="14"/>
                <w:b w:val="1"/>
                <w:bCs w:val="1"/>
                <w:color w:val="auto"/>
              </w:rPr>
              <w:t>Nine Months Ended</w:t>
            </w:r>
          </w:p>
        </w:tc>
      </w:t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2400" w:type="dxa"/>
            <w:vAlign w:val="bottom"/>
            <w:gridSpan w:val="3"/>
          </w:tcPr>
          <w:p>
            <w:pPr>
              <w:jc w:val="right"/>
              <w:ind w:right="693"/>
              <w:spacing w:after="0"/>
              <w:rPr>
                <w:sz w:val="20"/>
                <w:szCs w:val="20"/>
                <w:color w:val="auto"/>
              </w:rPr>
            </w:pPr>
            <w:r>
              <w:rPr>
                <w:rFonts w:ascii="Arial" w:cs="Arial" w:eastAsia="Arial" w:hAnsi="Arial"/>
                <w:sz w:val="14"/>
                <w:szCs w:val="14"/>
                <w:b w:val="1"/>
                <w:bCs w:val="1"/>
                <w:color w:val="auto"/>
              </w:rPr>
              <w:t>September 30,</w:t>
            </w:r>
          </w:p>
        </w:tc>
      </w:tr>
      <w:tr>
        <w:trPr>
          <w:trHeight w:val="345"/>
        </w:trPr>
        <w:tc>
          <w:tcPr>
            <w:tcW w:w="20" w:type="dxa"/>
            <w:vAlign w:val="bottom"/>
          </w:tcPr>
          <w:p>
            <w:pPr>
              <w:spacing w:after="0"/>
              <w:rPr>
                <w:sz w:val="24"/>
                <w:szCs w:val="24"/>
                <w:color w:val="auto"/>
              </w:rPr>
            </w:pPr>
          </w:p>
        </w:tc>
        <w:tc>
          <w:tcPr>
            <w:tcW w:w="384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r>
      <w:tr>
        <w:trPr>
          <w:trHeight w:val="439"/>
        </w:trPr>
        <w:tc>
          <w:tcPr>
            <w:tcW w:w="2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65,428,088</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66,138,874</w:t>
            </w:r>
          </w:p>
        </w:tc>
      </w:tr>
      <w:tr>
        <w:trPr>
          <w:trHeight w:val="459"/>
        </w:trPr>
        <w:tc>
          <w:tcPr>
            <w:tcW w:w="386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12,589,387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5,807,298</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11,314,536</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4,352,695</w:t>
            </w: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112,181</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46,173</w:t>
            </w:r>
          </w:p>
        </w:tc>
      </w:tr>
      <w:tr>
        <w:trPr>
          <w:trHeight w:val="459"/>
        </w:trPr>
        <w:tc>
          <w:tcPr>
            <w:tcW w:w="3860" w:type="dxa"/>
            <w:vAlign w:val="bottom"/>
            <w:gridSpan w:val="2"/>
          </w:tcPr>
          <w:p>
            <w:pPr>
              <w:spacing w:after="0"/>
              <w:rPr>
                <w:sz w:val="20"/>
                <w:szCs w:val="20"/>
                <w:color w:val="auto"/>
              </w:rPr>
            </w:pPr>
            <w:r>
              <w:rPr>
                <w:rFonts w:ascii="Arial" w:cs="Arial" w:eastAsia="Arial" w:hAnsi="Arial"/>
                <w:sz w:val="18"/>
                <w:szCs w:val="18"/>
                <w:color w:val="auto"/>
                <w:w w:val="98"/>
              </w:rPr>
              <w:t>Warrants to purchase convertible preferred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1,564,952</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378,222</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1,400,660</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3"/>
        </w:trPr>
        <w:tc>
          <w:tcPr>
            <w:tcW w:w="20" w:type="dxa"/>
            <w:vAlign w:val="bottom"/>
          </w:tcPr>
          <w:p>
            <w:pPr>
              <w:spacing w:after="0"/>
              <w:rPr>
                <w:sz w:val="24"/>
                <w:szCs w:val="24"/>
                <w:color w:val="auto"/>
              </w:rPr>
            </w:pPr>
          </w:p>
        </w:tc>
        <w:tc>
          <w:tcPr>
            <w:tcW w:w="38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dilutive shares</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79,702,101</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71,679,157</w:t>
            </w:r>
          </w:p>
        </w:tc>
        <w:tc>
          <w:tcPr>
            <w:tcW w:w="260" w:type="dxa"/>
            <w:vAlign w:val="bottom"/>
            <w:tcBorders>
              <w:top w:val="single" w:sz="8" w:color="CCEEFF"/>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78,255,465</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70,537,742</w:t>
            </w:r>
          </w:p>
        </w:tc>
      </w:tr>
    </w:tbl>
    <w:p>
      <w:pPr>
        <w:spacing w:after="0" w:line="225" w:lineRule="exact"/>
        <w:rPr>
          <w:sz w:val="20"/>
          <w:szCs w:val="20"/>
          <w:color w:val="auto"/>
        </w:rPr>
      </w:pPr>
    </w:p>
    <w:p>
      <w:pPr>
        <w:ind w:left="640" w:hanging="637"/>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January 2018, the Company executed an agreement with a related party to sell the Eeva business, representing all of the medical device segment. Refer to Note 6.</w:t>
      </w:r>
    </w:p>
    <w:p>
      <w:pPr>
        <w:spacing w:after="0" w:line="170"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redeemed and retired 1,202,196 shares of Series B convertible preferred stock from a former employee pursuant to their contractual right of first refusal at a purchase price of $2.5 million. The difference of $425,000 between the purchase price (at $2.04 per share) and the carrying value (at $1.73 per share) has been recorded as a dividend in accumulated deficit as of December 31, 2018. Refer to Note 12 for further detail on this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hanging="637"/>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October 14, 2019, Progyny’s stockholders approved and the Company effected a one-for-4.5454 reverse stock split of its common and convertible preferred stock. The par value of the common stock and redeemable convertible preferred stock was not adjusted as a result of the reverse stock split. Accordingly, these condensed consolidated financial statements and notes retroactively reflect Progyny’s capital structure after giving effect to the reverse stock split.</w:t>
      </w:r>
    </w:p>
    <w:p>
      <w:pPr>
        <w:spacing w:after="0" w:line="188" w:lineRule="exact"/>
        <w:rPr>
          <w:rFonts w:ascii="Arial" w:cs="Arial" w:eastAsia="Arial" w:hAnsi="Arial"/>
          <w:sz w:val="18"/>
          <w:szCs w:val="18"/>
          <w:b w:val="1"/>
          <w:bCs w:val="1"/>
          <w:color w:val="auto"/>
        </w:rPr>
      </w:pPr>
    </w:p>
    <w:p>
      <w:pPr>
        <w:jc w:val="both"/>
        <w:ind w:left="6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offered and sold pursuant to the exercise of the underwriters’ over-allotment option), at an equivalent public offering price of $13.00 per share. The Company received net proceeds of approximately $77.7 million from the IPO, after deducting underwriters’ discounts and commissions of $5.9 million and offering costs of $3.5 million. Offering costs are capitalized and consist of fees and expenses incurred in connection with the sale of our common stock in the IPO, including the legal, accounting, printing and other IPO-related costs. Upon completion of the IPO, these deferred offering costs were reclassified to stockholders’ equity and recorded against the proceeds from the offering. Immediately prior to the completion of the IPO, all shares of Series A and B convertible preferred stock then outstanding were converted into 65,428,088 shares of common stock on a one-to-one basis and the Company reclassified $106.2 million of convertible preferred stock to additional paid-in-capital and $7,000 of convertible preferred stock to common stock on the Company’s balance sheet.</w:t>
      </w:r>
    </w:p>
    <w:p>
      <w:pPr>
        <w:spacing w:after="0" w:line="187"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IPO, options representing 1,311,944 shares of common stock were exercised at an average exercise price of $0.94. In addition, 482,661 warrants were exercised for 441,307 shares of common stock at a weighted average exercise price of $1.59.</w:t>
      </w:r>
    </w:p>
    <w:p>
      <w:pPr>
        <w:spacing w:after="0" w:line="181" w:lineRule="exact"/>
        <w:rPr>
          <w:rFonts w:ascii="Arial" w:cs="Arial" w:eastAsia="Arial" w:hAnsi="Arial"/>
          <w:sz w:val="18"/>
          <w:szCs w:val="18"/>
          <w:b w:val="1"/>
          <w:bCs w:val="1"/>
          <w:color w:val="auto"/>
        </w:rPr>
      </w:pPr>
    </w:p>
    <w:p>
      <w:pPr>
        <w:jc w:val="both"/>
        <w:ind w:left="6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October 2019, the Company’s Board of Directors and stockholders adopted and approved the 2019 Equity Incentive Plan, (the “2019 Plan”), as the successor to continuation of the Company’s 2017 Stock Plan. No further grants will be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 available for the issuance of awards under the 2017 Stock Plan immediately prior to the effective date of the 2019 Plan and (b) shares of our common stock subject to outstanding stock options or other stock awards granted under our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72"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October 2019, the Board of Directors and stockholders also adopted and approved the 2019 Employee Stock Purchase Plan (the “ESPP”). Following the IPO, the ESPP authorized the issuance of 1,700,000 shares of common stock to purchase rights granted to our employees or to employees of our designated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final prospectus, or the Prospectus, filed with the Securities and Exchange Commission, or the SEC, on October 25, 2019 pursuant to Rule 424(b) under the Securities Act of 1933, as amended, or the Securities Act.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clients to</w:t>
      </w:r>
    </w:p>
    <w:p>
      <w:pPr>
        <w:jc w:val="both"/>
        <w:ind w:firstLine="3"/>
        <w:spacing w:after="0" w:line="290" w:lineRule="auto"/>
        <w:tabs>
          <w:tab w:leader="none" w:pos="29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currently provide coverage to approximately 1.4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most recent industry-leading Net Promoter Score, or NPS, of +71 for our fertility benefits solution and +86 for our integrated pharmacy benefits solution, Progyny Rx.</w:t>
      </w:r>
    </w:p>
    <w:p>
      <w:pPr>
        <w:spacing w:after="0" w:line="16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(e.g., in the case of in 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Progyny Rx. </w:t>
      </w:r>
      <w:r>
        <w:rPr>
          <w:rFonts w:ascii="Arial" w:cs="Arial" w:eastAsia="Arial" w:hAnsi="Arial"/>
          <w:sz w:val="17"/>
          <w:szCs w:val="17"/>
          <w:color w:val="auto"/>
        </w:rPr>
        <w:t>We went live with our integrated pharmacy benefits solution in 2018. Progyny Rx can only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medications by our network of specialty pharmacies, as well as medication administration training, pharmacy support services and continuing PCA support.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serve 84 self-insured employers in the United States across more than 20 industries.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clients, who are industry leaders across both high-growth and mature industries and who range in size from 1,000 to 250,000 employees, represent 1.4 million covered lives.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24" w:lineRule="exact"/>
        <w:rPr>
          <w:sz w:val="20"/>
          <w:szCs w:val="20"/>
          <w:color w:val="auto"/>
        </w:rPr>
      </w:pPr>
    </w:p>
    <w:p>
      <w:pPr>
        <w:jc w:val="both"/>
        <w:ind w:left="980" w:hanging="329"/>
        <w:spacing w:after="0" w:line="218" w:lineRule="exact"/>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w:t>
      </w:r>
      <w:r>
        <w:rPr>
          <w:rFonts w:ascii="MS PGothic" w:cs="MS PGothic" w:eastAsia="MS PGothic" w:hAnsi="MS PGothic"/>
          <w:sz w:val="18"/>
          <w:szCs w:val="18"/>
          <w:color w:val="auto"/>
        </w:rPr>
        <w:t>‑</w:t>
      </w:r>
      <w:r>
        <w:rPr>
          <w:rFonts w:ascii="Arial" w:cs="Arial" w:eastAsia="Arial" w:hAnsi="Arial"/>
          <w:sz w:val="18"/>
          <w:szCs w:val="18"/>
          <w:color w:val="auto"/>
        </w:rPr>
        <w:t>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206" w:lineRule="exact"/>
        <w:rPr>
          <w:rFonts w:ascii="Arial" w:cs="Arial" w:eastAsia="Arial" w:hAnsi="Arial"/>
          <w:sz w:val="18"/>
          <w:szCs w:val="18"/>
          <w:color w:val="auto"/>
        </w:rPr>
      </w:pPr>
    </w:p>
    <w:p>
      <w:pPr>
        <w:jc w:val="both"/>
        <w:ind w:left="980" w:hanging="329"/>
        <w:spacing w:after="0" w:line="219" w:lineRule="exact"/>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Population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Based Component. </w:t>
      </w:r>
      <w:r>
        <w:rPr>
          <w:rFonts w:ascii="Arial" w:cs="Arial" w:eastAsia="Arial" w:hAnsi="Arial"/>
          <w:sz w:val="17"/>
          <w:szCs w:val="17"/>
          <w:color w:val="auto"/>
        </w:rPr>
        <w:t>Clients who purchase our fertility benefits solution also typically pay us a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per month fee, or PEPM fee, which is population</w:t>
      </w:r>
      <w:r>
        <w:rPr>
          <w:rFonts w:ascii="MS PGothic" w:cs="MS PGothic" w:eastAsia="MS PGothic" w:hAnsi="MS PGothic"/>
          <w:sz w:val="17"/>
          <w:szCs w:val="17"/>
          <w:color w:val="auto"/>
        </w:rPr>
        <w:t>‑</w:t>
      </w:r>
      <w:r>
        <w:rPr>
          <w:rFonts w:ascii="Arial" w:cs="Arial" w:eastAsia="Arial" w:hAnsi="Arial"/>
          <w:sz w:val="17"/>
          <w:szCs w:val="17"/>
          <w:color w:val="auto"/>
        </w:rPr>
        <w:t>based. This allows us to provide access to our PCAs for fertility and family building education and guidance and other digital tools to all of our members, regardless of whether they ultimately pursue fertility treatment. PEPM fees represented 1% of our total revenue for each of the nine months ended September 30, 2019 and 2018.</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directly with new clients for our fertility benefits solution and, where added by the client, our Progyny Rx solution. Given that the majority of our clients contract with us for a January 1st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24, 2019, our registration statement on Form S-1 (File No. 333-233965) related to our initial public offering, or IPO, was declared effective by the SEC, and our common stock began trading on the Nasdaq Global Select Market, or Nasdaq, on October 25, 2019. Our IPO closed on October 29, 2019. As a result, our condensed consolidated financial statements as of September 30, 2019 do not reflect the impact of our IPO. For additional information, See Note 14 – Subsequent Events to our condensed consolidated financial statements included in Part I, Item 1 of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Member and Client Base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addressable market is large self-insured employers. There are approximately 8,000 self-insured employers in the United States (excluding quasi-governmental entities, such as universities and school systems, and labor unions) who have a minimum of 1,000 employees, representing approximately 69 million potential covered lives in total. Our current member base of 1.4 million represents only 2%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self-insured employers by leveraging our strong relationships with benefits consultants. In particular, we are focused on expanding the number of clients with more than 2,500 covered lives. As of September 30, 2019 and 2018 we serve 84 and 33 clients, respectively, representing 1,379,000 and 717,000 members, respectively.</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20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Benefits Utilization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key driver of our revenue is the number of members we serve and the rate at which they utilize their fertility benefits. As our client base has grown, our membership has grown from approximately 110,000 members in 2016 when we launched our fertility benefits solution to 1.4 million members currently.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highlights the number of assisted reproductive treatment, or ART, cycles performed for Progyny members and the member utilization rates for each of the periods presented.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2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3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Assisted Reproductive Treatment (ART) Cycles</w:t>
            </w:r>
            <w:r>
              <w:rPr>
                <w:rFonts w:ascii="Arial" w:cs="Arial" w:eastAsia="Arial" w:hAnsi="Arial"/>
                <w:sz w:val="8"/>
                <w:szCs w:val="8"/>
                <w:color w:val="auto"/>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260" w:type="dxa"/>
            <w:vAlign w:val="bottom"/>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Utilization - All Members</w:t>
            </w:r>
            <w:r>
              <w:rPr>
                <w:rFonts w:ascii="Arial" w:cs="Arial" w:eastAsia="Arial" w:hAnsi="Arial"/>
                <w:sz w:val="8"/>
                <w:szCs w:val="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0.96%</w:t>
            </w:r>
          </w:p>
        </w:tc>
        <w:tc>
          <w:tcPr>
            <w:tcW w:w="26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 - Female Only</w:t>
            </w:r>
            <w:r>
              <w:rPr>
                <w:rFonts w:ascii="Arial" w:cs="Arial" w:eastAsia="Arial" w:hAnsi="Arial"/>
                <w:sz w:val="8"/>
                <w:szCs w:val="8"/>
                <w:color w:val="auto"/>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r>
    </w:tbl>
    <w:p>
      <w:pPr>
        <w:spacing w:after="0" w:line="121" w:lineRule="exact"/>
        <w:rPr>
          <w:sz w:val="20"/>
          <w:szCs w:val="20"/>
          <w:color w:val="auto"/>
        </w:rPr>
      </w:pPr>
    </w:p>
    <w:p>
      <w:pPr>
        <w:ind w:left="320" w:hanging="317"/>
        <w:spacing w:after="0" w:line="277" w:lineRule="auto"/>
        <w:tabs>
          <w:tab w:leader="none" w:pos="32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20" w:hanging="317"/>
        <w:spacing w:after="0" w:line="255" w:lineRule="auto"/>
        <w:tabs>
          <w:tab w:leader="none" w:pos="32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includes fertility benefits solution revenue, pharmacy benefits solution revenue and PEPM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 net of an allowance for appointment cancellations.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are recognized when the drugs are dispensed. This solution was introduced in the marketplace in the third quarter of 2017 and went live with a select number of clients in January 1,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and Provider Relations teams; and (3) and related information technology support costs. Our contracts with provider clinics are typically for a term of one to two years.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and Provider Relations teams; and (3) related information technology support costs. Contracts with the specialty pharmacies are typically for a term of one year.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pharmaceutical manufacturers provide for us to receive a rebate from established list prices, which is paid subsequent to dispensing. These rebates are recorded as a reduction to cost of services when prescriptions are dispensed.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(including a step up in public company related expenses) for employees and professional fees and insurance and related third-party consulting services on an ongoing basis as a public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expense includes interest expense and stock warrant valuation adjustment.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subject to income taxes in the United States. As of September 30, 2019 and December 31, 2018, we recorded a full valuation allowance for our deferred tax assets based on our historical loss and the uncertainty regarding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to project future taxable income. In future periods, if we are able to generate income, we may reduce or eliminate the valuation allowance.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10"/>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6"/>
          </w:tcPr>
          <w:p>
            <w:pPr>
              <w:jc w:val="center"/>
              <w:ind w:right="64"/>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2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w w:val="99"/>
              </w:rPr>
              <w:t>61,196 $</w:t>
            </w:r>
          </w:p>
        </w:tc>
        <w:tc>
          <w:tcPr>
            <w:tcW w:w="640" w:type="dxa"/>
            <w:vAlign w:val="bottom"/>
            <w:gridSpan w:val="5"/>
          </w:tcPr>
          <w:p>
            <w:pPr>
              <w:jc w:val="right"/>
              <w:spacing w:after="0"/>
              <w:rPr>
                <w:sz w:val="20"/>
                <w:szCs w:val="20"/>
                <w:color w:val="auto"/>
              </w:rPr>
            </w:pPr>
            <w:r>
              <w:rPr>
                <w:rFonts w:ascii="Arial" w:cs="Arial" w:eastAsia="Arial" w:hAnsi="Arial"/>
                <w:sz w:val="18"/>
                <w:szCs w:val="18"/>
                <w:color w:val="auto"/>
              </w:rPr>
              <w:t>27,798</w:t>
            </w: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$ 164,561</w:t>
            </w:r>
          </w:p>
        </w:tc>
        <w:tc>
          <w:tcPr>
            <w:tcW w:w="180" w:type="dxa"/>
            <w:vAlign w:val="bottom"/>
            <w:gridSpan w:val="2"/>
          </w:tcPr>
          <w:p>
            <w:pPr>
              <w:jc w:val="center"/>
              <w:ind w:right="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76,213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r>
              <w:rPr>
                <w:rFonts w:ascii="Arial" w:cs="Arial" w:eastAsia="Arial" w:hAnsi="Arial"/>
                <w:sz w:val="8"/>
                <w:szCs w:val="8"/>
                <w:color w:val="auto"/>
              </w:rPr>
              <w:t>(1)</w:t>
            </w:r>
          </w:p>
        </w:tc>
        <w:tc>
          <w:tcPr>
            <w:tcW w:w="14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48,876</w:t>
            </w:r>
          </w:p>
        </w:tc>
        <w:tc>
          <w:tcPr>
            <w:tcW w:w="12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130,825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62,194</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0"/>
              </w:rPr>
              <w:t>12,320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5,047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33,736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14,019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8"/>
                <w:szCs w:val="8"/>
                <w:color w:val="auto"/>
              </w:rPr>
              <w:t>(1)</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3,183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1,648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8"/>
                <w:szCs w:val="8"/>
                <w:color w:val="auto"/>
              </w:rPr>
              <w:t>(1)</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6,068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3,986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16,557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11,626</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9,251</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5,634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25,203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16,768</w:t>
            </w: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3,069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(2,749)</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4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0"/>
              </w:rPr>
              <w:t>12,613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(8,185)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(1,532)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(4,080)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(4,769)</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 (provision) for income taxes</w:t>
            </w:r>
          </w:p>
        </w:tc>
        <w:tc>
          <w:tcPr>
            <w:tcW w:w="14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(8,210)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(1,137)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(4,169)</w:t>
            </w:r>
          </w:p>
        </w:tc>
        <w:tc>
          <w:tcPr>
            <w:tcW w:w="18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(3,539)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4380" w:type="dxa"/>
            <w:vAlign w:val="bottom"/>
            <w:gridSpan w:val="2"/>
          </w:tcPr>
          <w:p>
            <w:pPr>
              <w:spacing w:after="0" w:line="207" w:lineRule="exact"/>
              <w:rPr>
                <w:sz w:val="20"/>
                <w:szCs w:val="20"/>
                <w:color w:val="auto"/>
              </w:rPr>
            </w:pPr>
            <w:r>
              <w:rPr>
                <w:rFonts w:ascii="Arial" w:cs="Arial" w:eastAsia="Arial" w:hAnsi="Arial"/>
                <w:sz w:val="18"/>
                <w:szCs w:val="18"/>
                <w:color w:val="auto"/>
                <w:w w:val="91"/>
              </w:rPr>
              <w:t>(1) Includes stock</w:t>
            </w:r>
            <w:r>
              <w:rPr>
                <w:rFonts w:ascii="MS PGothic" w:cs="MS PGothic" w:eastAsia="MS PGothic" w:hAnsi="MS PGothic"/>
                <w:sz w:val="18"/>
                <w:szCs w:val="18"/>
                <w:color w:val="auto"/>
                <w:w w:val="91"/>
              </w:rPr>
              <w:t>‑</w:t>
            </w:r>
            <w:r>
              <w:rPr>
                <w:rFonts w:ascii="Arial" w:cs="Arial" w:eastAsia="Arial" w:hAnsi="Arial"/>
                <w:sz w:val="18"/>
                <w:szCs w:val="18"/>
                <w:color w:val="auto"/>
                <w:w w:val="91"/>
              </w:rPr>
              <w:t>based compensation expense as follows:</w:t>
            </w: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4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7"/>
        </w:trPr>
        <w:tc>
          <w:tcPr>
            <w:tcW w:w="4380" w:type="dxa"/>
            <w:vAlign w:val="bottom"/>
            <w:gridSpan w:val="2"/>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4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864"/>
        </w:trPr>
        <w:tc>
          <w:tcPr>
            <w:tcW w:w="2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80" w:type="dxa"/>
            <w:vAlign w:val="bottom"/>
          </w:tcPr>
          <w:p>
            <w:pPr>
              <w:jc w:val="right"/>
              <w:ind w:right="115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16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Nine Months Ended</w:t>
            </w:r>
          </w:p>
        </w:tc>
      </w:tr>
      <w:tr>
        <w:trPr>
          <w:trHeight w:val="171"/>
        </w:trPr>
        <w:tc>
          <w:tcPr>
            <w:tcW w:w="5780" w:type="dxa"/>
            <w:vAlign w:val="bottom"/>
          </w:tcPr>
          <w:p>
            <w:pPr>
              <w:spacing w:after="0"/>
              <w:rPr>
                <w:sz w:val="14"/>
                <w:szCs w:val="14"/>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7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358"/>
        </w:trPr>
        <w:tc>
          <w:tcPr>
            <w:tcW w:w="5780" w:type="dxa"/>
            <w:vAlign w:val="bottom"/>
          </w:tcPr>
          <w:p>
            <w:pPr>
              <w:spacing w:after="0"/>
              <w:rPr>
                <w:sz w:val="20"/>
                <w:szCs w:val="20"/>
                <w:color w:val="auto"/>
              </w:rPr>
            </w:pPr>
            <w:r>
              <w:rPr>
                <w:rFonts w:ascii="Arial" w:cs="Arial" w:eastAsia="Arial" w:hAnsi="Arial"/>
                <w:sz w:val="18"/>
                <w:szCs w:val="18"/>
                <w:b w:val="1"/>
                <w:bCs w:val="1"/>
                <w:color w:val="auto"/>
                <w:w w:val="91"/>
              </w:rPr>
              <w:t>Consolidated Statements of Operations Data, as a percentage of revenue:</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100 %</w:t>
            </w:r>
          </w:p>
        </w:tc>
      </w:tr>
      <w:tr>
        <w:trPr>
          <w:trHeight w:val="216"/>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r>
      <w:tr>
        <w:trPr>
          <w:trHeight w:val="21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10"/>
        </w:trPr>
        <w:tc>
          <w:tcPr>
            <w:tcW w:w="57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7"/>
        </w:trPr>
        <w:tc>
          <w:tcPr>
            <w:tcW w:w="5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net; (5) it does not consider the impact of any stock warrant valuation adjustment; (6) it does not reflect tax payments that may represent a reduction in cash available to us; (7) it does not include legal fees that may be payable in connection with a vendor arbitration; and (8) it does not include non-deferred costs associated with the IPO.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(loss) from continuing operations and other U.S. GAAP results.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calculate Adjusted EBITDA as net loss from continuing operations, adjusted to exclude depreciation and amortization, stock-based compensation expense, net interest expense, convertible preferred stock warrant valuation adjustment, provision (benefit) for income taxes, legal fees associated with a vendor arbitration and non-deferred IPO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The following table presents a reconciliation of Adjusted EBITDA to net loss from continuing operations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r>
      <w:tr>
        <w:trPr>
          <w:trHeight w:val="142"/>
        </w:trPr>
        <w:tc>
          <w:tcPr>
            <w:tcW w:w="22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6"/>
          </w:tcPr>
          <w:p>
            <w:pPr>
              <w:ind w:left="4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(8,210)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(4,169)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(3,539)</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2,304</w:t>
            </w:r>
          </w:p>
        </w:tc>
        <w:tc>
          <w:tcPr>
            <w:tcW w:w="1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Convertible preferred stock warrant valuation adjustment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11,226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12,419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(1,230)</w:t>
            </w:r>
          </w:p>
        </w:tc>
      </w:tr>
      <w:tr>
        <w:trPr>
          <w:trHeight w:val="216"/>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Legal fees associated with a vendor arbitration</w:t>
            </w:r>
            <w:r>
              <w:rPr>
                <w:rFonts w:ascii="Arial" w:cs="Arial" w:eastAsia="Arial" w:hAnsi="Arial"/>
                <w:sz w:val="8"/>
                <w:szCs w:val="8"/>
                <w:color w:val="auto"/>
              </w:rPr>
              <w:t>(a)</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Non-deferred IPO costs</w:t>
            </w: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r>
      <w:tr>
        <w:trPr>
          <w:trHeight w:val="217"/>
        </w:trPr>
        <w:tc>
          <w:tcPr>
            <w:tcW w:w="54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14,460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engaged in other activities and transactions that can impact our net income. In recent periods, these other items included, but were not limited to, legal fees related to an arbitration resulting from our termination of an agreement with a specialty pharmacy vendor.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Three Months Ended September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8"/>
              </w:rPr>
              <w:t>$ 61,196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$ 27,798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increased by $33.4 million, or 120%, for the three months ended September 30, 2019 compared to the three months ended September 30, 2018. This increase is primarily due to a $23.6 million or 90% increase in revenue from our fertility benefits solution and a $9.8 million or 693% increase from sales of our Progyny Rx solution. The increase in revenue from our fertility benefits solution was primarily due to an increase in the number of clients. Our Progyny Rx solution was introduced in the marketplace in the third quarter of 2017 and went live with a select number of clients in January 1, 2018. Our revenue growth for the three months ended 2019 benefited from having Progyny Rx available for the full selling season to both new and existing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8"/>
              </w:rPr>
              <w:t>$ 48,876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$ 22,751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Cost of services increased by $26.1 million, or 115%, for the three months ended September 30, 2019 compared to the three months ended September 30, 2018. This increase is primarily due to an $24.8 million increase in medical treatment and pharmacy prescription costs associated with the fertility treatments delivered, a $1.1 million increase in personnel and overhead cost for our care management services teams and an increase in costs of adjudicating claims.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88"/>
              </w:rPr>
              <w:t>$ 12,320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5,047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jc w:val="right"/>
              <w:ind w:right="62"/>
              <w:spacing w:after="0"/>
              <w:rPr>
                <w:sz w:val="20"/>
                <w:szCs w:val="20"/>
                <w:color w:val="auto"/>
              </w:rPr>
            </w:pPr>
            <w:r>
              <w:rPr>
                <w:rFonts w:ascii="Arial" w:cs="Arial" w:eastAsia="Arial" w:hAnsi="Arial"/>
                <w:sz w:val="18"/>
                <w:szCs w:val="18"/>
                <w:color w:val="auto"/>
              </w:rPr>
              <w:t>20.1%</w:t>
            </w: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by $7.3 million, or 144%, for the three months ended September 30, 2019 compared to the three months ended September 30,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increased 190 basis points for the three months ended September 30, 2019 compared to the three months ended September 30, 2018 primarily due to increased operating efficiencies.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5"/>
              </w:rPr>
              <w:t>$  3,183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1,648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Sales and marketing expense increased by $1.5 million, or 93%, for the three months ended September 30, 2019 compared to the three months ended September 30, 2018. This increase was primarily due to a $1.2 million increase in personnel</w:t>
      </w:r>
      <w:r>
        <w:rPr>
          <w:rFonts w:ascii="MS PGothic" w:cs="MS PGothic" w:eastAsia="MS PGothic" w:hAnsi="MS PGothic"/>
          <w:sz w:val="18"/>
          <w:szCs w:val="18"/>
          <w:color w:val="auto"/>
        </w:rPr>
        <w:t>‑</w:t>
      </w:r>
      <w:r>
        <w:rPr>
          <w:rFonts w:ascii="Arial" w:cs="Arial" w:eastAsia="Arial" w:hAnsi="Arial"/>
          <w:sz w:val="18"/>
          <w:szCs w:val="18"/>
          <w:color w:val="auto"/>
        </w:rPr>
        <w:t>related costs (including a $0.3 million increase in stock based compensation) due to additional headcount and commissions for sales and marketing functions.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5"/>
              </w:rPr>
              <w:t>$  6,068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3,986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 increased by $2.1 million, or 52%, for the three months ended September 30, 2019 compared to the three months ended September 30, 2018. This increase was primarily due to a $1.2 million increase in personnel-related costs (including a $0.4 million increase in stock based compensation) due to additional headcount for general and administrative functions, $0.4 million increase in legal costs (including $0.2 million increase in legal costs associated with a vendor arbitration), $0.5 million increase in other related general and administrative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9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$ 11,254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864"/>
        </w:trPr>
        <w:tc>
          <w:tcPr>
            <w:tcW w:w="2900" w:type="dxa"/>
            <w:vAlign w:val="bottom"/>
          </w:tcPr>
          <w:p>
            <w:pPr>
              <w:spacing w:after="0"/>
              <w:rPr>
                <w:sz w:val="24"/>
                <w:szCs w:val="24"/>
                <w:color w:val="auto"/>
              </w:rPr>
            </w:pPr>
          </w:p>
        </w:tc>
        <w:tc>
          <w:tcPr>
            <w:tcW w:w="3620" w:type="dxa"/>
            <w:vAlign w:val="bottom"/>
          </w:tcPr>
          <w:p>
            <w:pPr>
              <w:jc w:val="right"/>
              <w:ind w:right="1810"/>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9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net increased by $10.3 million for the three months ended September 30, 2019 compared to the three months ended September 30, 2018. This increase was due to a $10.3 million preferred stock warrant fair value adjustment.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6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September 30, 2019 we recorded a provision for state taxes of $25,000. There is no provision or benefit for federal income taxes recorded for the three months ended September 30, 2019. We recorded a benefit for income taxes of $395,000, primarily related to the interperiod tax allocation rules for the three months ended September 30,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September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5"/>
              </w:rPr>
              <w:t>$164,561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$ 76,213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increased by $88.3 million, or 116%, for the nine months ended September 30, 2019 compared to the nine months ended September 30, 2018. This increase is primarily due to a $64.1 million or 89% increase in revenue from our fertility benefits solution and a $24.3 million or 577% increase from sales of our Progyny Rx solution. The increase in revenue from our fertility benefits solution was primarily due to an increase in the number of clients. Our Progyny Rx solution was introduced in the marketplace in the third quarter of 2017 and went live with a select number of clients in January 1, 2018. Our revenue growth for the nine months ended 2019 benefited from having Progyny Rx available for the full selling season to both new and existing clients.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85"/>
              </w:rPr>
              <w:t>$130,825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$ 62,194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services increased by $68.6 million, or 110%, for the nine months ended September 30, 2019 compared to the nine months ended September 30, 2018. This increase is primarily due to a $65.4 million increase in medical treatment and pharmacy prescription costs associated with the fertility treatments delivered, a $3.2 million increase in personnel and overhead cost for our care management services teams and costs of adjudicating claims.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88"/>
              </w:rPr>
              <w:t>$ 33,736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$ 14,019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Gross margin</w:t>
            </w:r>
          </w:p>
        </w:tc>
        <w:tc>
          <w:tcPr>
            <w:tcW w:w="780" w:type="dxa"/>
            <w:vAlign w:val="bottom"/>
          </w:tcPr>
          <w:p>
            <w:pPr>
              <w:jc w:val="right"/>
              <w:ind w:right="62"/>
              <w:spacing w:after="0"/>
              <w:rPr>
                <w:sz w:val="20"/>
                <w:szCs w:val="20"/>
                <w:color w:val="auto"/>
              </w:rPr>
            </w:pPr>
            <w:r>
              <w:rPr>
                <w:rFonts w:ascii="Arial" w:cs="Arial" w:eastAsia="Arial" w:hAnsi="Arial"/>
                <w:sz w:val="18"/>
                <w:szCs w:val="18"/>
                <w:color w:val="auto"/>
              </w:rPr>
              <w:t>20.5%</w:t>
            </w: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profit increased by $19.7 million, or 141%, for the nine months ended September 30, 2019 compared to the nine months ended September 30,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 increased 210 basis points for the nine months ended September 30, 2019 compared to the nine months ended September 30, 2018 primarily due to operating efficiencies.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5"/>
              </w:rPr>
              <w:t>$  8,646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5,142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Sales and marketing expense increased by $3.5 million, or 68%, for the nine months ended September 30, 2019 compared to the nine months ended September 30, 2018. This increase was primarily due to a $2.8 million increase in personnel</w:t>
      </w:r>
      <w:r>
        <w:rPr>
          <w:rFonts w:ascii="MS PGothic" w:cs="MS PGothic" w:eastAsia="MS PGothic" w:hAnsi="MS PGothic"/>
          <w:sz w:val="18"/>
          <w:szCs w:val="18"/>
          <w:color w:val="auto"/>
        </w:rPr>
        <w:t>‑</w:t>
      </w:r>
      <w:r>
        <w:rPr>
          <w:rFonts w:ascii="Arial" w:cs="Arial" w:eastAsia="Arial" w:hAnsi="Arial"/>
          <w:sz w:val="18"/>
          <w:szCs w:val="18"/>
          <w:color w:val="auto"/>
        </w:rPr>
        <w:t>related costs (including an increase of $0.2 million in stock based compensation) due to additional headcount and commissions for sales and marketing functions.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8"/>
              </w:rPr>
              <w:t>$ 16,557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$ 11,626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General and administrative expense increased by $4.9 million, or 42%, for the nine months ended September 30, 2019 compared to the nine months ended September 30, 2018. This increase was due to a $1.8 million increase in personnel</w:t>
      </w:r>
      <w:r>
        <w:rPr>
          <w:rFonts w:ascii="MS PGothic" w:cs="MS PGothic" w:eastAsia="MS PGothic" w:hAnsi="MS PGothic"/>
          <w:sz w:val="17"/>
          <w:szCs w:val="17"/>
          <w:color w:val="auto"/>
        </w:rPr>
        <w:t>‑</w:t>
      </w:r>
      <w:r>
        <w:rPr>
          <w:rFonts w:ascii="Arial" w:cs="Arial" w:eastAsia="Arial" w:hAnsi="Arial"/>
          <w:sz w:val="17"/>
          <w:szCs w:val="17"/>
          <w:color w:val="auto"/>
        </w:rPr>
        <w:t>related costs (including a $0.4 million increase in stock based compensation) due to additional headcount for general and administrative functions, a $1.2 million increase in legal fees (including a $1.0 million increase in legal fees associated with a vendor arbitration), a $0.6 million increase in bad debt expense, a $0.2 million increase in IPO related costs, and $1.1 million in other related general and administrative expenses.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78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8"/>
              </w:rPr>
              <w:t>$ 12,613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net increased by $10.6 million for the nine months ended September 30, 2019 compared to the nine months ended September 30, 2018. This increase was primarily due to a $10.9 million preferred stock warrant fair value adjustment, offset by $0.3 million in lower interest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Ended September 30,</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nine months ended September 30, 2019 we recorded a provision for state taxes of $0.1 million. We recorded a benefit for income taxes of $1.2 million, primarily related to the interperiod tax allocation rules for the nine months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September 30, 2019, we had $7.7 million of cash and cash equivalents and $14.1 million of cash available on the revolving line of credit with Silicon Valley Bank. Since inception, we have financed our operations primarily through sales of our solutions and the net proceeds we have received from sales of equity securities as further detailed below. As of December 31, 2018, our principal sources of liquidity were cash and cash equivalents totaling $0.1 million and $6.9 million of cash available on the revolving line of credit.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8"/>
          <w:szCs w:val="8"/>
          <w:color w:val="auto"/>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29, 2019, the Company completed its IPO in which it issued and sold 6,700,000 shares of its common stock at a public offering price of $13.00 per share. The Company received net proceeds of approximately $77.7 million from the IPO, after deducting underwriters’ discounts and commissions of $5.9 million and offering costs of $3.5 million. For additional information, See Note 14 – Subsequent Events to our condensed consolidated financial statements included in Part I, item 1 of this Quarterly Report on Form 10-Q.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9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or generate cash flows necessary to expand our operations and invest in continued innovation, we may not be able to compete successfully, which would harm our business, operations and financial condition.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2018, we entered into an agreement with Silicon Valley Bank to replace our then outstanding term loan with a revolving line of credit of up to $15.0 million that will mature on June 8,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230"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Nine Months Ended</w:t>
      </w:r>
    </w:p>
    <w:p>
      <w:pPr>
        <w:ind w:left="75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180"/>
        </w:trPr>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r>
      <w:tr>
        <w:trPr>
          <w:trHeight w:val="111"/>
        </w:trPr>
        <w:tc>
          <w:tcPr>
            <w:tcW w:w="6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20" w:type="dxa"/>
            <w:vAlign w:val="bottom"/>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20" w:type="dxa"/>
            <w:vAlign w:val="bottom"/>
          </w:tcPr>
          <w:p>
            <w:pPr>
              <w:spacing w:after="0"/>
              <w:rPr>
                <w:sz w:val="18"/>
                <w:szCs w:val="18"/>
                <w:color w:val="auto"/>
              </w:rPr>
            </w:pPr>
          </w:p>
        </w:tc>
      </w:tr>
      <w:tr>
        <w:trPr>
          <w:trHeight w:val="217"/>
        </w:trPr>
        <w:tc>
          <w:tcPr>
            <w:tcW w:w="6980" w:type="dxa"/>
            <w:vAlign w:val="bottom"/>
          </w:tcPr>
          <w:p>
            <w:pPr>
              <w:ind w:left="120"/>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12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Net cash provided by operating activities was $4.0 million for the nine months ended September 30, 2019, primarily consisting of a $(4.2) million net loss from continuing operations adjusted for certain non</w:t>
      </w:r>
      <w:r>
        <w:rPr>
          <w:rFonts w:ascii="MS PGothic" w:cs="MS PGothic" w:eastAsia="MS PGothic" w:hAnsi="MS PGothic"/>
          <w:sz w:val="18"/>
          <w:szCs w:val="18"/>
          <w:color w:val="auto"/>
        </w:rPr>
        <w:t>‑</w:t>
      </w:r>
      <w:r>
        <w:rPr>
          <w:rFonts w:ascii="Arial" w:cs="Arial" w:eastAsia="Arial" w:hAnsi="Arial"/>
          <w:sz w:val="18"/>
          <w:szCs w:val="18"/>
          <w:color w:val="auto"/>
        </w:rPr>
        <w:t>cash items, which include $3.2 million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 $12.4 million change in fair value of warrant liabilities, $1.6 million of depreciation and amortization, and $1.3 million from bad debt expense. Changes in operating assets and liabilities included increases in accounts receivable of $22.3 million, accounts payable of $6.8 million and accrued expenses and other current liabilities of $6.1 million reflecting the impact of revenue growth combined with the timing of payments to third party providers and collections from clients on net working capital. This is offset by changes in prepaid assets and other assets of $1 million.</w:t>
      </w:r>
    </w:p>
    <w:p>
      <w:pPr>
        <w:spacing w:after="0" w:line="206"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7"/>
          <w:szCs w:val="17"/>
          <w:color w:val="auto"/>
        </w:rPr>
        <w:t>The $5.8 million increase in cash provided by operating activities for the nine months ended September 30, 2019 compared to the same period in the prior year was primarily due to a $9.4 million increase to net income from continuing operations and an increase in non</w:t>
      </w:r>
      <w:r>
        <w:rPr>
          <w:rFonts w:ascii="MS PGothic" w:cs="MS PGothic" w:eastAsia="MS PGothic" w:hAnsi="MS PGothic"/>
          <w:sz w:val="17"/>
          <w:szCs w:val="17"/>
          <w:color w:val="auto"/>
        </w:rPr>
        <w:t>‑</w:t>
      </w:r>
      <w:r>
        <w:rPr>
          <w:rFonts w:ascii="Arial" w:cs="Arial" w:eastAsia="Arial" w:hAnsi="Arial"/>
          <w:sz w:val="17"/>
          <w:szCs w:val="17"/>
          <w:color w:val="auto"/>
        </w:rPr>
        <w:t>cash expense of $3.6 million related to warrants, bad debt expenses,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and deferred tax benefits. The increase in cash flow from net income and non-cash expense was partially offset by a $7.4 million decrease in cash flows from working capital resulting from the impact of revenue growth combined with the timing of payments to third party providers and collections from clients.</w:t>
      </w:r>
    </w:p>
    <w:p>
      <w:pPr>
        <w:spacing w:after="0" w:line="203"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8"/>
          <w:szCs w:val="18"/>
          <w:color w:val="auto"/>
        </w:rPr>
        <w:t>Net cash used in operating activities was $1.8 million for the nine months ended September 30, 2018, primarily consisting of a $3.5 million net loss from continuing operations adjusted for certain non</w:t>
      </w:r>
      <w:r>
        <w:rPr>
          <w:rFonts w:ascii="MS PGothic" w:cs="MS PGothic" w:eastAsia="MS PGothic" w:hAnsi="MS PGothic"/>
          <w:sz w:val="18"/>
          <w:szCs w:val="18"/>
          <w:color w:val="auto"/>
        </w:rPr>
        <w:t>‑</w:t>
      </w:r>
      <w:r>
        <w:rPr>
          <w:rFonts w:ascii="Arial" w:cs="Arial" w:eastAsia="Arial" w:hAnsi="Arial"/>
          <w:sz w:val="18"/>
          <w:szCs w:val="18"/>
          <w:color w:val="auto"/>
        </w:rPr>
        <w:t>cash items, which include $2.3 million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 $1.6 million change in fair value of warrant liabilities, $1.4 million of depreciation and amortization, and $0.8 million from bad debt expense. These non</w:t>
      </w:r>
      <w:r>
        <w:rPr>
          <w:rFonts w:ascii="MS PGothic" w:cs="MS PGothic" w:eastAsia="MS PGothic" w:hAnsi="MS PGothic"/>
          <w:sz w:val="18"/>
          <w:szCs w:val="18"/>
          <w:color w:val="auto"/>
        </w:rPr>
        <w:t>‑</w:t>
      </w:r>
      <w:r>
        <w:rPr>
          <w:rFonts w:ascii="Arial" w:cs="Arial" w:eastAsia="Arial" w:hAnsi="Arial"/>
          <w:sz w:val="18"/>
          <w:szCs w:val="18"/>
          <w:color w:val="auto"/>
        </w:rPr>
        <w:t>cash adjustments were partially offset by a $1.2 million increase in deferred tax benefits. Changes in operating assets and liabilities included increases in accounts receivable of $15.3 million, accounts payable of $7.9 million and accrued expenses and other current liabilities of $4.4 million reflecting the impact of revenue growth combined with the timing of payments to third party providers and collections from clients on net working capital.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investing activities from continuing operations was $0.7 million and $0.4 million for the nine months ended September 30, 2019 and September 30, 2018 consisting of purchases of computers, software, and leasehold improvements.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was $4.1 million for the nine months ended September 30, 2019, primarily consisting of $5.0 million from stock option exercises, partially offset by $0.2 million in net payments on our revolving line of credit with Silicon Valley Bank, repurchases of common stock of $0.2 million, and $0.5 million in payments for deferred IPO costs.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by financing activities was $4.7 million for the nine months ended September 30, 2018 related to the $5.3 million repayment of the term loan held by Silicon Valley Bank, $2.5 million repurchase of convertible preferred stock, $1.2 million repurchase of common stock, offset by $4.3 million cash provided from net draws on our revolving line of credit with Silicon Valley Bank.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2019, we entered into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 There have been no other material changes to our contractual obligations from those described in our Prospectus for our IPO filed with the SEC on October 25, 2019.</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229"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financing arrangements or any relationships with unconsolidated entities or financial partnerships, including entities sometimes referred to as structured finance or special purpose entities, that were established for the purpose of facilitating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or other contractually narrow or limited purposes.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Prospectus as well as Note 1 – Business and Basis of Presentation and Note 2 Summary of Significant Accounting Policies in the notes to the condensed consolidated financial statements included in Part I, Item 1,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full discussion of recently adopted accounting pronouncements, see Note 2 – Summary of Significant Accounting Policies , to the condensed consolidated financial statements included in Part 1, Item 1 of this Quarterly Report on Form 10-Q.</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September 30, 2019, we had cash and cash equivalents of $7.7 million. Interest-earning instruments carry a degree of interest rate risk. We do not enter into investments for trading or speculative purposes and have not used any derivative financial instruments to manage our interest rate risk exposure. A hypothetical 10% change in interest rates would not result in a material impact on our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w:t>
      </w:r>
    </w:p>
    <w:p>
      <w:pPr>
        <w:jc w:val="both"/>
        <w:spacing w:after="0" w:line="255" w:lineRule="auto"/>
        <w:rPr>
          <w:sz w:val="20"/>
          <w:szCs w:val="20"/>
          <w:color w:val="auto"/>
        </w:rPr>
      </w:pPr>
      <w:r>
        <w:rPr>
          <w:rFonts w:ascii="Arial" w:cs="Arial" w:eastAsia="Arial" w:hAnsi="Arial"/>
          <w:sz w:val="18"/>
          <w:szCs w:val="18"/>
          <w:color w:val="auto"/>
        </w:rPr>
        <w:t>Based on the evaluation of our disclosure controls and procedures, and as a result of the material weakness described below, our principal executive officer and principal financial officer concluded that, as of September 30, 2019, our disclosure controls and procedures were not effective at the reasonable assurance level.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Internal control over financial reporting is a process designed to provide reasonable assurance regarding the reliability of financial reporting and the preparation of financial statements in accordance with U.S. GAAP. In connection with our audit of the fiscal year 2018 consolidated financial statements, we and our independent registered public accounting firm identified one material weakness in our controls related to the lack of review and oversight over financial reporting. We determined that we had insufficient financial statement close processes and procedures relating to the classification and presentation of certain revenue and expenses.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2019, we implemented enhanced procedures to remediate the deficiencies in our internal control over financial reporting relating to the lack of review and oversight over financial reporting that resulted in a material weakness. As of the filing date of this Quarterly Report on Form 10-Q for the period ended September 30, 2019, management believes that it has substantially completed its implementation of measures that will be sufficient to fully remediate the deficiencies resulting in the material weakness. Specific remedial actions undertaken by management have included, without limitation:</w:t>
      </w:r>
    </w:p>
    <w:p>
      <w:pPr>
        <w:spacing w:after="0" w:line="153"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hiring of a senior financial executive with a focus on SEC reporting and technical accounting;</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implementation of preventative and detective procedures and controls;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analytical reviews designed to improve our annual and quarterly financial close process.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remedial controls must operate for a sufficient period of time for a definitive conclusion, through testing, that the deficiencies have been fully remediated. We will continue to monitor the effectiveness of these remedial processes, procedures, and controls and will make any further changes that management determines to be appropriate.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described in “Remediation Measures” above, there were no changes in our internal control over financial reporting identified in management’s evaluation pursuant to Rules 13a-15(d) or 15d-15(d) of the Exchange Act during the quarter ended September 30, 2019 that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January 14, 2019, a vendor filed a Demand for Arbitration and Statement of Claim against us for alleged breach of the November 10, 2017 Preferred Specialty Pharmacy Agreement, or the Agreement, between us and the vendor. On March 13, 2019, we terminated the Agreement for material breach with the vendor. On April 3, 2019, the vendor filed a Second Amended Demand for Arbitration, or SAD, for breach of the Agreement. The vendor is seeking $25.0 million in damages, fees, interest and costs. The alleged damages are not quantified or factually supported in the SAD. Pursuant to a schedule set forth by the Arbitration Panel, on May 3, 2019, we filed a Motion to Dismiss the SAD. That Motion to Dismiss was fully briefed on June 14, 2019 and was decided on July 31, 2019. The Arbitration Panel dismissed two of the vendor’s four claims. We believe the vendor’s remaining claims are without merit and intend to vigorously defend against the claims in the arbitration.</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there is no other litigation pending that could have, individually or in the aggregate, a material adverse effect on our financial position, results of operations, or cash flows. However, in addition to the matter described above, we may, from time to time, be involved in various legal proceedings arising from the normal course of business activities. Defending such proceedings is costly and can impose a significant burden on management and employees. The results of litigation cannot be predicted with certainty, and regardless of the outcome, litigation can have an adverse impact on us because of defense and settlement costs, diversion of management resources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Investing in our common stock involves a high degree of risk. You should carefully consider all of the information in this Quarterly Report on Form 10-Q, including the section titled “Cautionary Note Regarding Forward-Looking Statements” and “Management’s Discussion and Analysis of Financial Condition and Results of Operation” and our condensed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experienced net losses from 2015 to 2018. Our net loss from continuing operations was $(5.1) million and $(12.5) million and for the years ended December 31, 2018 and 2017, respectively. Our net loss from continuing operations was $(4.2) million and $(3.5) million and for the nine months ended September 30, 2019 and 2018, respectively. While we have experienced significant revenue growth since 2016, we are not certain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For example, 9% of our existing 2018 clients increased their Smart Cycle benefit for their 2019 benefits plan year. In addition, our fertility benefits solution clients can purchase our add-on Progyny Rx solution. We went live with Progyny Rx in 2018 and 60% of our clients have now launched this solution, including 68% of the clients we signed in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660" w:right="760" w:hanging="333"/>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healthcare laws, regulations or trends;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largest clients account for a significant portion of our revenue and a significant number of our clients are in the technology industry. The loss of one or more of these clients or changes within the technology industry could negatively impact our business, financial condition and results of operations.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serve 84 self-insured employers in the United States across more than 20 industries. In 2018 and 2017, each of our largest three clients represented more than 10% of our total revenue and in the nine months ended September 30, 2019, each of our largest three clients represented 10% or more of our total revenue. For the nine months ended September 30, 2019 and years ended December 31, 2018 and 2017, one of our clients accounted for 16%, 24% and 45% of our total revenue, respectively. In addition, another client accounted for 10% and 14% of our total revenue for the nine months ended September 30, 2019 and year ended December 31, 2018 and, respectively. Engagement with these clients is generally covered through contracts that are multi-year in duration. One or more of these clients may terminate early or decline to renew their existing contracts with us upon expiration and any such termination or failure to renew could have a negative impact on our revenue and compromise our growth strategy.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health insurance market could harm our business, financial condition and results of operations.</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for private health insurance in the United States is evolving and, as our solutions are integrated with health insurance plans offered by insurance carriers for our clients, our future financial performance will depend in part on the growth in this market. Changes and developments in the health insurance system in the United States, including taxability of medical benefits like ours, could reduce demand for our solutions and harm our business. For example, there has been an ongoing national debate relating to the health care reimbursement system in the United States. Some members of Congress have introduced proposals that would create a new single payor national health insurance program for all United States residents, others have proposed more incremental approaches such as creating a new public health insurance plan option as a supplement to private sources of coverage. In the event that laws, regulations or rules that eliminate or reduce private sources of health insurance or require such benefits to be taxable are adopted, the subsequent impact on the insurance carriers may in turn adversely impact our ability to accurately forecast future results and harm our business, financial condition and results of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Patient Protection and Affordable Care Act, as amended by the Health Care and Education Reconciliation Act, or collectively the ACA.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this negative publicity may lead to regulatory changes that could potentially affect our business and operations. Negative public perception or publicity of the health benefits industry in general, the insurance carriers with whom we integrate our solutions, or us could adversely affect our business, financial condition and results of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despite the implementation of security measures, our internal computer systems, and those of our provider clinics, specialty pharmacies or other downstream vendors, are potentially vulnerable to damage from malicious intrusion, malware, computer viruses, unauthorized access, natural disasters, terrorism, war and telecommunication and electrical failures. While we are not aware that we have experienced any such system failure, accident or security breach to date, if such an event were to occur and cause interruptions in our operations, it could result in a material disruption to our ability to deliver our solutions. In addition, to the extent that any disruption or security breach were to result in a loss or inappropriate disclosure of confidential information, we could incur liability. See “—Risks Related to Government Regulation—We operate in a highly regulated industry and must comply with a significant number of complex and evolving requirements—Data Protection and Breaches.”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could contribute to a reduction in the use of our solutions include: reductions in workforce by existing clients; general economic downturn that results in business failures and high unemployment rates; employers no longer offering comprehensive health coverage or offering alternative solutions such as coverage on a voluntary, employee-funded basis; federal and state regulatory changes; changes to taxability of medical benefits; failure to adapt and respond effectively to changing medical landscape, changing regulations, changing client needs, requirements or preferences; premium increases and benefits changes; negative publicity, through social media or otherwise and news coverage.</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marketing efforts depend significantly on our ability to receive positive references from our existing clients.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experienced significant growth since the launch of our fertility benefits solution in 2016 and have more than doubled our client base each year since then. Revenue and our client base may not grow at the same rates they historically have, or they may decline in the future. Our future growth will depend, in part, on our ability to:</w:t>
      </w:r>
    </w:p>
    <w:p>
      <w:pPr>
        <w:spacing w:after="0" w:line="166"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660" w:right="320" w:hanging="333"/>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our clients and members with client support that meets their needs, including through dedicated PCAs;</w:t>
      </w:r>
    </w:p>
    <w:p>
      <w:pPr>
        <w:spacing w:after="0" w:line="236" w:lineRule="exact"/>
        <w:rPr>
          <w:rFonts w:ascii="Arial" w:cs="Arial" w:eastAsia="Arial" w:hAnsi="Arial"/>
          <w:sz w:val="17"/>
          <w:szCs w:val="17"/>
          <w:color w:val="auto"/>
        </w:rPr>
      </w:pPr>
    </w:p>
    <w:p>
      <w:pPr>
        <w:ind w:left="660" w:right="640" w:hanging="333"/>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technology infrastructure, including systems architecture, scalability, availability, performance and security;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administration, including increased legal and accounting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improvements to our internal infrastructure will be effectively implemented on a timely basis, and such failures could harm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United States economy, or reductions in employee benefits spending, could limit our ability to grow our business and negatively affect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Unfavorable changes in our industry or in the United States economy could have a negative effect on ours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warfare and terrorist attacks on the United States, could cause a decrease in business investments, including spending on employee benefits, and negatively affect the growth of our business. In addition, unfavorable economic conditions could result in the cancellation by certain clients or material defaults by members on their cost share.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8"/>
          <w:szCs w:val="8"/>
          <w:color w:val="auto"/>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regulations, changing client needs, requirements or preferences, our offerings may become less competitive.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market in which we compete is subject to a changing medical landscape and changing regulations,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difficult to maintain these important aspects of our culture. If we fail to maintain our company culture, our business and competitive position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could refuse to contract, demand higher payments or take other actions that could result in higher medical costs, less attractive service for our members or difficulty meeting regulatory or accreditation requirements. Identifying high-quality fertility specialists, credentialing and negotiating contracts with them and evaluating, monitoring and maintaining our network, requires significant time and resources.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also may be negatively impacted by other factors not associated with us, such as regulatory changes impacting providers or consolidation activity among hospitals, physician groups and healthcare providers. In addition, certain organizations of physicians, such as practice management companies (which group together physician practices for administrative efficiency), may change the way in which healthcare providers do business with us and may compete directly with us, which could adversely affect our business, financial condition and results of operations.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or the failure of those specialists to meet and exceed our members’ expectations, may result in a loss of or inability to grow or maintain our client base, which could adversely affect our business, financial condition and results of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or regulatory action, and otherwise make our operations vulnerable if we fail to adequately monitor their performance or if they fail to meet their contractual obligations to us or to comply with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distribution network, our business, financial condition and results of operations could suffer.</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If we are unable to maintain an efficient pharmacy distribution network, or if a significant disruption thereto should occur, the use of Progyny Rx may decline due to the inability to timely deliver prescription to members, which could cause our business, financial condition and results of operations to suffer.</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pharmaceutical manufacturers, or if the rebates provided by pharmaceutical manufactures decline, our business and results of operations could be adversely affected.</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maintain contractual relationships with select pharmaceutical manufacturers which provide us with access to limited distribution specialty pharmaceutical rebates for drugs we purchase.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 In addition, PBM programs have been the subject of debate in federal and state legislatures and various other public and governmental forums. Adoption of new laws, rules or regulations or changes in, or new interpretations of, existing laws, rules or regulations, relating to any of these programs could materially adversely affect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requirements.</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solutions or services violate, or cause our clients to violate, applicable laws, regulations or other requirements could subject us or our clients to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 federal and state statutes, regulations, guidance and contractual provisions related to or impacting the healthcare industry that may apply to our business activities directly or indirectly, including, but not limited to:</w:t>
      </w:r>
    </w:p>
    <w:p>
      <w:pPr>
        <w:spacing w:after="0" w:line="89" w:lineRule="exact"/>
        <w:rPr>
          <w:sz w:val="20"/>
          <w:szCs w:val="20"/>
          <w:color w:val="auto"/>
        </w:rPr>
      </w:pPr>
    </w:p>
    <w:p>
      <w:pPr>
        <w:jc w:val="both"/>
        <w:ind w:left="980" w:firstLine="36"/>
        <w:spacing w:after="0" w:line="268" w:lineRule="auto"/>
        <w:rPr>
          <w:sz w:val="20"/>
          <w:szCs w:val="20"/>
          <w:color w:val="auto"/>
        </w:rPr>
      </w:pPr>
      <w:r>
        <w:rPr>
          <w:rFonts w:ascii="Arial" w:cs="Arial" w:eastAsia="Arial" w:hAnsi="Arial"/>
          <w:sz w:val="17"/>
          <w:szCs w:val="17"/>
          <w:b w:val="1"/>
          <w:bCs w:val="1"/>
          <w:i w:val="1"/>
          <w:iCs w:val="1"/>
          <w:color w:val="auto"/>
        </w:rPr>
        <w:t>Licensing and Licensed Personnel</w:t>
      </w:r>
      <w:r>
        <w:rPr>
          <w:rFonts w:ascii="Arial" w:cs="Arial" w:eastAsia="Arial" w:hAnsi="Arial"/>
          <w:sz w:val="17"/>
          <w:szCs w:val="17"/>
          <w:color w:val="auto"/>
        </w:rPr>
        <w:t>. Many states have licensure or registration requirements for entities acting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third-party administrator, or TPA, and PBMs. The scope of these laws differs from state to state, and the application of such laws to the activities of TPAs and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are otherwise authorized under such laws in those states in which we provide our TPA and PBM services. These licenses require us to comply with the rules and regulations of the governmental bodies that issued such licenses. Our failure to comply with such rules and regulations could result in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04" w:lineRule="exact"/>
        <w:rPr>
          <w:sz w:val="20"/>
          <w:szCs w:val="20"/>
          <w:color w:val="auto"/>
        </w:rPr>
      </w:pPr>
    </w:p>
    <w:p>
      <w:pPr>
        <w:jc w:val="both"/>
        <w:ind w:left="980"/>
        <w:spacing w:after="0" w:line="288" w:lineRule="auto"/>
        <w:rPr>
          <w:sz w:val="20"/>
          <w:szCs w:val="20"/>
          <w:color w:val="auto"/>
        </w:rPr>
      </w:pPr>
      <w:r>
        <w:rPr>
          <w:rFonts w:ascii="Arial" w:cs="Arial" w:eastAsia="Arial" w:hAnsi="Arial"/>
          <w:sz w:val="16"/>
          <w:szCs w:val="16"/>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which could adversely affect our results of operation. Additionally, we may need to cease operations until we are able to obtain appropriate licensure, which may adversely affect our revenue for a period of time that we cannot estimate.</w:t>
      </w:r>
    </w:p>
    <w:p>
      <w:pPr>
        <w:spacing w:after="0" w:line="169" w:lineRule="exact"/>
        <w:rPr>
          <w:sz w:val="20"/>
          <w:szCs w:val="20"/>
          <w:color w:val="auto"/>
        </w:rPr>
      </w:pPr>
    </w:p>
    <w:p>
      <w:pPr>
        <w:jc w:val="both"/>
        <w:ind w:left="980"/>
        <w:spacing w:after="0" w:line="270"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1" w:lineRule="exact"/>
        <w:rPr>
          <w:sz w:val="20"/>
          <w:szCs w:val="20"/>
          <w:color w:val="auto"/>
        </w:rPr>
      </w:pPr>
    </w:p>
    <w:p>
      <w:pPr>
        <w:jc w:val="both"/>
        <w:ind w:left="980" w:firstLine="22"/>
        <w:spacing w:after="0" w:line="286" w:lineRule="auto"/>
        <w:rPr>
          <w:sz w:val="20"/>
          <w:szCs w:val="20"/>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specified under the privacy regulations. We also have downstream Business Associates, which provide us with services and are also subject to HIPAA regulations.</w:t>
      </w:r>
    </w:p>
    <w:p>
      <w:pPr>
        <w:spacing w:after="0" w:line="89"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the U.S. Department of Health and Human Services, or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74" w:lineRule="exact"/>
        <w:rPr>
          <w:sz w:val="20"/>
          <w:szCs w:val="20"/>
          <w:color w:val="auto"/>
        </w:rPr>
      </w:pPr>
    </w:p>
    <w:p>
      <w:pPr>
        <w:jc w:val="both"/>
        <w:ind w:left="980" w:firstLine="144"/>
        <w:spacing w:after="0" w:line="286" w:lineRule="auto"/>
        <w:rPr>
          <w:sz w:val="20"/>
          <w:szCs w:val="20"/>
          <w:color w:val="auto"/>
        </w:rPr>
      </w:pPr>
      <w:r>
        <w:rPr>
          <w:rFonts w:ascii="Arial" w:cs="Arial" w:eastAsia="Arial" w:hAnsi="Arial"/>
          <w:sz w:val="16"/>
          <w:szCs w:val="16"/>
          <w:b w:val="1"/>
          <w:bCs w:val="1"/>
          <w:i w:val="1"/>
          <w:iCs w:val="1"/>
          <w:color w:val="auto"/>
        </w:rPr>
        <w:t>Other Privacy and Security Requirements</w:t>
      </w:r>
      <w:r>
        <w:rPr>
          <w:rFonts w:ascii="Arial" w:cs="Arial" w:eastAsia="Arial" w:hAnsi="Arial"/>
          <w:sz w:val="16"/>
          <w:szCs w:val="16"/>
          <w:color w:val="auto"/>
        </w:rPr>
        <w:t>. In addition to HIPAA, numerous other federal and state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 the collection, dissemination, use, access to and confidentiality of personal information.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California Consumer Privacy Act, or CCPA, which goes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74" w:lineRule="exact"/>
        <w:rPr>
          <w:sz w:val="20"/>
          <w:szCs w:val="20"/>
          <w:color w:val="auto"/>
        </w:rPr>
      </w:pPr>
    </w:p>
    <w:p>
      <w:pPr>
        <w:jc w:val="both"/>
        <w:ind w:left="980"/>
        <w:spacing w:after="0" w:line="286"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91" w:lineRule="auto"/>
        <w:rPr>
          <w:sz w:val="20"/>
          <w:szCs w:val="20"/>
          <w:color w:val="auto"/>
        </w:rPr>
      </w:pPr>
      <w:r>
        <w:rPr>
          <w:rFonts w:ascii="Arial" w:cs="Arial" w:eastAsia="Arial" w:hAnsi="Arial"/>
          <w:sz w:val="16"/>
          <w:szCs w:val="16"/>
          <w:color w:val="auto"/>
        </w:rPr>
        <w:t>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6" w:lineRule="exact"/>
        <w:rPr>
          <w:sz w:val="20"/>
          <w:szCs w:val="20"/>
          <w:color w:val="auto"/>
        </w:rPr>
      </w:pPr>
    </w:p>
    <w:p>
      <w:pPr>
        <w:jc w:val="both"/>
        <w:ind w:left="980" w:firstLine="103"/>
        <w:spacing w:after="0" w:line="253" w:lineRule="auto"/>
        <w:rPr>
          <w:sz w:val="20"/>
          <w:szCs w:val="20"/>
          <w:color w:val="auto"/>
        </w:rPr>
      </w:pPr>
      <w:r>
        <w:rPr>
          <w:rFonts w:ascii="Arial" w:cs="Arial" w:eastAsia="Arial" w:hAnsi="Arial"/>
          <w:sz w:val="18"/>
          <w:szCs w:val="18"/>
          <w:b w:val="1"/>
          <w:bCs w:val="1"/>
          <w:i w:val="1"/>
          <w:iCs w:val="1"/>
          <w:color w:val="auto"/>
        </w:rPr>
        <w:t>Data Protection and Breaches</w:t>
      </w:r>
      <w:r>
        <w:rPr>
          <w:rFonts w:ascii="Arial" w:cs="Arial" w:eastAsia="Arial" w:hAnsi="Arial"/>
          <w:sz w:val="18"/>
          <w:szCs w:val="18"/>
          <w:color w:val="auto"/>
        </w:rPr>
        <w:t>. In recent years, there have been a number of well-publicized data breaches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95"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66"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75"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53" w:lineRule="auto"/>
        <w:rPr>
          <w:sz w:val="20"/>
          <w:szCs w:val="20"/>
          <w:color w:val="auto"/>
        </w:rPr>
      </w:pPr>
      <w:r>
        <w:rPr>
          <w:rFonts w:ascii="Arial" w:cs="Arial" w:eastAsia="Arial" w:hAnsi="Arial"/>
          <w:sz w:val="18"/>
          <w:szCs w:val="18"/>
          <w:color w:val="auto"/>
        </w:rPr>
        <w:t>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16" w:lineRule="exact"/>
        <w:rPr>
          <w:sz w:val="20"/>
          <w:szCs w:val="20"/>
          <w:color w:val="auto"/>
        </w:rPr>
      </w:pPr>
    </w:p>
    <w:p>
      <w:pPr>
        <w:jc w:val="both"/>
        <w:ind w:left="980" w:firstLine="63"/>
        <w:spacing w:after="0" w:line="269" w:lineRule="auto"/>
        <w:rPr>
          <w:sz w:val="20"/>
          <w:szCs w:val="20"/>
          <w:color w:val="auto"/>
        </w:rPr>
      </w:pPr>
      <w:r>
        <w:rPr>
          <w:rFonts w:ascii="Arial" w:cs="Arial" w:eastAsia="Arial" w:hAnsi="Arial"/>
          <w:sz w:val="17"/>
          <w:szCs w:val="17"/>
          <w:b w:val="1"/>
          <w:bCs w:val="1"/>
          <w:i w:val="1"/>
          <w:iCs w:val="1"/>
          <w:color w:val="auto"/>
        </w:rPr>
        <w:t>HIPAA Transaction and Identifier Standards</w:t>
      </w:r>
      <w:r>
        <w:rPr>
          <w:rFonts w:ascii="Arial" w:cs="Arial" w:eastAsia="Arial" w:hAnsi="Arial"/>
          <w:sz w:val="17"/>
          <w:szCs w:val="17"/>
          <w:color w:val="auto"/>
        </w:rPr>
        <w:t>. HIPAA and its implementing regulations mandate format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(e.g.,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3"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89" w:lineRule="exact"/>
        <w:rPr>
          <w:sz w:val="20"/>
          <w:szCs w:val="20"/>
          <w:color w:val="auto"/>
        </w:rPr>
      </w:pPr>
    </w:p>
    <w:p>
      <w:pPr>
        <w:jc w:val="both"/>
        <w:ind w:left="980" w:firstLine="9"/>
        <w:spacing w:after="0" w:line="255" w:lineRule="auto"/>
        <w:rPr>
          <w:sz w:val="20"/>
          <w:szCs w:val="20"/>
          <w:color w:val="auto"/>
        </w:rPr>
      </w:pPr>
      <w:r>
        <w:rPr>
          <w:rFonts w:ascii="Arial" w:cs="Arial" w:eastAsia="Arial" w:hAnsi="Arial"/>
          <w:sz w:val="18"/>
          <w:szCs w:val="18"/>
          <w:b w:val="1"/>
          <w:bCs w:val="1"/>
          <w:i w:val="1"/>
          <w:iCs w:val="1"/>
          <w:color w:val="auto"/>
        </w:rPr>
        <w:t>Fraud and Abuse Laws</w:t>
      </w:r>
      <w:r>
        <w:rPr>
          <w:rFonts w:ascii="Arial" w:cs="Arial" w:eastAsia="Arial" w:hAnsi="Arial"/>
          <w:sz w:val="18"/>
          <w:szCs w:val="18"/>
          <w:color w:val="auto"/>
        </w:rPr>
        <w:t>. Many of our clients, insurance carriers, and network healthcare providers are impacted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w:t>
      </w:r>
    </w:p>
    <w:p>
      <w:pPr>
        <w:spacing w:after="0" w:line="193" w:lineRule="exact"/>
        <w:rPr>
          <w:sz w:val="20"/>
          <w:szCs w:val="20"/>
          <w:color w:val="auto"/>
        </w:rPr>
      </w:pPr>
    </w:p>
    <w:p>
      <w:pPr>
        <w:jc w:val="both"/>
        <w:ind w:left="980"/>
        <w:spacing w:after="0" w:line="287" w:lineRule="auto"/>
        <w:rPr>
          <w:sz w:val="20"/>
          <w:szCs w:val="20"/>
          <w:color w:val="auto"/>
        </w:rPr>
      </w:pPr>
      <w:r>
        <w:rPr>
          <w:rFonts w:ascii="Arial" w:cs="Arial" w:eastAsia="Arial" w:hAnsi="Arial"/>
          <w:sz w:val="16"/>
          <w:szCs w:val="16"/>
          <w:color w:val="auto"/>
        </w:rPr>
        <w:t>The laws, regulations and other requirements in this area are both broad and vague and judicial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healthcare programs. Any determination by a federal or state regulatory authority that any of our activities or those of our clients or vendors violate any of these laws or regulations could subject us to civil or criminal penalties, require us to enter into corporate integrity agreements or similar agreements with ongoing compliance obligations, disqualify us from providing services to clients that are, or do business with, government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73" w:lineRule="exact"/>
        <w:rPr>
          <w:sz w:val="20"/>
          <w:szCs w:val="20"/>
          <w:color w:val="auto"/>
        </w:rPr>
      </w:pPr>
    </w:p>
    <w:p>
      <w:pPr>
        <w:jc w:val="both"/>
        <w:ind w:left="980" w:firstLine="130"/>
        <w:spacing w:after="0" w:line="297" w:lineRule="auto"/>
        <w:rPr>
          <w:sz w:val="20"/>
          <w:szCs w:val="20"/>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 certain</w:t>
      </w:r>
      <w:r>
        <w:rPr>
          <w:rFonts w:ascii="Arial" w:cs="Arial" w:eastAsia="Arial" w:hAnsi="Arial"/>
          <w:sz w:val="16"/>
          <w:szCs w:val="16"/>
          <w:b w:val="1"/>
          <w:bCs w:val="1"/>
          <w:i w:val="1"/>
          <w:iCs w:val="1"/>
          <w:color w:val="auto"/>
        </w:rPr>
        <w:t xml:space="preserve"> aspects </w:t>
      </w:r>
      <w:r>
        <w:rPr>
          <w:rFonts w:ascii="Arial" w:cs="Arial" w:eastAsia="Arial" w:hAnsi="Arial"/>
          <w:sz w:val="16"/>
          <w:szCs w:val="16"/>
          <w:color w:val="auto"/>
        </w:rPr>
        <w:t>of employee pension and health benefits plans, including self-funded corporate health plans sponsored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our clients, with which we have agreements to provide TPA services. As part of our agreements with a number of these clients, we offer PBM services through Progyny Rx. We believe the conduct of our business vis-à-vis these plans is not generally subject to the fiduciary obligations of ERISA. However, there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85" w:lineRule="auto"/>
        <w:rPr>
          <w:sz w:val="20"/>
          <w:szCs w:val="20"/>
          <w:color w:val="auto"/>
        </w:rPr>
      </w:pPr>
      <w:r>
        <w:rPr>
          <w:rFonts w:ascii="Arial" w:cs="Arial" w:eastAsia="Arial" w:hAnsi="Arial"/>
          <w:sz w:val="16"/>
          <w:szCs w:val="16"/>
          <w:color w:val="auto"/>
        </w:rPr>
        <w:t>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In addition to its fiduciary provisions, ERISA has broad preemptive effect and has been held to preempt state laws imposing transparency requirements on PBMs.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Employee benefits plans subject to ERISA are subject to certain rules, published by the DOL, including certain reporting requirements for direct and indirect compensation received by plan service providers. However, many self-funded health plans such as the plans that we have contracts with are exempt from these reporting requirements under current law. At this time, we are unable to predict whether the DOL will issue additional regulations or guidance on reporting or which additional regulations, if any, may be proposed in formal rulemaking by the DOL.</w:t>
      </w:r>
    </w:p>
    <w:p>
      <w:pPr>
        <w:spacing w:after="0" w:line="178" w:lineRule="exact"/>
        <w:rPr>
          <w:sz w:val="20"/>
          <w:szCs w:val="20"/>
          <w:color w:val="auto"/>
        </w:rPr>
      </w:pPr>
    </w:p>
    <w:p>
      <w:pPr>
        <w:jc w:val="both"/>
        <w:ind w:left="980" w:firstLine="49"/>
        <w:spacing w:after="0" w:line="287" w:lineRule="auto"/>
        <w:rPr>
          <w:sz w:val="20"/>
          <w:szCs w:val="20"/>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69" w:lineRule="exact"/>
        <w:rPr>
          <w:sz w:val="20"/>
          <w:szCs w:val="20"/>
          <w:color w:val="auto"/>
        </w:rPr>
      </w:pPr>
    </w:p>
    <w:p>
      <w:pPr>
        <w:jc w:val="both"/>
        <w:ind w:left="980" w:firstLine="130"/>
        <w:spacing w:after="0" w:line="267" w:lineRule="auto"/>
        <w:rPr>
          <w:sz w:val="20"/>
          <w:szCs w:val="20"/>
          <w:color w:val="auto"/>
        </w:rPr>
      </w:pPr>
      <w:r>
        <w:rPr>
          <w:rFonts w:ascii="Arial" w:cs="Arial" w:eastAsia="Arial" w:hAnsi="Arial"/>
          <w:sz w:val="17"/>
          <w:szCs w:val="17"/>
          <w:b w:val="1"/>
          <w:bCs w:val="1"/>
          <w:i w:val="1"/>
          <w:iCs w:val="1"/>
          <w:color w:val="auto"/>
        </w:rPr>
        <w:t>Network Adequacy and Access Requirements</w:t>
      </w:r>
      <w:r>
        <w:rPr>
          <w:rFonts w:ascii="Arial" w:cs="Arial" w:eastAsia="Arial" w:hAnsi="Arial"/>
          <w:sz w:val="17"/>
          <w:szCs w:val="17"/>
          <w:color w:val="auto"/>
        </w:rPr>
        <w:t>. Network adequacy and access laws require health plans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90" w:lineRule="exact"/>
        <w:rPr>
          <w:sz w:val="20"/>
          <w:szCs w:val="20"/>
          <w:color w:val="auto"/>
        </w:rPr>
      </w:pPr>
    </w:p>
    <w:p>
      <w:pPr>
        <w:jc w:val="both"/>
        <w:ind w:left="980" w:firstLine="49"/>
        <w:spacing w:after="0" w:line="302" w:lineRule="auto"/>
        <w:rPr>
          <w:sz w:val="20"/>
          <w:szCs w:val="20"/>
          <w:color w:val="auto"/>
        </w:rPr>
      </w:pPr>
      <w:r>
        <w:rPr>
          <w:rFonts w:ascii="Arial" w:cs="Arial" w:eastAsia="Arial" w:hAnsi="Arial"/>
          <w:sz w:val="16"/>
          <w:szCs w:val="16"/>
          <w:b w:val="1"/>
          <w:bCs w:val="1"/>
          <w:i w:val="1"/>
          <w:iCs w:val="1"/>
          <w:color w:val="auto"/>
        </w:rPr>
        <w:t>Consumer Protection Laws</w:t>
      </w:r>
      <w:r>
        <w:rPr>
          <w:rFonts w:ascii="Arial" w:cs="Arial" w:eastAsia="Arial" w:hAnsi="Arial"/>
          <w:sz w:val="16"/>
          <w:szCs w:val="16"/>
          <w:color w:val="auto"/>
        </w:rPr>
        <w:t>. Federal and state consumer protection laws are being applied increasingly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9" w:lineRule="exact"/>
        <w:rPr>
          <w:sz w:val="20"/>
          <w:szCs w:val="20"/>
          <w:color w:val="auto"/>
        </w:rPr>
      </w:pPr>
    </w:p>
    <w:p>
      <w:pPr>
        <w:jc w:val="both"/>
        <w:ind w:left="980" w:firstLine="157"/>
        <w:spacing w:after="0" w:line="272" w:lineRule="auto"/>
        <w:rPr>
          <w:sz w:val="20"/>
          <w:szCs w:val="20"/>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while ACA does not directly regulate our business as a benefit area, it does affect the coverage and plan designs that are or will be provided by certain insurance carriers and certain of our clients, taxability of such plans, as well as the overall reimbursement and drug pricing environment for healthcare providers. Health reform efforts, including reforms to the ACA, and measures that would expand the role of government-sponsored coverage, including single payer or so-called “Medicare-for-All” proposals, which could have far-reaching implications for the healthcare industry if enacted.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unable to predict the full impact of health reform initiatives on our operations in light of the uncertainty regarding whether, when and how the ACA will be further changed, what alternative reforms (including single payer proposals), if any, may be enacted, the timing of enactment and implementation of alternative provisions and the impact of alternative provisions on various healthcare industry participants.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 regulation, industry standards and other requirements create risks and challenges with respect to our compliance efforts and our business strategies.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healthcare industry is highly regulated and subject to frequently changing laws, regulations,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repeal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There have also been a number of reform efforts around PBMs including pricing and transparency which could affect our business.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or FCPA,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currently in arbitration with a former vendor who alleges a breach of our contract with such vendor. We are unable to predict the outcome of any of these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December 2017 U.S. federal tax reform may subject us to potential adverse tax consequences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Cuts and Jobs Act, or the Tax Act, enacted in December 2017, among other things, includes changes to U.S. federal tax rates, imposes additional limitations on the deductibility of interest, has both positive and negative changes to the utilization of future net operating loss carryforwards, allows for the expensing of certain capital expenditures, and puts into effect the migration from a “worldwide” system of taxation to a “quasi-territorial system”. Our net deferred tax assets and liabilities and valuation allowance have been revalued at the U.S. corporate rate, which the Tax Act reduced to 21%. We continue to examine the impact this tax reform legislation may have on our business. The impact of this tax reform on holders of our common stock is uncertain and could be adverse.</w:t>
      </w:r>
    </w:p>
    <w:p>
      <w:pPr>
        <w:spacing w:after="0" w:line="178" w:lineRule="exact"/>
        <w:rPr>
          <w:sz w:val="20"/>
          <w:szCs w:val="20"/>
          <w:color w:val="auto"/>
        </w:rPr>
      </w:pPr>
    </w:p>
    <w:p>
      <w:pPr>
        <w:jc w:val="center"/>
        <w:ind w:right="1360"/>
        <w:spacing w:after="0"/>
        <w:rPr>
          <w:sz w:val="20"/>
          <w:szCs w:val="20"/>
          <w:color w:val="auto"/>
        </w:rPr>
      </w:pPr>
      <w:r>
        <w:rPr>
          <w:rFonts w:ascii="Arial" w:cs="Arial" w:eastAsia="Arial" w:hAnsi="Arial"/>
          <w:sz w:val="15"/>
          <w:szCs w:val="15"/>
          <w:b w:val="1"/>
          <w:bCs w:val="1"/>
          <w:i w:val="1"/>
          <w:iCs w:val="1"/>
          <w:color w:val="auto"/>
        </w:rPr>
        <w:t>Changes in our effective tax rate or tax liability may have an adverse effect on our results of operations.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effective tax rate could increase due to several factors, including, but not limited to:</w:t>
      </w:r>
    </w:p>
    <w:p>
      <w:pPr>
        <w:spacing w:after="0" w:line="225" w:lineRule="exact"/>
        <w:rPr>
          <w:sz w:val="20"/>
          <w:szCs w:val="20"/>
          <w:color w:val="auto"/>
        </w:rPr>
      </w:pPr>
    </w:p>
    <w:p>
      <w:pPr>
        <w:ind w:left="660" w:right="300" w:hanging="333"/>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Act;</w:t>
      </w:r>
    </w:p>
    <w:p>
      <w:pPr>
        <w:spacing w:after="0" w:line="225" w:lineRule="exact"/>
        <w:rPr>
          <w:rFonts w:ascii="Arial" w:cs="Arial" w:eastAsia="Arial" w:hAnsi="Arial"/>
          <w:sz w:val="18"/>
          <w:szCs w:val="18"/>
          <w:color w:val="auto"/>
        </w:rPr>
      </w:pPr>
    </w:p>
    <w:p>
      <w:pPr>
        <w:ind w:left="660" w:right="460" w:hanging="333"/>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 and</w:t>
      </w:r>
    </w:p>
    <w:p>
      <w:pPr>
        <w:spacing w:after="0" w:line="225" w:lineRule="exact"/>
        <w:rPr>
          <w:rFonts w:ascii="Arial" w:cs="Arial" w:eastAsia="Arial" w:hAnsi="Arial"/>
          <w:sz w:val="18"/>
          <w:szCs w:val="18"/>
          <w:color w:val="auto"/>
        </w:rPr>
      </w:pPr>
    </w:p>
    <w:p>
      <w:pPr>
        <w:ind w:left="660" w:right="2040" w:hanging="333"/>
        <w:spacing w:after="0" w:line="56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limitations or adverse findings regarding our ability to do business in some jurisdictions. Any of these developments could have an adverse effect on our results of operations.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income taxes which could adversely affect our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file state income tax returns in certain states. There is a risk that certain state tax authorities where we do not currently file a state income tax return could assert that we are liable for state and local income taxes based upon income or gross receipts allocable to such states. States are becoming increasingly aggressive in asserting a nexus for state income tax purposes. We could be subject to state and local taxation, including penalties and interest attributable to prior periods, if a state tax authority in which we do not currently file a state income tax return successfully asserts that our activities give rise to a taxable nexus. Such tax assessments, penalties and interest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we had federal and state net operating loss carryforwards of approximately $86 million and $68 million, respectively, due to prior period losses, some of which, if not utilized, will begin to expire in 2030 for federal and state purposes. Federal and California research and development tax credit carryforwards are approximately $756,000 and $830,000, respectively. The federal research and development tax credits begin to expire in 2030, and the California research and development tax credits have no expiration date. These net operating loss and research tax credit carryforwards could expire unused and be unavailable to offset future income tax liabilities, which could adversely affect our profitability.</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Accounting principles generally accepted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example, in February 2016, the FASB issued ASU No. 2016-02, Leases (Topic 842).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 an “emerging growth company,” we are allowed under the JOBS Act to delay adoption of new or revised accounting pronouncements applicable to public companies until such pronouncements are made applicable to private companies.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condensed consolidated financial statements and accompanying notes included elsewhere in this Quarterly Report.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used in preparing our condensed consolidated financial statements include those related to the determination of fair value of our common stock, estimates of accounts receivable relating to member copayments and revenue recognition relating to services rendered but for which no claim has yet been reported, among others. Our results of operations may be adversely affected if our assumptions change or if actual circumstances differ from those in our assumptions, which could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cause our results of operations to fall below the expectations of securities analysts and investors, resulting in a decline in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but not limited to:</w:t>
      </w:r>
    </w:p>
    <w:p>
      <w:pPr>
        <w:spacing w:after="0" w:line="170"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future sales of our common stock by us or our stockholders, as well as the anticipation of lock-up releases;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common stock.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660" w:hanging="333"/>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In connection with our preparation of our annual financial statements for the year ended December 31, 2018, we and our independent registered public accounting firm identified a material weakness in our internal control over financial reporting. Any failure to maintain effective internal control over financial reporting could harm us.</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GAAP. In connection with our audit of the fiscal year 2018 consolidated financial statements, we and our independent registered public accounting firm identified one material weakness in our controls related to the lack of review and oversight over financial reporting. We determined that we had insufficient financial statement close processes and procedures relating to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classification and presentation of certain revenue and expenses. Under standards established by the United States Public Company Accounting Oversight Board,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taken steps to remediate this weakness, including hiring of a senior financial executive in 2019 with a focus on SEC reporting and technical accounting. We have also implemented preventative and detective procedures and controls including analytical reviews designed to improve our annual and quarterly financial close process. However, we cannot assure you that the measures we have taken will remediate this deficiency or that we will not suffer from other material weaknesses in the future.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for the fiscal year ending December 31, 2020, which is the year covered by the second annual report following the completion of our IPO.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have recently commenced the costly and challenging process of compiling the system and processing documentation necessary to perform the evaluation needed to comply with Section 404, but we may not be able to complete our evaluation, testing and any required remediation in a timely fashion once initiated. Our compliance with Section 404 will require that we incur substantial accounting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our common stock in the public market could cause the market price of our common stock to decline.</w:t>
      </w:r>
    </w:p>
    <w:p>
      <w:pPr>
        <w:spacing w:after="0" w:line="2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Future sales of a substantial number of shares of our common stock in the public market, or the perception that these sales might occur, could depress the market price of our common stock and could impair our ability to raise capital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the sale of additional equity securities. We are unable to predict the effect that such sales may have on the prevailing market price of our common stock.</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of our directors and officers and the holders of substantially all of our capital stock and securities convertible into our capital stock are subject to lock-up agreements that restrict their ability to transfer shares of our capital stock through the end of the day on April 21, 2020. These lock-up agreements limit the number of shares of capital stock that may be sold immediately following our IPO. Subject to certain limitations, substantially all of these shares will become eligible for sale upon expiration of the 180-day lock-up period. J.P. Morgan Securities LLC, Goldman Sachs &amp; Co. LLC and BofA Securities, Inc. may, in their sole discretion, permit our stockholders who are subject to these lock-up agreements to sell shares prior to the expiration of the lock-up agreements.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there were 17,409,666 shares of common stock issuable upon the exercise of options outstanding as of September 30, 2019. The shares of common stock will become eligible for sale in the public market to the extent such options are exercised, subject to the lock-up agreements described above and compliance with applicable securities laws.</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Further, based on shares outstanding as of September 30, 2019, holders of approximately 62,034,844 shares, or 76% of our capital stock, have rights, subject to some conditions, to require us to file registration statements covering the sale of their shares or to include their shares in registration statements that we may file for ourselves or other stockholders.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(1) December 31, 2024; (2) the last day of our first fiscal year in which we have total annual gross revenue of at least $1.07 billion; (3) the date on which we have issued more than $1.0 billion in non-convertible debt securities during the prior three-year period; and (4) the last day of our first fiscal year in which the market value of our common stock that is held by non-affiliates exceeds $700.0 million as of the prior June 30th.</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results of operations may not be as comparable to the results of operations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which we expect to further increase after we are no longer an “emerging growth company.”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Moreover, these rules and regulations increase our legal and financial compliance costs and make some activities more time- consuming and costly. We cannot predict or estimate the amount of additional costs we will incur as a public company or the specific timing of such costs.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1" w:lineRule="exact"/>
        <w:rPr>
          <w:sz w:val="20"/>
          <w:szCs w:val="20"/>
          <w:color w:val="auto"/>
        </w:rPr>
      </w:pPr>
    </w:p>
    <w:p>
      <w:pPr>
        <w:ind w:left="660" w:right="200" w:hanging="333"/>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660" w:right="260" w:hanging="333"/>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with each class serving three-year staggered terms;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660" w:right="40" w:hanging="333"/>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662/3% of our outstanding shares of voting stock;</w:t>
      </w:r>
    </w:p>
    <w:p>
      <w:pPr>
        <w:spacing w:after="0" w:line="170" w:lineRule="exact"/>
        <w:rPr>
          <w:rFonts w:ascii="Arial" w:cs="Arial" w:eastAsia="Arial" w:hAnsi="Arial"/>
          <w:sz w:val="18"/>
          <w:szCs w:val="18"/>
          <w:color w:val="auto"/>
        </w:rPr>
      </w:pPr>
    </w:p>
    <w:p>
      <w:pPr>
        <w:ind w:left="660" w:right="220" w:hanging="333"/>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660" w:right="140" w:hanging="333"/>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662/3% of our outstanding shares of voting stock to amend our bylaws and certain provisions of our certificate of incorporation.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sets forth information regarding all unregistered securities sold from July 1, 2019 through September 30, 2019. The share and per share amounts shown below have been retroactively adjusted to reflect the one-for-4.5454 reverse stock split of our common stock, effected October 14, 2019.</w:t>
      </w:r>
    </w:p>
    <w:p>
      <w:pPr>
        <w:spacing w:after="0" w:line="181" w:lineRule="exact"/>
        <w:rPr>
          <w:sz w:val="20"/>
          <w:szCs w:val="20"/>
          <w:color w:val="auto"/>
        </w:rPr>
      </w:pPr>
    </w:p>
    <w:p>
      <w:pPr>
        <w:jc w:val="both"/>
        <w:ind w:left="1300" w:hanging="325"/>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June 30, 2019 to September 30, 2019, we granted stock options to purchase an aggregate of 535,246 shares of our common stock at exercise prices ranging from $3.96 to $4.69 per share to a total of 44 employees under our 2017 Equity Incentive Plan.</w:t>
      </w:r>
    </w:p>
    <w:p>
      <w:pPr>
        <w:spacing w:after="0" w:line="73" w:lineRule="exact"/>
        <w:rPr>
          <w:rFonts w:ascii="Arial" w:cs="Arial" w:eastAsia="Arial" w:hAnsi="Arial"/>
          <w:sz w:val="18"/>
          <w:szCs w:val="18"/>
          <w:color w:val="auto"/>
        </w:rPr>
      </w:pPr>
    </w:p>
    <w:p>
      <w:pPr>
        <w:jc w:val="both"/>
        <w:ind w:left="1300" w:hanging="325"/>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From June 30, 2019 to September 30, 2019, we issued an aggregate of 4,885,890 shares of our common stock upon the exercise of options under our 2017 Equity Incentive Plan at exercise prices ranging from $0.86 to $1.50 per share, for an aggregate purchase price of $5.0 million.</w:t>
      </w:r>
    </w:p>
    <w:p>
      <w:pPr>
        <w:spacing w:after="0" w:line="2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offers, sales, and issuances of the securities described above were deemed to be exempt from registration under the Securities Act in reliance on Section 4(a)(2) of the Securities Act or Regulation D promulgated thereunder or Rule 701 promulgated under the Securities Act as transactions by an issuer not involving a public offering or under benefit plans and contracts relating to compensation as provided under Rule 701.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or sophisticated person and had adequate access, through employment, business, or other relationships, to information about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approximately $77.7 million, after deducting the underwriting discount of $5.9 million and offering expenses of $3.5 million. All shares issued and sold were registered pursuant to a registration statement on Form S-1 (File No. 333-233965), as amended, or the Registration Statement, declared effective by the SEC on October 24, 2019. J.P. Morgan Securities LLC, Goldman Sachs &amp; Co. LLC and BofA Securities, Inc. acted as representatives of the underwriters for the offering. The offering commenced on October 24, 2019 and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offering terminated after the sale of all securities registered pursuant to the Registration Statement. The net proceeds of approximately $77.7 million from our initial public offering have been invested in investment grade, interest-bearing instruments. There has been no material change in the expected use of the net proceeds from our initial public offering as described in our final prospectus, filed with the SEC on October 25, 2019 pursuant to Rule 424(b) relating to our Registration Statement.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 September 30, 2019, $2.3 million of expenses incurred in connection with our IPO had not yet been paid.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table below presents purchases made by or on behalf of Progyny, Inc. or any “affiliated purchaser” (as defined in Rule 10b-18(a)(3) under the Exchange Act) of our common stock during the three months ended September 30, 2019.</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0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Period</w:t>
            </w:r>
          </w:p>
        </w:tc>
        <w:tc>
          <w:tcPr>
            <w:tcW w:w="1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 Number of</w:t>
            </w:r>
          </w:p>
        </w:tc>
        <w:tc>
          <w:tcPr>
            <w:tcW w:w="17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Average Price Paid</w:t>
            </w:r>
          </w:p>
        </w:tc>
        <w:tc>
          <w:tcPr>
            <w:tcW w:w="18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Total Number of</w:t>
            </w:r>
          </w:p>
        </w:tc>
        <w:tc>
          <w:tcPr>
            <w:tcW w:w="18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Maximum Number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8"/>
                <w:szCs w:val="8"/>
                <w:b w:val="1"/>
                <w:bCs w:val="1"/>
                <w:color w:val="auto"/>
              </w:rPr>
              <w:t>(1)</w:t>
            </w:r>
          </w:p>
        </w:tc>
        <w:tc>
          <w:tcPr>
            <w:tcW w:w="17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 Share</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2"/>
              </w:rPr>
              <w:t>Shares Purchased as</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(or Approximate</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Part of Publicly</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Dollar Value) of</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w w:val="95"/>
              </w:rPr>
              <w:t>Announced Plans or</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Shares that May Yet</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Programs</w:t>
            </w:r>
            <w:r>
              <w:rPr>
                <w:rFonts w:ascii="Arial" w:cs="Arial" w:eastAsia="Arial" w:hAnsi="Arial"/>
                <w:sz w:val="8"/>
                <w:szCs w:val="8"/>
                <w:b w:val="1"/>
                <w:bCs w:val="1"/>
                <w:color w:val="auto"/>
              </w:rPr>
              <w:t>(2)</w:t>
            </w: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Be Purchased Under</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the Plans or</w:t>
            </w:r>
          </w:p>
        </w:tc>
      </w:tr>
      <w:tr>
        <w:trPr>
          <w:trHeight w:val="234"/>
        </w:trPr>
        <w:tc>
          <w:tcPr>
            <w:tcW w:w="1800" w:type="dxa"/>
            <w:vAlign w:val="bottom"/>
            <w:tcBorders>
              <w:left w:val="single" w:sz="8" w:color="auto"/>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Programs</w:t>
            </w:r>
          </w:p>
        </w:tc>
      </w:tr>
      <w:tr>
        <w:trPr>
          <w:trHeight w:val="195"/>
        </w:trPr>
        <w:tc>
          <w:tcPr>
            <w:tcW w:w="18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July 1 – July 31,</w:t>
            </w:r>
          </w:p>
        </w:tc>
        <w:tc>
          <w:tcPr>
            <w:tcW w:w="18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ind w:left="840"/>
              <w:spacing w:after="0" w:line="195" w:lineRule="exact"/>
              <w:rPr>
                <w:sz w:val="20"/>
                <w:szCs w:val="20"/>
                <w:color w:val="auto"/>
              </w:rPr>
            </w:pPr>
            <w:r>
              <w:rPr>
                <w:rFonts w:ascii="Arial" w:cs="Arial" w:eastAsia="Arial" w:hAnsi="Arial"/>
                <w:sz w:val="18"/>
                <w:szCs w:val="18"/>
                <w:color w:val="auto"/>
              </w:rPr>
              <w:t>—</w:t>
            </w:r>
          </w:p>
        </w:tc>
      </w:tr>
      <w:tr>
        <w:trPr>
          <w:trHeight w:val="230"/>
        </w:trPr>
        <w:tc>
          <w:tcPr>
            <w:tcW w:w="1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2019</w:t>
            </w:r>
          </w:p>
        </w:tc>
        <w:tc>
          <w:tcPr>
            <w:tcW w:w="18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5"/>
        </w:trPr>
        <w:tc>
          <w:tcPr>
            <w:tcW w:w="18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August 1 – August</w:t>
            </w:r>
          </w:p>
        </w:tc>
        <w:tc>
          <w:tcPr>
            <w:tcW w:w="18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26,659</w:t>
            </w:r>
          </w:p>
        </w:tc>
        <w:tc>
          <w:tcPr>
            <w:tcW w:w="17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$6.91</w:t>
            </w:r>
          </w:p>
        </w:tc>
        <w:tc>
          <w:tcPr>
            <w:tcW w:w="18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ind w:left="840"/>
              <w:spacing w:after="0" w:line="195" w:lineRule="exact"/>
              <w:rPr>
                <w:sz w:val="20"/>
                <w:szCs w:val="20"/>
                <w:color w:val="auto"/>
              </w:rPr>
            </w:pPr>
            <w:r>
              <w:rPr>
                <w:rFonts w:ascii="Arial" w:cs="Arial" w:eastAsia="Arial" w:hAnsi="Arial"/>
                <w:sz w:val="18"/>
                <w:szCs w:val="18"/>
                <w:color w:val="auto"/>
              </w:rPr>
              <w:t>—</w:t>
            </w:r>
          </w:p>
        </w:tc>
      </w:tr>
      <w:tr>
        <w:trPr>
          <w:trHeight w:val="230"/>
        </w:trPr>
        <w:tc>
          <w:tcPr>
            <w:tcW w:w="1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31, 2019</w:t>
            </w:r>
          </w:p>
        </w:tc>
        <w:tc>
          <w:tcPr>
            <w:tcW w:w="18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195"/>
        </w:trPr>
        <w:tc>
          <w:tcPr>
            <w:tcW w:w="1800" w:type="dxa"/>
            <w:vAlign w:val="bottom"/>
            <w:tcBorders>
              <w:left w:val="single" w:sz="8" w:color="auto"/>
              <w:right w:val="single" w:sz="8" w:color="auto"/>
            </w:tcBorders>
          </w:tcPr>
          <w:p>
            <w:pPr>
              <w:ind w:left="140"/>
              <w:spacing w:after="0" w:line="195" w:lineRule="exact"/>
              <w:rPr>
                <w:sz w:val="20"/>
                <w:szCs w:val="20"/>
                <w:color w:val="auto"/>
              </w:rPr>
            </w:pPr>
            <w:r>
              <w:rPr>
                <w:rFonts w:ascii="Arial" w:cs="Arial" w:eastAsia="Arial" w:hAnsi="Arial"/>
                <w:sz w:val="18"/>
                <w:szCs w:val="18"/>
                <w:color w:val="auto"/>
              </w:rPr>
              <w:t>September 1 –</w:t>
            </w:r>
          </w:p>
        </w:tc>
        <w:tc>
          <w:tcPr>
            <w:tcW w:w="18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ind w:left="840"/>
              <w:spacing w:after="0" w:line="195" w:lineRule="exact"/>
              <w:rPr>
                <w:sz w:val="20"/>
                <w:szCs w:val="20"/>
                <w:color w:val="auto"/>
              </w:rPr>
            </w:pPr>
            <w:r>
              <w:rPr>
                <w:rFonts w:ascii="Arial" w:cs="Arial" w:eastAsia="Arial" w:hAnsi="Arial"/>
                <w:sz w:val="18"/>
                <w:szCs w:val="18"/>
                <w:color w:val="auto"/>
              </w:rPr>
              <w:t>—</w:t>
            </w:r>
          </w:p>
        </w:tc>
      </w:tr>
      <w:tr>
        <w:trPr>
          <w:trHeight w:val="230"/>
        </w:trPr>
        <w:tc>
          <w:tcPr>
            <w:tcW w:w="1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9"/>
              </w:rPr>
              <w:t>September 30, 2019</w:t>
            </w:r>
          </w:p>
        </w:tc>
        <w:tc>
          <w:tcPr>
            <w:tcW w:w="182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10"/>
        </w:trPr>
        <w:tc>
          <w:tcPr>
            <w:tcW w:w="180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26,659</w:t>
            </w:r>
          </w:p>
        </w:tc>
        <w:tc>
          <w:tcPr>
            <w:tcW w:w="17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$6.91</w:t>
            </w:r>
          </w:p>
        </w:tc>
        <w:tc>
          <w:tcPr>
            <w:tcW w:w="1820" w:type="dxa"/>
            <w:vAlign w:val="bottom"/>
            <w:tcBorders>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jc w:val="both"/>
        <w:ind w:left="320" w:right="20" w:hanging="317"/>
        <w:spacing w:after="0" w:line="264"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August 2019, the Company repurchased 26,659 shares of its common stock at an average price per share of $6.91 pursuant to its contractual right of first refusal for offers made by third parties to acquire outstanding shares from existing stockholders. The repurchased shares were recorded as treasury shares.</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does not have any publicly announced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1880" w:type="dxa"/>
            <w:vAlign w:val="bottom"/>
          </w:tcPr>
          <w:p>
            <w:pPr>
              <w:ind w:left="240"/>
              <w:spacing w:after="0"/>
              <w:rPr>
                <w:sz w:val="20"/>
                <w:szCs w:val="20"/>
                <w:color w:val="auto"/>
              </w:rPr>
            </w:pPr>
            <w:r>
              <w:rPr>
                <w:rFonts w:ascii="Arial" w:cs="Arial" w:eastAsia="Arial" w:hAnsi="Arial"/>
                <w:sz w:val="14"/>
                <w:szCs w:val="14"/>
                <w:b w:val="1"/>
                <w:bCs w:val="1"/>
                <w:color w:val="auto"/>
              </w:rPr>
              <w:t>Filing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16"/>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1040" w:type="dxa"/>
            <w:vAlign w:val="bottom"/>
          </w:tcPr>
          <w:p>
            <w:pPr>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18"/>
          </w:tcPr>
          <w:p>
            <w:pPr>
              <w:spacing w:after="0" w:line="170" w:lineRule="exact"/>
              <w:rPr>
                <w:rFonts w:ascii="Arial" w:cs="Arial" w:eastAsia="Arial" w:hAnsi="Arial"/>
                <w:sz w:val="18"/>
                <w:szCs w:val="18"/>
                <w:color w:val="0000EE"/>
              </w:rPr>
            </w:pPr>
            <w:hyperlink r:id="rId95">
              <w:r>
                <w:rPr>
                  <w:rFonts w:ascii="Arial" w:cs="Arial" w:eastAsia="Arial" w:hAnsi="Arial"/>
                  <w:sz w:val="18"/>
                  <w:szCs w:val="18"/>
                  <w:color w:val="0000EE"/>
                </w:rPr>
                <w:t>Amended and Restated</w:t>
              </w:r>
            </w:hyperlink>
          </w:p>
        </w:tc>
        <w:tc>
          <w:tcPr>
            <w:tcW w:w="600" w:type="dxa"/>
            <w:vAlign w:val="bottom"/>
          </w:tcPr>
          <w:p>
            <w:pPr>
              <w:spacing w:after="0" w:line="170" w:lineRule="exact"/>
              <w:rPr>
                <w:sz w:val="20"/>
                <w:szCs w:val="20"/>
                <w:color w:val="auto"/>
              </w:rPr>
            </w:pPr>
            <w:r>
              <w:rPr>
                <w:rFonts w:ascii="Arial" w:cs="Arial" w:eastAsia="Arial" w:hAnsi="Arial"/>
                <w:sz w:val="18"/>
                <w:szCs w:val="18"/>
                <w:color w:val="auto"/>
              </w:rPr>
              <w:t>8-K</w:t>
            </w:r>
          </w:p>
        </w:tc>
        <w:tc>
          <w:tcPr>
            <w:tcW w:w="1000" w:type="dxa"/>
            <w:vAlign w:val="bottom"/>
          </w:tcPr>
          <w:p>
            <w:pPr>
              <w:ind w:left="80"/>
              <w:spacing w:after="0" w:line="170" w:lineRule="exact"/>
              <w:rPr>
                <w:sz w:val="20"/>
                <w:szCs w:val="20"/>
                <w:color w:val="auto"/>
              </w:rPr>
            </w:pPr>
            <w:r>
              <w:rPr>
                <w:rFonts w:ascii="Arial" w:cs="Arial" w:eastAsia="Arial" w:hAnsi="Arial"/>
                <w:sz w:val="18"/>
                <w:szCs w:val="18"/>
                <w:color w:val="auto"/>
              </w:rPr>
              <w:t>001-39100</w:t>
            </w:r>
          </w:p>
        </w:tc>
        <w:tc>
          <w:tcPr>
            <w:tcW w:w="740" w:type="dxa"/>
            <w:vAlign w:val="bottom"/>
          </w:tcPr>
          <w:p>
            <w:pPr>
              <w:ind w:left="20"/>
              <w:spacing w:after="0" w:line="170" w:lineRule="exact"/>
              <w:rPr>
                <w:sz w:val="20"/>
                <w:szCs w:val="20"/>
                <w:color w:val="auto"/>
              </w:rPr>
            </w:pPr>
            <w:r>
              <w:rPr>
                <w:rFonts w:ascii="Arial" w:cs="Arial" w:eastAsia="Arial" w:hAnsi="Arial"/>
                <w:sz w:val="18"/>
                <w:szCs w:val="18"/>
                <w:color w:val="auto"/>
              </w:rPr>
              <w:t>3.1</w:t>
            </w:r>
          </w:p>
        </w:tc>
        <w:tc>
          <w:tcPr>
            <w:tcW w:w="1880" w:type="dxa"/>
            <w:vAlign w:val="bottom"/>
          </w:tcPr>
          <w:p>
            <w:pPr>
              <w:ind w:left="240"/>
              <w:spacing w:after="0" w:line="170" w:lineRule="exact"/>
              <w:rPr>
                <w:sz w:val="20"/>
                <w:szCs w:val="20"/>
                <w:color w:val="auto"/>
              </w:rPr>
            </w:pPr>
            <w:r>
              <w:rPr>
                <w:rFonts w:ascii="Arial" w:cs="Arial" w:eastAsia="Arial" w:hAnsi="Arial"/>
                <w:sz w:val="18"/>
                <w:szCs w:val="18"/>
                <w:color w:val="auto"/>
              </w:rPr>
              <w:t>10/31/2019</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Certificate of Incorporation of</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95">
              <w:r>
                <w:rPr>
                  <w:rFonts w:ascii="Arial" w:cs="Arial" w:eastAsia="Arial" w:hAnsi="Arial"/>
                  <w:sz w:val="18"/>
                  <w:szCs w:val="18"/>
                  <w:color w:val="0000EE"/>
                  <w:w w:val="89"/>
                </w:rPr>
                <w:t>Progyny, Inc.</w:t>
              </w:r>
            </w:hyperlink>
          </w:p>
        </w:tc>
        <w:tc>
          <w:tcPr>
            <w:tcW w:w="144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Amended and Restated By-</w:t>
              </w:r>
            </w:hyperlink>
          </w:p>
        </w:tc>
        <w:tc>
          <w:tcPr>
            <w:tcW w:w="420" w:type="dxa"/>
            <w:vAlign w:val="bottom"/>
            <w:gridSpan w:val="6"/>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3.4</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9/27/2019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laws of Progyny, Inc</w:t>
              </w:r>
              <w:r>
                <w:rPr>
                  <w:rFonts w:ascii="Arial" w:cs="Arial" w:eastAsia="Arial" w:hAnsi="Arial"/>
                  <w:sz w:val="18"/>
                  <w:szCs w:val="18"/>
                  <w:color w:val="000000"/>
                </w:rPr>
                <w:t>.</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Form of common stock</w:t>
              </w:r>
            </w:hyperlink>
          </w:p>
        </w:tc>
        <w:tc>
          <w:tcPr>
            <w:tcW w:w="700" w:type="dxa"/>
            <w:vAlign w:val="bottom"/>
            <w:gridSpan w:val="10"/>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4.1</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certificate</w:t>
              </w:r>
            </w:hyperlink>
          </w:p>
        </w:tc>
        <w:tc>
          <w:tcPr>
            <w:tcW w:w="168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Form of 2013 Preferred Stock</w:t>
              </w:r>
            </w:hyperlink>
          </w:p>
        </w:tc>
        <w:tc>
          <w:tcPr>
            <w:tcW w:w="240" w:type="dxa"/>
            <w:vAlign w:val="bottom"/>
            <w:gridSpan w:val="2"/>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4.2</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Warrant.</w:t>
              </w:r>
            </w:hyperlink>
          </w:p>
        </w:tc>
        <w:tc>
          <w:tcPr>
            <w:tcW w:w="178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Form of 2014 Preferred Stock</w:t>
              </w:r>
            </w:hyperlink>
          </w:p>
        </w:tc>
        <w:tc>
          <w:tcPr>
            <w:tcW w:w="240" w:type="dxa"/>
            <w:vAlign w:val="bottom"/>
            <w:gridSpan w:val="2"/>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4.3</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99">
              <w:r>
                <w:rPr>
                  <w:rFonts w:ascii="Arial" w:cs="Arial" w:eastAsia="Arial" w:hAnsi="Arial"/>
                  <w:sz w:val="18"/>
                  <w:szCs w:val="18"/>
                  <w:color w:val="0000EE"/>
                  <w:w w:val="86"/>
                </w:rPr>
                <w:t>Warrant.</w:t>
              </w:r>
            </w:hyperlink>
          </w:p>
        </w:tc>
        <w:tc>
          <w:tcPr>
            <w:tcW w:w="178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Form of 2015 Preferred Stock</w:t>
              </w:r>
            </w:hyperlink>
          </w:p>
        </w:tc>
        <w:tc>
          <w:tcPr>
            <w:tcW w:w="240" w:type="dxa"/>
            <w:vAlign w:val="bottom"/>
            <w:gridSpan w:val="2"/>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4.4</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00">
              <w:r>
                <w:rPr>
                  <w:rFonts w:ascii="Arial" w:cs="Arial" w:eastAsia="Arial" w:hAnsi="Arial"/>
                  <w:sz w:val="18"/>
                  <w:szCs w:val="18"/>
                  <w:color w:val="0000EE"/>
                  <w:w w:val="86"/>
                </w:rPr>
                <w:t>Warrant.</w:t>
              </w:r>
            </w:hyperlink>
          </w:p>
        </w:tc>
        <w:tc>
          <w:tcPr>
            <w:tcW w:w="1780" w:type="dxa"/>
            <w:vAlign w:val="bottom"/>
            <w:gridSpan w:val="17"/>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Warrant to Purchase Stock</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4.5</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issued to Silicon Valley Bank</w:t>
              </w:r>
            </w:hyperlink>
          </w:p>
        </w:tc>
        <w:tc>
          <w:tcPr>
            <w:tcW w:w="28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dated October 9, 2013.</w:t>
              </w:r>
            </w:hyperlink>
          </w:p>
        </w:tc>
        <w:tc>
          <w:tcPr>
            <w:tcW w:w="74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Progyny, Inc. 2019 Equity</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10.4</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Incentive Plan and forms of</w:t>
              </w:r>
            </w:hyperlink>
          </w:p>
        </w:tc>
        <w:tc>
          <w:tcPr>
            <w:tcW w:w="4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agreements thereunder.</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21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Progyny, Inc. 2019 Employee</w:t>
              </w:r>
            </w:hyperlink>
          </w:p>
        </w:tc>
        <w:tc>
          <w:tcPr>
            <w:tcW w:w="260" w:type="dxa"/>
            <w:vAlign w:val="bottom"/>
            <w:gridSpan w:val="3"/>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S-1/A</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10.5</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10/15/2019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Stock Purchase Plan.</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17"/>
                <w:szCs w:val="17"/>
                <w:color w:val="auto"/>
              </w:rPr>
            </w:pPr>
          </w:p>
        </w:tc>
        <w:tc>
          <w:tcPr>
            <w:tcW w:w="17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Form of Indemnification</w:t>
              </w:r>
            </w:hyperlink>
          </w:p>
        </w:tc>
        <w:tc>
          <w:tcPr>
            <w:tcW w:w="620" w:type="dxa"/>
            <w:vAlign w:val="bottom"/>
            <w:gridSpan w:val="8"/>
          </w:tcPr>
          <w:p>
            <w:pPr>
              <w:spacing w:after="0"/>
              <w:rPr>
                <w:sz w:val="17"/>
                <w:szCs w:val="17"/>
                <w:color w:val="auto"/>
              </w:rPr>
            </w:pPr>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10.6</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9/27/2019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Agreement.</w:t>
              </w:r>
            </w:hyperlink>
          </w:p>
        </w:tc>
        <w:tc>
          <w:tcPr>
            <w:tcW w:w="1560" w:type="dxa"/>
            <w:vAlign w:val="bottom"/>
            <w:gridSpan w:val="15"/>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Amended and Restated</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10.7</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9/27/2019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Employment Agreement</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between Progyny, Inc. and</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David Schlanger, dated</w:t>
              </w:r>
            </w:hyperlink>
          </w:p>
        </w:tc>
        <w:tc>
          <w:tcPr>
            <w:tcW w:w="200" w:type="dxa"/>
            <w:vAlign w:val="bottom"/>
            <w:tcBorders>
              <w:top w:val="single" w:sz="8" w:color="0000EE"/>
            </w:tcBorders>
            <w:gridSpan w:val="4"/>
          </w:tcPr>
          <w:p>
            <w:pPr>
              <w:spacing w:after="0"/>
              <w:rPr>
                <w:sz w:val="17"/>
                <w:szCs w:val="17"/>
                <w:color w:val="auto"/>
              </w:rPr>
            </w:pPr>
          </w:p>
        </w:tc>
        <w:tc>
          <w:tcPr>
            <w:tcW w:w="5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September 23, 2019.</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Amended and Restated</w:t>
              </w:r>
            </w:hyperlink>
          </w:p>
        </w:tc>
        <w:tc>
          <w:tcPr>
            <w:tcW w:w="60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1000" w:type="dxa"/>
            <w:vAlign w:val="bottom"/>
          </w:tcPr>
          <w:p>
            <w:pPr>
              <w:ind w:left="80"/>
              <w:spacing w:after="0" w:line="196" w:lineRule="exact"/>
              <w:rPr>
                <w:sz w:val="20"/>
                <w:szCs w:val="20"/>
                <w:color w:val="auto"/>
              </w:rPr>
            </w:pPr>
            <w:r>
              <w:rPr>
                <w:rFonts w:ascii="Arial" w:cs="Arial" w:eastAsia="Arial" w:hAnsi="Arial"/>
                <w:sz w:val="18"/>
                <w:szCs w:val="18"/>
                <w:color w:val="auto"/>
                <w:w w:val="93"/>
              </w:rPr>
              <w:t>333-233965</w:t>
            </w:r>
          </w:p>
        </w:tc>
        <w:tc>
          <w:tcPr>
            <w:tcW w:w="740" w:type="dxa"/>
            <w:vAlign w:val="bottom"/>
          </w:tcPr>
          <w:p>
            <w:pPr>
              <w:ind w:left="20"/>
              <w:spacing w:after="0" w:line="196" w:lineRule="exact"/>
              <w:rPr>
                <w:sz w:val="20"/>
                <w:szCs w:val="20"/>
                <w:color w:val="auto"/>
              </w:rPr>
            </w:pPr>
            <w:r>
              <w:rPr>
                <w:rFonts w:ascii="Arial" w:cs="Arial" w:eastAsia="Arial" w:hAnsi="Arial"/>
                <w:sz w:val="18"/>
                <w:szCs w:val="18"/>
                <w:color w:val="auto"/>
              </w:rPr>
              <w:t>10.8</w:t>
            </w:r>
          </w:p>
        </w:tc>
        <w:tc>
          <w:tcPr>
            <w:tcW w:w="1880" w:type="dxa"/>
            <w:vAlign w:val="bottom"/>
          </w:tcPr>
          <w:p>
            <w:pPr>
              <w:ind w:left="240"/>
              <w:spacing w:after="0" w:line="196" w:lineRule="exact"/>
              <w:rPr>
                <w:sz w:val="20"/>
                <w:szCs w:val="20"/>
                <w:color w:val="auto"/>
              </w:rPr>
            </w:pPr>
            <w:r>
              <w:rPr>
                <w:rFonts w:ascii="Arial" w:cs="Arial" w:eastAsia="Arial" w:hAnsi="Arial"/>
                <w:sz w:val="18"/>
                <w:szCs w:val="18"/>
                <w:color w:val="auto"/>
              </w:rPr>
              <w:t>9/27/2019</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Employment Agreement</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between Progyny, Inc. and</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Peter Anevski, dated</w:t>
              </w:r>
            </w:hyperlink>
          </w:p>
        </w:tc>
        <w:tc>
          <w:tcPr>
            <w:tcW w:w="52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92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19"/>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September 25, 2019.</w:t>
              </w:r>
            </w:hyperlink>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73</w:t>
            </w:r>
          </w:p>
        </w:tc>
        <w:tc>
          <w:tcPr>
            <w:tcW w:w="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218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736"/>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2180" w:type="dxa"/>
            <w:vAlign w:val="bottom"/>
            <w:tcBorders>
              <w:bottom w:val="single" w:sz="8" w:color="0000EE"/>
            </w:tcBorders>
            <w:gridSpan w:val="15"/>
          </w:tcPr>
          <w:p>
            <w:pPr>
              <w:spacing w:after="0"/>
              <w:rPr>
                <w:rFonts w:ascii="Arial" w:cs="Arial" w:eastAsia="Arial" w:hAnsi="Arial"/>
                <w:sz w:val="18"/>
                <w:szCs w:val="18"/>
                <w:color w:val="0000EE"/>
                <w:w w:val="87"/>
              </w:rPr>
            </w:pPr>
            <w:hyperlink r:id="rId107">
              <w:r>
                <w:rPr>
                  <w:rFonts w:ascii="Arial" w:cs="Arial" w:eastAsia="Arial" w:hAnsi="Arial"/>
                  <w:sz w:val="18"/>
                  <w:szCs w:val="18"/>
                  <w:color w:val="0000EE"/>
                  <w:w w:val="87"/>
                </w:rPr>
                <w:t>Sublease Agreement, dated as</w:t>
              </w:r>
            </w:hyperlink>
          </w:p>
        </w:tc>
        <w:tc>
          <w:tcPr>
            <w:tcW w:w="120" w:type="dxa"/>
            <w:vAlign w:val="bottom"/>
            <w:gridSpan w:val="2"/>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S-1</w:t>
            </w:r>
          </w:p>
        </w:tc>
        <w:tc>
          <w:tcPr>
            <w:tcW w:w="1840" w:type="dxa"/>
            <w:vAlign w:val="bottom"/>
          </w:tcPr>
          <w:p>
            <w:pPr>
              <w:ind w:left="220"/>
              <w:spacing w:after="0"/>
              <w:rPr>
                <w:sz w:val="20"/>
                <w:szCs w:val="20"/>
                <w:color w:val="auto"/>
              </w:rPr>
            </w:pPr>
            <w:r>
              <w:rPr>
                <w:rFonts w:ascii="Arial" w:cs="Arial" w:eastAsia="Arial" w:hAnsi="Arial"/>
                <w:sz w:val="18"/>
                <w:szCs w:val="18"/>
                <w:color w:val="auto"/>
              </w:rPr>
              <w:t>333-233965 10.11</w:t>
            </w:r>
          </w:p>
        </w:tc>
        <w:tc>
          <w:tcPr>
            <w:tcW w:w="2640" w:type="dxa"/>
            <w:vAlign w:val="bottom"/>
          </w:tcPr>
          <w:p>
            <w:pPr>
              <w:ind w:left="280"/>
              <w:spacing w:after="0"/>
              <w:rPr>
                <w:sz w:val="20"/>
                <w:szCs w:val="20"/>
                <w:color w:val="auto"/>
              </w:rPr>
            </w:pPr>
            <w:r>
              <w:rPr>
                <w:rFonts w:ascii="Arial" w:cs="Arial" w:eastAsia="Arial" w:hAnsi="Arial"/>
                <w:sz w:val="18"/>
                <w:szCs w:val="18"/>
                <w:color w:val="auto"/>
              </w:rPr>
              <w:t>9/27/2019</w:t>
            </w:r>
          </w:p>
        </w:tc>
      </w:tr>
      <w:tr>
        <w:trPr>
          <w:trHeight w:val="196"/>
        </w:trPr>
        <w:tc>
          <w:tcPr>
            <w:tcW w:w="1160" w:type="dxa"/>
            <w:vAlign w:val="bottom"/>
          </w:tcPr>
          <w:p>
            <w:pPr>
              <w:spacing w:after="0"/>
              <w:rPr>
                <w:sz w:val="17"/>
                <w:szCs w:val="17"/>
                <w:color w:val="auto"/>
              </w:rPr>
            </w:pPr>
          </w:p>
        </w:tc>
        <w:tc>
          <w:tcPr>
            <w:tcW w:w="2300" w:type="dxa"/>
            <w:vAlign w:val="bottom"/>
            <w:gridSpan w:val="17"/>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of July 29, 2019 by and</w:t>
              </w:r>
            </w:hyperlink>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9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between IPREO Holdings,</w:t>
              </w:r>
            </w:hyperlink>
          </w:p>
        </w:tc>
        <w:tc>
          <w:tcPr>
            <w:tcW w:w="38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7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LLC and Progyny, Inc.</w:t>
              </w:r>
            </w:hyperlink>
          </w:p>
        </w:tc>
        <w:tc>
          <w:tcPr>
            <w:tcW w:w="600" w:type="dxa"/>
            <w:vAlign w:val="bottom"/>
            <w:gridSpan w:val="13"/>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Progyny, Inc. 2017 Equity</w:t>
              </w:r>
            </w:hyperlink>
          </w:p>
        </w:tc>
        <w:tc>
          <w:tcPr>
            <w:tcW w:w="400" w:type="dxa"/>
            <w:vAlign w:val="bottom"/>
            <w:gridSpan w:val="9"/>
          </w:tcPr>
          <w:p>
            <w:pPr>
              <w:spacing w:after="0"/>
              <w:rPr>
                <w:sz w:val="17"/>
                <w:szCs w:val="17"/>
                <w:color w:val="auto"/>
              </w:rPr>
            </w:pPr>
          </w:p>
        </w:tc>
        <w:tc>
          <w:tcPr>
            <w:tcW w:w="600" w:type="dxa"/>
            <w:vAlign w:val="bottom"/>
          </w:tcPr>
          <w:p>
            <w:pPr>
              <w:ind w:left="120"/>
              <w:spacing w:after="0" w:line="196" w:lineRule="exact"/>
              <w:rPr>
                <w:sz w:val="20"/>
                <w:szCs w:val="20"/>
                <w:color w:val="auto"/>
              </w:rPr>
            </w:pPr>
            <w:r>
              <w:rPr>
                <w:rFonts w:ascii="Arial" w:cs="Arial" w:eastAsia="Arial" w:hAnsi="Arial"/>
                <w:sz w:val="18"/>
                <w:szCs w:val="18"/>
                <w:color w:val="auto"/>
              </w:rPr>
              <w:t>S-8</w:t>
            </w:r>
          </w:p>
        </w:tc>
        <w:tc>
          <w:tcPr>
            <w:tcW w:w="1840" w:type="dxa"/>
            <w:vAlign w:val="bottom"/>
          </w:tcPr>
          <w:p>
            <w:pPr>
              <w:ind w:left="220"/>
              <w:spacing w:after="0" w:line="196" w:lineRule="exact"/>
              <w:rPr>
                <w:sz w:val="20"/>
                <w:szCs w:val="20"/>
                <w:color w:val="auto"/>
              </w:rPr>
            </w:pPr>
            <w:r>
              <w:rPr>
                <w:rFonts w:ascii="Arial" w:cs="Arial" w:eastAsia="Arial" w:hAnsi="Arial"/>
                <w:sz w:val="18"/>
                <w:szCs w:val="18"/>
                <w:color w:val="auto"/>
              </w:rPr>
              <w:t>333-233965 99.2</w:t>
            </w:r>
          </w:p>
        </w:tc>
        <w:tc>
          <w:tcPr>
            <w:tcW w:w="2640" w:type="dxa"/>
            <w:vAlign w:val="bottom"/>
          </w:tcPr>
          <w:p>
            <w:pPr>
              <w:ind w:left="280"/>
              <w:spacing w:after="0" w:line="196" w:lineRule="exact"/>
              <w:rPr>
                <w:sz w:val="20"/>
                <w:szCs w:val="20"/>
                <w:color w:val="auto"/>
              </w:rPr>
            </w:pPr>
            <w:r>
              <w:rPr>
                <w:rFonts w:ascii="Arial" w:cs="Arial" w:eastAsia="Arial" w:hAnsi="Arial"/>
                <w:sz w:val="18"/>
                <w:szCs w:val="18"/>
                <w:color w:val="auto"/>
              </w:rPr>
              <w:t>10/25/2019</w:t>
            </w:r>
          </w:p>
        </w:tc>
      </w:tr>
      <w:tr>
        <w:trPr>
          <w:trHeight w:val="196"/>
        </w:trPr>
        <w:tc>
          <w:tcPr>
            <w:tcW w:w="1160" w:type="dxa"/>
            <w:vAlign w:val="bottom"/>
          </w:tcPr>
          <w:p>
            <w:pPr>
              <w:spacing w:after="0"/>
              <w:rPr>
                <w:sz w:val="17"/>
                <w:szCs w:val="17"/>
                <w:color w:val="auto"/>
              </w:rPr>
            </w:pPr>
          </w:p>
        </w:tc>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Incentive Plan, as amended,</w:t>
              </w:r>
            </w:hyperlink>
          </w:p>
        </w:tc>
        <w:tc>
          <w:tcPr>
            <w:tcW w:w="28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00" w:type="dxa"/>
            <w:vAlign w:val="bottom"/>
            <w:gridSpan w:val="1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and forms of agreements</w:t>
              </w:r>
            </w:hyperlink>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thereunder.</w:t>
              </w:r>
            </w:hyperlink>
          </w:p>
        </w:tc>
        <w:tc>
          <w:tcPr>
            <w:tcW w:w="520" w:type="dxa"/>
            <w:vAlign w:val="bottom"/>
            <w:gridSpan w:val="11"/>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Certification of Chief</w:t>
              </w:r>
            </w:hyperlink>
          </w:p>
        </w:tc>
        <w:tc>
          <w:tcPr>
            <w:tcW w:w="74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2350"/>
              <w:spacing w:after="0" w:line="196" w:lineRule="exact"/>
              <w:rPr>
                <w:sz w:val="20"/>
                <w:szCs w:val="20"/>
                <w:color w:val="auto"/>
              </w:rPr>
            </w:pPr>
            <w:r>
              <w:rPr>
                <w:rFonts w:ascii="Arial" w:cs="Arial" w:eastAsia="Arial" w:hAnsi="Arial"/>
                <w:sz w:val="18"/>
                <w:szCs w:val="18"/>
                <w:color w:val="auto"/>
              </w:rPr>
              <w:t>*</w:t>
            </w:r>
          </w:p>
        </w:tc>
      </w:tr>
      <w:tr>
        <w:trPr>
          <w:trHeight w:val="196"/>
        </w:trPr>
        <w:tc>
          <w:tcPr>
            <w:tcW w:w="1160" w:type="dxa"/>
            <w:vAlign w:val="bottom"/>
          </w:tcPr>
          <w:p>
            <w:pPr>
              <w:spacing w:after="0"/>
              <w:rPr>
                <w:sz w:val="17"/>
                <w:szCs w:val="17"/>
                <w:color w:val="auto"/>
              </w:rPr>
            </w:pPr>
          </w:p>
        </w:tc>
        <w:tc>
          <w:tcPr>
            <w:tcW w:w="21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Executive Officer pursuant to</w:t>
              </w:r>
            </w:hyperlink>
          </w:p>
        </w:tc>
        <w:tc>
          <w:tcPr>
            <w:tcW w:w="14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Exchange Act Rule 13a-14(a).</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56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Certification of Chief</w:t>
              </w:r>
            </w:hyperlink>
          </w:p>
        </w:tc>
        <w:tc>
          <w:tcPr>
            <w:tcW w:w="740" w:type="dxa"/>
            <w:vAlign w:val="bottom"/>
            <w:gridSpan w:val="14"/>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2350"/>
              <w:spacing w:after="0" w:line="196" w:lineRule="exact"/>
              <w:rPr>
                <w:sz w:val="20"/>
                <w:szCs w:val="20"/>
                <w:color w:val="auto"/>
              </w:rPr>
            </w:pPr>
            <w:r>
              <w:rPr>
                <w:rFonts w:ascii="Arial" w:cs="Arial" w:eastAsia="Arial" w:hAnsi="Arial"/>
                <w:sz w:val="18"/>
                <w:szCs w:val="18"/>
                <w:color w:val="auto"/>
              </w:rPr>
              <w:t>*</w:t>
            </w:r>
          </w:p>
        </w:tc>
      </w:tr>
      <w:tr>
        <w:trPr>
          <w:trHeight w:val="196"/>
        </w:trPr>
        <w:tc>
          <w:tcPr>
            <w:tcW w:w="1160" w:type="dxa"/>
            <w:vAlign w:val="bottom"/>
          </w:tcPr>
          <w:p>
            <w:pPr>
              <w:spacing w:after="0"/>
              <w:rPr>
                <w:sz w:val="17"/>
                <w:szCs w:val="17"/>
                <w:color w:val="auto"/>
              </w:rPr>
            </w:pPr>
          </w:p>
        </w:tc>
        <w:tc>
          <w:tcPr>
            <w:tcW w:w="21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Financial Officer pursuant to</w:t>
              </w:r>
            </w:hyperlink>
          </w:p>
        </w:tc>
        <w:tc>
          <w:tcPr>
            <w:tcW w:w="20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Exchange Act Rule 13a-14(a).</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300" w:type="dxa"/>
            <w:vAlign w:val="bottom"/>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Certification of Principal</w:t>
              </w:r>
            </w:hyperlink>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2370"/>
              <w:spacing w:after="0" w:line="196" w:lineRule="exact"/>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1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Executive Officer pursuant to</w:t>
              </w:r>
            </w:hyperlink>
          </w:p>
        </w:tc>
        <w:tc>
          <w:tcPr>
            <w:tcW w:w="1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300" w:type="dxa"/>
            <w:vAlign w:val="bottom"/>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18 U.S.C. Section 1350.</w:t>
              </w:r>
            </w:hyperlink>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Certification of Chief</w:t>
              </w:r>
            </w:hyperlink>
          </w:p>
        </w:tc>
        <w:tc>
          <w:tcPr>
            <w:tcW w:w="180" w:type="dxa"/>
            <w:vAlign w:val="bottom"/>
            <w:tcBorders>
              <w:top w:val="single" w:sz="8" w:color="0000EE"/>
            </w:tcBorders>
            <w:gridSpan w:val="2"/>
          </w:tcPr>
          <w:p>
            <w:pPr>
              <w:spacing w:after="0"/>
              <w:rPr>
                <w:sz w:val="17"/>
                <w:szCs w:val="17"/>
                <w:color w:val="auto"/>
              </w:rPr>
            </w:pPr>
          </w:p>
        </w:tc>
        <w:tc>
          <w:tcPr>
            <w:tcW w:w="56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2370"/>
              <w:spacing w:after="0" w:line="196" w:lineRule="exact"/>
              <w:rPr>
                <w:sz w:val="20"/>
                <w:szCs w:val="20"/>
                <w:color w:val="auto"/>
              </w:rPr>
            </w:pPr>
            <w:r>
              <w:rPr>
                <w:rFonts w:ascii="Arial" w:cs="Arial" w:eastAsia="Arial" w:hAnsi="Arial"/>
                <w:sz w:val="18"/>
                <w:szCs w:val="18"/>
                <w:color w:val="auto"/>
              </w:rPr>
              <w:t>**</w:t>
            </w:r>
          </w:p>
        </w:tc>
      </w:tr>
      <w:tr>
        <w:trPr>
          <w:trHeight w:val="196"/>
        </w:trPr>
        <w:tc>
          <w:tcPr>
            <w:tcW w:w="1160" w:type="dxa"/>
            <w:vAlign w:val="bottom"/>
          </w:tcPr>
          <w:p>
            <w:pPr>
              <w:spacing w:after="0"/>
              <w:rPr>
                <w:sz w:val="17"/>
                <w:szCs w:val="17"/>
                <w:color w:val="auto"/>
              </w:rPr>
            </w:pPr>
          </w:p>
        </w:tc>
        <w:tc>
          <w:tcPr>
            <w:tcW w:w="2300" w:type="dxa"/>
            <w:vAlign w:val="bottom"/>
            <w:gridSpan w:val="17"/>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Financial Officer pursuant to</w:t>
              </w:r>
            </w:hyperlink>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18 U.S.C. Section 1350.</w:t>
              </w:r>
            </w:hyperlink>
          </w:p>
        </w:tc>
        <w:tc>
          <w:tcPr>
            <w:tcW w:w="22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56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c>
          <w:tcPr>
            <w:tcW w:w="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Schema Document</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Calculation Linkbase</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Definition Linkbase</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Label Linkbase Document</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2300" w:type="dxa"/>
            <w:vAlign w:val="bottom"/>
            <w:gridSpan w:val="17"/>
          </w:tcPr>
          <w:p>
            <w:pPr>
              <w:spacing w:after="0"/>
              <w:rPr>
                <w:sz w:val="20"/>
                <w:szCs w:val="20"/>
                <w:color w:val="auto"/>
              </w:rPr>
            </w:pPr>
            <w:r>
              <w:rPr>
                <w:rFonts w:ascii="Arial" w:cs="Arial" w:eastAsia="Arial" w:hAnsi="Arial"/>
                <w:sz w:val="18"/>
                <w:szCs w:val="18"/>
                <w:color w:val="auto"/>
              </w:rPr>
              <w:t>XBRL Taxonomy Extension</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jc w:val="center"/>
              <w:ind w:left="2350"/>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tcPr>
          <w:p>
            <w:pPr>
              <w:spacing w:after="0"/>
              <w:rPr>
                <w:sz w:val="18"/>
                <w:szCs w:val="18"/>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Presentation Linkbase</w:t>
            </w:r>
          </w:p>
        </w:tc>
        <w:tc>
          <w:tcPr>
            <w:tcW w:w="6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30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420" w:hanging="417"/>
        <w:spacing w:after="0"/>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hanging="497"/>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640" w:type="dxa"/>
            <w:vAlign w:val="bottom"/>
            <w:gridSpan w:val="2"/>
          </w:tcPr>
          <w:p>
            <w:pPr>
              <w:ind w:left="1400"/>
              <w:spacing w:after="0"/>
              <w:rPr>
                <w:sz w:val="20"/>
                <w:szCs w:val="20"/>
                <w:color w:val="auto"/>
              </w:rPr>
            </w:pPr>
            <w:r>
              <w:rPr>
                <w:rFonts w:ascii="Arial" w:cs="Arial" w:eastAsia="Arial" w:hAnsi="Arial"/>
                <w:sz w:val="18"/>
                <w:szCs w:val="18"/>
                <w:color w:val="auto"/>
              </w:rPr>
              <w:t>Progyny, Inc.</w:t>
            </w:r>
          </w:p>
        </w:tc>
        <w:tc>
          <w:tcPr>
            <w:tcW w:w="3240" w:type="dxa"/>
            <w:vAlign w:val="bottom"/>
          </w:tcPr>
          <w:p>
            <w:pPr>
              <w:spacing w:after="0"/>
              <w:rPr>
                <w:sz w:val="18"/>
                <w:szCs w:val="18"/>
                <w:color w:val="auto"/>
              </w:rPr>
            </w:pPr>
          </w:p>
        </w:tc>
      </w:tr>
      <w:tr>
        <w:trPr>
          <w:trHeight w:val="230"/>
        </w:trPr>
        <w:tc>
          <w:tcPr>
            <w:tcW w:w="3180" w:type="dxa"/>
            <w:vAlign w:val="bottom"/>
          </w:tcPr>
          <w:p>
            <w:pPr>
              <w:spacing w:after="0"/>
              <w:rPr>
                <w:sz w:val="20"/>
                <w:szCs w:val="20"/>
                <w:color w:val="auto"/>
              </w:rPr>
            </w:pPr>
          </w:p>
        </w:tc>
        <w:tc>
          <w:tcPr>
            <w:tcW w:w="2640" w:type="dxa"/>
            <w:vAlign w:val="bottom"/>
            <w:gridSpan w:val="2"/>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240" w:type="dxa"/>
            <w:vAlign w:val="bottom"/>
          </w:tcPr>
          <w:p>
            <w:pPr>
              <w:spacing w:after="0"/>
              <w:rPr>
                <w:sz w:val="20"/>
                <w:szCs w:val="20"/>
                <w:color w:val="auto"/>
              </w:rPr>
            </w:pP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 December 5, 2019</w:t>
            </w:r>
          </w:p>
        </w:tc>
        <w:tc>
          <w:tcPr>
            <w:tcW w:w="2640" w:type="dxa"/>
            <w:vAlign w:val="bottom"/>
            <w:gridSpan w:val="2"/>
          </w:tcPr>
          <w:p>
            <w:pPr>
              <w:ind w:left="140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89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4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color w:val="auto"/>
                <w:w w:val="90"/>
              </w:rPr>
              <w:t>David Schlanger</w:t>
            </w:r>
          </w:p>
        </w:tc>
      </w:tr>
      <w:tr>
        <w:trPr>
          <w:trHeight w:val="230"/>
        </w:trPr>
        <w:tc>
          <w:tcPr>
            <w:tcW w:w="3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40" w:type="dxa"/>
            <w:vAlign w:val="bottom"/>
          </w:tcPr>
          <w:p>
            <w:pPr>
              <w:jc w:val="center"/>
              <w:ind w:right="870"/>
              <w:spacing w:after="0"/>
              <w:rPr>
                <w:sz w:val="20"/>
                <w:szCs w:val="20"/>
                <w:color w:val="auto"/>
              </w:rPr>
            </w:pPr>
            <w:r>
              <w:rPr>
                <w:rFonts w:ascii="Arial" w:cs="Arial" w:eastAsia="Arial" w:hAnsi="Arial"/>
                <w:sz w:val="18"/>
                <w:szCs w:val="18"/>
                <w:color w:val="auto"/>
                <w:w w:val="93"/>
              </w:rPr>
              <w:t>Chief Executive Officer</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 December 5, 2019</w:t>
            </w:r>
          </w:p>
        </w:tc>
        <w:tc>
          <w:tcPr>
            <w:tcW w:w="2640" w:type="dxa"/>
            <w:vAlign w:val="bottom"/>
            <w:gridSpan w:val="2"/>
          </w:tcPr>
          <w:p>
            <w:pPr>
              <w:ind w:left="140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870"/>
              <w:spacing w:after="0"/>
              <w:rPr>
                <w:sz w:val="20"/>
                <w:szCs w:val="20"/>
                <w:color w:val="auto"/>
              </w:rPr>
            </w:pPr>
            <w:r>
              <w:rPr>
                <w:rFonts w:ascii="Arial" w:cs="Arial" w:eastAsia="Arial" w:hAnsi="Arial"/>
                <w:sz w:val="18"/>
                <w:szCs w:val="18"/>
                <w:color w:val="auto"/>
                <w:w w:val="91"/>
              </w:rPr>
              <w:t>/s/ Peter Anevski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0</wp:posOffset>
            </wp:positionV>
            <wp:extent cx="26670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6460"/>
        <w:spacing w:after="0"/>
        <w:rPr>
          <w:sz w:val="20"/>
          <w:szCs w:val="20"/>
          <w:color w:val="auto"/>
        </w:rPr>
      </w:pPr>
      <w:r>
        <w:rPr>
          <w:rFonts w:ascii="Arial" w:cs="Arial" w:eastAsia="Arial" w:hAnsi="Arial"/>
          <w:sz w:val="18"/>
          <w:szCs w:val="18"/>
          <w:color w:val="auto"/>
        </w:rPr>
        <w:t>Peter Anevski</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President, Chief Financial Officer and Chief Operating</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40" w:hanging="31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right="800" w:hanging="317"/>
        <w:spacing w:after="0" w:line="30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32"/>
        <w:spacing w:after="0" w:line="312"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080" w:hanging="43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320" w:hanging="432"/>
        <w:spacing w:after="0" w:line="264"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080" w:right="20" w:hanging="432"/>
        <w:spacing w:after="0" w:line="312" w:lineRule="auto"/>
        <w:tabs>
          <w:tab w:leader="none" w:pos="10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hanging="317"/>
        <w:spacing w:after="0" w:line="26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080" w:right="240" w:hanging="432"/>
        <w:spacing w:after="0" w:line="264"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80" w:right="620" w:hanging="432"/>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December 5, 2019</w:t>
            </w:r>
          </w:p>
        </w:tc>
        <w:tc>
          <w:tcPr>
            <w:tcW w:w="2120" w:type="dxa"/>
            <w:vAlign w:val="bottom"/>
          </w:tcPr>
          <w:p>
            <w:pPr>
              <w:ind w:left="1760"/>
              <w:spacing w:after="0"/>
              <w:rPr>
                <w:sz w:val="20"/>
                <w:szCs w:val="20"/>
                <w:color w:val="auto"/>
              </w:rPr>
            </w:pPr>
            <w:r>
              <w:rPr>
                <w:rFonts w:ascii="Arial" w:cs="Arial" w:eastAsia="Arial" w:hAnsi="Arial"/>
                <w:sz w:val="18"/>
                <w:szCs w:val="18"/>
                <w:color w:val="auto"/>
              </w:rPr>
              <w:t>By:</w:t>
            </w: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5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0"/>
              </w:rPr>
              <w:t>David Schlanger</w:t>
            </w:r>
          </w:p>
        </w:tc>
      </w:tr>
      <w:tr>
        <w:trPr>
          <w:trHeight w:val="216"/>
        </w:trPr>
        <w:tc>
          <w:tcPr>
            <w:tcW w:w="3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4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5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777"/>
        </w:trPr>
        <w:tc>
          <w:tcPr>
            <w:tcW w:w="35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Anevski, certify that:</w:t>
      </w:r>
    </w:p>
    <w:p>
      <w:pPr>
        <w:spacing w:after="0" w:line="225" w:lineRule="exact"/>
        <w:rPr>
          <w:sz w:val="20"/>
          <w:szCs w:val="20"/>
          <w:color w:val="auto"/>
        </w:rPr>
      </w:pPr>
    </w:p>
    <w:p>
      <w:pPr>
        <w:ind w:left="640" w:hanging="317"/>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right="800" w:hanging="317"/>
        <w:spacing w:after="0" w:line="308"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Arial" w:cs="Arial" w:eastAsia="Arial" w:hAnsi="Arial"/>
          <w:sz w:val="17"/>
          <w:szCs w:val="17"/>
          <w:color w:val="auto"/>
        </w:rPr>
      </w:pPr>
    </w:p>
    <w:p>
      <w:pPr>
        <w:ind w:left="1080" w:right="20" w:hanging="432"/>
        <w:spacing w:after="0" w:line="312" w:lineRule="auto"/>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1080" w:hanging="432"/>
        <w:spacing w:after="0"/>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080" w:right="320" w:hanging="432"/>
        <w:spacing w:after="0" w:line="264"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080" w:right="20" w:hanging="432"/>
        <w:spacing w:after="0" w:line="312" w:lineRule="auto"/>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hanging="317"/>
        <w:spacing w:after="0" w:line="264"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080" w:right="240" w:hanging="432"/>
        <w:spacing w:after="0" w:line="264"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080" w:right="620" w:hanging="432"/>
        <w:spacing w:after="0" w:line="277"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December 5, 2019</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Anevski</w:t>
            </w:r>
          </w:p>
        </w:tc>
      </w:tr>
      <w:tr>
        <w:trPr>
          <w:trHeight w:val="222"/>
        </w:trPr>
        <w:tc>
          <w:tcPr>
            <w:tcW w:w="35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Peter Anevski</w:t>
            </w:r>
          </w:p>
        </w:tc>
      </w:tr>
      <w:tr>
        <w:trPr>
          <w:trHeight w:val="216"/>
        </w:trPr>
        <w:tc>
          <w:tcPr>
            <w:tcW w:w="3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1"/>
              </w:rPr>
              <w:t>President, Chief Financial Officer and Chief Operating</w:t>
            </w:r>
          </w:p>
        </w:tc>
      </w:tr>
      <w:tr>
        <w:trPr>
          <w:trHeight w:val="216"/>
        </w:trPr>
        <w:tc>
          <w:tcPr>
            <w:tcW w:w="3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Officer</w:t>
            </w:r>
          </w:p>
        </w:tc>
      </w:tr>
      <w:tr>
        <w:trPr>
          <w:trHeight w:val="230"/>
        </w:trPr>
        <w:tc>
          <w:tcPr>
            <w:tcW w:w="3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7"/>
        </w:trPr>
        <w:tc>
          <w:tcPr>
            <w:tcW w:w="35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920" w:hanging="479"/>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720" w:hanging="439"/>
        <w:spacing w:after="0" w:line="277" w:lineRule="auto"/>
        <w:tabs>
          <w:tab w:leader="none" w:pos="91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December 5, 2019</w:t>
            </w:r>
          </w:p>
        </w:tc>
        <w:tc>
          <w:tcPr>
            <w:tcW w:w="1820" w:type="dxa"/>
            <w:vAlign w:val="bottom"/>
          </w:tcPr>
          <w:p>
            <w:pPr>
              <w:ind w:left="1540"/>
              <w:spacing w:after="0"/>
              <w:rPr>
                <w:sz w:val="20"/>
                <w:szCs w:val="20"/>
                <w:color w:val="auto"/>
              </w:rPr>
            </w:pPr>
            <w:r>
              <w:rPr>
                <w:rFonts w:ascii="Arial" w:cs="Arial" w:eastAsia="Arial" w:hAnsi="Arial"/>
                <w:sz w:val="18"/>
                <w:szCs w:val="18"/>
                <w:color w:val="auto"/>
                <w:w w:val="99"/>
              </w:rPr>
              <w:t>By:</w:t>
            </w:r>
          </w:p>
        </w:tc>
        <w:tc>
          <w:tcPr>
            <w:tcW w:w="4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David Schlanger</w:t>
            </w:r>
          </w:p>
        </w:tc>
      </w:tr>
      <w:tr>
        <w:trPr>
          <w:trHeight w:val="216"/>
        </w:trPr>
        <w:tc>
          <w:tcPr>
            <w:tcW w:w="33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3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r>
        <w:trPr>
          <w:trHeight w:val="777"/>
        </w:trPr>
        <w:tc>
          <w:tcPr>
            <w:tcW w:w="3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September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920" w:hanging="479"/>
        <w:spacing w:after="0"/>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720" w:hanging="439"/>
        <w:spacing w:after="0" w:line="277" w:lineRule="auto"/>
        <w:tabs>
          <w:tab w:leader="none" w:pos="9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December 5, 2019</w:t>
            </w:r>
          </w:p>
        </w:tc>
        <w:tc>
          <w:tcPr>
            <w:tcW w:w="1800" w:type="dxa"/>
            <w:vAlign w:val="bottom"/>
          </w:tcPr>
          <w:p>
            <w:pPr>
              <w:ind w:left="1520"/>
              <w:spacing w:after="0"/>
              <w:rPr>
                <w:sz w:val="20"/>
                <w:szCs w:val="20"/>
                <w:color w:val="auto"/>
              </w:rPr>
            </w:pPr>
            <w:r>
              <w:rPr>
                <w:rFonts w:ascii="Arial" w:cs="Arial" w:eastAsia="Arial" w:hAnsi="Arial"/>
                <w:sz w:val="18"/>
                <w:szCs w:val="18"/>
                <w:color w:val="auto"/>
                <w:w w:val="99"/>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Peter Anevski</w:t>
            </w:r>
          </w:p>
        </w:tc>
      </w:tr>
      <w:tr>
        <w:trPr>
          <w:trHeight w:val="222"/>
        </w:trPr>
        <w:tc>
          <w:tcPr>
            <w:tcW w:w="3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Peter Anevski</w:t>
            </w:r>
          </w:p>
        </w:tc>
      </w:tr>
      <w:tr>
        <w:trPr>
          <w:trHeight w:val="216"/>
        </w:trPr>
        <w:tc>
          <w:tcPr>
            <w:tcW w:w="3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President, Chief Financial Officer and Chief Operating Officer</w:t>
            </w:r>
          </w:p>
        </w:tc>
      </w:tr>
      <w:tr>
        <w:trPr>
          <w:trHeight w:val="230"/>
        </w:trPr>
        <w:tc>
          <w:tcPr>
            <w:tcW w:w="3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7"/>
        </w:trPr>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lvl w:ilvl="1">
      <w:lvlJc w:val="left"/>
      <w:lvlText w:val="·"/>
      <w:numFmt w:val="bullet"/>
      <w:start w:val="1"/>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decimal"/>
      <w:start w:val="8"/>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decimal"/>
      <w:start w:val="11"/>
    </w:lvl>
  </w:abstractNum>
  <w:abstractNum w:abstractNumId="15">
    <w:nsid w:val="71F32454"/>
    <w:multiLevelType w:val="hybridMultilevel"/>
    <w:lvl w:ilvl="0">
      <w:lvlJc w:val="left"/>
      <w:lvlText w:val="%1."/>
      <w:numFmt w:val="decimal"/>
      <w:start w:val="12"/>
    </w:lvl>
  </w:abstractNum>
  <w:abstractNum w:abstractNumId="16">
    <w:nsid w:val="2CA88611"/>
    <w:multiLevelType w:val="hybridMultilevel"/>
    <w:lvl w:ilvl="0">
      <w:lvlJc w:val="left"/>
      <w:lvlText w:val="%1."/>
      <w:numFmt w:val="decimal"/>
      <w:start w:val="13"/>
    </w:lvl>
  </w:abstractNum>
  <w:abstractNum w:abstractNumId="17">
    <w:nsid w:val="836C40E"/>
    <w:multiLevelType w:val="hybridMultilevel"/>
    <w:lvl w:ilvl="0">
      <w:lvlJc w:val="left"/>
      <w:lvlText w:val="%1."/>
      <w:numFmt w:val="decimal"/>
      <w:start w:val="14"/>
    </w:lvl>
  </w:abstractNum>
  <w:abstractNum w:abstractNumId="18">
    <w:nsid w:val="2901D82"/>
    <w:multiLevelType w:val="hybridMultilevel"/>
    <w:lvl w:ilvl="0">
      <w:lvlJc w:val="left"/>
      <w:lvlText w:val="%1."/>
      <w:numFmt w:val="decimal"/>
      <w:start w:val="84"/>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95" Type="http://schemas.openxmlformats.org/officeDocument/2006/relationships/hyperlink" Target="http://www.sec.gov/Archives/edgar/data/1551306/000104746919005487/a2239750zex-3_2.htm" TargetMode="External"/><Relationship Id="rId96" Type="http://schemas.openxmlformats.org/officeDocument/2006/relationships/hyperlink" Target="http://www.sec.gov/Archives/edgar/data/1551306/000104746919005487/a2239750zex-3_4.htm" TargetMode="External"/><Relationship Id="rId97" Type="http://schemas.openxmlformats.org/officeDocument/2006/relationships/hyperlink" Target="http://www.sec.gov/Archives/edgar/data/1551306/000104746919005727/a2239825zex-4_1.htm" TargetMode="External"/><Relationship Id="rId98" Type="http://schemas.openxmlformats.org/officeDocument/2006/relationships/hyperlink" Target="http://www.sec.gov/Archives/edgar/data/1551306/000104746919005727/a2239825zex-4_2.htm" TargetMode="External"/><Relationship Id="rId99" Type="http://schemas.openxmlformats.org/officeDocument/2006/relationships/hyperlink" Target="http://www.sec.gov/Archives/edgar/data/1551306/000104746919005727/a2239825zex-4_3.htm" TargetMode="External"/><Relationship Id="rId100" Type="http://schemas.openxmlformats.org/officeDocument/2006/relationships/hyperlink" Target="http://www.sec.gov/Archives/edgar/data/1551306/000104746919005727/a2239825zex-4_4.htm" TargetMode="External"/><Relationship Id="rId101" Type="http://schemas.openxmlformats.org/officeDocument/2006/relationships/hyperlink" Target="http://www.sec.gov/Archives/edgar/data/1551306/000104746919005727/a2239825zex-4_5.htm" TargetMode="External"/><Relationship Id="rId102" Type="http://schemas.openxmlformats.org/officeDocument/2006/relationships/hyperlink" Target="http://www.sec.gov/Archives/edgar/data/1551306/000104746919005727/a2239825zex-10_4.htm" TargetMode="External"/><Relationship Id="rId103" Type="http://schemas.openxmlformats.org/officeDocument/2006/relationships/hyperlink" Target="http://www.sec.gov/Archives/edgar/data/1551306/000104746919005727/a2239825zex-10_5.htm" TargetMode="External"/><Relationship Id="rId104" Type="http://schemas.openxmlformats.org/officeDocument/2006/relationships/hyperlink" Target="http://www.sec.gov/Archives/edgar/data/1551306/000104746919005487/a2239750zex-10_6.htm" TargetMode="External"/><Relationship Id="rId105" Type="http://schemas.openxmlformats.org/officeDocument/2006/relationships/hyperlink" Target="http://www.sec.gov/Archives/edgar/data/1551306/000104746919005487/a2239750zex-10_7.htm" TargetMode="External"/><Relationship Id="rId106" Type="http://schemas.openxmlformats.org/officeDocument/2006/relationships/hyperlink" Target="http://www.sec.gov/Archives/edgar/data/1551306/000104746919005487/a2239750zex-10_8.htm" TargetMode="External"/><Relationship Id="rId107" Type="http://schemas.openxmlformats.org/officeDocument/2006/relationships/hyperlink" Target="http://www.sec.gov/Archives/edgar/data/1551306/000104746919005487/a2239750zex-10_11.htm" TargetMode="External"/><Relationship Id="rId108" Type="http://schemas.openxmlformats.org/officeDocument/2006/relationships/hyperlink" Target="http://www.sec.gov/Archives/edgar/data/1551306/000110465919056592/a19-11098_10ex99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2019-12-28T01:11:49Z</dcterms:created>
  <dcterms:modified xsi:type="dcterms:W3CDTF">2019-12-28T01:11:49Z</dcterms:modified>
</cp:coreProperties>
</file>