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3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640" w:hanging="614"/>
        <w:spacing w:after="0"/>
        <w:tabs>
          <w:tab w:leader="none" w:pos="640"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640" w:hanging="614"/>
        <w:spacing w:after="0"/>
        <w:tabs>
          <w:tab w:leader="none" w:pos="64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___________________ to ___________________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001-39100</w:t>
      </w:r>
    </w:p>
    <w:p>
      <w:pPr>
        <w:spacing w:after="0" w:line="2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Progyny, Inc.</w:t>
      </w:r>
    </w:p>
    <w:p>
      <w:pPr>
        <w:sectPr>
          <w:pgSz w:w="11900" w:h="16838" w:orient="portrait"/>
          <w:cols w:equalWidth="0" w:num="1">
            <w:col w:w="11260"/>
          </w:cols>
          <w:pgMar w:left="320" w:top="256" w:right="319" w:bottom="1440" w:gutter="0" w:footer="0" w:header="0"/>
        </w:sectPr>
      </w:pPr>
    </w:p>
    <w:p>
      <w:pPr>
        <w:spacing w:after="0" w:line="77" w:lineRule="exact"/>
        <w:rPr>
          <w:sz w:val="24"/>
          <w:szCs w:val="24"/>
          <w:color w:val="auto"/>
        </w:rPr>
      </w:pPr>
    </w:p>
    <w:p>
      <w:pPr>
        <w:jc w:val="center"/>
        <w:ind w:left="34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440"/>
        <w:spacing w:after="0"/>
        <w:rPr>
          <w:sz w:val="20"/>
          <w:szCs w:val="20"/>
          <w:color w:val="auto"/>
        </w:rPr>
      </w:pPr>
      <w:r>
        <w:rPr>
          <w:rFonts w:ascii="Times New Roman" w:cs="Times New Roman" w:eastAsia="Times New Roman" w:hAnsi="Times New Roman"/>
          <w:sz w:val="19"/>
          <w:szCs w:val="19"/>
          <w:color w:val="auto"/>
        </w:rPr>
        <w:t>____________________________________________</w:t>
      </w:r>
    </w:p>
    <w:p>
      <w:pPr>
        <w:spacing w:after="0" w:line="15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73"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3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1359 Broadway</w:t>
      </w:r>
    </w:p>
    <w:p>
      <w:pPr>
        <w:spacing w:after="0" w:line="2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 xml:space="preserve">New York, </w:t>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27-2220139</w:t>
      </w:r>
    </w:p>
    <w:p>
      <w:pPr>
        <w:spacing w:after="0" w:line="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276"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10018</w:t>
      </w:r>
    </w:p>
    <w:p>
      <w:pPr>
        <w:spacing w:after="0" w:line="73" w:lineRule="exact"/>
        <w:rPr>
          <w:sz w:val="24"/>
          <w:szCs w:val="24"/>
          <w:color w:val="auto"/>
        </w:rPr>
      </w:pPr>
    </w:p>
    <w:p>
      <w:pPr>
        <w:sectPr>
          <w:pgSz w:w="11900" w:h="16838" w:orient="portrait"/>
          <w:cols w:equalWidth="0" w:num="2">
            <w:col w:w="7800" w:space="200"/>
            <w:col w:w="3260"/>
          </w:cols>
          <w:pgMar w:left="320" w:top="256" w:right="319" w:bottom="1440" w:gutter="0" w:footer="0" w:header="0"/>
          <w:type w:val="continuous"/>
        </w:sectPr>
      </w:pPr>
    </w:p>
    <w:p>
      <w:pPr>
        <w:ind w:left="1920"/>
        <w:spacing w:after="0"/>
        <w:tabs>
          <w:tab w:leader="none" w:pos="8160" w:val="left"/>
        </w:tabs>
        <w:rPr>
          <w:sz w:val="20"/>
          <w:szCs w:val="20"/>
          <w:color w:val="auto"/>
        </w:rPr>
      </w:pPr>
      <w:r>
        <w:rPr>
          <w:rFonts w:ascii="Times New Roman" w:cs="Times New Roman" w:eastAsia="Times New Roman" w:hAnsi="Times New Roman"/>
          <w:sz w:val="11"/>
          <w:szCs w:val="11"/>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(212) 888-3124</w:t>
      </w:r>
    </w:p>
    <w:p>
      <w:pPr>
        <w:spacing w:after="0" w:line="1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5"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76"/>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33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PGNY</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ind w:left="1080"/>
        <w:spacing w:after="0"/>
        <w:rPr>
          <w:sz w:val="20"/>
          <w:szCs w:val="20"/>
          <w:color w:val="auto"/>
        </w:rPr>
      </w:pPr>
      <w:r>
        <w:rPr>
          <w:rFonts w:ascii="Times New Roman" w:cs="Times New Roman" w:eastAsia="Times New Roman" w:hAnsi="Times New Roman"/>
          <w:sz w:val="14"/>
          <w:szCs w:val="14"/>
          <w:color w:val="auto"/>
        </w:rPr>
        <w:t>$0.0001 par value per share</w:t>
      </w:r>
    </w:p>
    <w:p>
      <w:pPr>
        <w:spacing w:after="0" w:line="228" w:lineRule="exact"/>
        <w:rPr>
          <w:sz w:val="24"/>
          <w:szCs w:val="24"/>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1660" w:type="dxa"/>
        <w:tblCellMar>
          <w:top w:w="0" w:type="dxa"/>
          <w:left w:w="0" w:type="dxa"/>
          <w:bottom w:w="0" w:type="dxa"/>
          <w:right w:w="0" w:type="dxa"/>
        </w:tblCellMar>
      </w:tblPr>
      <w:tr>
        <w:trPr>
          <w:trHeight w:val="201"/>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50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500" w:type="dxa"/>
            <w:vAlign w:val="bottom"/>
          </w:tcPr>
          <w:p>
            <w:pPr>
              <w:ind w:left="760"/>
              <w:spacing w:after="0"/>
              <w:rPr>
                <w:sz w:val="20"/>
                <w:szCs w:val="20"/>
                <w:color w:val="auto"/>
              </w:rPr>
            </w:pPr>
            <w:r>
              <w:rPr>
                <w:rFonts w:ascii="Wingdings" w:cs="Wingdings" w:eastAsia="Wingdings" w:hAnsi="Wingdings"/>
                <w:sz w:val="14"/>
                <w:szCs w:val="14"/>
                <w:b w:val="1"/>
                <w:bCs w:val="1"/>
                <w:color w:val="auto"/>
              </w:rPr>
              <w:t>o</w:t>
            </w: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r>
        <w:trPr>
          <w:trHeight w:val="216"/>
        </w:trPr>
        <w:tc>
          <w:tcPr>
            <w:tcW w:w="2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7" w:lineRule="exact"/>
        <w:rPr>
          <w:sz w:val="24"/>
          <w:szCs w:val="24"/>
          <w:color w:val="auto"/>
        </w:rPr>
      </w:pPr>
    </w:p>
    <w:p>
      <w:pPr>
        <w:ind w:left="660" w:right="326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July 31, 2024, the registrant had 90,276,226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2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760" w:type="dxa"/>
            <w:vAlign w:val="bottom"/>
            <w:gridSpan w:val="11"/>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40" w:type="dxa"/>
            <w:vAlign w:val="bottom"/>
            <w:tcBorders>
              <w:bottom w:val="single" w:sz="8" w:color="0000FF"/>
            </w:tcBorders>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400" w:type="dxa"/>
            <w:vAlign w:val="bottom"/>
            <w:tcBorders>
              <w:bottom w:val="single" w:sz="8" w:color="0000FF"/>
            </w:tcBorders>
            <w:gridSpan w:val="9"/>
            <w:vMerge w:val="continue"/>
          </w:tcPr>
          <w:p>
            <w:pPr>
              <w:spacing w:after="0"/>
              <w:rPr>
                <w:sz w:val="15"/>
                <w:szCs w:val="15"/>
                <w:color w:val="auto"/>
              </w:rPr>
            </w:pPr>
          </w:p>
        </w:tc>
        <w:tc>
          <w:tcPr>
            <w:tcW w:w="6760" w:type="dxa"/>
            <w:vAlign w:val="bottom"/>
            <w:gridSpan w:val="11"/>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8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as of June 30,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Six Months Ended June 30, 2024 and 2023</w:t>
            </w:r>
          </w:p>
        </w:tc>
        <w:tc>
          <w:tcPr>
            <w:tcW w:w="1740" w:type="dxa"/>
            <w:vAlign w:val="bottom"/>
            <w:gridSpan w:val="3"/>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1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and Six Months Ended June 30, 2024 and 2023</w:t>
            </w:r>
          </w:p>
        </w:tc>
        <w:tc>
          <w:tcPr>
            <w:tcW w:w="820" w:type="dxa"/>
            <w:vAlign w:val="bottom"/>
            <w:gridSpan w:val="2"/>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Three and Six Months Ended June 30, 2024 and 2023</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380" w:type="dxa"/>
            <w:vAlign w:val="bottom"/>
            <w:tcBorders>
              <w:top w:val="single" w:sz="8" w:color="0000FF"/>
            </w:tcBorders>
            <w:gridSpan w:val="5"/>
          </w:tcPr>
          <w:p>
            <w:pPr>
              <w:spacing w:after="0"/>
              <w:rPr>
                <w:sz w:val="20"/>
                <w:szCs w:val="20"/>
                <w:color w:val="auto"/>
              </w:rPr>
            </w:pPr>
          </w:p>
        </w:tc>
        <w:tc>
          <w:tcPr>
            <w:tcW w:w="2460" w:type="dxa"/>
            <w:vAlign w:val="bottom"/>
            <w:gridSpan w:val="4"/>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Borders>
              <w:bottom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0"/>
                <w:szCs w:val="20"/>
                <w:color w:val="auto"/>
              </w:rPr>
            </w:pPr>
          </w:p>
        </w:tc>
        <w:tc>
          <w:tcPr>
            <w:tcW w:w="2700" w:type="dxa"/>
            <w:vAlign w:val="bottom"/>
            <w:gridSpan w:val="5"/>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80" w:type="dxa"/>
            <w:vAlign w:val="bottom"/>
            <w:gridSpan w:val="3"/>
          </w:tcPr>
          <w:p>
            <w:pPr>
              <w:spacing w:after="0"/>
              <w:rPr>
                <w:sz w:val="20"/>
                <w:szCs w:val="20"/>
                <w:color w:val="auto"/>
              </w:rPr>
            </w:pPr>
          </w:p>
        </w:tc>
        <w:tc>
          <w:tcPr>
            <w:tcW w:w="580" w:type="dxa"/>
            <w:vAlign w:val="bottom"/>
          </w:tcPr>
          <w:p>
            <w:pPr>
              <w:spacing w:after="0"/>
              <w:rPr>
                <w:sz w:val="20"/>
                <w:szCs w:val="20"/>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80" w:type="dxa"/>
            <w:vAlign w:val="bottom"/>
            <w:gridSpan w:val="14"/>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80" w:type="dxa"/>
            <w:vAlign w:val="bottom"/>
          </w:tcPr>
          <w:p>
            <w:pPr>
              <w:spacing w:after="0"/>
              <w:rPr>
                <w:sz w:val="24"/>
                <w:szCs w:val="24"/>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14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740" w:type="dxa"/>
            <w:vAlign w:val="bottom"/>
            <w:gridSpan w:val="21"/>
          </w:tcPr>
          <w:p>
            <w:pPr>
              <w:ind w:left="580"/>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Borders>
              <w:bottom w:val="single" w:sz="8" w:color="0000FF"/>
            </w:tcBorders>
          </w:tcPr>
          <w:p>
            <w:pPr>
              <w:spacing w:after="0"/>
              <w:rPr>
                <w:sz w:val="20"/>
                <w:szCs w:val="20"/>
                <w:color w:val="auto"/>
              </w:rPr>
            </w:pPr>
          </w:p>
        </w:tc>
        <w:tc>
          <w:tcPr>
            <w:tcW w:w="580" w:type="dxa"/>
            <w:vAlign w:val="bottom"/>
          </w:tcPr>
          <w:p>
            <w:pPr>
              <w:spacing w:after="0"/>
              <w:rPr>
                <w:sz w:val="20"/>
                <w:szCs w:val="20"/>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00" w:type="dxa"/>
            <w:vAlign w:val="bottom"/>
            <w:gridSpan w:val="8"/>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820" w:type="dxa"/>
            <w:vAlign w:val="bottom"/>
            <w:gridSpan w:val="12"/>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580" w:type="dxa"/>
            <w:vAlign w:val="bottom"/>
          </w:tcPr>
          <w:p>
            <w:pPr>
              <w:spacing w:after="0"/>
              <w:rPr>
                <w:sz w:val="20"/>
                <w:szCs w:val="20"/>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380" w:type="dxa"/>
            <w:vAlign w:val="bottom"/>
            <w:gridSpan w:val="14"/>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0" w:type="dxa"/>
            <w:vAlign w:val="bottom"/>
            <w:tcBorders>
              <w:top w:val="single" w:sz="8" w:color="0000FF"/>
            </w:tcBorders>
          </w:tcPr>
          <w:p>
            <w:pPr>
              <w:spacing w:after="0"/>
              <w:rPr>
                <w:sz w:val="20"/>
                <w:szCs w:val="20"/>
                <w:color w:val="auto"/>
              </w:rPr>
            </w:pP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20" w:type="dxa"/>
            <w:vAlign w:val="bottom"/>
            <w:gridSpan w:val="15"/>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700" w:type="dxa"/>
            <w:vAlign w:val="bottom"/>
            <w:gridSpan w:val="11"/>
          </w:tcPr>
          <w:p>
            <w:pPr>
              <w:jc w:val="right"/>
              <w:ind w:right="110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and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impacts of the COVID-19 pandemic, including variants,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“seek,” “assume,” “future,”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83"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results of operations, which would cause our stock price to decline.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fertility market in which we participate is competitive, and if we do not continue to compete effectively, our results of operations could be harmed.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global economy or our industry could limit our ability to grow our business and negatively affect our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clients, our business, financial condition and results of operations would be adversely affected.</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including variants and resurgences, has had and may continue to have, and similar health epidemics or pandemics could in the future have, an adverse impact on our business, operations, and the markets and communities in which we and our clients, members and providers operate.</w:t>
      </w:r>
    </w:p>
    <w:p>
      <w:pPr>
        <w:spacing w:after="0" w:line="19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level or the mix of the utilization of our solutions could have an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platform of solutions, which makes it difficult to predict our future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benefits industry may be subject to negative publicity,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and monitoring of, third parties, including channel partners and vendors, as well as insurance carriers.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1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must comply with a significant number of complex and evolving legal and regulatory requirements, as well as complex judicial mandates.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terms “Progyny,” “the Company,” “we,” “our” and “us” refer to Progyny, Inc. and its wholly owned subsidiaries.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announce material information to the public through filings with the SEC, our investor relations website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97,296</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273,791</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$54,081 and $46,636 of allowances at June 30, 2024 and December 31, 2023,</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640,407</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698,632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756,620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60,524</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6)</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97,028,118 and 96,348,522 shares</w:t>
            </w: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90,711,413 and 96,348,522 shares outstanding at June 30, 2024 and December 31, 2023, respectively</w:t>
            </w:r>
          </w:p>
        </w:tc>
        <w:tc>
          <w:tcPr>
            <w:tcW w:w="3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461,639</w:t>
            </w:r>
          </w:p>
        </w:tc>
        <w:tc>
          <w:tcPr>
            <w:tcW w:w="0" w:type="dxa"/>
            <w:vAlign w:val="bottom"/>
          </w:tcPr>
          <w:p>
            <w:pPr>
              <w:spacing w:after="0"/>
              <w:rPr>
                <w:sz w:val="1"/>
                <w:szCs w:val="1"/>
                <w:color w:val="auto"/>
              </w:rPr>
            </w:pPr>
          </w:p>
        </w:tc>
      </w:tr>
      <w:tr>
        <w:trPr>
          <w:trHeight w:val="21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$0.0001 par value; 6,932,685 and 615,980 shares at June 30, 2024 and December 31,</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earnings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456,193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553,429</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698,632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756,620</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2700" w:type="dxa"/>
            <w:vAlign w:val="bottom"/>
            <w:gridSpan w:val="4"/>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279,373</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537,767</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235,806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218,732</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451,478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418,486</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60,641</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119,281</w:t>
            </w:r>
          </w:p>
        </w:tc>
        <w:tc>
          <w:tcPr>
            <w:tcW w:w="0" w:type="dxa"/>
            <w:vAlign w:val="bottom"/>
          </w:tcPr>
          <w:p>
            <w:pPr>
              <w:spacing w:after="0"/>
              <w:rPr>
                <w:sz w:val="1"/>
                <w:szCs w:val="1"/>
                <w:color w:val="auto"/>
              </w:rPr>
            </w:pPr>
          </w:p>
        </w:tc>
      </w:tr>
      <w:tr>
        <w:trPr>
          <w:trHeight w:val="25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30,073</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59,420</w:t>
            </w: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45,457</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89,086</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30,195</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5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33,498</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81"/>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2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4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57"/>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93,868,409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94,738,651</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95,160,085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94,290,653</w:t>
            </w: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97,839,576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100,615,919</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99,456,335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100,391,573</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48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32,669</w:t>
            </w: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marketable securities before reclassifications</w:t>
            </w: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1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gains on the sale of marketable securities into</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1"/>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(2,630)</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56"/>
        </w:trPr>
        <w:tc>
          <w:tcPr>
            <w:tcW w:w="5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change on unrealized gains on marketable securities</w:t>
            </w: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50"/>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9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15,760</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32,589</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33,250</w:t>
            </w:r>
          </w:p>
        </w:tc>
      </w:tr>
      <w:tr>
        <w:trPr>
          <w:trHeight w:val="21"/>
        </w:trPr>
        <w:tc>
          <w:tcPr>
            <w:tcW w:w="5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52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20"/>
              <w:spacing w:after="0" w:line="14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0" w:type="dxa"/>
            <w:vAlign w:val="bottom"/>
          </w:tcPr>
          <w:p>
            <w:pPr>
              <w:spacing w:after="0"/>
              <w:rPr>
                <w:sz w:val="11"/>
                <w:szCs w:val="11"/>
                <w:color w:val="auto"/>
              </w:rPr>
            </w:pPr>
          </w:p>
        </w:tc>
        <w:tc>
          <w:tcPr>
            <w:tcW w:w="1000" w:type="dxa"/>
            <w:vAlign w:val="bottom"/>
            <w:gridSpan w:val="2"/>
            <w:vMerge w:val="restart"/>
          </w:tcPr>
          <w:p>
            <w:pPr>
              <w:jc w:val="center"/>
              <w:ind w:right="1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6"/>
                <w:szCs w:val="16"/>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96,115,816</w:t>
            </w:r>
          </w:p>
        </w:tc>
        <w:tc>
          <w:tcPr>
            <w:tcW w:w="8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489,343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106,869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571,604</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188,725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33,319</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(5,593,128)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(161,498)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(161,498)</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16,485</w:t>
            </w:r>
          </w:p>
        </w:tc>
        <w:tc>
          <w:tcPr>
            <w:tcW w:w="0" w:type="dxa"/>
            <w:vAlign w:val="bottom"/>
          </w:tcPr>
          <w:p>
            <w:pPr>
              <w:spacing w:after="0"/>
              <w:rPr>
                <w:sz w:val="1"/>
                <w:szCs w:val="1"/>
                <w:color w:val="auto"/>
              </w:rPr>
            </w:pP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90,711,413</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(188,865)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519,670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123,354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456,193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2023:</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94,319,215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379,065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424,401</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846,038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31,899</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95,165,253</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408,814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60,603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469,499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96,348,522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461,639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89,971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553,429</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679,596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64,525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64,525</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(6,316,705)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(187,856)</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33,383</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90,711,413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(188,865)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519,670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123,354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456,193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2023:</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93,301,156</w:t>
            </w:r>
          </w:p>
        </w:tc>
        <w:tc>
          <w:tcPr>
            <w:tcW w:w="8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349,533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376,968</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1,864,097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62,846</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32,669</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95,165,253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469,499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25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33,383</w:t>
            </w:r>
          </w:p>
        </w:tc>
        <w:tc>
          <w:tcPr>
            <w:tcW w:w="10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32,669</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tax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824</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Non-cash interest income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1,068</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64,088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62,561</w:t>
            </w:r>
          </w:p>
        </w:tc>
      </w:tr>
      <w:tr>
        <w:trPr>
          <w:trHeight w:val="208"/>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Bad debt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9,794</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Realized gains on sale of marketable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(1,324)</w:t>
            </w:r>
          </w:p>
        </w:tc>
      </w:tr>
      <w:tr>
        <w:trPr>
          <w:trHeight w:val="225"/>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Foreign currency exchange rate loss (gain)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1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(34,686)</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(9,189)</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20,853</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13,829</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 noncurrent assets and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82,426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96,973</w:t>
            </w:r>
          </w:p>
        </w:tc>
      </w:t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property and equipment,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(2,010)</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marketable securities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(158,639)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(120,599)</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 of marketable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271,099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79,813</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Acquisition of business, net of cash acquired</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105,440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(42,796)</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0"/>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(183,723)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3,124</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 of employee taxes related to equity awards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(7,426)</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contributions to employee stock purchase plan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(190,200)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(3,685)</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50,492</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120,078</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170,570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income taxes, net of refunds received</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17,317</w:t>
            </w:r>
          </w:p>
        </w:tc>
        <w:tc>
          <w:tcPr>
            <w:tcW w:w="10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w:t>
            </w:r>
          </w:p>
        </w:tc>
      </w:tr>
      <w:tr>
        <w:trPr>
          <w:trHeight w:val="21"/>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Additions of property and equipment, net included in accounts payable and accrued expenses</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10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w:t>
            </w: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 Inc. (together with its subsidiaries referred to as “Progyny” or the “Company”) was incorporated in the state of Delaware on April 3, 2008, and maintains its corporate headquarters in New York, 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client success teams, and end to end comprehensive concierge member support provided by Progyny’s in-house staff of Patient Care Advocates (“PCAs”) (collectively, the “care management services”).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enhanced its fertility benefits solution with the launch of Progyny Rx, its pharmacy benefits solution, effective January 1, 2018. Progyny Rx provides the Company's members with access to the medications needed during their fertility treatment.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the Company's financial position as of June 30, 2024, the results of the Company's operations for the three and six months ended June 30, 2024 and 2023 and the results of the Company's cash flows for the six months ended June 30, 2024 and 2023. Therefore, these unaudited consolidated financial statements should be read in conjunction with the audited consolidated financial statements and related footnotes included in the Company’s Annual Report on Form 10-K for the fiscal year ended December 31, 2023, filed with the SEC on February 29, 2024 (the “Annual Report on Form 10-K”).</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results for the three and six months ended June 30, 2024 are not necessarily indicative of the operating results expected for the year ending December 31, 2024 or any other future period. Additionally, the coronavirus (“COVID-19”) pandemic continues to evolve and due to the uncertainty of the pandemic, including variants, the Company’s customers and members, provider network, specialty pharmacy partners, employees, suppliers, vendors, and other business partners may continue to be impacted in future periods. A resurgence of COVID-19 could have a material adverse effect on the Company’s business, financial condition, results of operations and growth prospects. The Company will continue to assess these potential impacts to its business and will make adjustments to its operations as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as compared to the significant accounting policies described in Note 2 of the Company’s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the following five-step model to recognize revenue from contracts with clients: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benefits services provided. As a result, the fixed rate per Smart Cycle is included in the transaction price and recognized in the period in which the Smart Cycle is provided to the member.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 There were no material contract asset or contract liability balances as of June 30,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Receivables and Accrued Claims Payable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accrued receivables were $67.6 million and $45.8 million, respectively. Accrued receivables are included within accounts receivable in the consolidated balance sheet.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Accrued claims payable of $40.0 million and $30.3 million as of June 30, 2024 and December 31, 2023, respectively, are included within accrued expenses and other current liabilities in the consolidated balance sheet. Claims payable are generally paid within 30 days based on contractual terms.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unbilled receivables, which represent claims received and approved but unbilled at the end of the reporting period, were $76.5 million and $45.1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consolidated statements of operations. The following table provides a summary of the activity in this allowance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 Costs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9"/>
              </w:rPr>
              <w:t>at End</w:t>
            </w:r>
          </w:p>
        </w:tc>
      </w:tr>
      <w:tr>
        <w:trPr>
          <w:trHeight w:val="20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80" w:type="dxa"/>
            <w:vAlign w:val="bottom"/>
          </w:tcPr>
          <w:p>
            <w:pPr>
              <w:spacing w:after="0"/>
              <w:rPr>
                <w:sz w:val="17"/>
                <w:szCs w:val="17"/>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54,081</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 (such as through a specialty pharmacy). These rebates are recognized as a reduction of cost of services when prescriptions are dispensed and are generally estimated and billed to manufacturers within 20 days after the end of each month. The effect of adjustments resulting from the reconciliation of rebates recognized to the amounts billed and collected has not been material to the Company’s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standard is intended to provide a better understanding of an entity's overall performance and business activities through improved disclosure about an entity's reportable segments, including more detailed information about reportable segment expenses. The new standard will be effective for the Company for the fiscal year beginning January 1, 2024 and for interim periods within the fiscal year beginning January 1, 2025. While the new standard requires additional footnote disclosure, the Company currently does not expect the adoption of the new standard to have a material effect on its consolidated financial statements.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standard is intended to enhance the transparency and decision usefulness of income tax disclosures primarily through changes to the rate reconciliation and income taxes paid information. The new standard will be effective for the Company for the fiscal year beginning January 1, 2025. While the new standard requires further disaggregation of the income tax footnote, the Company currently does not expect the adoption of the new standard to have a material effect on its consolidated financial statements.</w:t>
      </w:r>
    </w:p>
    <w:p>
      <w:pPr>
        <w:spacing w:after="0" w:line="17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revenue by service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Fertility benefits services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172,738</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363,332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329,883</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Pharmacy benefits services revenue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106,635</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218,833</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207,884</w:t>
            </w:r>
          </w:p>
        </w:tc>
        <w:tc>
          <w:tcPr>
            <w:tcW w:w="20" w:type="dxa"/>
            <w:vAlign w:val="bottom"/>
          </w:tcPr>
          <w:p>
            <w:pPr>
              <w:spacing w:after="0"/>
              <w:rPr>
                <w:sz w:val="21"/>
                <w:szCs w:val="21"/>
                <w:color w:val="auto"/>
              </w:rPr>
            </w:pPr>
          </w:p>
        </w:tc>
      </w:tr>
      <w:tr>
        <w:trPr>
          <w:trHeight w:val="281"/>
        </w:trPr>
        <w:tc>
          <w:tcPr>
            <w:tcW w:w="20" w:type="dxa"/>
            <w:vAlign w:val="bottom"/>
          </w:tcPr>
          <w:p>
            <w:pPr>
              <w:spacing w:after="0"/>
              <w:rPr>
                <w:sz w:val="24"/>
                <w:szCs w:val="24"/>
                <w:color w:val="auto"/>
              </w:rPr>
            </w:pPr>
          </w:p>
        </w:tc>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304,087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279,373</w:t>
            </w:r>
          </w:p>
        </w:tc>
        <w:tc>
          <w:tcPr>
            <w:tcW w:w="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582,165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537,767</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3 — Prices or valuation techniques that require inputs that are both significant to the fair value of the asset or liability and supported by little or no market activity.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uses observable market data when available, and minimizes the use of unobservable inputs when determining fair value.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 Company had $96.4 million and $35.2 million, respectively, in financial assets held in money market accounts and $167.2 million and $273.8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did not have any assets or liabilities classified as Level 2 or Level 3 in the fair value hierarchy.</w:t>
      </w:r>
    </w:p>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the Company’s sublease agreement for the 25,212 square foot office in its corporate headquarters commenced in New York, NY and is scheduled to expire in May 2029. Pursuant to the sublease, the Company is obligated to pay the base rent of approximately $1.3 million per annum through the end of the fifth lease year and approximately $1.4 million per annum thereafter through the expiration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2023, the Company's lease agreement for the additional 24,099 square foot office in its corporate offices commenced in New York, NY and is expected to expire in the fourth quarter of 2035. In accordance with ASC 842, the Company recorded right-of-use assets and lease liabilities of $12.2 million and $12.1 million, respectively. Pursuant to the lease, the Company is obligated to pay the base rent of approximately $1.4 million per annum through the end of the fifth lease year and approximately $1.5 million per annum thereafter through the expiration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over the lease term. Lease expense for the three months ended June 30, 2024 and 2023 was $0.7 million and $0.6 million, respectively. For the six months ended June 30, 2024 and 2023, lease expense was $1.3 million and $1.0 million,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outflows from operating activities attributable to the operating leases for the six months ended June 30, 2024 and 2023 was $0.9 million and $0.6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the Company's leases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0" w:type="dxa"/>
            <w:vAlign w:val="bottom"/>
          </w:tcPr>
          <w:p>
            <w:pPr>
              <w:spacing w:after="0"/>
              <w:rPr>
                <w:sz w:val="1"/>
                <w:szCs w:val="1"/>
                <w:color w:val="auto"/>
              </w:rPr>
            </w:pPr>
          </w:p>
        </w:tc>
      </w:tr>
      <w:tr>
        <w:trPr>
          <w:trHeight w:val="25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4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operating lease</w:t>
            </w:r>
          </w:p>
        </w:tc>
        <w:tc>
          <w:tcPr>
            <w:tcW w:w="220" w:type="dxa"/>
            <w:vAlign w:val="bottom"/>
          </w:tcPr>
          <w:p>
            <w:pPr>
              <w:spacing w:after="0"/>
              <w:rPr>
                <w:sz w:val="21"/>
                <w:szCs w:val="21"/>
                <w:color w:val="auto"/>
              </w:rPr>
            </w:pPr>
          </w:p>
        </w:tc>
        <w:tc>
          <w:tcPr>
            <w:tcW w:w="13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9.0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years</w:t>
            </w:r>
          </w:p>
        </w:tc>
        <w:tc>
          <w:tcPr>
            <w:tcW w:w="0" w:type="dxa"/>
            <w:vAlign w:val="bottom"/>
          </w:tcPr>
          <w:p>
            <w:pPr>
              <w:spacing w:after="0"/>
              <w:rPr>
                <w:sz w:val="1"/>
                <w:szCs w:val="1"/>
                <w:color w:val="auto"/>
              </w:rPr>
            </w:pP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operating lease</w:t>
            </w:r>
          </w:p>
        </w:tc>
        <w:tc>
          <w:tcPr>
            <w:tcW w:w="4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facility lease payments related to the Company's operating lease liabilities as of June 30, 2024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0" w:type="dxa"/>
            <w:vAlign w:val="bottom"/>
          </w:tcPr>
          <w:p>
            <w:pPr>
              <w:spacing w:after="0"/>
              <w:rPr>
                <w:sz w:val="16"/>
                <w:szCs w:val="16"/>
                <w:color w:val="auto"/>
              </w:rPr>
            </w:pPr>
          </w:p>
        </w:tc>
        <w:tc>
          <w:tcPr>
            <w:tcW w:w="392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Operating Lease Payments as of June 30, 2024</w:t>
            </w:r>
          </w:p>
        </w:tc>
      </w:tr>
      <w:tr>
        <w:trPr>
          <w:trHeight w:val="23"/>
        </w:trPr>
        <w:tc>
          <w:tcPr>
            <w:tcW w:w="6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5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5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21"/>
                <w:szCs w:val="21"/>
                <w:color w:val="auto"/>
              </w:rPr>
            </w:pP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6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spacing w:after="0"/>
              <w:rPr>
                <w:sz w:val="22"/>
                <w:szCs w:val="22"/>
                <w:color w:val="auto"/>
              </w:rPr>
            </w:pP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5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21"/>
                <w:szCs w:val="21"/>
                <w:color w:val="auto"/>
              </w:rPr>
            </w:pP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6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22"/>
                <w:szCs w:val="22"/>
                <w:color w:val="auto"/>
              </w:rPr>
            </w:pP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5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10,998</w:t>
            </w:r>
          </w:p>
        </w:tc>
      </w:tr>
      <w:tr>
        <w:trPr>
          <w:trHeight w:val="257"/>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24,419</w:t>
            </w:r>
          </w:p>
        </w:tc>
      </w:tr>
      <w:tr>
        <w:trPr>
          <w:trHeight w:val="25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r>
      <w:tr>
        <w:trPr>
          <w:trHeight w:val="25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19,866</w:t>
            </w:r>
          </w:p>
        </w:tc>
      </w:tr>
      <w:tr>
        <w:trPr>
          <w:trHeight w:val="25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r>
      <w:tr>
        <w:trPr>
          <w:trHeight w:val="257"/>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2022 Lease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noted above, the Company commenced its lease for the 24,099 square foot office in its corporate offices in New York, NY in February 2023, pursuant to a lease agreement entered into by the Company in February 2022. The lease agreement also provides for additional space in the Company's corporate offices, including an additional 21,262 square foot office and continued occupancy of the 25,212 square foot office after the expiration of the current sublease. For the 21,262 square foot office, the lease commencement date, which is when the premises will become available to the Company for use, is currently expected to be in the fourth quarter of 2024. The Company is obligated to pay the base rent of approximately $1.3 million starting in the fourth quarter of 2025 for five years and approximately $1.4 million per year thereafter through the fourth quarter of 2035, the expected expiration date. For the current 25,212 square foot office, the Company is obligated to pay the base rent of approximately $1.6 million per year beginning in June 2029, which is the lease commencement, through the fourth quarter of 2035, the expected expiration date.</w:t>
      </w:r>
    </w:p>
    <w:p>
      <w:pPr>
        <w:spacing w:after="0" w:line="18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8960" w:firstLine="8"/>
        <w:spacing w:after="0" w:line="495" w:lineRule="auto"/>
        <w:tabs>
          <w:tab w:leader="none" w:pos="64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Share Repurchase Programs</w:t>
      </w:r>
    </w:p>
    <w:p>
      <w:pPr>
        <w:spacing w:after="0" w:line="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February 2024, the Company’s Board of Directors authorized a share repurchase program of up to $100 million in shares of common stock (the “February 2024 share repurchase program”). In May 2024, the Company’s Board of Directors authorized an additional share repurchase program of up to $100 million in shares of common stock (the “May 2024 share repurchase program”).</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repurchased a total of 6,316,705 shares of common stock under the share repurchase programs at an average price per share of $29.45 and a total cost of $187.9 million, inclusive of excise taxes and trading fees. As of July 2024, the February share repurchase program and the May 2024 share repurchase program were completed, and no amounts remained available for repurchase under the programs.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2024, the Company’s Board of Directors authorized an additional share repurchase program of up to $100 million in shares of common stock (the “August 2024 share repurchase program”). Repurchases under the program may be made in the form of open market repurchases, including through plans complying with Rule 10b5-1 under the Exchange Act, depending on stock price, market conditions, and other factors, as determined by the Company. There can be no assurance as to the number of shares to be repurchased by the Company under the August 2024 share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which was included in the statements of operations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46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r>
      <w:tr>
        <w:trPr>
          <w:trHeight w:val="195"/>
        </w:trPr>
        <w:tc>
          <w:tcPr>
            <w:tcW w:w="49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49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9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13,451</w:t>
            </w: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16,058</w:t>
            </w:r>
          </w:p>
        </w:tc>
        <w:tc>
          <w:tcPr>
            <w:tcW w:w="2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30,193</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32,084</w:t>
            </w: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33,036</w:t>
            </w:r>
          </w:p>
        </w:tc>
        <w:tc>
          <w:tcPr>
            <w:tcW w:w="100" w:type="dxa"/>
            <w:vAlign w:val="bottom"/>
          </w:tcPr>
          <w:p>
            <w:pPr>
              <w:spacing w:after="0"/>
              <w:rPr>
                <w:sz w:val="21"/>
                <w:szCs w:val="21"/>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31,753</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16"/>
                <w:szCs w:val="16"/>
                <w:color w:val="auto"/>
              </w:rPr>
            </w:pPr>
          </w:p>
        </w:tc>
        <w:tc>
          <w:tcPr>
            <w:tcW w:w="3500" w:type="dxa"/>
            <w:vAlign w:val="bottom"/>
            <w:gridSpan w:val="7"/>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22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6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175"/>
        </w:trPr>
        <w:tc>
          <w:tcPr>
            <w:tcW w:w="3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before</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reclassifications, net of tax</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comprehensive income, net of tax</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155"/>
        </w:trPr>
        <w:tc>
          <w:tcPr>
            <w:tcW w:w="38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6"/>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6"/>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12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38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380" w:type="dxa"/>
            <w:vAlign w:val="bottom"/>
          </w:tcPr>
          <w:p>
            <w:pPr>
              <w:spacing w:after="0"/>
              <w:rPr>
                <w:sz w:val="11"/>
                <w:szCs w:val="11"/>
                <w:color w:val="auto"/>
              </w:rPr>
            </w:pPr>
          </w:p>
        </w:tc>
        <w:tc>
          <w:tcPr>
            <w:tcW w:w="7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176"/>
        </w:trPr>
        <w:tc>
          <w:tcPr>
            <w:tcW w:w="3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before</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reclassifications, net of tax</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comprehensive income, net of tax</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156"/>
        </w:trPr>
        <w:tc>
          <w:tcPr>
            <w:tcW w:w="38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right="540" w:firstLine="8"/>
        <w:spacing w:after="0" w:line="26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gains of $2.6 million, net of tax expense of $0.7 million, for the three months ended June 30, 2024 and unrealized gains of $1.2 million, net of tax expense of $0, for the three months ended June 30, 2023</w:t>
      </w:r>
    </w:p>
    <w:p>
      <w:pPr>
        <w:spacing w:after="0" w:line="5" w:lineRule="exact"/>
        <w:rPr>
          <w:rFonts w:ascii="Times New Roman" w:cs="Times New Roman" w:eastAsia="Times New Roman" w:hAnsi="Times New Roman"/>
          <w:sz w:val="18"/>
          <w:szCs w:val="18"/>
          <w:color w:val="auto"/>
        </w:rPr>
      </w:pPr>
    </w:p>
    <w:p>
      <w:pPr>
        <w:ind w:right="700" w:firstLine="8"/>
        <w:spacing w:after="0" w:line="26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gains of $5.9 million, net of tax expense of $1.6 million, for the six months ended June 30, 2024 and unrealized gains of $1.9 million, net of tax expense of $0, for the six months ended June 30, 2023</w:t>
      </w:r>
    </w:p>
    <w:p>
      <w:pPr>
        <w:spacing w:after="0" w:line="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net income of amounts reclassified from accumulated other comprehensive income were as follows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95"/>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 Income</w:t>
            </w: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Affected Line Item in Statement of</w:t>
            </w:r>
          </w:p>
        </w:tc>
      </w:tr>
      <w:tr>
        <w:trPr>
          <w:trHeight w:val="19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60" w:type="dxa"/>
            <w:vAlign w:val="bottom"/>
          </w:tcPr>
          <w:p>
            <w:pPr>
              <w:spacing w:after="0"/>
              <w:rPr>
                <w:sz w:val="17"/>
                <w:szCs w:val="17"/>
                <w:color w:val="auto"/>
              </w:rPr>
            </w:pPr>
          </w:p>
        </w:tc>
        <w:tc>
          <w:tcPr>
            <w:tcW w:w="8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64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Operations</w:t>
            </w:r>
          </w:p>
        </w:tc>
      </w:tr>
      <w:tr>
        <w:trPr>
          <w:trHeight w:val="228"/>
        </w:trPr>
        <w:tc>
          <w:tcPr>
            <w:tcW w:w="36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 on marketable securities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r>
      <w:tr>
        <w:trPr>
          <w:trHeight w:val="230"/>
        </w:trPr>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r>
      <w:tr>
        <w:trPr>
          <w:trHeight w:val="230"/>
        </w:trPr>
        <w:tc>
          <w:tcPr>
            <w:tcW w:w="3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8"/>
        </w:trPr>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r>
    </w:tbl>
    <w:p>
      <w:pPr>
        <w:spacing w:after="0" w:line="28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and 2023,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six months ended June 30, 2024 and 2023, the Company recorded a provision for income taxes of $14.2 million and $0.8 million, respectively, primarily driven by the Company's operating profit, partially offset by equity compensation activity that occurred during each period.</w:t>
      </w:r>
    </w:p>
    <w:p>
      <w:pPr>
        <w:spacing w:after="0" w:line="183"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17, 2024, the Company completed its acquisition of Apryl GmbH, a Berlin-based fertility benefits platform, to expand its global offering. The transaction was for a purchase price of €5.1 million, or $5.5 million based on the exchange rate on the acquisition closing date, and was accounted for using the acquisition method. As a result, tangible and intangible assets acquired and liabilities assumed were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pacing w:after="0" w:line="183"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Basic net income per share is calculated by dividing the net income by the weighted-average number of shares of common stock outstanding for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is the same as basic net loss per share because dilutive common shares are not assumed to have been issued if their effect is anti-dilutive. A reconciliation of net income and the number of shares in the calculation of basic and diluted net income per share is as follows (in thousands,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Basic net income per common share:</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16,485</w:t>
            </w:r>
          </w:p>
        </w:tc>
        <w:tc>
          <w:tcPr>
            <w:tcW w:w="8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14,991</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33,383</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32,669</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shares used in computing basic net income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93,868,409</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94,738,651</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95,160,085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94,290,653</w:t>
            </w:r>
          </w:p>
        </w:tc>
        <w:tc>
          <w:tcPr>
            <w:tcW w:w="0" w:type="dxa"/>
            <w:vAlign w:val="bottom"/>
          </w:tcPr>
          <w:p>
            <w:pPr>
              <w:spacing w:after="0"/>
              <w:rPr>
                <w:sz w:val="1"/>
                <w:szCs w:val="1"/>
                <w:color w:val="auto"/>
              </w:rPr>
            </w:pPr>
          </w:p>
        </w:tc>
      </w:tr>
      <w:tr>
        <w:trPr>
          <w:trHeight w:val="233"/>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income per common share: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16,485</w:t>
            </w:r>
          </w:p>
        </w:tc>
        <w:tc>
          <w:tcPr>
            <w:tcW w:w="8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14,991</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33,383</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32,669</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shares used in computing basic net income per share</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93,868,409</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94,738,651</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95,160,085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94,290,653</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3,558,853</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4,964,878</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3,748,342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5,276,642</w:t>
            </w:r>
          </w:p>
        </w:tc>
        <w:tc>
          <w:tcPr>
            <w:tcW w:w="0" w:type="dxa"/>
            <w:vAlign w:val="bottom"/>
          </w:tcPr>
          <w:p>
            <w:pPr>
              <w:spacing w:after="0"/>
              <w:rPr>
                <w:sz w:val="1"/>
                <w:szCs w:val="1"/>
                <w:color w:val="auto"/>
              </w:rPr>
            </w:pPr>
          </w:p>
        </w:tc>
      </w:tr>
      <w:tr>
        <w:trPr>
          <w:trHeight w:val="210"/>
        </w:trPr>
        <w:tc>
          <w:tcPr>
            <w:tcW w:w="4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issuable under ESPP</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288,081</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538,316</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290,035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537,118</w:t>
            </w:r>
          </w:p>
        </w:tc>
        <w:tc>
          <w:tcPr>
            <w:tcW w:w="0" w:type="dxa"/>
            <w:vAlign w:val="bottom"/>
          </w:tcPr>
          <w:p>
            <w:pPr>
              <w:spacing w:after="0"/>
              <w:rPr>
                <w:sz w:val="1"/>
                <w:szCs w:val="1"/>
                <w:color w:val="auto"/>
              </w:rPr>
            </w:pPr>
          </w:p>
        </w:tc>
      </w:tr>
      <w:tr>
        <w:trPr>
          <w:trHeight w:val="210"/>
        </w:trPr>
        <w:tc>
          <w:tcPr>
            <w:tcW w:w="4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stock units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121,193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372,427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287,055</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effect of dilutive securities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3,971,167</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5,877,268</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4,296,250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6,100,920</w:t>
            </w:r>
          </w:p>
        </w:tc>
        <w:tc>
          <w:tcPr>
            <w:tcW w:w="0" w:type="dxa"/>
            <w:vAlign w:val="bottom"/>
          </w:tcPr>
          <w:p>
            <w:pPr>
              <w:spacing w:after="0"/>
              <w:rPr>
                <w:sz w:val="1"/>
                <w:szCs w:val="1"/>
                <w:color w:val="auto"/>
              </w:rPr>
            </w:pPr>
          </w:p>
        </w:tc>
      </w:tr>
      <w:tr>
        <w:trPr>
          <w:trHeight w:val="175"/>
        </w:trPr>
        <w:tc>
          <w:tcPr>
            <w:tcW w:w="486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Weighted-average shares used in computing diluted net income per</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97,839,576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100,615,919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99,456,335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100,391,573</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income per share for the period presented because including them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4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4860" w:type="dxa"/>
            <w:vAlign w:val="bottom"/>
          </w:tcPr>
          <w:p>
            <w:pPr>
              <w:spacing w:after="0"/>
              <w:rPr>
                <w:sz w:val="16"/>
                <w:szCs w:val="16"/>
                <w:color w:val="auto"/>
              </w:rPr>
            </w:pPr>
          </w:p>
        </w:tc>
        <w:tc>
          <w:tcPr>
            <w:tcW w:w="2000" w:type="dxa"/>
            <w:vAlign w:val="bottom"/>
            <w:gridSpan w:val="3"/>
          </w:tcPr>
          <w:p>
            <w:pPr>
              <w:jc w:val="center"/>
              <w:ind w:left="9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3"/>
        </w:trPr>
        <w:tc>
          <w:tcPr>
            <w:tcW w:w="48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4860" w:type="dxa"/>
            <w:vAlign w:val="bottom"/>
          </w:tcPr>
          <w:p>
            <w:pPr>
              <w:spacing w:after="0"/>
              <w:rPr>
                <w:sz w:val="16"/>
                <w:szCs w:val="16"/>
                <w:color w:val="auto"/>
              </w:rPr>
            </w:pPr>
          </w:p>
        </w:tc>
        <w:tc>
          <w:tcPr>
            <w:tcW w:w="15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8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13,667,019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11,952,205</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13,111,238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11,866,389</w:t>
            </w:r>
          </w:p>
        </w:tc>
      </w:tr>
      <w:tr>
        <w:trPr>
          <w:trHeight w:val="25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2,442,920</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1,089,701</w:t>
            </w:r>
          </w:p>
        </w:tc>
        <w:tc>
          <w:tcPr>
            <w:tcW w:w="24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1,558,562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1,487,082</w:t>
            </w:r>
          </w:p>
        </w:tc>
      </w:tr>
      <w:tr>
        <w:trPr>
          <w:trHeight w:val="281"/>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16,109,939</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13,041,906</w:t>
            </w:r>
          </w:p>
        </w:tc>
        <w:tc>
          <w:tcPr>
            <w:tcW w:w="2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14,669,800</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13,353,471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2023, filed with the SEC on February 29, 2024.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in a world where everyone can realize dreams of family and ideal health. Our mission is to empower healthier, supported journeys through transformative fertility, family building and women's health benefits. Through our differentiated approach to benefits plan design, patient education and support and active network management, our clients’ employees are able to pursue the most effective treatment across life's milestones from the best physicians and achieve optimal outcomes.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460 with at least 1,000 covered lives. We currently provide coverage to approximately 6.4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time period is evidenced by our industry-leading Net Promoter Score, or NPS, of +80 for our fertility benefits solution and +80 for our integrated pharmacy benefits solution, Progyny Rx as of December 31, 2023. Our members experience healthier pregnancies and superior rates of pregnancy and live births, as well as reduced rates of miscarriages and multiple births, saving valuable time and money and limiting personal and professional disruption.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vMerge w:val="restart"/>
          </w:tcPr>
          <w:p>
            <w:pPr>
              <w:jc w:val="center"/>
              <w:ind w:right="80"/>
              <w:spacing w:after="0" w:line="161" w:lineRule="exact"/>
              <w:rPr>
                <w:sz w:val="20"/>
                <w:szCs w:val="20"/>
                <w:color w:val="auto"/>
              </w:rPr>
            </w:pPr>
            <w:r>
              <w:rPr>
                <w:rFonts w:ascii="Times New Roman" w:cs="Times New Roman" w:eastAsia="Times New Roman" w:hAnsi="Times New Roman"/>
                <w:sz w:val="14"/>
                <w:szCs w:val="14"/>
                <w:b w:val="1"/>
                <w:bCs w:val="1"/>
                <w:color w:val="auto"/>
              </w:rPr>
              <w:t>Progyny In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Network</w:t>
            </w:r>
          </w:p>
        </w:tc>
        <w:tc>
          <w:tcPr>
            <w:tcW w:w="182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Progyny In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Network</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Provider Clinic</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National Averages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Provider Clinic</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Averages</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All Provider</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Progyny</w:t>
            </w:r>
          </w:p>
        </w:tc>
        <w:tc>
          <w:tcPr>
            <w:tcW w:w="0" w:type="dxa"/>
            <w:vAlign w:val="bottom"/>
          </w:tcPr>
          <w:p>
            <w:pPr>
              <w:spacing w:after="0"/>
              <w:rPr>
                <w:sz w:val="1"/>
                <w:szCs w:val="1"/>
                <w:color w:val="auto"/>
              </w:rPr>
            </w:pPr>
          </w:p>
        </w:tc>
      </w:tr>
      <w:tr>
        <w:trPr>
          <w:trHeight w:val="22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Clinics</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All Patients</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Members Only</w:t>
            </w:r>
            <w:r>
              <w:rPr>
                <w:rFonts w:ascii="Times New Roman" w:cs="Times New Roman" w:eastAsia="Times New Roman" w:hAnsi="Times New Roman"/>
                <w:sz w:val="18"/>
                <w:szCs w:val="18"/>
                <w:b w:val="1"/>
                <w:bCs w:val="1"/>
                <w:color w:val="auto"/>
                <w:w w:val="98"/>
                <w:vertAlign w:val="superscript"/>
              </w:rPr>
              <w:t>(3)</w:t>
            </w:r>
          </w:p>
        </w:tc>
        <w:tc>
          <w:tcPr>
            <w:tcW w:w="0" w:type="dxa"/>
            <w:vAlign w:val="bottom"/>
          </w:tcPr>
          <w:p>
            <w:pPr>
              <w:spacing w:after="0"/>
              <w:rPr>
                <w:sz w:val="1"/>
                <w:szCs w:val="1"/>
                <w:color w:val="auto"/>
              </w:rPr>
            </w:pPr>
          </w:p>
        </w:tc>
      </w:tr>
      <w:tr>
        <w:trPr>
          <w:trHeight w:val="250"/>
        </w:trPr>
        <w:tc>
          <w:tcPr>
            <w:tcW w:w="560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Live birth rate per attempted retrieval</w:t>
            </w:r>
            <w:r>
              <w:rPr>
                <w:rFonts w:ascii="Times New Roman" w:cs="Times New Roman" w:eastAsia="Times New Roman" w:hAnsi="Times New Roman"/>
                <w:sz w:val="23"/>
                <w:szCs w:val="23"/>
                <w:color w:val="auto"/>
                <w:vertAlign w:val="superscript"/>
              </w:rPr>
              <w:t>(2)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56"/>
        </w:trPr>
        <w:tc>
          <w:tcPr>
            <w:tcW w:w="56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Single embryo transfer rate</w:t>
            </w:r>
            <w:r>
              <w:rPr>
                <w:rFonts w:ascii="Times New Roman" w:cs="Times New Roman" w:eastAsia="Times New Roman" w:hAnsi="Times New Roman"/>
                <w:sz w:val="23"/>
                <w:szCs w:val="23"/>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57"/>
        </w:trPr>
        <w:tc>
          <w:tcPr>
            <w:tcW w:w="56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Pregnancy rate per IVF transfer</w:t>
            </w:r>
            <w:r>
              <w:rPr>
                <w:rFonts w:ascii="Times New Roman" w:cs="Times New Roman" w:eastAsia="Times New Roman" w:hAnsi="Times New Roman"/>
                <w:sz w:val="23"/>
                <w:szCs w:val="23"/>
                <w:color w:val="auto"/>
                <w:vertAlign w:val="superscript"/>
              </w:rPr>
              <w:t>(1)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57"/>
        </w:trPr>
        <w:tc>
          <w:tcPr>
            <w:tcW w:w="56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Miscarriage rate</w:t>
            </w:r>
            <w:r>
              <w:rPr>
                <w:rFonts w:ascii="Times New Roman" w:cs="Times New Roman" w:eastAsia="Times New Roman" w:hAnsi="Times New Roman"/>
                <w:sz w:val="23"/>
                <w:szCs w:val="23"/>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Live birth rate per transfer</w:t>
            </w:r>
            <w:r>
              <w:rPr>
                <w:rFonts w:ascii="Times New Roman" w:cs="Times New Roman" w:eastAsia="Times New Roman" w:hAnsi="Times New Roman"/>
                <w:sz w:val="23"/>
                <w:szCs w:val="23"/>
                <w:color w:val="auto"/>
                <w:vertAlign w:val="superscript"/>
              </w:rPr>
              <w:t>(2)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312"/>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IVF multiples rate</w:t>
            </w:r>
            <w:r>
              <w:rPr>
                <w:rFonts w:ascii="Times New Roman" w:cs="Times New Roman" w:eastAsia="Times New Roman" w:hAnsi="Times New Roman"/>
                <w:sz w:val="23"/>
                <w:szCs w:val="23"/>
                <w:color w:val="auto"/>
                <w:vertAlign w:val="superscript"/>
              </w:rPr>
              <w:t>(2)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6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Society for Assisted Reproductive Technology, or SART, 2020 National Summary Report, finalized in 2023.</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CDC, 2021 National Summary and Clinic Data Sets, published in 2023.</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12-month period ended December 31, 2022.</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r>
        <w:rPr>
          <w:rFonts w:ascii="Times New Roman" w:cs="Times New Roman" w:eastAsia="Times New Roman" w:hAnsi="Times New Roman"/>
          <w:sz w:val="18"/>
          <w:szCs w:val="18"/>
          <w:color w:val="auto"/>
        </w:rPr>
        <w:t>. Our fertility benefits solution includes providing members with access to effective and cost-efficient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vitro fertilization, or IVF, preimplantation genetic testing). We currently offer 20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PCAs can choose their preferred provider clinics within our network and utilize the specific Smart Cycle treatment bundles necessary for the treatment pathway they determine throughout their fertility journey.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client success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Pharmacy Benefits Solution. </w:t>
      </w:r>
      <w:r>
        <w:rPr>
          <w:rFonts w:ascii="Times New Roman" w:cs="Times New Roman" w:eastAsia="Times New Roman" w:hAnsi="Times New Roman"/>
          <w:sz w:val="18"/>
          <w:szCs w:val="18"/>
          <w:color w:val="auto"/>
        </w:rPr>
        <w:t>We went live with our integrated pharmacy benefits solution in 2018. Progyny Rx can only be purchased by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Clients. </w:t>
      </w:r>
      <w:r>
        <w:rPr>
          <w:rFonts w:ascii="Times New Roman" w:cs="Times New Roman" w:eastAsia="Times New Roman" w:hAnsi="Times New Roman"/>
          <w:sz w:val="18"/>
          <w:szCs w:val="18"/>
          <w:color w:val="auto"/>
        </w:rPr>
        <w:t>We currently serve over 460 employers with at least 1,000 covered lives in the United States across more than 40 industries.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clients, who are industry leaders across both high-growth and mature industries and who range in size from approximately 1,000 to 600,000 employees, represent approximately 6.4 million covered lives.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58" w:lineRule="exact"/>
        <w:rPr>
          <w:sz w:val="20"/>
          <w:szCs w:val="20"/>
          <w:color w:val="auto"/>
        </w:rPr>
      </w:pPr>
    </w:p>
    <w:p>
      <w:pPr>
        <w:jc w:val="both"/>
        <w:ind w:left="660" w:hanging="328"/>
        <w:spacing w:after="0" w:line="25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Utilization Component. </w:t>
      </w:r>
      <w:r>
        <w:rPr>
          <w:rFonts w:ascii="Times New Roman" w:cs="Times New Roman" w:eastAsia="Times New Roman" w:hAnsi="Times New Roman"/>
          <w:sz w:val="18"/>
          <w:szCs w:val="18"/>
          <w:color w:val="auto"/>
        </w:rPr>
        <w:t>Clients pay us for the fertility benefits and Progyny Rx solutions utilized by their employees. With respect to the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Population-Based Component. </w:t>
      </w:r>
      <w:r>
        <w:rPr>
          <w:rFonts w:ascii="Times New Roman" w:cs="Times New Roman" w:eastAsia="Times New Roman" w:hAnsi="Times New Roman"/>
          <w:sz w:val="18"/>
          <w:szCs w:val="18"/>
          <w:color w:val="auto"/>
        </w:rPr>
        <w:t>Clients who purchase our fertility benefits solution also typically pay us a per employee per month fee, or PEPM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 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six months ended June 30, 2024 and 2023, respectively.</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196"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8"/>
          <w:szCs w:val="18"/>
          <w:color w:val="auto"/>
        </w:rPr>
        <w:t>Similarly, for existing clients, any changes in plan designs are typically elected by the end of October so that clients can inform their employees of the benefits during the open enrollment period ahead of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plan year start.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Member and Client Base. </w:t>
      </w:r>
      <w:r>
        <w:rPr>
          <w:rFonts w:ascii="Times New Roman" w:cs="Times New Roman" w:eastAsia="Times New Roman" w:hAnsi="Times New Roman"/>
          <w:sz w:val="18"/>
          <w:szCs w:val="18"/>
          <w:color w:val="auto"/>
        </w:rPr>
        <w:t>Our addressable market is primarily large self-insured employers as well as labor populations under the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Relations Act of 1947 (also known as the Taft-Hartley Act) and federal government populations. There are approximately 8,000 employers in the United States who have a minimum of 1,000 employees, who together with Taft-Hartley labor populations and federal government populations, represent approximately 106 million potential covered lives in total. Our current member base of approximately 6.4 million covered lives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June 30, 2024 and December 31, 2023, we served 463 and 392 clients, respectively, representing 6,410,000 and 5,418,000 members, respectively.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8"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Benefits Utilization</w:t>
      </w:r>
      <w:r>
        <w:rPr>
          <w:rFonts w:ascii="Times New Roman" w:cs="Times New Roman" w:eastAsia="Times New Roman" w:hAnsi="Times New Roman"/>
          <w:sz w:val="18"/>
          <w:szCs w:val="18"/>
          <w:color w:val="auto"/>
        </w:rPr>
        <w:t>. A key driver of our revenue is the number of members we serve and the rate at which they utilize their fertility benefits.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 base has grown, our membership has grown from approximately 110,000 members in 2016 when we launched our fertility benefits solution to approximately 6.4 million members as of June 30, 2024.</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number of assisted reproductive treatment, or ART, cycles performed for Progyny members and the member utilization rates for each of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2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60" w:type="dxa"/>
            <w:vAlign w:val="bottom"/>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6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14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6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46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Assisted Reproductive Treatment (ART) Cycles</w:t>
            </w:r>
            <w:r>
              <w:rPr>
                <w:rFonts w:ascii="Times New Roman" w:cs="Times New Roman" w:eastAsia="Times New Roman" w:hAnsi="Times New Roman"/>
                <w:sz w:val="23"/>
                <w:szCs w:val="23"/>
                <w:color w:val="auto"/>
                <w:vertAlign w:val="superscript"/>
              </w:rPr>
              <w:t>(1)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r>
      <w:tr>
        <w:trPr>
          <w:trHeight w:val="256"/>
        </w:trPr>
        <w:tc>
          <w:tcPr>
            <w:tcW w:w="46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All Members</w:t>
            </w:r>
            <w:r>
              <w:rPr>
                <w:rFonts w:ascii="Times New Roman" w:cs="Times New Roman" w:eastAsia="Times New Roman" w:hAnsi="Times New Roman"/>
                <w:sz w:val="23"/>
                <w:szCs w:val="23"/>
                <w:color w:val="auto"/>
                <w:vertAlign w:val="superscript"/>
              </w:rPr>
              <w:t>(2)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57"/>
        </w:trPr>
        <w:tc>
          <w:tcPr>
            <w:tcW w:w="46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Female Only</w:t>
            </w:r>
            <w:r>
              <w:rPr>
                <w:rFonts w:ascii="Times New Roman" w:cs="Times New Roman" w:eastAsia="Times New Roman" w:hAnsi="Times New Roman"/>
                <w:sz w:val="23"/>
                <w:szCs w:val="23"/>
                <w:color w:val="auto"/>
                <w:vertAlign w:val="superscript"/>
              </w:rPr>
              <w:t>(2)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31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Members</w:t>
            </w:r>
            <w:r>
              <w:rPr>
                <w:rFonts w:ascii="Times New Roman" w:cs="Times New Roman" w:eastAsia="Times New Roman" w:hAnsi="Times New Roman"/>
                <w:sz w:val="23"/>
                <w:szCs w:val="23"/>
                <w:color w:val="auto"/>
                <w:vertAlign w:val="superscript"/>
              </w:rPr>
              <w:t>(3)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6,409,000</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5,340,000</w:t>
            </w:r>
          </w:p>
        </w:tc>
        <w:tc>
          <w:tcPr>
            <w:tcW w:w="2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5,330,000</w:t>
            </w: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63" w:lineRule="exact"/>
        <w:rPr>
          <w:sz w:val="20"/>
          <w:szCs w:val="20"/>
          <w:color w:val="auto"/>
        </w:rPr>
      </w:pPr>
    </w:p>
    <w:p>
      <w:pPr>
        <w:ind w:left="340" w:right="20" w:hanging="332"/>
        <w:spacing w:after="0" w:line="282"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ART cycles performed, including IVF with a fresh embryo transfer, IVF freeze all cycles/embryo banking, frozen embryo transfers and egg freezing.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number of unique members utilizing the benefit for that period. Individual periods cannot be combined as member treatments may span multiple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Includes approximately 300,000 members from a single client who are not reflected in utilization as a result of the client's chosen benefit design.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COVID-19 pandemic significantly impacted various markets around the world, including the United States. Restrictions related to COVID-19, including variants, and our responses to them significantly impacted and may continue to impact how our members use our services, access our providers, and how our employees work and provide services to our clients and members, resulting in an impact on our revenue. To the extent that the markets we serve experience increased cases of COVID-19, including variants, state or local governments may reinstitute measures to control its spread, which could again negatively impact our members’ access to care, which could in turn impact our business. We will continue to evaluate the nature and extent of these potential impacts to our business, results of operations and liquidity.</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various risks posed by the COVID-19 pandemic, please refer to Part II, Item 1A. "Risk Factors" included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includes fertility benefits solution revenue, pharmacy benefits solution revenue and PEPM fees.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(or rebates),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 Employee Per Month (PEPM) Fee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clients. Revenue from the PEPM fee is billed and recognized monthly based upon the contractual fee and the number of employees at that specific client for that month.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services has three primary components: (1) fertility benefits services; (2) pharmacy benefits services; and (3) vendor rebates.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sales and marketing and general and administrative expenses.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expense, other related costs, and an allocation of our general overhead, depreciation</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general and administrative expenses on an ongoing basis to support the growth of our business.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primarily includes interest income and expense as well as investment income and losses.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the net deferred tax assets are realizable.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revenue for those periods: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gridSpan w:val="6"/>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4"/>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4"/>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304,087</w:t>
            </w: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279,373</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582,165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537,767</w:t>
            </w: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235,806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218,732</w:t>
            </w: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451,478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418,486</w:t>
            </w:r>
          </w:p>
        </w:tc>
        <w:tc>
          <w:tcPr>
            <w:tcW w:w="0" w:type="dxa"/>
            <w:vAlign w:val="bottom"/>
          </w:tcPr>
          <w:p>
            <w:pPr>
              <w:spacing w:after="0"/>
              <w:rPr>
                <w:sz w:val="1"/>
                <w:szCs w:val="1"/>
                <w:color w:val="auto"/>
              </w:rPr>
            </w:pPr>
          </w:p>
        </w:tc>
      </w:tr>
      <w:tr>
        <w:trPr>
          <w:trHeight w:val="250"/>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60,641</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119,281</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shd w:val="clear" w:color="auto" w:fill="CCEEFF"/>
              </w:rPr>
              <w:t>Sales and marketing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shd w:val="clear" w:color="auto" w:fill="CCEEFF"/>
              </w:rPr>
              <w:t>(1)</w:t>
            </w:r>
          </w:p>
        </w:tc>
        <w:tc>
          <w:tcPr>
            <w:tcW w:w="310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0" w:type="dxa"/>
            <w:vAlign w:val="bottom"/>
          </w:tcPr>
          <w:p>
            <w:pPr>
              <w:spacing w:after="0"/>
              <w:rPr>
                <w:sz w:val="1"/>
                <w:szCs w:val="1"/>
                <w:color w:val="auto"/>
              </w:rPr>
            </w:pPr>
          </w:p>
        </w:tc>
      </w:tr>
      <w:tr>
        <w:trPr>
          <w:trHeight w:val="81"/>
        </w:trPr>
        <w:tc>
          <w:tcPr>
            <w:tcW w:w="18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310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1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tcPr>
          <w:p>
            <w:pPr>
              <w:spacing w:after="0"/>
              <w:rPr>
                <w:sz w:val="22"/>
                <w:szCs w:val="22"/>
                <w:color w:val="auto"/>
              </w:rPr>
            </w:pPr>
          </w:p>
        </w:tc>
        <w:tc>
          <w:tcPr>
            <w:tcW w:w="4700" w:type="dxa"/>
            <w:vAlign w:val="bottom"/>
            <w:tcBorders>
              <w:bottom w:val="single" w:sz="8" w:color="CCEEFF"/>
            </w:tcBorders>
            <w:gridSpan w:val="3"/>
          </w:tcPr>
          <w:p>
            <w:pPr>
              <w:spacing w:after="0" w:line="25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31,173</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30,073</w:t>
            </w: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59,420</w:t>
            </w:r>
          </w:p>
        </w:tc>
        <w:tc>
          <w:tcPr>
            <w:tcW w:w="0" w:type="dxa"/>
            <w:vAlign w:val="bottom"/>
          </w:tcPr>
          <w:p>
            <w:pPr>
              <w:spacing w:after="0"/>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4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47,594</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45,457</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89,086</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30,195</w:t>
            </w:r>
          </w:p>
        </w:tc>
        <w:tc>
          <w:tcPr>
            <w:tcW w:w="0" w:type="dxa"/>
            <w:vAlign w:val="bottom"/>
          </w:tcPr>
          <w:p>
            <w:pPr>
              <w:spacing w:after="0"/>
              <w:rPr>
                <w:sz w:val="1"/>
                <w:szCs w:val="1"/>
                <w:color w:val="auto"/>
              </w:rPr>
            </w:pPr>
          </w:p>
        </w:tc>
      </w:tr>
      <w:tr>
        <w:trPr>
          <w:trHeight w:val="257"/>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33,498</w:t>
            </w:r>
          </w:p>
        </w:tc>
        <w:tc>
          <w:tcPr>
            <w:tcW w:w="0" w:type="dxa"/>
            <w:vAlign w:val="bottom"/>
          </w:tcPr>
          <w:p>
            <w:pPr>
              <w:spacing w:after="0"/>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57"/>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16,485</w:t>
            </w:r>
          </w:p>
        </w:tc>
        <w:tc>
          <w:tcPr>
            <w:tcW w:w="80" w:type="dxa"/>
            <w:vAlign w:val="bottom"/>
          </w:tcPr>
          <w:p>
            <w:pPr>
              <w:spacing w:after="0"/>
              <w:rPr>
                <w:sz w:val="22"/>
                <w:szCs w:val="22"/>
                <w:color w:val="auto"/>
              </w:rPr>
            </w:pPr>
          </w:p>
        </w:tc>
        <w:tc>
          <w:tcPr>
            <w:tcW w:w="5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24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33,383</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32,669</w:t>
            </w:r>
          </w:p>
        </w:tc>
        <w:tc>
          <w:tcPr>
            <w:tcW w:w="0" w:type="dxa"/>
            <w:vAlign w:val="bottom"/>
          </w:tcPr>
          <w:p>
            <w:pPr>
              <w:spacing w:after="0"/>
              <w:rPr>
                <w:sz w:val="1"/>
                <w:szCs w:val="1"/>
                <w:color w:val="auto"/>
              </w:rPr>
            </w:pPr>
          </w:p>
        </w:tc>
      </w:tr>
      <w:tr>
        <w:trPr>
          <w:trHeight w:val="20"/>
        </w:trPr>
        <w:tc>
          <w:tcPr>
            <w:tcW w:w="4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8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7"/>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6"/>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18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4"/>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1780" w:type="dxa"/>
            <w:vAlign w:val="bottom"/>
            <w:tcBorders>
              <w:bottom w:val="single" w:sz="8" w:color="CCEEFF"/>
            </w:tcBorders>
            <w:gridSpan w:val="3"/>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0" w:type="dxa"/>
            <w:vAlign w:val="bottom"/>
          </w:tcPr>
          <w:p>
            <w:pPr>
              <w:spacing w:after="0"/>
              <w:rPr>
                <w:sz w:val="1"/>
                <w:szCs w:val="1"/>
                <w:color w:val="auto"/>
              </w:rPr>
            </w:pPr>
          </w:p>
        </w:tc>
      </w:tr>
      <w:tr>
        <w:trPr>
          <w:trHeight w:val="263"/>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2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30,193</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32,084</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33,036</w:t>
            </w:r>
          </w:p>
        </w:tc>
        <w:tc>
          <w:tcPr>
            <w:tcW w:w="80" w:type="dxa"/>
            <w:vAlign w:val="bottom"/>
          </w:tcPr>
          <w:p>
            <w:pPr>
              <w:spacing w:after="0"/>
              <w:rPr>
                <w:sz w:val="21"/>
                <w:szCs w:val="21"/>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31,753</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64,088</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center"/>
              <w:ind w:right="256"/>
              <w:spacing w:after="0"/>
              <w:rPr>
                <w:sz w:val="20"/>
                <w:szCs w:val="20"/>
                <w:color w:val="auto"/>
              </w:rPr>
            </w:pPr>
            <w:r>
              <w:rPr>
                <w:rFonts w:ascii="Times New Roman" w:cs="Times New Roman" w:eastAsia="Times New Roman" w:hAnsi="Times New Roman"/>
                <w:sz w:val="18"/>
                <w:szCs w:val="18"/>
                <w:color w:val="auto"/>
                <w:w w:val="99"/>
              </w:rPr>
              <w:t>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3"/>
          </w:tcPr>
          <w:p>
            <w:pPr>
              <w:jc w:val="center"/>
              <w:ind w:left="8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4"/>
                <w:szCs w:val="14"/>
                <w:color w:val="auto"/>
              </w:rPr>
            </w:pPr>
          </w:p>
        </w:tc>
      </w:tr>
      <w:tr>
        <w:trPr>
          <w:trHeight w:val="190"/>
        </w:trPr>
        <w:tc>
          <w:tcPr>
            <w:tcW w:w="4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jc w:val="center"/>
              <w:ind w:left="8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5500" w:type="dxa"/>
            <w:vAlign w:val="bottom"/>
            <w:gridSpan w:val="2"/>
          </w:tcPr>
          <w:p>
            <w:pPr>
              <w:ind w:left="522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5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7"/>
        </w:trPr>
        <w:tc>
          <w:tcPr>
            <w:tcW w:w="45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 as a</w:t>
            </w:r>
          </w:p>
        </w:tc>
        <w:tc>
          <w:tcPr>
            <w:tcW w:w="9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45"/>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revenue:</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77.8</w:t>
            </w:r>
          </w:p>
        </w:tc>
      </w:tr>
      <w:tr>
        <w:trPr>
          <w:trHeight w:val="25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22.2</w:t>
            </w:r>
          </w:p>
        </w:tc>
      </w:tr>
      <w:tr>
        <w:trPr>
          <w:trHeight w:val="25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r>
      <w:tr>
        <w:trPr>
          <w:trHeight w:val="250"/>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w:t>
            </w:r>
          </w:p>
        </w:tc>
      </w:tr>
      <w:tr>
        <w:trPr>
          <w:trHeight w:val="25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r>
      <w:tr>
        <w:trPr>
          <w:trHeight w:val="25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r>
      <w:tr>
        <w:trPr>
          <w:trHeight w:val="25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r>
      <w:tr>
        <w:trPr>
          <w:trHeight w:val="25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56"/>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1"/>
        </w:trPr>
        <w:tc>
          <w:tcPr>
            <w:tcW w:w="4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percentages shown in the table may not foot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 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other income, net and interest income,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calculate Adjusted EBITDA as net income, adjusted to exclude depreciation and amortization, stock-based compensation expense, other income, net, interest income, net, and provision for income taxes. The following table presents a reconciliation of Adjusted EBITDA to net income, the most directly comparable financial measure stated in accordance with U.S. GAAP, for each of the periods indicated: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4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3"/>
        </w:trPr>
        <w:tc>
          <w:tcPr>
            <w:tcW w:w="4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48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4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
        </w:trPr>
        <w:tc>
          <w:tcPr>
            <w:tcW w:w="4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16,485</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14,991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32,669</w:t>
            </w:r>
          </w:p>
        </w:tc>
      </w:tr>
      <w:tr>
        <w:trPr>
          <w:trHeight w:val="25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56"/>
        </w:trPr>
        <w:tc>
          <w:tcPr>
            <w:tcW w:w="48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33,036</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31,753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62,561</w:t>
            </w:r>
          </w:p>
        </w:tc>
      </w:tr>
      <w:tr>
        <w:trPr>
          <w:trHeight w:val="257"/>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(3,564)</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5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57"/>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8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5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54,477</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47,464</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104,768</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93,824</w:t>
            </w:r>
          </w:p>
        </w:tc>
      </w:tr>
      <w:tr>
        <w:trPr>
          <w:trHeight w:val="20"/>
        </w:trPr>
        <w:tc>
          <w:tcPr>
            <w:tcW w:w="4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980" w:type="dxa"/>
            <w:vAlign w:val="bottom"/>
            <w:gridSpan w:val="3"/>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$304,087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increased by $24.7 million, or 9%, for the three months ended June 30, 2024 compared to the three months ended June 30, 2023. This increase is primarily due to a $20.8 million, or 12%, increase in revenue from our fertility benefits solution and a $3.9 million, or 4%, increase in revenue from our Progyny Rx solution. The increases in revenue from our fertility benefits solution and Progyny Rx solution were primarily due to the increase in the number of clients and covered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980" w:type="dxa"/>
            <w:vAlign w:val="bottom"/>
            <w:gridSpan w:val="3"/>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$235,806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$218,732</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increased by $17.1 million, or 8%, for the three months ended June 30, 2024 compared to the three months ended June 30, 2023, primarily due to an increase in medical treatment and pharmacy prescription costs associated with fertility treatment delivered. This increase was also attributable to an increase in personnel-related costs primarily due to incremental headcount as well as a $0.6 million increase in stock-based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8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$68,281</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$60,641</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increased by $7.6 million, or 13%, for the three months ended June 30, 2024 compared to the three months ended June 30, 2023.</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Gross margin increased 80 basis points for the three months ended June 30, 2024 compared to the three months ended June 30, 2023, primarily due to ongoing efficiencies realized in the delivery of our care management services, partially offset by an increase in personnel-related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980" w:type="dxa"/>
            <w:vAlign w:val="bottom"/>
            <w:gridSpan w:val="3"/>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$1.0 million, or 7% for the three months ended June 30, 2024 compared to the three months ended June 30, 2023. This increase was due to a $0.8 million increase in personnel-related costs mainly attributable to an increase in stock-based compensation expense, as well as a $0.2 million increase in other related sales and marketing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980" w:type="dxa"/>
            <w:vAlign w:val="bottom"/>
            <w:gridSpan w:val="3"/>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$31,173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$1.1 million, or 4%, for the three months ended June 30, 2024 compared to the three months ended June 30, 2023. This increase was due to a $1.3 million increase in personnel-related costs attributable to incremental headcount, and a $0.2 million increase in bad debt expense driven by our revenue growth, partially offset by a $0.4 million decrease in other related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80" w:type="dxa"/>
            <w:vAlign w:val="bottom"/>
            <w:gridSpan w:val="2"/>
            <w:shd w:val="clear" w:color="auto" w:fill="CCEEFF"/>
          </w:tcPr>
          <w:p>
            <w:pPr>
              <w:jc w:val="right"/>
              <w:ind w:right="5988"/>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$4,380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by $2.4 million for the three months ended June 30, 2024 compared to the three months ended June 30, 2023, primarily due to an increase in investment and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380" w:type="dxa"/>
            <w:vAlign w:val="bottom"/>
            <w:gridSpan w:val="2"/>
            <w:shd w:val="clear" w:color="auto" w:fill="CCEEFF"/>
          </w:tcPr>
          <w:p>
            <w:pPr>
              <w:jc w:val="right"/>
              <w:ind w:right="5188"/>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$8,582</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we recorded a provision for income taxes of $8.6 million, as compared to $2.2 million for the three months ended June 30, 2023, primarily due to the higher operating profit as well as a decrease in tax benefits for equity compensation, including discrete tax benefits, in the current year period.</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$582,165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$537,767</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increased by $44.4 million, or 8%, for the six months ended June 30, 2024 compared to the six months ended June 30, 2023. This increase is primarily due to a $33.4 million, or 10%, increase in revenue from our fertility benefits solution and a $10.9 million, or 5%, increase in revenue from our Progyny Rx solution. The increases in revenue from our fertility benefits solution and Progyny Rx solution were primarily due to the increase in the number of clients and covered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$451,478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$418,486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increased by $33.0 million, or 8%, for the six months ended June 30, 2024 compared to the six months ended June 30, 2023, primarily due to an increase in medical treatment and pharmacy prescription costs associated with fertility treatments delivered. This increase was also attributable to an increase in personnel-related costs primarily due to incremental headcount as well as a $1.5 million increase in stock-based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8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$130,687</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$119,281</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5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increased by $11.4 million, or 10%, for the six months ended June 30, 2024 compared to the six months ended June 30, 2023.</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Gross margin increased 20 basis points for the six months ended June 30, 2024 compared to the six months ended June 30, 2023, primarily due to ongoing efficiencies realized in the delivery of our care management services, partially offset by an increase in personnel-related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$31,875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$2.2 million, or 7% for the six months ended June 30, 2024 compared to the six months ended June 30, 2023. This increase was primarily due to a $1.9 million increase in personnel-related costs attributable to an increase in stock-based compensation expense, as well as a $0.3 million increase in other related sales and marketing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$59,602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$59,420</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$0.2 million for the six months ended June 30, 2024 compared to the six months ended June 30, 2023. This increase was primarily due to a $1.3 million increase in personnel-related costs attributable to incremental headcount, largely offset by a $0.9 million decrease in other related general and administrative expenses, as well as a $0.2 million decrease in bad debt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80" w:type="dxa"/>
            <w:vAlign w:val="bottom"/>
            <w:gridSpan w:val="2"/>
            <w:shd w:val="clear" w:color="auto" w:fill="CCEEFF"/>
          </w:tcPr>
          <w:p>
            <w:pPr>
              <w:jc w:val="right"/>
              <w:ind w:right="5988"/>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96"/>
              </w:rPr>
              <w:t>$8,372</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by $5.1 million for the six months ended June 30, 2024 compared to the six months ended June 30, 2023, primarily due to an increase in investment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we recorded a provision for income taxes of $14.2 million as compared to $0.8 million for the six months ended June 30, 2023, primarily due to the higher operating profit as well as a decrease in tax benefits for equity compensation, including discrete tax benefits, in the current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we had $95.0 million of cash and cash equivalents and $167.2 million of marketable securities. Since inception, we have financed our operations primarily through sales of our solutions and the net proceeds we have received from sales of equity securities, including our initial public offering. Our cash and cash equivalents and</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8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We believe that our existing cash and cash equivalents, including the proceeds from our marketable securities, and cash flow from operations will be sufficient to support our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expansion of our sales and marketing activities, and the continued market adoption of our solutions.</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the prior impact on our revenue growth and the related cash flows resulting from the various restrictions on activities due to the COVID-19 pandemic, as of June 30, 2024, our sources and uses of cash were not otherwise significantly impacted by the COVID-19 pandemic and, to date based on the information currently available to us, we have not identified and do not expect any material liquidity deficiencies as a result of the COVID-19 pandemic. For additional information on the various risks posed by the COVID-19 pandemic, please refer to Part II, Item 1A. "Risk Factors" included in this Quarterly Report on Form 10-Q.</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operations for the periods presented: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7"/>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3"/>
                <w:szCs w:val="23"/>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$82.4 million for the six months ended June 30, 2024, primarily consisting of net income of $33.4 million adjusted for certain items, which include $64.1 million of stock-based compensation expense, $9.6 million of bad debt expense, $7.0 million of realized gains on the sale of marketable securities, $5.5 million of deferred tax expense, and $1.5 million of depreciation and amortization. Changes in operating assets and liabilities resulted in cash used in operating activities from increases in accounts receivable of $61.5 million, partially offset by cash provided by operating activities from increases in accounts payable of $26.4 million, accrued expenses and other current liabilities of $8.9 million, and other noncurrent assets and liabilities of $0.4 million as well as a decrease in prepaid expenses and other current assets of $1.3 million. These changes were a result of the impact of revenue growth and our operating results as well as the timing of cash collections and payments to third parties, including $17.3 million of cash paid for income taxes, net of refunds received in the six months ended June 30, 2024.</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$97.0 million for the six months ended June 30, 2023, primarily consisting of net income of $32.7 million adjusted for certain non-cash items, which include $62.6 million of stock-based compensation expense, $9.8 million of bad debt expense, $1.3 million of realized gains on the sale of marketable securities, $1.1 million of depreciation and amortization, and $0.8 million of deferred tax expense. Changes in operating assets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liabilities resulted in cash used in operating activities from increases in accounts receivable of $34.7 million and prepaid expenses and other current assets of $9.2 million, partially offset by cash provided by operating activities from increases in accounts payable of $20.9 million, accrued expenses and other current liabilities of $13.8 million, and other noncurrent assets and liabilities of $0.6 million. These changes were a result of the impact of revenue growth and our operating results as well as new agreements with our pharmacy program partners, which included more favorable payment receipt terms and resulted in an additional receipt in the six months ended June 30, 2023, and the timing of cash collections and payments to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$105.4 million for the six months ended June 30, 2024, which primarily consisted of net proceeds from marketable securities of $112.5 million, partially offset by $5.3 million used for a business acquisition, net of cash acquired. For the six months ended June 30, 2023, net cash used in investing activities was $42.8 million, which primarily consisted of net investments in marketable securities of $40.8 million. The remainder of the activity for each of the six months ended June 30, 2024 and June 30, 2023 consisted of purchases of computers, software, including capitalized software development costs, and leasehold improvements.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$190.2 million for the six months ended June 30, 2024, consisting of repurchases of $183.7 million of common stock under the February 2024 and May 2024 share repurchase programs and payments of $8.2 million for employee taxes related to equity awards, partially offset by $1.0 million in proceeds from stock option exercises and $0.7 million in proceeds from contributions to our employee stock purchase plan.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$3.7 million for the six months ended June 30, 2023, consisting of payments of $7.4 million for employee taxes related to equity awards, partially offset by $3.1 million in proceeds from stock option exercises and $0.6 million in proceeds from contributions to our employee stock purchase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February 2024, our Board of Directors authorized a share repurchase program of up to $100 million in shares of common stock (the “February 2024 share repurchase program”). In May 2024, our Board of Directors authorized an additional share repurchase program of up to $100 million in shares of common stock (the “May 2024 share repurchase program”).</w:t>
      </w:r>
    </w:p>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During the six months ended June 30, 2024, we repurchased a total of 6,316,705 shares of common stock under the share repurchase programs at an average price per share of $29.45 and a total cost of $187.9 million, inclusive of excise taxes and trading fees. To date, we repurchased a total of 6,805,426 shares of common stock under the share repurchase programs for a total cost of $200.1 million, inclusive of trading fees. As of July 2024, the February 2024 share repurchase program and May 2024 share repurchase program were completed, and no amount remained available for repurchase under the programs.</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August 2024, our Board of Directors authorized an additional share repurchase program of up to $100 million in shares of common stock (the “August 2024 share repurchase program”). Repurchases under the program may be made in the form of open market repurchases, including through plans complying with Rule 10b5-1 under the Exchange Act, depending on stock price, market conditions, and other factors, as determined by the Company. There can be no assurance as to the number of shares to be repurchased by us under the August 2024 share repurchase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2022, we entered into a lease agreement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will pay the base rent of approximately $1.4 million per year through the end of the fifth lease year and approximately $1.5 million per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year thereafter through the fourth quarter of 2035, the expected expiration date. For the 21,262 square foot office, we will pay the base rent of approximately $1.3 million starting in the fourth quarter of 2025 for five years and approximately $1.4 million per year thereafter through the fourth quarter of 2035, the expected expiration date. For our current 25,212 square foot office, we will pay the base rent of approximately $1.6 million per year beginning in June 2029 through the fourth quarter of 2035, the expected expiration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our critical accounting policies and estimates, see the disclosure included in our Annual Report on Form 10-K as well as "Financial Statements (Unaudited) — Note 1 – Business and Basis of Presentation" and "Financial Statements (Unaudited) — Note 2 – Significant Accounting Policies" in the notes to the unaudited consolidated financial statements included in Part I, Item 1 of this Quarterly Report on Form 10-Q. There have been no material changes to the Company’s critical accounting policies and estimates since our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full discussion of recently adopted accounting pronouncements, see "Financial Statements (Unaudited) —Note 2 – Significant Accounting Policies", to the consolidated financial statements included in Part I, Item 1 of this Quarterly Report on Form 10-Q.</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due to many factors, including U.S. monetary and tax policies, U.S. and international economic factors and other factors beyond our control.</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At June 30, 2024, we had cash and cash equivalents of $95.0 million and marketable securities of $167.2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Rate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quarter ended June 30, 2024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 Item 1 “Financial Statements (Unaudited) — Note 6 —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Operations” and our unaudited consolidated financial statements and the accompanying notes included elsewhere in this Quarterly Report on Form 10-Q.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results of operations, which would cause our stock price to decline.</w:t>
      </w:r>
    </w:p>
    <w:p>
      <w:pPr>
        <w:spacing w:after="0" w:line="15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provided and may continue to provide guidance about our business and future results of operations. On August 6, 2024, we issued guidance for the third quarter of 2024 and full year 2024. This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this guidance, our management must make certain assumptions and judgments, including but not limited to, our business strategy, plans, goals, expectations concerning our market position, future operations and other financial and operating information, as well as the impact of events outside of our control (such as macroeconomic conditions), the COVID-19 pandemic, or shortages of fertility medications that are or were at this time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and which could adversely affect our business and future results of operations. Furthermore,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fertility market in which we participate is competitive, and if we do not continue to compete effectively, our results of operations could be harmed.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as to what we provide, there are alternative solutions in the market such as the health insurance companies that are able to provide fertility benefits management services as part of their overall administration of a company's health plan and that are our primary competition. In addition, other competitors include specialty fertility-focused solutions owned or sponsored by the health insurance companies to provide more comprehensive support to fertility patients than their general medical coverage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provides, such as case management or educational support, and the venture capital or private equity-backed companies that focus on maternity and reproductive health services more broadly, or who provide fertility-specific benefits solutions.</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20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Many healthcare industry participants are consolidating to create larger and more integrated healthcare delivery systems with greater market power and we expect regulatory and economic conditions to result in additional consolidation in the healthcare industry. Additionally, financial investors are acquiring fertility practices and this may accelerate consolidation within the industry. Although comprehensive, our solution is a standalone fertility benefit. Clients may prefer a single healthcare solution, which could adversely affect our ability to retain existing clients or grow our client base. In addition, we work with partner organizations to market our benefit to potential clients. As consolidation accelerates, the economies of scale of our partners’ organizations may grow. If a partner experiences sizable growth following consolidation, it may determine that it no longer needs to rely on us and may reduce its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have a material adverse effect on our business, financial condition and results of operations.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global economy or our industry could limit our ability to grow our business and negatively affect our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and elsewhere, including conditions resulting from changes in gross domestic product growth, financial and credit market fluctuations, inflation, consumer confidence, international trade relations, geopolitical conflict, political turmoil, natural catastrophes, resurgences or outbreaks of contagious diseases or the worsening thereof, including the COVID-19 pandemic, warfare and terrorist attacks, could cause a decrease in business investments, including spending on employee benefits, and negatively affect the growth of our business.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Unfavorable changes in our industry, including reductions in general healthcare spending, or in the United States and global economy could have a negative effect on our and our clients’ and potential clients’ results of operations. This could result in the delay or cancellation by certain clients, including if purchases of our solution are perceived by clients and potential clients to be discretionary, if they experience a reduction in their employee headcounts, whether due to reductions in force or turnover, or are unable to grow employee headcounts or there are material defaults by members on past amounts due. An increase in the cost of obtaining fertility medication or general medical cost inflation could also negatively impact our results of operation. In addition, the increased pace of consolidation in the healthcare industry may result in competitors with greater market power. Many economists believe the global economy will likely experience a recessionary environment in the near future. The Federal Reserve’s efforts to tame inflation have led to, and may continue to lead to, increased interest rates. A significant escalation or expansion of economic disruption could have a material adverse effect on our results of operations. We cannot predict the timing, strength, or duration of any economic slowdown, instability, or recovery, generally or within any particular industry, nor its impact on us or our clients.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are focused on retaining and expanding our services within our existing client base. A client can expand the fertility benefits they offer to their employees in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91% of our current clients have now launched this solution, including approximately 98% of the clients we signed in 2023.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affect our ability to retain our existing clients and sell additional solutions to them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timeliness and outcomes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timeliness, outcome, performance and functionality of competing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appropriately expand our Center of Excellence network of high-quality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complementary solutions and services that will enhance our comprehensive family building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the enforcement of such laws and regulations, or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increase in the unemployment rate;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the business environment of our clients and, in particular, slowing growth or reduction in our clients’ headcount;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clients, resulting in a change to their benefits program or a shift to one of our competitors.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serve over 460 employers with at least 1,000 covered lives in the United States across more than 40 industries. For the six months ended June 30, 2024, one of our clients accounted for 12% of our total revenue. For the six months ended June 30, 2023, one of our clients accounted for 13% of our total revenue. No other clients accounted for more than 10% of our total revenue for the six months ended June 30, 2024 and 2023. Engagement with these clients is generally covered through contracts that are multi-year in duration. These clients may terminate early or decline to renew their existing contracts with us upon expiration and any such termination or failure to renew could have a negative impact on our revenue and compromise our growth strategy.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clients, our business, financial condition and results of operations would be adversely affected.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quality solutions and convince clients of the benefits of our model and value proposition, we may not be able to attract new clients. The market for our solutions could decline or grow more slowly than we expect, including due to general economic conditions, and high unemployment rates, reductions in workforce or employee attrition, impacts related to outbreaks and resurgences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impacted.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including variants and resurgences, has had and may continue to have, and similar health epidemics or pandemics could in the future have, an adverse impact on our business, operations, and the markets and communities in which we and our clients, members and providers operate.</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COVID-19 pandemic continues to evolve, with pockets of resurgence and the emergence of variant strains contributing to continued uncertainty about its scope, duration, severity, trajectory and lasting impact. The pandemic adversely impacted, and may continue to adversely impact, many aspects of our business. Our revenue growth in past periods was negatively impacted by COVID-19, including variants, and our revenue growth in future periods may continue to be adversely impacted by COVID-19.Our providers have delayed and may in the future delay new fertility cycles because they operate in areas acutely affected by the COVID-19 pandemic. Many of our members live in communities that have been acutely affected by the COVID-19 pandemic and have delayed and may not want to continue or begin new fertility cycles during the pandemic, including due to resurgences in and the emergence of variant strains. Furthermore, as certain of our potential clients experience downturns or uncertainty in their own business operations and revenue because of the economic effects resulting from the COVID-19 pandemic, they have and may continue to decrease their spending on health benefits, which may disproportionately impact fertility benefits, and delay or cancel implementation of fertility benefits. Each of these factors could affect member behavior, our utilization rates and the number of members enrolled in our clients’ benefit plans.</w:t>
      </w:r>
    </w:p>
    <w:p>
      <w:pPr>
        <w:spacing w:after="0" w:line="19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to the direct and indirect impacts to our business, the economy may continue to be impacted as a result of the COVID-19 pandemic, including any resurgences in infections, and actions taken in response to it. To the extent a weakened economy impacts clients’ or members’ ability or willingness to pay for our benefit, or our vendors’, including any pharmacy program partners’, ability to provide services to us, we could see our business and results of operations negatively impacted.</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the pandemic has resulted in, and may continue to result in, significant disruption of global financial markets, which could reduce our ability to access capital and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w:t>
      </w:r>
    </w:p>
    <w:p>
      <w:pPr>
        <w:spacing w:after="0" w:line="20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global impact of COVID-19, due to variants and resurgences of infections, continues to evolve, and we will continue to monitor the situation closely. The ultimate impact of the COVID-19 pandemic or a similar health epidemic or pandemic is highly uncertain and subject to change; and will depend on numerous evolving factors that we may not be able to accurately predict, including without limitation: the trajectory, duration, scope, severity, and any resurgences of the COVID-19 pandemic; any mandates, in particular as new variants emerge; the public’s perception of the safety of the vaccines and other treatments and their willingness to take the vaccines or other treatments; the existence and prevalence of new variants of the virus; the continued impact on worldwide macroeconomic conditions, including interest rates, employment rates and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controls, including our internal control over financial reporting, as a result of changes in working environments for our employees and business partners. There is no guarantee that any future resurgences or future outbreaks of this or any other widespread epidemics or pandemics will not occur, or that the global economy will fully recover, either of which could seriously harm our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the level or the mix of the utilization of our solutions could have an adverse effect on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control nor can we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impacts related to outbreaks and resurgence of contagious diseases and/or the worsening thereof, including the COVID-19 pandemic; employers no longer offering comprehensive health coverage or offering alternative solutions such as coverage on a voluntary, employee-funded basis; labor shortages at our clinics; federal and state legal and/or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or negative publicity through social media or otherwise and news coverage.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also difficult for us to predict the level or mix of utilization of our services at the member level nor do we have any control over the level or mix of utilization of our services.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 In addition, higher clinical success rates and other factors could also impact timing and treatment paths, which may result in lower revenue per utilizing member.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platform of solutions, which makes it difficult to predict our future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success teams to educate potential clients and drive new client adoption, as well as enhance the scope of Progyny benefits within our existing client base. We also expect to incur additional costs as we introduce new solutions and services to enhance our comprehensive family building offering. We will also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or pharmacy benefit management practices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healthcare system at the state level are regularly introduced, such as in New York and California. At the federal level, President Biden and Congress may consider other legislation and/or executive orders to change elements of the ACA. In June 2021, the U.S. Supreme Court dismissed the most recent judicial challenge to the ACA brought by several states and ruled that the plaintiffs lacked standing to challenge the individual mandate provision, thus leaving the ACA in effect without ruling on the constitutionality of the individual mandate.</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28, 2021, President Biden issued an Executive Order that reiterates the policy of the Administration to protect and strengthen the ACA, making high-quality healthcare accessible and affordable to all Americans. The Executive Order directed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may have on our business. We cannot predict the timing or impact of any future rulemaking, court decisions or other changes in the law.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our provider clinics, specialty pharmacies or other vendors have an issue with our or their respective information technology systems, it may result in a disruption to our operations or downstream disruption to our relationships with our clients or our selective network of high-quality fertility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specialists. Additionally, if we choose to in source any of the services currently handled by a third party, it may result in technological or operational disruptions.</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There is the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especially due to the COVID-19 pandemic, including its variants. As a result of such shift, there have been and may continue to be more targeted cybersecurity attacks and threats on us, our vendors, provider clinics and specialty pharmacies. Despite the implementation of security measures, including steps designed to secure our technology infrastructure and sensitive data, we can provide no assurance that our current information technology system or any updates or upgrades thereto, the current or future information technology systems of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1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We maintain cyber liability insurance; however, this insurance may not be sufficient to cover the financial, legal, business or reputational losses that may result from an interruption or breach of our systems.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 - We operate in a highly regulated industry and must comply with a significant number of complex and evolving legal and regulatory requirements,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well as complex judicial mandates - Data Protection and Breaches.”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clients rely on our client success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success personnel, our ability to provide adequate and timely support to our members and clients would be negatively impacted, and our members’ and clients’ satisfaction with our solutions and services would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depend significantly on our ability to receive positive references from our existing clients, channel partners and benefit consultants.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marketing efforts depend significantly on our ability to call on our current clients, channel partners and benefit consultants to provide positive references to new and potential clients. Given our limited number of long-term clients, the loss or dissatisfaction of any client, channel partnership or benefit consulting relationship could substantially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may not grow at the rates they historically have, or at all.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new clients and maintain existing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solutions and services effectively so that we are able to attract new clients, expand sales to our existing clients and maintain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clients and members with client support that meets their needs, including through dedicated PCAs;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successful collection of member cost shares and other applicable receivable balances directly from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maintain relationships with high-quality and respected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personnel to support all clients and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satisfactory relationships with insurance carriers;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successfully compete with other companies.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revenue growth does not meet our expectations in future periods, we may not maintain profitability in the future, and our business, financial position and results of operations may be harmed.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in June 2022 the U.S. Supreme Court in Dobbs v. Jackson Women’s Health Organization reversed Roe v. Wade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Although President Biden issued executive orders and federal agencies have issued guidance intended to protect access to reproductive healthcare services, the enactment of certain state laws restricting abortion care and other changes in laws, or in interpretation of laws through court decisions, affecting fertility benefits may conflict with, and ultimately limit, the covered benefits offered by a company to its employees and the types of fertility treatment services available at provider clinics. We cannot predict the timing or impact of any future rulemaking, executive orders, court decisions or other changes in the law, or in how such laws, once enacted, would be interpreted and enforced.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and maintaining our infrastructure. In addition, we will need to appropriately scale our internal business systems and our client success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experiences seasonality, which may cause fluctuations in our sales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to the first half. Given that the majority of our clients contract with us for a January 1st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date, we have derived a substantial majority of our revenue from sales of our fertility benefits and Progyny Rx solutions. As we operate in an evolving industry and new markets,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our members, appropriately timed with market opportunity or effectively brought to market.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management team and our other key employees, and on our ability to continue to identify, attract, develop, integrate and retain them. From time to time, there are changes in our executive management team or other key employees. Our executive officers and other key employees are employed on an at-will basis, which means that these personnel could terminate their employment with us at any time. The loss of one or more of our executive officers or other key employees, or the failure by our executive team to effectively work with our employees and lead our company could in the future harm our business.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experienced sales and client success personnel. There is no guarantee we will be able to attract such personnel or that competition among potential employers will not result in us being required to offer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Additionally, our performance also depends in part on the successful integration of newly hired executive officers or other key employees into their roles.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mission we are pursuing promotes a sense of greater purpose and fulfillment in our employees. We have invested substantial time and resources in building our culture, and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litigation against us could be costly and time-consuming to defend and could harm our business, financial condition and results of operations.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selective Center of Excellence, our proprietary, credentialed network of high-quality fertility specialists. Fertility specialists and our other network providers could refuse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our network providers may assert, or threaten to assert, claims seeking to terminate our contractual arrangements. If enough provider agreements were terminated, such terminations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it could result in us incurring substantial additional expenses, expose us to public scrutiny, adversely affect our brand and reputation, expose us to litigation and/or regulatory action, and otherwise make our operations vulnerable. Further, if 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and monitoring of, third parties, including channel partners and vendors, as well as insurance carriers.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channel partners, vendors and insurance carriers among others.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arrangements with these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timely delivery of fertility prescriptions is essential for fertility treatments. If prescriptions are delivered late or become unavailable, it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with us, demand higher drug pricing or take other actions that could result in higher medical costs or less attractive services for our members.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Specialty pharmacies could face supply chain issues or regulatory delays impacting the availability or distribution of certain fertility prescriptions requiring drug substitutions that could result in higher medical costs or negatively impact our revenues, rebates and results of operations. We do not control the pricing strategies or supply chains of our specialty pharmacy partners, each of whom may be impacted by general economic considerations, including inflation and other independent considerations and drivers that are outside our control, and each of whom has the ability to set or impact market price for different prescription medications. We also cannot provide any assurance that we will be able to continue to renew our existing contracts, maintain our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fertility medications and alternative treatment options, and negotiated rates among industry participants—impact the list prices for medications. Our ability to obtain and maintain specialty pharmaceutical rebates, our relative bargaining power, the value of any such rebates and our ability to generate revenue are directly affected by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efforts depend on our ability to maintain our relationships with benefits consultants.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the benefits consultants, our marketing efforts, business and profitability would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our members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must comply with a significant number of evolving legal and regulatory requirements, as well as complex judicial mandates.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or network partners to violate, applicable laws, regulations or other requirements could subject us or our clients to significant administrative, civil or criminal penalties. Such a determination also could require us to change or terminate portions of our business, disqualify us from serving clients in certain states, or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judicial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193" w:lineRule="exact"/>
        <w:rPr>
          <w:sz w:val="20"/>
          <w:szCs w:val="20"/>
          <w:color w:val="auto"/>
        </w:rPr>
      </w:pPr>
    </w:p>
    <w:p>
      <w:pPr>
        <w:jc w:val="both"/>
        <w:ind w:left="660" w:hanging="328"/>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Licensing and Licensed Personnel</w:t>
      </w:r>
      <w:r>
        <w:rPr>
          <w:rFonts w:ascii="Times New Roman" w:cs="Times New Roman" w:eastAsia="Times New Roman" w:hAnsi="Times New Roman"/>
          <w:sz w:val="18"/>
          <w:szCs w:val="18"/>
          <w:color w:val="auto"/>
        </w:rPr>
        <w:t>. Many states have licensure or registration requirements for entities acting as a third-party administrator,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We cannot predict what effect, if any, such statutes, if enacted, may have on our business and financial results.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9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operations. We may additionally need to suspend the PCA services we provide while our personnel obtain the necessary licensure, which may adversely affect our relationships with our clients and members and cause us to be in breach of our contracts.</w:t>
      </w:r>
    </w:p>
    <w:p>
      <w:pPr>
        <w:spacing w:after="0" w:line="185" w:lineRule="exact"/>
        <w:rPr>
          <w:sz w:val="20"/>
          <w:szCs w:val="20"/>
          <w:color w:val="auto"/>
        </w:rPr>
      </w:pPr>
    </w:p>
    <w:p>
      <w:pPr>
        <w:jc w:val="both"/>
        <w:ind w:left="660" w:hanging="328"/>
        <w:spacing w:after="0" w:line="254" w:lineRule="auto"/>
        <w:tabs>
          <w:tab w:leader="none" w:pos="655"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HIPAA Privacy and Security Requirements</w:t>
      </w:r>
      <w:r>
        <w:rPr>
          <w:rFonts w:ascii="Times New Roman" w:cs="Times New Roman" w:eastAsia="Times New Roman" w:hAnsi="Times New Roman"/>
          <w:sz w:val="18"/>
          <w:szCs w:val="18"/>
          <w:color w:val="auto"/>
        </w:rPr>
        <w:t>. Regulations promulgated pursuant to HIPAA, as amended, and regulations promulgated thereunder,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collectively, HIPAA establish privacy and security standards that limit the 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86" w:lineRule="exact"/>
        <w:rPr>
          <w:rFonts w:ascii="Times New Roman" w:cs="Times New Roman" w:eastAsia="Times New Roman" w:hAnsi="Times New Roman"/>
          <w:sz w:val="18"/>
          <w:szCs w:val="18"/>
          <w:b w:val="1"/>
          <w:bCs w:val="1"/>
          <w:i w:val="1"/>
          <w:iCs w:val="1"/>
          <w:color w:val="auto"/>
        </w:rPr>
      </w:pPr>
    </w:p>
    <w:p>
      <w:pPr>
        <w:jc w:val="both"/>
        <w:ind w:left="66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91"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Privacy and Security Requirements</w:t>
      </w:r>
      <w:r>
        <w:rPr>
          <w:rFonts w:ascii="Times New Roman" w:cs="Times New Roman" w:eastAsia="Times New Roman" w:hAnsi="Times New Roman"/>
          <w:sz w:val="18"/>
          <w:szCs w:val="18"/>
          <w:color w:val="auto"/>
        </w:rPr>
        <w:t>. In addition to HIPAA, numerous other federal and state laws govern the collection, dissemination,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and confidentiality of personal information, some of which may be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the California Consumer Privacy Act of 2018, or CCPA, went into effect on January 1, 2020,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which has increased the likelihood and risks associated with data breach litigation. Further, the California Privacy Rights Act, or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w:t>
      </w:r>
    </w:p>
    <w:p>
      <w:pPr>
        <w:spacing w:after="0" w:line="196"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93" w:lineRule="exact"/>
        <w:rPr>
          <w:sz w:val="20"/>
          <w:szCs w:val="20"/>
          <w:color w:val="auto"/>
        </w:rPr>
      </w:pPr>
    </w:p>
    <w:p>
      <w:pPr>
        <w:jc w:val="both"/>
        <w:ind w:left="660" w:hanging="328"/>
        <w:spacing w:after="0" w:line="25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Protection and Breaches</w:t>
      </w:r>
      <w:r>
        <w:rPr>
          <w:rFonts w:ascii="Times New Roman" w:cs="Times New Roman" w:eastAsia="Times New Roman" w:hAnsi="Times New Roman"/>
          <w:sz w:val="18"/>
          <w:szCs w:val="18"/>
          <w:color w:val="auto"/>
        </w:rPr>
        <w:t>. In recent years, there have been a number of well-publicized data breaches involving the improper dissemination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personal information of individuals both within and outside of the healthcare industry. Laws in all 50 states require businesses to provide notice to clients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6"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may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8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83" w:lineRule="exact"/>
        <w:rPr>
          <w:sz w:val="20"/>
          <w:szCs w:val="20"/>
          <w:color w:val="auto"/>
        </w:rPr>
      </w:pPr>
    </w:p>
    <w:p>
      <w:pPr>
        <w:jc w:val="both"/>
        <w:ind w:left="660" w:hanging="328"/>
        <w:spacing w:after="0" w:line="25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Transaction and Identifier Standards</w:t>
      </w:r>
      <w:r>
        <w:rPr>
          <w:rFonts w:ascii="Times New Roman" w:cs="Times New Roman" w:eastAsia="Times New Roman" w:hAnsi="Times New Roman"/>
          <w:sz w:val="18"/>
          <w:szCs w:val="18"/>
          <w:color w:val="auto"/>
        </w:rPr>
        <w:t>. HIPAA and its implementing regulations mandate format and data content standards and provider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88"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Fraud and Abuse Laws</w:t>
      </w:r>
      <w:r>
        <w:rPr>
          <w:rFonts w:ascii="Times New Roman" w:cs="Times New Roman" w:eastAsia="Times New Roman" w:hAnsi="Times New Roman"/>
          <w:sz w:val="18"/>
          <w:szCs w:val="18"/>
          <w:color w:val="auto"/>
        </w:rPr>
        <w:t>. Many of our clients, insurance carriers, and network healthcare providers are impacted directly and indirectly by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fraud and abuse laws, including the federal Anti-Kickback Statute, the Physician Self-Referral Law, commonly referred to as the Stark Law, and the False Claims Act, as well as their state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84" w:lineRule="exact"/>
        <w:rPr>
          <w:sz w:val="20"/>
          <w:szCs w:val="20"/>
          <w:color w:val="auto"/>
        </w:rPr>
      </w:pPr>
    </w:p>
    <w:p>
      <w:pPr>
        <w:jc w:val="both"/>
        <w:ind w:left="660" w:hanging="328"/>
        <w:spacing w:after="0" w:line="25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State Corporate Practice and Fee-Splitting Prohibitions. </w:t>
      </w:r>
      <w:r>
        <w:rPr>
          <w:rFonts w:ascii="Times New Roman" w:cs="Times New Roman" w:eastAsia="Times New Roman" w:hAnsi="Times New Roman"/>
          <w:sz w:val="18"/>
          <w:szCs w:val="18"/>
          <w:color w:val="auto"/>
        </w:rPr>
        <w:t>There is a risk that regulatory authorities in some jurisdictions may find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ERISA Regulation</w:t>
      </w:r>
      <w:r>
        <w:rPr>
          <w:rFonts w:ascii="Times New Roman" w:cs="Times New Roman" w:eastAsia="Times New Roman" w:hAnsi="Times New Roman"/>
          <w:sz w:val="18"/>
          <w:szCs w:val="18"/>
          <w:color w:val="auto"/>
        </w:rPr>
        <w:t>. The Employee Retirement Income Security Act of 1974, or ERISA, regulates certain aspects of employee health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including 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Times New Roman" w:cs="Times New Roman" w:eastAsia="Times New Roman" w:hAnsi="Times New Roman"/>
          <w:sz w:val="18"/>
          <w:szCs w:val="18"/>
          <w:i w:val="1"/>
          <w:iCs w:val="1"/>
          <w:color w:val="auto"/>
        </w:rPr>
        <w:t>Rutledge v. Pharm.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Mgmt. Ass’n </w:t>
      </w:r>
      <w:r>
        <w:rPr>
          <w:rFonts w:ascii="Times New Roman" w:cs="Times New Roman" w:eastAsia="Times New Roman" w:hAnsi="Times New Roman"/>
          <w:sz w:val="18"/>
          <w:szCs w:val="18"/>
          <w:color w:val="auto"/>
        </w:rPr>
        <w:t>established that ERISA does not preempt all state laws imposing transparency or other requirements on PBMs.</w:t>
      </w:r>
    </w:p>
    <w:p>
      <w:pPr>
        <w:spacing w:after="0" w:line="18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Prompt Pay Laws</w:t>
      </w:r>
      <w:r>
        <w:rPr>
          <w:rFonts w:ascii="Times New Roman" w:cs="Times New Roman" w:eastAsia="Times New Roman" w:hAnsi="Times New Roman"/>
          <w:sz w:val="18"/>
          <w:szCs w:val="18"/>
          <w:color w:val="auto"/>
        </w:rPr>
        <w:t>. Certain states have laws regulating the amount of time that may elapse from when a third-party payor receives a claim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rendered to when those services are paid. These “prompt pay” laws may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88" w:lineRule="exact"/>
        <w:rPr>
          <w:sz w:val="20"/>
          <w:szCs w:val="20"/>
          <w:color w:val="auto"/>
        </w:rPr>
      </w:pPr>
    </w:p>
    <w:p>
      <w:pPr>
        <w:jc w:val="both"/>
        <w:ind w:left="660" w:hanging="328"/>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Adequacy and Access Requirements</w:t>
      </w:r>
      <w:r>
        <w:rPr>
          <w:rFonts w:ascii="Times New Roman" w:cs="Times New Roman" w:eastAsia="Times New Roman" w:hAnsi="Times New Roman"/>
          <w:sz w:val="18"/>
          <w:szCs w:val="18"/>
          <w:color w:val="auto"/>
        </w:rPr>
        <w:t>. Network adequacy and access laws require health plans to maintain a network of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 Protection Laws</w:t>
      </w:r>
      <w:r>
        <w:rPr>
          <w:rFonts w:ascii="Times New Roman" w:cs="Times New Roman" w:eastAsia="Times New Roman" w:hAnsi="Times New Roman"/>
          <w:sz w:val="18"/>
          <w:szCs w:val="18"/>
          <w:color w:val="auto"/>
        </w:rPr>
        <w:t>. Federal and state consumer protection laws are being applied increasingly by the Federal Trade Commission, or FTC,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Communications Commission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Restrictions on Communication</w:t>
      </w:r>
      <w:r>
        <w:rPr>
          <w:rFonts w:ascii="Times New Roman" w:cs="Times New Roman" w:eastAsia="Times New Roman" w:hAnsi="Times New Roman"/>
          <w:sz w:val="18"/>
          <w:szCs w:val="18"/>
          <w:color w:val="auto"/>
        </w:rPr>
        <w:t>. Communications with our members increasingly may be subject to and restricted by laws and regulations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as well as efforts to repeal or replace certain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aspects of the ACA. On June 17, 2021, the U.S. Supreme Court dismissed the most recent judicial challenge to the ACA brought by several states without specifically ruling on the constitutionality of the ACA.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Most recently, on August 16, 2022, President Biden signed the Inflation Reduction Act of 2022, or IRA, into law. The health reform measures included in the IRA largely focus on pharmaceutical manufacturers, but are likely to impact the reimbursement and drug pricing environment for healthcare providers and insurers more broadly in ways that cannot yet be fully determined.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another example of recent healthcare legislative changes, the Consolidated Appropriations Act, or CAA, effective December 27, 2021, contains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DOL, HHS and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unable to predict how other healthcare reform initiatives from new legislation, regulation, judicial action and/or executive action, including the CAA and No Surprises Act and state laws, will ultimately impact the healthcare industry and what the potential impact may be on our business and on our relationships with current and future clients, insurance carriers, and healthcare providers. Additionally, we cannot predict the timing or impact of any future rulemaking, court decisions or other changes in the law. If we are unable to comply with these laws or regulations or provide adequate assistance to our clients subject to these laws or regulations, it is reasonably possible that our business operations and results of operations could be materially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potential changes in laws, regulations, government enforcement priorities, public policy, state and federal judicial action, industry standards and other requirements, including with respect to Progyny Rx’s PBM practices, which create risks and challenges with respect to our compliance efforts and business strategies, or the business of our network partners, which may adversely affect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as well as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recently enacted IRA, and other federal and state efforts to reform or revise aspects of the healthcare industry or to revise or create additional legal and/or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among other things, disclosure, receipt and retention of rebates and other payments received from pharmaceutical manufacturers or pharmacy program partners,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In June 2022, the FTC announced an inquiry regarding the role of PBMs and stated its intent to closely scrutinize the impact of PBM rebates and fees on patients and payers.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Further, the U.S. Supreme Court’s decision in </w:t>
      </w:r>
      <w:r>
        <w:rPr>
          <w:rFonts w:ascii="Times New Roman" w:cs="Times New Roman" w:eastAsia="Times New Roman" w:hAnsi="Times New Roman"/>
          <w:sz w:val="18"/>
          <w:szCs w:val="18"/>
          <w:i w:val="1"/>
          <w:iCs w:val="1"/>
          <w:color w:val="auto"/>
        </w:rPr>
        <w:t>Rutledge v. Pharm. Care Mgmt. Ass’n</w:t>
      </w:r>
      <w:r>
        <w:rPr>
          <w:rFonts w:ascii="Times New Roman" w:cs="Times New Roman" w:eastAsia="Times New Roman" w:hAnsi="Times New Roman"/>
          <w:sz w:val="18"/>
          <w:szCs w:val="18"/>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For example, effective June 1, 2022, New York enacted a law that establishes regulatory oversight of PBMs.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or allow regulators to conduct audits of PBM operations.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Accordingly, it is reasonably possible that our business operations and our results of operations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our ability to standardize Progyny Rx PBM products and services across state lines. Further, our failure to comply with these laws or regulations could result in material fines and/or sanctions and could have a material adverse effect on our results of operations and/or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operate only in the United States, we remain subject to the U.S. Foreign Corrupt Practices Act, U.S. domestic anti-bribery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potential sales to government entities are subject to a number of challenges and risks.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proprietary trade secret and confidential information, including unpatented know-how, technology and other proprietary information, and maintaining, defending and enforcing our intellectual property rights. We rely on our agreements with our clients,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employees and management from their normal responsibilities.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need to build name recognition by potential collaborators or clients in our markets of interest.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joint ventures, products and services, or technologies that we believe could complement or expand our platform, enhance our technical capabilities, or otherwise offer growth opportunities. In addition, Progyny seeks to continue to expand its offerings in preconception, maternity and postpartum, menopause and related offerings.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liabilities may have an adverse effect on our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could be impacted due to several factors, including, but not limited to:</w:t>
      </w:r>
    </w:p>
    <w:p>
      <w:pPr>
        <w:spacing w:after="0" w:line="21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(such as the recent IRA, which, among other changes, introduced a 15% corporate minimum tax on certain United States corporations and a 1% excise tax on certain stock redemptions by United States corporations);</w:t>
      </w:r>
    </w:p>
    <w:p>
      <w:pPr>
        <w:spacing w:after="0" w:line="19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future tax audits, examinations, or administrative appeals;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impact tax items, including such items resulting from the amount and timing of equity exercises and our stock price.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developments could have an adverse effect on our results of operations.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existing at the time of the ownership change, which could adversely affect our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are subject to interpretation by the Financial Accounting Standards Board, or FASB, the SEC and various bodies formed to promulgate and interpret appropriate accounting principles.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controls,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 See Note 2 – Significant Accounting Policies included in Part I, Item 1 of this Quarterly Report on Form 10-Q for additional information on recently issued but not yet adopted accounting standards.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common stock may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volume of direct sales into the market by large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of research or other reports about us or our industry, including those which may contain inaccurate or misleading information, financial estimates about us, changes in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solutions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of our company, providers, vendors or pharmacies;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threats of litigation against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incidents of terrorism, or responses to these events;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including those related to the COVID-19 pandemic, may also negatively impact the market price of our common stock. Fluctuations in our quarterly operating results and the price of our common stock may be particularly pronounced in the current economic environment, including due to the uncertainty caused by the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to continue to fund operations by selling shares and may impair our ability to acquire other companies or technologies by using our shares as consideration.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76"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and mix of utilization of our solutions by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expansion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clients’ budgets and in the timing of their budget cycles and purchasing decisions;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 and healthcare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sales and marketing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expense, goodwill impairments and other non-cash charges;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as well as economic conditions specifically affecting industries in which our clients participate, including those related to the COVID-19 pandemic;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clients;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solutions and services.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For example, the long-term impact of the COVID-19 pandemic could result in adverse changes in our results of operations for an unknown period of time.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this internal control may adversely affect investor confidence in our company and, as a result, the value of our common stock.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Annual Report on Form 10-K filing for each year, as required by Section 404.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that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the ownership interests of all other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market price and trading volume of our common stock will be heavily influenced by the way analysts interpret our financial information and other disclosures. We do not have control over these analysts. If securities analysts or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and the trading volume of our common stock could decrease.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incur as a public company or the specific timing of such costs.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76" w:lineRule="exact"/>
        <w:rPr>
          <w:sz w:val="20"/>
          <w:szCs w:val="20"/>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and 2/3% of our outstanding shares of voting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and 2/3% of our outstanding shares of voting stock to amend our amended and restated bylaws and certain provisions of our amended and restated certificate of incorporation.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amended and restated bylaws; (4) any action or proceeding to interpret, apply, enforce or determine the validity of our amended and restated certificate of incorporation or our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result in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impact our ability to obtain any necessary financing and adversely impact our business, financial condition and stock price.</w:t>
      </w:r>
    </w:p>
    <w:p>
      <w:pPr>
        <w:spacing w:after="0" w:line="15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global economy, including financial and credit markets, has recently experienced volatility and uncertainty, including rising interest and inflation rates, declines in economic growth, and declines in global equity markets. If the equity and credit markets continue to deteriorate, or the United States enters a recession, it may make any necessary debt or equity financing more difficult to obtain in a timely manner or on favorable terms, more costly or more dilutive. As a result, our business, results of operations, and price of our common stock may be adversely affected.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the SEC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or ESG, practices and reporting. The SEC and investors have focused increasingly on ESG practices and placed increasing importance on the implications and social cost of ESG reporting. With this increased focus and demand, public reporting regarding ESG practices is becoming more broadly expected. Expectations regarding voluntary ESG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initiatives and disclosures may result in increased costs, changes in demand for certain offerings, enhanced compliance or disclosure obligations, or other adverse impacts to our business, financial condition or results of operations. We may provide information in this Quarterly Report on Form 10-Q or our other filings with the SEC that are informed by various ESG standards and frameworks (including standards for the measurement of underlying data) and the interest of various stakeholders. Much of this information is subject to assumptions, estimates or third-party information that is still evolving and subject to change, and our disclosures based on any standards may change due to revisions in framework requirements, availability of information, changes in our business or applicable government policies, or other factors, some of which may be beyond our control. If our ESG practices and reporting do not meet or are viewed as not meeting SEC, investor or other industry or stakeholder expectations, which continue to evolve, our brand, reputation and investor retention may be negatively impacted. It is possible that stakeholders may not be satisfied with our ESG practices or the speed of their adoption. We could also incur additional costs and require additional resources to monitor, report, implement, enhance and comply with various ESG practices and standards. Also, our failure, or perceived failure to meet the standards included in any ESG disclosure could negatively impact our reputation, employee recruiting and retention, and the willingness of our customers and suppliers to do business with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Settlement of Equity 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restricted stock units are subject to vesting and the underlying shares of common stock are issued when the restricted stock units vest.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2024, we withheld shares through net settlements (where the award holder receives the net of the shares vested, after surrendering a portion of the shares back to the Company for tax withholding) for certain restricted stock units that vested.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29, 2024, the Company announced the February 2024 share repurchase program of up to $100 million in shares of common stock. On May 22, 2024, the Company announced the May 2024 share repurchase program of up to an additional $100 million in shares of common stock. On August 6, 2024, the Company announced the August 2024 share repurchase program of up to an additional $100 million in shares of common stock. Repurchases under all programs may be in the form of open market repurchases, including through plans complying with Rule 10b5-1 under the Exchange Act, depending on stock price, market conditions, and other factors, as determined by the Company. There can be no assurance as to the number of shares to be repurchased by the Company.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share repurchase activity as well as shares surrendered back to the Company for tax withholding on restricted stock units that vested under our equity incentive plans during the three months ended June 30,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Dollar</w:t>
            </w: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 of Shares That</w:t>
            </w: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160"/>
        </w:trPr>
        <w:tc>
          <w:tcPr>
            <w:tcW w:w="4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right"/>
              <w:ind w:right="156"/>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3"/>
                <w:szCs w:val="13"/>
                <w:color w:val="auto"/>
              </w:rPr>
            </w:pPr>
          </w:p>
        </w:tc>
        <w:tc>
          <w:tcPr>
            <w:tcW w:w="158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Under the Program</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Repurchased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0"/>
        </w:trPr>
        <w:tc>
          <w:tcPr>
            <w:tcW w:w="4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through April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973,484</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946,194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41,794</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2024 through May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2,559,290</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2,522,538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71,700</w:t>
            </w: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through June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2,143,109</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2,124,396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w:t>
            </w:r>
          </w:p>
        </w:tc>
      </w:tr>
      <w:tr>
        <w:trPr>
          <w:trHeight w:val="257"/>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5,675,883</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5,593,128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79" w:lineRule="exact"/>
        <w:rPr>
          <w:sz w:val="20"/>
          <w:szCs w:val="20"/>
          <w:color w:val="auto"/>
        </w:rPr>
      </w:pPr>
    </w:p>
    <w:p>
      <w:pPr>
        <w:ind w:left="5540" w:right="1380" w:hanging="5532"/>
        <w:spacing w:after="0"/>
        <w:tabs>
          <w:tab w:leader="none" w:pos="164" w:val="left"/>
        </w:tabs>
        <w:numPr>
          <w:ilvl w:val="0"/>
          <w:numId w:val="3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share repurchases and shares withheld on net settlements of restricted stock units that vested under our equity incentive plans.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2024, certain of our officers and directors adopted or terminated Rule 10b5-1 trading arrangements as follows:</w:t>
      </w:r>
    </w:p>
    <w:p>
      <w:pPr>
        <w:spacing w:after="0" w:line="161"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2024, Allison Swartz, our General Counsel and Secretary, adopted a trading plan that is intended to satisfy the conditions under Rule 10b5-1(c) of the Exchange Act. Ms. Swartz’s trading plan is for the sale of up to 17,241 shares of our common stock in amounts and prices determined in accordance with a formula set forth in the plan. The plan terminates on the earlier of the date all shares under the plan are sold or May 14, 2025.</w:t>
      </w:r>
    </w:p>
    <w:p>
      <w:pPr>
        <w:spacing w:after="0" w:line="179"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25, 2024, Beth Seidenberg, a director of the Company, adopted a trading plan that is intended to satisfy the conditions under Rule 10b5-1(c) of the Exchange Act. Ms. Seidenberg’s trading plan is for the sale of up to 283,999 shares of the Company’s common stock in amounts and prices determined in accordance with a formula set forth in the plan. The plan terminates on the earlier of the date all shares under the plan are sold or June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80" w:type="dxa"/>
            <w:vAlign w:val="bottom"/>
            <w:gridSpan w:val="5"/>
            <w:vMerge w:val="restart"/>
          </w:tcPr>
          <w:p>
            <w:pPr>
              <w:jc w:val="right"/>
              <w:ind w:righ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1"/>
                <w:szCs w:val="11"/>
                <w:color w:val="auto"/>
              </w:rPr>
            </w:pPr>
          </w:p>
        </w:tc>
        <w:tc>
          <w:tcPr>
            <w:tcW w:w="70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vMerge w:val="restart"/>
          </w:tcPr>
          <w:p>
            <w:pPr>
              <w:spacing w:after="0"/>
              <w:rPr>
                <w:sz w:val="11"/>
                <w:szCs w:val="11"/>
                <w:color w:val="auto"/>
              </w:rPr>
            </w:pPr>
          </w:p>
        </w:tc>
        <w:tc>
          <w:tcPr>
            <w:tcW w:w="124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Borders>
              <w:top w:val="single" w:sz="8" w:color="auto"/>
            </w:tcBorders>
            <w:vMerge w:val="restart"/>
          </w:tcPr>
          <w:p>
            <w:pPr>
              <w:spacing w:after="0"/>
              <w:rPr>
                <w:sz w:val="11"/>
                <w:szCs w:val="11"/>
                <w:color w:val="auto"/>
              </w:rPr>
            </w:pPr>
          </w:p>
        </w:tc>
        <w:tc>
          <w:tcPr>
            <w:tcW w:w="76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vMerge w:val="restart"/>
          </w:tcPr>
          <w:p>
            <w:pPr>
              <w:spacing w:after="0"/>
              <w:rPr>
                <w:sz w:val="11"/>
                <w:szCs w:val="11"/>
                <w:color w:val="auto"/>
              </w:rPr>
            </w:pPr>
          </w:p>
        </w:tc>
        <w:tc>
          <w:tcPr>
            <w:tcW w:w="12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2"/>
        </w:trPr>
        <w:tc>
          <w:tcPr>
            <w:tcW w:w="10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4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500" w:type="dxa"/>
            <w:vAlign w:val="bottom"/>
            <w:tcBorders>
              <w:top w:val="single" w:sz="8" w:color="0000FF"/>
            </w:tcBorders>
            <w:gridSpan w:val="5"/>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460" w:type="dxa"/>
            <w:vAlign w:val="bottom"/>
            <w:tcBorders>
              <w:top w:val="single" w:sz="8" w:color="0000FF"/>
            </w:tcBorders>
            <w:gridSpan w:val="3"/>
          </w:tcPr>
          <w:p>
            <w:pPr>
              <w:spacing w:after="0"/>
              <w:rPr>
                <w:sz w:val="15"/>
                <w:szCs w:val="15"/>
                <w:color w:val="auto"/>
              </w:rPr>
            </w:pPr>
          </w:p>
        </w:tc>
        <w:tc>
          <w:tcPr>
            <w:tcW w:w="34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7"/>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2"/>
                <w:szCs w:val="22"/>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rPr>
              <w:t>Furnished herewith.</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Progyny, Inc.</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256"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Anevski,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440" w:val="left"/>
          <w:tab w:leader="none" w:pos="748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4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860" w:val="left"/>
          <w:tab w:leader="none" w:pos="758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26035</wp:posOffset>
            </wp:positionV>
            <wp:extent cx="3703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4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June 30,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00" w:val="left"/>
          <w:tab w:leader="none" w:pos="752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4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June 30,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40" w:val="left"/>
          <w:tab w:leader="none" w:pos="744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26035</wp:posOffset>
            </wp:positionV>
            <wp:extent cx="39001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4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2"/>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decimal"/>
      <w:start w:val="4"/>
    </w:lvl>
  </w:abstractNum>
  <w:abstractNum w:abstractNumId="9">
    <w:nsid w:val="75A2A8D4"/>
    <w:multiLevelType w:val="hybridMultilevel"/>
    <w:lvl w:ilvl="0">
      <w:lvlJc w:val="left"/>
      <w:lvlText w:val="%1."/>
      <w:numFmt w:val="decimal"/>
      <w:start w:val="5"/>
    </w:lvl>
  </w:abstractNum>
  <w:abstractNum w:abstractNumId="10">
    <w:nsid w:val="8EDBDAB"/>
    <w:multiLevelType w:val="hybridMultilevel"/>
    <w:lvl w:ilvl="0">
      <w:lvlJc w:val="left"/>
      <w:lvlText w:val="%1."/>
      <w:numFmt w:val="decimal"/>
      <w:start w:val="6"/>
    </w:lvl>
  </w:abstractNum>
  <w:abstractNum w:abstractNumId="11">
    <w:nsid w:val="79838CB2"/>
    <w:multiLevelType w:val="hybridMultilevel"/>
    <w:lvl w:ilvl="0">
      <w:lvlJc w:val="left"/>
      <w:lvlText w:val="%1."/>
      <w:numFmt w:val="decimal"/>
      <w:start w:val="7"/>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8"/>
    </w:lvl>
  </w:abstractNum>
  <w:abstractNum w:abstractNumId="14">
    <w:nsid w:val="189A769B"/>
    <w:multiLevelType w:val="hybridMultilevel"/>
    <w:lvl w:ilvl="0">
      <w:lvlJc w:val="left"/>
      <w:lvlText w:val="%1."/>
      <w:numFmt w:val="decimal"/>
      <w:start w:val="9"/>
    </w:lvl>
  </w:abstractNum>
  <w:abstractNum w:abstractNumId="15">
    <w:nsid w:val="54E49EB4"/>
    <w:multiLevelType w:val="hybridMultilevel"/>
    <w:lvl w:ilvl="0">
      <w:lvlJc w:val="left"/>
      <w:lvlText w:val="%1."/>
      <w:numFmt w:val="decimal"/>
      <w:start w:val="10"/>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2024-08-07T07:57:56Z</dcterms:created>
  <dcterms:modified xsi:type="dcterms:W3CDTF">2024-08-07T07:57:56Z</dcterms:modified>
</cp:coreProperties>
</file>