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424(b)(4)</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Number 333-233965</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10,000,000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153035</wp:posOffset>
            </wp:positionV>
            <wp:extent cx="2340610" cy="697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40610" cy="697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153035</wp:posOffset>
            </wp:positionV>
            <wp:extent cx="1831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20" w:firstLine="333"/>
        <w:spacing w:after="0" w:line="276" w:lineRule="auto"/>
        <w:rPr>
          <w:sz w:val="20"/>
          <w:szCs w:val="20"/>
          <w:color w:val="auto"/>
        </w:rPr>
      </w:pPr>
      <w:r>
        <w:rPr>
          <w:rFonts w:ascii="Arial" w:cs="Arial" w:eastAsia="Arial" w:hAnsi="Arial"/>
          <w:sz w:val="17"/>
          <w:szCs w:val="17"/>
          <w:color w:val="auto"/>
        </w:rPr>
        <w:t>This is the initial public offering of shares of common stock of Progyny, Inc. We are offering 6,700,000 shares of our common stock and the selling stockholders are offering 3,300,000 shares of common stock. We will not receive any proceeds from the sale of stock by the selling stockholders.</w:t>
      </w:r>
    </w:p>
    <w:p>
      <w:pPr>
        <w:spacing w:after="0" w:line="171" w:lineRule="exact"/>
        <w:rPr>
          <w:sz w:val="24"/>
          <w:szCs w:val="24"/>
          <w:color w:val="auto"/>
        </w:rPr>
      </w:pPr>
    </w:p>
    <w:p>
      <w:pPr>
        <w:ind w:right="440" w:firstLine="336"/>
        <w:spacing w:after="0" w:line="276"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is $13.00 per share. Our common stock has been approved for listing on the Nasdaq Global Select Market under the symbol "PGNY."</w:t>
      </w:r>
    </w:p>
    <w:p>
      <w:pPr>
        <w:spacing w:after="0" w:line="171" w:lineRule="exact"/>
        <w:rPr>
          <w:sz w:val="24"/>
          <w:szCs w:val="24"/>
          <w:color w:val="auto"/>
        </w:rPr>
      </w:pPr>
    </w:p>
    <w:p>
      <w:pPr>
        <w:ind w:right="680" w:firstLine="333"/>
        <w:spacing w:after="0" w:line="276"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53" w:lineRule="exact"/>
        <w:rPr>
          <w:sz w:val="24"/>
          <w:szCs w:val="24"/>
          <w:color w:val="auto"/>
        </w:rPr>
      </w:pPr>
    </w:p>
    <w:p>
      <w:pPr>
        <w:ind w:left="340"/>
        <w:spacing w:after="0"/>
        <w:rPr>
          <w:sz w:val="20"/>
          <w:szCs w:val="20"/>
          <w:color w:val="auto"/>
        </w:rPr>
      </w:pPr>
      <w:r>
        <w:rPr>
          <w:rFonts w:ascii="Arial" w:cs="Arial" w:eastAsia="Arial" w:hAnsi="Arial"/>
          <w:sz w:val="19"/>
          <w:szCs w:val="19"/>
          <w:b w:val="1"/>
          <w:bCs w:val="1"/>
          <w:color w:val="auto"/>
        </w:rPr>
        <w:t>See "Risk Factors" beginning on page 20 to read about factors you should consider before buying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158115</wp:posOffset>
            </wp:positionV>
            <wp:extent cx="1831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right="500" w:firstLine="336"/>
        <w:spacing w:after="0" w:line="28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111760</wp:posOffset>
            </wp:positionV>
            <wp:extent cx="1831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tbl>
      <w:tblPr>
        <w:tblLayout w:type="fixed"/>
        <w:tblInd w:w="1240" w:type="dxa"/>
        <w:tblCellMar>
          <w:top w:w="0" w:type="dxa"/>
          <w:left w:w="0" w:type="dxa"/>
          <w:bottom w:w="0" w:type="dxa"/>
          <w:right w:w="0" w:type="dxa"/>
        </w:tblCellMar>
      </w:tblPr>
      <w:tr>
        <w:trPr>
          <w:trHeight w:val="40"/>
        </w:trPr>
        <w:tc>
          <w:tcPr>
            <w:tcW w:w="408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r>
      <w:tr>
        <w:trPr>
          <w:trHeight w:val="146"/>
        </w:trPr>
        <w:tc>
          <w:tcPr>
            <w:tcW w:w="40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00"/>
              <w:spacing w:after="0" w:line="147" w:lineRule="exact"/>
              <w:rPr>
                <w:sz w:val="20"/>
                <w:szCs w:val="20"/>
                <w:color w:val="auto"/>
              </w:rPr>
            </w:pPr>
            <w:r>
              <w:rPr>
                <w:rFonts w:ascii="Arial" w:cs="Arial" w:eastAsia="Arial" w:hAnsi="Arial"/>
                <w:sz w:val="13"/>
                <w:szCs w:val="13"/>
                <w:b w:val="1"/>
                <w:bCs w:val="1"/>
                <w:color w:val="auto"/>
              </w:rPr>
              <w:t>Per Share</w:t>
            </w: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0"/>
              <w:spacing w:after="0" w:line="147" w:lineRule="exact"/>
              <w:rPr>
                <w:sz w:val="20"/>
                <w:szCs w:val="20"/>
                <w:color w:val="auto"/>
              </w:rPr>
            </w:pPr>
            <w:r>
              <w:rPr>
                <w:rFonts w:ascii="Arial" w:cs="Arial" w:eastAsia="Arial" w:hAnsi="Arial"/>
                <w:sz w:val="13"/>
                <w:szCs w:val="13"/>
                <w:b w:val="1"/>
                <w:bCs w:val="1"/>
                <w:color w:val="auto"/>
              </w:rPr>
              <w:t>Total</w:t>
            </w:r>
          </w:p>
        </w:tc>
      </w:tr>
      <w:tr>
        <w:trPr>
          <w:trHeight w:val="219"/>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Initial public offering price</w:t>
            </w:r>
          </w:p>
        </w:tc>
        <w:tc>
          <w:tcPr>
            <w:tcW w:w="2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13.0000</w:t>
            </w:r>
          </w:p>
        </w:tc>
        <w:tc>
          <w:tcPr>
            <w:tcW w:w="3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130,000,000</w:t>
            </w:r>
          </w:p>
        </w:tc>
      </w:tr>
      <w:tr>
        <w:trPr>
          <w:trHeight w:val="272"/>
        </w:trPr>
        <w:tc>
          <w:tcPr>
            <w:tcW w:w="4080" w:type="dxa"/>
            <w:vAlign w:val="bottom"/>
            <w:tcBorders>
              <w:bottom w:val="single" w:sz="8" w:color="auto"/>
            </w:tcBorders>
          </w:tcPr>
          <w:p>
            <w:pPr>
              <w:spacing w:after="0" w:line="272"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8"/>
                <w:szCs w:val="28"/>
                <w:color w:val="auto"/>
                <w:vertAlign w:val="superscript"/>
              </w:rPr>
              <w:t>(1)</w:t>
            </w:r>
          </w:p>
        </w:tc>
        <w:tc>
          <w:tcPr>
            <w:tcW w:w="2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0.8453</w:t>
            </w:r>
          </w:p>
        </w:tc>
        <w:tc>
          <w:tcPr>
            <w:tcW w:w="3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8,453,250</w:t>
            </w:r>
          </w:p>
        </w:tc>
      </w:tr>
      <w:tr>
        <w:trPr>
          <w:trHeight w:val="219"/>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Proceeds, before expenses, to us</w:t>
            </w:r>
          </w:p>
        </w:tc>
        <w:tc>
          <w:tcPr>
            <w:tcW w:w="2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12.1225</w:t>
            </w:r>
          </w:p>
        </w:tc>
        <w:tc>
          <w:tcPr>
            <w:tcW w:w="3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81,220,750</w:t>
            </w:r>
          </w:p>
        </w:tc>
      </w:tr>
      <w:tr>
        <w:trPr>
          <w:trHeight w:val="226"/>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Proceeds to selling stockholders</w:t>
            </w:r>
          </w:p>
        </w:tc>
        <w:tc>
          <w:tcPr>
            <w:tcW w:w="2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12.2200</w:t>
            </w:r>
          </w:p>
        </w:tc>
        <w:tc>
          <w:tcPr>
            <w:tcW w:w="3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40,326,000</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5" w:lineRule="exact"/>
        <w:rPr>
          <w:sz w:val="24"/>
          <w:szCs w:val="24"/>
          <w:color w:val="auto"/>
        </w:rPr>
      </w:pPr>
    </w:p>
    <w:p>
      <w:pPr>
        <w:ind w:left="520" w:right="80" w:hanging="517"/>
        <w:spacing w:after="0" w:line="250" w:lineRule="auto"/>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the section titled "Underwriting" for additional information regarding compensation payable to the underwriters, including the underwriting discount payable by the Company and the underwriting discount payable by the Selling Stockholders.</w:t>
      </w:r>
    </w:p>
    <w:p>
      <w:pPr>
        <w:spacing w:after="0" w:line="180" w:lineRule="exact"/>
        <w:rPr>
          <w:sz w:val="24"/>
          <w:szCs w:val="24"/>
          <w:color w:val="auto"/>
        </w:rPr>
      </w:pPr>
    </w:p>
    <w:p>
      <w:pPr>
        <w:ind w:right="840" w:firstLine="336"/>
        <w:spacing w:after="0" w:line="276" w:lineRule="auto"/>
        <w:rPr>
          <w:sz w:val="20"/>
          <w:szCs w:val="20"/>
          <w:color w:val="auto"/>
        </w:rPr>
      </w:pPr>
      <w:r>
        <w:rPr>
          <w:rFonts w:ascii="Arial" w:cs="Arial" w:eastAsia="Arial" w:hAnsi="Arial"/>
          <w:sz w:val="17"/>
          <w:szCs w:val="17"/>
          <w:color w:val="auto"/>
        </w:rPr>
        <w:t>Certain selling stockholders have granted the underwriters the right to purchase up to an additional 1,500,000 shares of common stock from such selling stockholders at the initial public offering price less the underwriting discount.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114300</wp:posOffset>
            </wp:positionV>
            <wp:extent cx="1831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underwriters expect to deliver the shares against payment in New York, New York on or about October 29, 2019.</w:t>
      </w:r>
    </w:p>
    <w:p>
      <w:pPr>
        <w:spacing w:after="0" w:line="201" w:lineRule="exact"/>
        <w:rPr>
          <w:sz w:val="24"/>
          <w:szCs w:val="24"/>
          <w:color w:val="auto"/>
        </w:rPr>
      </w:pPr>
    </w:p>
    <w:p>
      <w:pPr>
        <w:spacing w:after="0"/>
        <w:tabs>
          <w:tab w:leader="none" w:pos="4000" w:val="left"/>
          <w:tab w:leader="none" w:pos="9860" w:val="left"/>
        </w:tabs>
        <w:rPr>
          <w:sz w:val="20"/>
          <w:szCs w:val="20"/>
          <w:color w:val="auto"/>
        </w:rPr>
      </w:pPr>
      <w:r>
        <w:rPr>
          <w:rFonts w:ascii="Arial" w:cs="Arial" w:eastAsia="Arial" w:hAnsi="Arial"/>
          <w:sz w:val="23"/>
          <w:szCs w:val="23"/>
          <w:b w:val="1"/>
          <w:bCs w:val="1"/>
          <w:color w:val="auto"/>
        </w:rPr>
        <w:t>J.P. Morgan</w:t>
      </w:r>
      <w:r>
        <w:rPr>
          <w:sz w:val="20"/>
          <w:szCs w:val="20"/>
          <w:color w:val="auto"/>
        </w:rPr>
        <w:tab/>
      </w:r>
      <w:r>
        <w:rPr>
          <w:rFonts w:ascii="Arial" w:cs="Arial" w:eastAsia="Arial" w:hAnsi="Arial"/>
          <w:sz w:val="23"/>
          <w:szCs w:val="23"/>
          <w:b w:val="1"/>
          <w:bCs w:val="1"/>
          <w:color w:val="auto"/>
        </w:rPr>
        <w:t>Goldman Sachs &amp; Co. LLC</w:t>
      </w:r>
      <w:r>
        <w:rPr>
          <w:sz w:val="20"/>
          <w:szCs w:val="20"/>
          <w:color w:val="auto"/>
        </w:rPr>
        <w:tab/>
      </w:r>
      <w:r>
        <w:rPr>
          <w:rFonts w:ascii="Arial" w:cs="Arial" w:eastAsia="Arial" w:hAnsi="Arial"/>
          <w:sz w:val="20"/>
          <w:szCs w:val="20"/>
          <w:b w:val="1"/>
          <w:bCs w:val="1"/>
          <w:color w:val="auto"/>
        </w:rPr>
        <w:t>BofA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153035</wp:posOffset>
            </wp:positionV>
            <wp:extent cx="1831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Citigroup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153035</wp:posOffset>
            </wp:positionV>
            <wp:extent cx="1831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tabs>
          <w:tab w:leader="none" w:pos="4760" w:val="left"/>
          <w:tab w:leader="none" w:pos="9160" w:val="left"/>
        </w:tabs>
        <w:rPr>
          <w:sz w:val="20"/>
          <w:szCs w:val="20"/>
          <w:color w:val="auto"/>
        </w:rPr>
      </w:pPr>
      <w:r>
        <w:rPr>
          <w:rFonts w:ascii="Arial" w:cs="Arial" w:eastAsia="Arial" w:hAnsi="Arial"/>
          <w:sz w:val="23"/>
          <w:szCs w:val="23"/>
          <w:b w:val="1"/>
          <w:bCs w:val="1"/>
          <w:color w:val="auto"/>
        </w:rPr>
        <w:t>Piper Jaffray</w:t>
      </w:r>
      <w:r>
        <w:rPr>
          <w:sz w:val="20"/>
          <w:szCs w:val="20"/>
          <w:color w:val="auto"/>
        </w:rPr>
        <w:tab/>
      </w:r>
      <w:r>
        <w:rPr>
          <w:rFonts w:ascii="Arial" w:cs="Arial" w:eastAsia="Arial" w:hAnsi="Arial"/>
          <w:sz w:val="23"/>
          <w:szCs w:val="23"/>
          <w:b w:val="1"/>
          <w:bCs w:val="1"/>
          <w:color w:val="auto"/>
        </w:rPr>
        <w:t>SVB Leerink</w:t>
      </w:r>
      <w:r>
        <w:rPr>
          <w:sz w:val="20"/>
          <w:szCs w:val="20"/>
          <w:color w:val="auto"/>
        </w:rPr>
        <w:tab/>
      </w:r>
      <w:r>
        <w:rPr>
          <w:rFonts w:ascii="Arial" w:cs="Arial" w:eastAsia="Arial" w:hAnsi="Arial"/>
          <w:sz w:val="22"/>
          <w:szCs w:val="22"/>
          <w:b w:val="1"/>
          <w:bCs w:val="1"/>
          <w:color w:val="auto"/>
        </w:rPr>
        <w:t>TPG Capital BD, LLC</w:t>
      </w:r>
    </w:p>
    <w:p>
      <w:pPr>
        <w:sectPr>
          <w:pgSz w:w="11900" w:h="16838" w:orient="portrait"/>
          <w:cols w:equalWidth="0" w:num="1">
            <w:col w:w="11420"/>
          </w:cols>
          <w:pgMar w:left="240" w:top="674" w:right="239" w:bottom="603" w:gutter="0" w:footer="0" w:header="0"/>
        </w:sect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Prospectus dated October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725678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74" w:right="239" w:bottom="603"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9685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5200" cy="9685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99"/>
        <w:spacing w:after="0"/>
        <w:rPr>
          <w:sz w:val="20"/>
          <w:szCs w:val="20"/>
          <w:color w:val="auto"/>
        </w:rPr>
      </w:pPr>
      <w:r>
        <w:rPr>
          <w:rFonts w:ascii="Arial" w:cs="Arial" w:eastAsia="Arial" w:hAnsi="Arial"/>
          <w:sz w:val="17"/>
          <w:szCs w:val="17"/>
          <w:b w:val="1"/>
          <w:bCs w:val="1"/>
          <w:color w:val="auto"/>
        </w:rPr>
        <w:t>TABLE OF CONTENTS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1960" w:type="dxa"/>
            <w:vAlign w:val="bottom"/>
            <w:gridSpan w:val="7"/>
            <w:vMerge w:val="restart"/>
          </w:tcPr>
          <w:p>
            <w:pPr>
              <w:spacing w:after="0"/>
              <w:rPr>
                <w:rFonts w:ascii="Arial" w:cs="Arial" w:eastAsia="Arial" w:hAnsi="Arial"/>
                <w:sz w:val="17"/>
                <w:szCs w:val="17"/>
                <w:color w:val="0000EE"/>
                <w:w w:val="92"/>
              </w:rPr>
            </w:pPr>
            <w:hyperlink w:anchor="page4">
              <w:r>
                <w:rPr>
                  <w:rFonts w:ascii="Arial" w:cs="Arial" w:eastAsia="Arial" w:hAnsi="Arial"/>
                  <w:sz w:val="17"/>
                  <w:szCs w:val="17"/>
                  <w:color w:val="0000EE"/>
                  <w:w w:val="92"/>
                </w:rPr>
                <w:t>PROSPECTUS SUMMARY</w:t>
              </w:r>
            </w:hyperlink>
          </w:p>
        </w:tc>
        <w:tc>
          <w:tcPr>
            <w:tcW w:w="6600" w:type="dxa"/>
            <w:vAlign w:val="bottom"/>
            <w:gridSpan w:val="16"/>
            <w:vMerge w:val="restart"/>
          </w:tcPr>
          <w:p>
            <w:pPr>
              <w:spacing w:after="0"/>
              <w:rPr>
                <w:sz w:val="13"/>
                <w:szCs w:val="13"/>
                <w:color w:val="auto"/>
              </w:rPr>
            </w:pPr>
          </w:p>
        </w:tc>
        <w:tc>
          <w:tcPr>
            <w:tcW w:w="440" w:type="dxa"/>
            <w:vAlign w:val="bottom"/>
            <w:gridSpan w:val="5"/>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1"/>
        </w:trPr>
        <w:tc>
          <w:tcPr>
            <w:tcW w:w="1960" w:type="dxa"/>
            <w:vAlign w:val="bottom"/>
            <w:tcBorders>
              <w:bottom w:val="single" w:sz="8" w:color="0000EE"/>
            </w:tcBorders>
            <w:gridSpan w:val="7"/>
            <w:vMerge w:val="continue"/>
          </w:tcPr>
          <w:p>
            <w:pPr>
              <w:spacing w:after="0"/>
              <w:rPr>
                <w:sz w:val="14"/>
                <w:szCs w:val="14"/>
                <w:color w:val="auto"/>
              </w:rPr>
            </w:pPr>
          </w:p>
        </w:tc>
        <w:tc>
          <w:tcPr>
            <w:tcW w:w="6600" w:type="dxa"/>
            <w:vAlign w:val="bottom"/>
            <w:gridSpan w:val="16"/>
            <w:vMerge w:val="continue"/>
          </w:tcPr>
          <w:p>
            <w:pPr>
              <w:spacing w:after="0"/>
              <w:rPr>
                <w:sz w:val="14"/>
                <w:szCs w:val="14"/>
                <w:color w:val="auto"/>
              </w:rPr>
            </w:pPr>
          </w:p>
        </w:tc>
        <w:tc>
          <w:tcPr>
            <w:tcW w:w="340" w:type="dxa"/>
            <w:vAlign w:val="bottom"/>
            <w:tcBorders>
              <w:top w:val="single" w:sz="8" w:color="auto"/>
            </w:tcBorders>
            <w:gridSpan w:val="3"/>
          </w:tcPr>
          <w:p>
            <w:pPr>
              <w:spacing w:after="0"/>
              <w:rPr>
                <w:sz w:val="14"/>
                <w:szCs w:val="14"/>
                <w:color w:val="auto"/>
              </w:rPr>
            </w:pPr>
          </w:p>
        </w:tc>
        <w:tc>
          <w:tcPr>
            <w:tcW w:w="80" w:type="dxa"/>
            <w:vAlign w:val="bottom"/>
            <w:tcBorders>
              <w:top w:val="single" w:sz="8" w:color="auto"/>
              <w:bottom w:val="single" w:sz="8" w:color="0000EE"/>
            </w:tcBorders>
          </w:tcPr>
          <w:p>
            <w:pPr>
              <w:jc w:val="right"/>
              <w:spacing w:after="0" w:line="161" w:lineRule="exact"/>
              <w:rPr>
                <w:rFonts w:ascii="Arial" w:cs="Arial" w:eastAsia="Arial" w:hAnsi="Arial"/>
                <w:sz w:val="15"/>
                <w:szCs w:val="15"/>
                <w:color w:val="0000EE"/>
                <w:w w:val="71"/>
              </w:rPr>
            </w:pPr>
            <w:hyperlink w:anchor="page4">
              <w:r>
                <w:rPr>
                  <w:rFonts w:ascii="Arial" w:cs="Arial" w:eastAsia="Arial" w:hAnsi="Arial"/>
                  <w:sz w:val="15"/>
                  <w:szCs w:val="15"/>
                  <w:color w:val="0000EE"/>
                  <w:w w:val="71"/>
                </w:rPr>
                <w:t>1</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80" w:type="dxa"/>
            <w:vAlign w:val="bottom"/>
            <w:gridSpan w:val="3"/>
          </w:tcPr>
          <w:p>
            <w:pPr>
              <w:spacing w:after="0" w:line="187" w:lineRule="exact"/>
              <w:rPr>
                <w:rFonts w:ascii="Arial" w:cs="Arial" w:eastAsia="Arial" w:hAnsi="Arial"/>
                <w:sz w:val="17"/>
                <w:szCs w:val="17"/>
                <w:color w:val="0000EE"/>
                <w:w w:val="92"/>
              </w:rPr>
            </w:pPr>
            <w:hyperlink w:anchor="page23">
              <w:r>
                <w:rPr>
                  <w:rFonts w:ascii="Arial" w:cs="Arial" w:eastAsia="Arial" w:hAnsi="Arial"/>
                  <w:sz w:val="17"/>
                  <w:szCs w:val="17"/>
                  <w:color w:val="0000EE"/>
                  <w:w w:val="92"/>
                </w:rPr>
                <w:t>RISK FACTORS</w:t>
              </w:r>
            </w:hyperlink>
          </w:p>
        </w:tc>
        <w:tc>
          <w:tcPr>
            <w:tcW w:w="7380" w:type="dxa"/>
            <w:vAlign w:val="bottom"/>
            <w:gridSpan w:val="20"/>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23">
              <w:r>
                <w:rPr>
                  <w:rFonts w:ascii="Arial" w:cs="Arial" w:eastAsia="Arial" w:hAnsi="Arial"/>
                  <w:sz w:val="17"/>
                  <w:szCs w:val="17"/>
                  <w:color w:val="0000EE"/>
                </w:rPr>
                <w:t>20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00" w:type="dxa"/>
            <w:vAlign w:val="bottom"/>
            <w:gridSpan w:val="18"/>
          </w:tcPr>
          <w:p>
            <w:pPr>
              <w:spacing w:after="0" w:line="187" w:lineRule="exact"/>
              <w:rPr>
                <w:rFonts w:ascii="Arial" w:cs="Arial" w:eastAsia="Arial" w:hAnsi="Arial"/>
                <w:sz w:val="17"/>
                <w:szCs w:val="17"/>
                <w:color w:val="0000EE"/>
                <w:w w:val="94"/>
              </w:rPr>
            </w:pPr>
            <w:hyperlink w:anchor="page54">
              <w:r>
                <w:rPr>
                  <w:rFonts w:ascii="Arial" w:cs="Arial" w:eastAsia="Arial" w:hAnsi="Arial"/>
                  <w:sz w:val="17"/>
                  <w:szCs w:val="17"/>
                  <w:color w:val="0000EE"/>
                  <w:w w:val="94"/>
                </w:rPr>
                <w:t>SPECIAL NOTE REGARDING FORWARD-LOOKING STATEMENTS</w:t>
              </w:r>
            </w:hyperlink>
          </w:p>
        </w:tc>
        <w:tc>
          <w:tcPr>
            <w:tcW w:w="3560" w:type="dxa"/>
            <w:vAlign w:val="bottom"/>
            <w:gridSpan w:val="5"/>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54">
              <w:r>
                <w:rPr>
                  <w:rFonts w:ascii="Arial" w:cs="Arial" w:eastAsia="Arial" w:hAnsi="Arial"/>
                  <w:sz w:val="17"/>
                  <w:szCs w:val="17"/>
                  <w:color w:val="0000EE"/>
                </w:rPr>
                <w:t>51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20" w:type="dxa"/>
            <w:vAlign w:val="bottom"/>
            <w:gridSpan w:val="12"/>
          </w:tcPr>
          <w:p>
            <w:pPr>
              <w:spacing w:after="0" w:line="187" w:lineRule="exact"/>
              <w:rPr>
                <w:rFonts w:ascii="Arial" w:cs="Arial" w:eastAsia="Arial" w:hAnsi="Arial"/>
                <w:sz w:val="17"/>
                <w:szCs w:val="17"/>
                <w:color w:val="0000EE"/>
                <w:w w:val="96"/>
              </w:rPr>
            </w:pPr>
            <w:hyperlink w:anchor="page55">
              <w:r>
                <w:rPr>
                  <w:rFonts w:ascii="Arial" w:cs="Arial" w:eastAsia="Arial" w:hAnsi="Arial"/>
                  <w:sz w:val="17"/>
                  <w:szCs w:val="17"/>
                  <w:color w:val="0000EE"/>
                  <w:w w:val="96"/>
                </w:rPr>
                <w:t>MARKET, INDUSTRY AND OTHER DATA</w:t>
              </w:r>
            </w:hyperlink>
          </w:p>
        </w:tc>
        <w:tc>
          <w:tcPr>
            <w:tcW w:w="1880" w:type="dxa"/>
            <w:vAlign w:val="bottom"/>
            <w:gridSpan w:val="6"/>
          </w:tcPr>
          <w:p>
            <w:pPr>
              <w:spacing w:after="0"/>
              <w:rPr>
                <w:sz w:val="16"/>
                <w:szCs w:val="16"/>
                <w:color w:val="auto"/>
              </w:rPr>
            </w:pPr>
          </w:p>
        </w:tc>
        <w:tc>
          <w:tcPr>
            <w:tcW w:w="3560" w:type="dxa"/>
            <w:vAlign w:val="bottom"/>
            <w:gridSpan w:val="5"/>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55">
              <w:r>
                <w:rPr>
                  <w:rFonts w:ascii="Arial" w:cs="Arial" w:eastAsia="Arial" w:hAnsi="Arial"/>
                  <w:sz w:val="17"/>
                  <w:szCs w:val="17"/>
                  <w:color w:val="0000EE"/>
                </w:rPr>
                <w:t>52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gridSpan w:val="6"/>
          </w:tcPr>
          <w:p>
            <w:pPr>
              <w:spacing w:after="0" w:line="187" w:lineRule="exact"/>
              <w:rPr>
                <w:rFonts w:ascii="Arial" w:cs="Arial" w:eastAsia="Arial" w:hAnsi="Arial"/>
                <w:sz w:val="17"/>
                <w:szCs w:val="17"/>
                <w:color w:val="0000EE"/>
                <w:w w:val="88"/>
              </w:rPr>
            </w:pPr>
            <w:hyperlink w:anchor="page56">
              <w:r>
                <w:rPr>
                  <w:rFonts w:ascii="Arial" w:cs="Arial" w:eastAsia="Arial" w:hAnsi="Arial"/>
                  <w:sz w:val="17"/>
                  <w:szCs w:val="17"/>
                  <w:color w:val="0000EE"/>
                  <w:w w:val="88"/>
                </w:rPr>
                <w:t>USE OF PROCEEDS</w:t>
              </w:r>
            </w:hyperlink>
          </w:p>
        </w:tc>
        <w:tc>
          <w:tcPr>
            <w:tcW w:w="1640" w:type="dxa"/>
            <w:vAlign w:val="bottom"/>
            <w:gridSpan w:val="6"/>
          </w:tcPr>
          <w:p>
            <w:pPr>
              <w:spacing w:after="0"/>
              <w:rPr>
                <w:sz w:val="16"/>
                <w:szCs w:val="16"/>
                <w:color w:val="auto"/>
              </w:rPr>
            </w:pPr>
          </w:p>
        </w:tc>
        <w:tc>
          <w:tcPr>
            <w:tcW w:w="5440" w:type="dxa"/>
            <w:vAlign w:val="bottom"/>
            <w:gridSpan w:val="11"/>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56">
              <w:r>
                <w:rPr>
                  <w:rFonts w:ascii="Arial" w:cs="Arial" w:eastAsia="Arial" w:hAnsi="Arial"/>
                  <w:sz w:val="17"/>
                  <w:szCs w:val="17"/>
                  <w:color w:val="0000EE"/>
                </w:rPr>
                <w:t>53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gridSpan w:val="6"/>
          </w:tcPr>
          <w:p>
            <w:pPr>
              <w:spacing w:after="0" w:line="187" w:lineRule="exact"/>
              <w:rPr>
                <w:rFonts w:ascii="Arial" w:cs="Arial" w:eastAsia="Arial" w:hAnsi="Arial"/>
                <w:sz w:val="17"/>
                <w:szCs w:val="17"/>
                <w:color w:val="0000EE"/>
                <w:w w:val="97"/>
              </w:rPr>
            </w:pPr>
            <w:hyperlink w:anchor="page57">
              <w:r>
                <w:rPr>
                  <w:rFonts w:ascii="Arial" w:cs="Arial" w:eastAsia="Arial" w:hAnsi="Arial"/>
                  <w:sz w:val="17"/>
                  <w:szCs w:val="17"/>
                  <w:color w:val="0000EE"/>
                  <w:w w:val="97"/>
                </w:rPr>
                <w:t>DIVIDEND POLICY</w:t>
              </w:r>
            </w:hyperlink>
          </w:p>
        </w:tc>
        <w:tc>
          <w:tcPr>
            <w:tcW w:w="7080" w:type="dxa"/>
            <w:vAlign w:val="bottom"/>
            <w:gridSpan w:val="17"/>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57">
              <w:r>
                <w:rPr>
                  <w:rFonts w:ascii="Arial" w:cs="Arial" w:eastAsia="Arial" w:hAnsi="Arial"/>
                  <w:sz w:val="17"/>
                  <w:szCs w:val="17"/>
                  <w:color w:val="0000EE"/>
                </w:rPr>
                <w:t>54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360" w:type="dxa"/>
            <w:vAlign w:val="bottom"/>
            <w:gridSpan w:val="5"/>
          </w:tcPr>
          <w:p>
            <w:pPr>
              <w:spacing w:after="0" w:line="187" w:lineRule="exact"/>
              <w:rPr>
                <w:rFonts w:ascii="Arial" w:cs="Arial" w:eastAsia="Arial" w:hAnsi="Arial"/>
                <w:sz w:val="17"/>
                <w:szCs w:val="17"/>
                <w:color w:val="0000EE"/>
                <w:w w:val="95"/>
              </w:rPr>
            </w:pPr>
            <w:hyperlink w:anchor="page58">
              <w:r>
                <w:rPr>
                  <w:rFonts w:ascii="Arial" w:cs="Arial" w:eastAsia="Arial" w:hAnsi="Arial"/>
                  <w:sz w:val="17"/>
                  <w:szCs w:val="17"/>
                  <w:color w:val="0000EE"/>
                  <w:w w:val="95"/>
                </w:rPr>
                <w:t>CAPITALIZATION</w:t>
              </w:r>
            </w:hyperlink>
          </w:p>
        </w:tc>
        <w:tc>
          <w:tcPr>
            <w:tcW w:w="120" w:type="dxa"/>
            <w:vAlign w:val="bottom"/>
          </w:tcPr>
          <w:p>
            <w:pPr>
              <w:spacing w:after="0"/>
              <w:rPr>
                <w:sz w:val="16"/>
                <w:szCs w:val="16"/>
                <w:color w:val="auto"/>
              </w:rPr>
            </w:pPr>
          </w:p>
        </w:tc>
        <w:tc>
          <w:tcPr>
            <w:tcW w:w="7080" w:type="dxa"/>
            <w:vAlign w:val="bottom"/>
            <w:gridSpan w:val="17"/>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58">
              <w:r>
                <w:rPr>
                  <w:rFonts w:ascii="Arial" w:cs="Arial" w:eastAsia="Arial" w:hAnsi="Arial"/>
                  <w:sz w:val="17"/>
                  <w:szCs w:val="17"/>
                  <w:color w:val="0000EE"/>
                </w:rPr>
                <w:t>55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00" w:type="dxa"/>
            <w:vAlign w:val="bottom"/>
            <w:gridSpan w:val="2"/>
          </w:tcPr>
          <w:p>
            <w:pPr>
              <w:spacing w:after="0" w:line="187" w:lineRule="exact"/>
              <w:rPr>
                <w:rFonts w:ascii="Arial" w:cs="Arial" w:eastAsia="Arial" w:hAnsi="Arial"/>
                <w:sz w:val="17"/>
                <w:szCs w:val="17"/>
                <w:color w:val="0000EE"/>
                <w:w w:val="95"/>
              </w:rPr>
            </w:pPr>
            <w:hyperlink w:anchor="page60">
              <w:r>
                <w:rPr>
                  <w:rFonts w:ascii="Arial" w:cs="Arial" w:eastAsia="Arial" w:hAnsi="Arial"/>
                  <w:sz w:val="17"/>
                  <w:szCs w:val="17"/>
                  <w:color w:val="0000EE"/>
                  <w:w w:val="95"/>
                </w:rPr>
                <w:t>DILUTION</w:t>
              </w:r>
            </w:hyperlink>
          </w:p>
        </w:tc>
        <w:tc>
          <w:tcPr>
            <w:tcW w:w="560" w:type="dxa"/>
            <w:vAlign w:val="bottom"/>
            <w:gridSpan w:val="3"/>
          </w:tcPr>
          <w:p>
            <w:pPr>
              <w:spacing w:after="0"/>
              <w:rPr>
                <w:sz w:val="16"/>
                <w:szCs w:val="16"/>
                <w:color w:val="auto"/>
              </w:rPr>
            </w:pPr>
          </w:p>
        </w:tc>
        <w:tc>
          <w:tcPr>
            <w:tcW w:w="7200" w:type="dxa"/>
            <w:vAlign w:val="bottom"/>
            <w:gridSpan w:val="18"/>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60">
              <w:r>
                <w:rPr>
                  <w:rFonts w:ascii="Arial" w:cs="Arial" w:eastAsia="Arial" w:hAnsi="Arial"/>
                  <w:sz w:val="17"/>
                  <w:szCs w:val="17"/>
                  <w:color w:val="0000EE"/>
                </w:rPr>
                <w:t>57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gridSpan w:val="15"/>
          </w:tcPr>
          <w:p>
            <w:pPr>
              <w:spacing w:after="0" w:line="187" w:lineRule="exact"/>
              <w:rPr>
                <w:rFonts w:ascii="Arial" w:cs="Arial" w:eastAsia="Arial" w:hAnsi="Arial"/>
                <w:sz w:val="17"/>
                <w:szCs w:val="17"/>
                <w:color w:val="0000EE"/>
                <w:w w:val="96"/>
              </w:rPr>
            </w:pPr>
            <w:hyperlink w:anchor="page62">
              <w:r>
                <w:rPr>
                  <w:rFonts w:ascii="Arial" w:cs="Arial" w:eastAsia="Arial" w:hAnsi="Arial"/>
                  <w:sz w:val="17"/>
                  <w:szCs w:val="17"/>
                  <w:color w:val="0000EE"/>
                  <w:w w:val="96"/>
                </w:rPr>
                <w:t>SELECTED CONSOLIDATED FINANCIAL DATA</w:t>
              </w:r>
            </w:hyperlink>
          </w:p>
        </w:tc>
        <w:tc>
          <w:tcPr>
            <w:tcW w:w="4960" w:type="dxa"/>
            <w:vAlign w:val="bottom"/>
            <w:gridSpan w:val="8"/>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62">
              <w:r>
                <w:rPr>
                  <w:rFonts w:ascii="Arial" w:cs="Arial" w:eastAsia="Arial" w:hAnsi="Arial"/>
                  <w:sz w:val="17"/>
                  <w:szCs w:val="17"/>
                  <w:color w:val="0000EE"/>
                </w:rPr>
                <w:t>59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320" w:type="dxa"/>
            <w:vAlign w:val="bottom"/>
            <w:gridSpan w:val="21"/>
          </w:tcPr>
          <w:p>
            <w:pPr>
              <w:spacing w:after="0" w:line="187" w:lineRule="exact"/>
              <w:rPr>
                <w:rFonts w:ascii="Arial" w:cs="Arial" w:eastAsia="Arial" w:hAnsi="Arial"/>
                <w:sz w:val="17"/>
                <w:szCs w:val="17"/>
                <w:color w:val="0000EE"/>
                <w:w w:val="95"/>
              </w:rPr>
            </w:pPr>
            <w:hyperlink w:anchor="page64">
              <w:r>
                <w:rPr>
                  <w:rFonts w:ascii="Arial" w:cs="Arial" w:eastAsia="Arial" w:hAnsi="Arial"/>
                  <w:sz w:val="17"/>
                  <w:szCs w:val="17"/>
                  <w:color w:val="0000EE"/>
                  <w:w w:val="95"/>
                </w:rPr>
                <w:t>MANAGEMENT'S DISCUSSION AND ANALYSIS OF FINANCIAL CONDITION AND RESULTS OF OPERATIONS</w:t>
              </w:r>
            </w:hyperlink>
          </w:p>
        </w:tc>
        <w:tc>
          <w:tcPr>
            <w:tcW w:w="240" w:type="dxa"/>
            <w:vAlign w:val="bottom"/>
            <w:gridSpan w:val="2"/>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64">
              <w:r>
                <w:rPr>
                  <w:rFonts w:ascii="Arial" w:cs="Arial" w:eastAsia="Arial" w:hAnsi="Arial"/>
                  <w:sz w:val="17"/>
                  <w:szCs w:val="17"/>
                  <w:color w:val="0000EE"/>
                </w:rPr>
                <w:t>61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320" w:type="dxa"/>
            <w:vAlign w:val="bottom"/>
            <w:gridSpan w:val="21"/>
          </w:tcPr>
          <w:p>
            <w:pPr>
              <w:spacing w:after="0" w:line="187" w:lineRule="exact"/>
              <w:rPr>
                <w:rFonts w:ascii="Arial" w:cs="Arial" w:eastAsia="Arial" w:hAnsi="Arial"/>
                <w:sz w:val="17"/>
                <w:szCs w:val="17"/>
                <w:color w:val="0000EE"/>
              </w:rPr>
            </w:pPr>
            <w:hyperlink w:anchor="page87">
              <w:r>
                <w:rPr>
                  <w:rFonts w:ascii="Arial" w:cs="Arial" w:eastAsia="Arial" w:hAnsi="Arial"/>
                  <w:sz w:val="17"/>
                  <w:szCs w:val="17"/>
                  <w:color w:val="0000EE"/>
                </w:rPr>
                <w:t>BUSINESS</w:t>
              </w:r>
            </w:hyperlink>
          </w:p>
        </w:tc>
        <w:tc>
          <w:tcPr>
            <w:tcW w:w="240" w:type="dxa"/>
            <w:vAlign w:val="bottom"/>
            <w:gridSpan w:val="2"/>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87">
              <w:r>
                <w:rPr>
                  <w:rFonts w:ascii="Arial" w:cs="Arial" w:eastAsia="Arial" w:hAnsi="Arial"/>
                  <w:sz w:val="17"/>
                  <w:szCs w:val="17"/>
                  <w:color w:val="0000EE"/>
                </w:rPr>
                <w:t>84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560" w:type="dxa"/>
            <w:vAlign w:val="bottom"/>
            <w:gridSpan w:val="23"/>
          </w:tcPr>
          <w:p>
            <w:pPr>
              <w:spacing w:after="0" w:line="187" w:lineRule="exact"/>
              <w:rPr>
                <w:rFonts w:ascii="Arial" w:cs="Arial" w:eastAsia="Arial" w:hAnsi="Arial"/>
                <w:sz w:val="17"/>
                <w:szCs w:val="17"/>
                <w:color w:val="0000EE"/>
              </w:rPr>
            </w:pPr>
            <w:hyperlink w:anchor="page114">
              <w:r>
                <w:rPr>
                  <w:rFonts w:ascii="Arial" w:cs="Arial" w:eastAsia="Arial" w:hAnsi="Arial"/>
                  <w:sz w:val="17"/>
                  <w:szCs w:val="17"/>
                  <w:color w:val="0000EE"/>
                </w:rPr>
                <w:t>MANAGEMENT</w:t>
              </w:r>
            </w:hyperlink>
          </w:p>
        </w:tc>
        <w:tc>
          <w:tcPr>
            <w:tcW w:w="420" w:type="dxa"/>
            <w:vAlign w:val="bottom"/>
            <w:gridSpan w:val="4"/>
          </w:tcPr>
          <w:p>
            <w:pPr>
              <w:jc w:val="right"/>
              <w:spacing w:after="0" w:line="187" w:lineRule="exact"/>
              <w:rPr>
                <w:rFonts w:ascii="Arial" w:cs="Arial" w:eastAsia="Arial" w:hAnsi="Arial"/>
                <w:sz w:val="17"/>
                <w:szCs w:val="17"/>
                <w:color w:val="0000EE"/>
              </w:rPr>
            </w:pPr>
            <w:hyperlink w:anchor="page114">
              <w:r>
                <w:rPr>
                  <w:rFonts w:ascii="Arial" w:cs="Arial" w:eastAsia="Arial" w:hAnsi="Arial"/>
                  <w:sz w:val="17"/>
                  <w:szCs w:val="17"/>
                  <w:color w:val="0000EE"/>
                </w:rPr>
                <w:t>111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00" w:type="dxa"/>
            <w:vAlign w:val="bottom"/>
            <w:gridSpan w:val="8"/>
          </w:tcPr>
          <w:p>
            <w:pPr>
              <w:spacing w:after="0" w:line="187" w:lineRule="exact"/>
              <w:rPr>
                <w:rFonts w:ascii="Arial" w:cs="Arial" w:eastAsia="Arial" w:hAnsi="Arial"/>
                <w:sz w:val="17"/>
                <w:szCs w:val="17"/>
                <w:color w:val="0000EE"/>
                <w:w w:val="95"/>
              </w:rPr>
            </w:pPr>
            <w:hyperlink w:anchor="page122">
              <w:r>
                <w:rPr>
                  <w:rFonts w:ascii="Arial" w:cs="Arial" w:eastAsia="Arial" w:hAnsi="Arial"/>
                  <w:sz w:val="17"/>
                  <w:szCs w:val="17"/>
                  <w:color w:val="0000EE"/>
                  <w:w w:val="95"/>
                </w:rPr>
                <w:t>EXECUTIVE COMPENSATION</w:t>
              </w:r>
            </w:hyperlink>
          </w:p>
        </w:tc>
        <w:tc>
          <w:tcPr>
            <w:tcW w:w="6260" w:type="dxa"/>
            <w:vAlign w:val="bottom"/>
            <w:gridSpan w:val="15"/>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122">
              <w:r>
                <w:rPr>
                  <w:rFonts w:ascii="Arial" w:cs="Arial" w:eastAsia="Arial" w:hAnsi="Arial"/>
                  <w:sz w:val="17"/>
                  <w:szCs w:val="17"/>
                  <w:color w:val="0000EE"/>
                </w:rPr>
                <w:t>119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20" w:type="dxa"/>
            <w:vAlign w:val="bottom"/>
            <w:gridSpan w:val="19"/>
          </w:tcPr>
          <w:p>
            <w:pPr>
              <w:spacing w:after="0" w:line="187" w:lineRule="exact"/>
              <w:rPr>
                <w:rFonts w:ascii="Arial" w:cs="Arial" w:eastAsia="Arial" w:hAnsi="Arial"/>
                <w:sz w:val="17"/>
                <w:szCs w:val="17"/>
                <w:color w:val="0000EE"/>
                <w:w w:val="94"/>
              </w:rPr>
            </w:pPr>
            <w:hyperlink w:anchor="page134">
              <w:r>
                <w:rPr>
                  <w:rFonts w:ascii="Arial" w:cs="Arial" w:eastAsia="Arial" w:hAnsi="Arial"/>
                  <w:sz w:val="17"/>
                  <w:szCs w:val="17"/>
                  <w:color w:val="0000EE"/>
                  <w:w w:val="94"/>
                </w:rPr>
                <w:t>CERTAIN RELATIONSHIPS AND RELATED PARTY TRANSACTIONS</w:t>
              </w:r>
            </w:hyperlink>
          </w:p>
        </w:tc>
        <w:tc>
          <w:tcPr>
            <w:tcW w:w="3440" w:type="dxa"/>
            <w:vAlign w:val="bottom"/>
            <w:gridSpan w:val="4"/>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134">
              <w:r>
                <w:rPr>
                  <w:rFonts w:ascii="Arial" w:cs="Arial" w:eastAsia="Arial" w:hAnsi="Arial"/>
                  <w:sz w:val="17"/>
                  <w:szCs w:val="17"/>
                  <w:color w:val="0000EE"/>
                </w:rPr>
                <w:t>131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3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80" w:type="dxa"/>
            <w:vAlign w:val="bottom"/>
            <w:gridSpan w:val="13"/>
          </w:tcPr>
          <w:p>
            <w:pPr>
              <w:spacing w:after="0" w:line="187" w:lineRule="exact"/>
              <w:rPr>
                <w:rFonts w:ascii="Arial" w:cs="Arial" w:eastAsia="Arial" w:hAnsi="Arial"/>
                <w:sz w:val="17"/>
                <w:szCs w:val="17"/>
                <w:color w:val="0000EE"/>
                <w:w w:val="95"/>
              </w:rPr>
            </w:pPr>
            <w:hyperlink w:anchor="page137">
              <w:r>
                <w:rPr>
                  <w:rFonts w:ascii="Arial" w:cs="Arial" w:eastAsia="Arial" w:hAnsi="Arial"/>
                  <w:sz w:val="17"/>
                  <w:szCs w:val="17"/>
                  <w:color w:val="0000EE"/>
                  <w:w w:val="95"/>
                </w:rPr>
                <w:t>PRINCIPAL AND SELLING STOCKHOLDERS</w:t>
              </w:r>
            </w:hyperlink>
          </w:p>
        </w:tc>
        <w:tc>
          <w:tcPr>
            <w:tcW w:w="1740" w:type="dxa"/>
            <w:vAlign w:val="bottom"/>
            <w:gridSpan w:val="6"/>
          </w:tcPr>
          <w:p>
            <w:pPr>
              <w:spacing w:after="0"/>
              <w:rPr>
                <w:sz w:val="16"/>
                <w:szCs w:val="16"/>
                <w:color w:val="auto"/>
              </w:rPr>
            </w:pPr>
          </w:p>
        </w:tc>
        <w:tc>
          <w:tcPr>
            <w:tcW w:w="3440" w:type="dxa"/>
            <w:vAlign w:val="bottom"/>
            <w:gridSpan w:val="4"/>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137">
              <w:r>
                <w:rPr>
                  <w:rFonts w:ascii="Arial" w:cs="Arial" w:eastAsia="Arial" w:hAnsi="Arial"/>
                  <w:sz w:val="17"/>
                  <w:szCs w:val="17"/>
                  <w:color w:val="0000EE"/>
                </w:rPr>
                <w:t>134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3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80" w:type="dxa"/>
            <w:vAlign w:val="bottom"/>
            <w:gridSpan w:val="13"/>
          </w:tcPr>
          <w:p>
            <w:pPr>
              <w:spacing w:after="0" w:line="187" w:lineRule="exact"/>
              <w:rPr>
                <w:rFonts w:ascii="Arial" w:cs="Arial" w:eastAsia="Arial" w:hAnsi="Arial"/>
                <w:sz w:val="17"/>
                <w:szCs w:val="17"/>
                <w:color w:val="0000EE"/>
              </w:rPr>
            </w:pPr>
            <w:hyperlink w:anchor="page140">
              <w:r>
                <w:rPr>
                  <w:rFonts w:ascii="Arial" w:cs="Arial" w:eastAsia="Arial" w:hAnsi="Arial"/>
                  <w:sz w:val="17"/>
                  <w:szCs w:val="17"/>
                  <w:color w:val="0000EE"/>
                </w:rPr>
                <w:t>DESCRIPTION OF CAPITAL STOCK</w:t>
              </w:r>
            </w:hyperlink>
          </w:p>
        </w:tc>
        <w:tc>
          <w:tcPr>
            <w:tcW w:w="5180" w:type="dxa"/>
            <w:vAlign w:val="bottom"/>
            <w:gridSpan w:val="10"/>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140">
              <w:r>
                <w:rPr>
                  <w:rFonts w:ascii="Arial" w:cs="Arial" w:eastAsia="Arial" w:hAnsi="Arial"/>
                  <w:sz w:val="17"/>
                  <w:szCs w:val="17"/>
                  <w:color w:val="0000EE"/>
                </w:rPr>
                <w:t>137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3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980" w:type="dxa"/>
            <w:vAlign w:val="bottom"/>
            <w:gridSpan w:val="10"/>
          </w:tcPr>
          <w:p>
            <w:pPr>
              <w:spacing w:after="0" w:line="187"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SHARES ELIGIBLE FOR FUTURE SALE</w:t>
              </w:r>
            </w:hyperlink>
          </w:p>
        </w:tc>
        <w:tc>
          <w:tcPr>
            <w:tcW w:w="5580" w:type="dxa"/>
            <w:vAlign w:val="bottom"/>
            <w:gridSpan w:val="13"/>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144">
              <w:r>
                <w:rPr>
                  <w:rFonts w:ascii="Arial" w:cs="Arial" w:eastAsia="Arial" w:hAnsi="Arial"/>
                  <w:sz w:val="17"/>
                  <w:szCs w:val="17"/>
                  <w:color w:val="0000EE"/>
                </w:rPr>
                <w:t>141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2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560" w:type="dxa"/>
            <w:vAlign w:val="bottom"/>
            <w:gridSpan w:val="23"/>
          </w:tcPr>
          <w:p>
            <w:pPr>
              <w:spacing w:after="0" w:line="187" w:lineRule="exact"/>
              <w:rPr>
                <w:rFonts w:ascii="Arial" w:cs="Arial" w:eastAsia="Arial" w:hAnsi="Arial"/>
                <w:sz w:val="17"/>
                <w:szCs w:val="17"/>
                <w:color w:val="0000EE"/>
                <w:w w:val="97"/>
              </w:rPr>
            </w:pPr>
            <w:hyperlink w:anchor="page146">
              <w:r>
                <w:rPr>
                  <w:rFonts w:ascii="Arial" w:cs="Arial" w:eastAsia="Arial" w:hAnsi="Arial"/>
                  <w:sz w:val="17"/>
                  <w:szCs w:val="17"/>
                  <w:color w:val="0000EE"/>
                  <w:w w:val="97"/>
                </w:rPr>
                <w:t>MATERIAL U.S. FEDERAL INCOME TAX CONSEQUENCES TO NON-U.S. HOLDERS OF OUR COMMON STOCK</w:t>
              </w:r>
            </w:hyperlink>
          </w:p>
        </w:tc>
        <w:tc>
          <w:tcPr>
            <w:tcW w:w="420" w:type="dxa"/>
            <w:vAlign w:val="bottom"/>
            <w:gridSpan w:val="4"/>
          </w:tcPr>
          <w:p>
            <w:pPr>
              <w:jc w:val="right"/>
              <w:spacing w:after="0" w:line="187" w:lineRule="exact"/>
              <w:rPr>
                <w:rFonts w:ascii="Arial" w:cs="Arial" w:eastAsia="Arial" w:hAnsi="Arial"/>
                <w:sz w:val="17"/>
                <w:szCs w:val="17"/>
                <w:color w:val="0000EE"/>
              </w:rPr>
            </w:pPr>
            <w:hyperlink w:anchor="page146">
              <w:r>
                <w:rPr>
                  <w:rFonts w:ascii="Arial" w:cs="Arial" w:eastAsia="Arial" w:hAnsi="Arial"/>
                  <w:sz w:val="17"/>
                  <w:szCs w:val="17"/>
                  <w:color w:val="0000EE"/>
                </w:rPr>
                <w:t>143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9"/>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340" w:type="dxa"/>
            <w:vAlign w:val="bottom"/>
            <w:gridSpan w:val="22"/>
          </w:tcPr>
          <w:p>
            <w:pPr>
              <w:spacing w:after="0" w:line="187" w:lineRule="exact"/>
              <w:rPr>
                <w:rFonts w:ascii="Arial" w:cs="Arial" w:eastAsia="Arial" w:hAnsi="Arial"/>
                <w:sz w:val="17"/>
                <w:szCs w:val="17"/>
                <w:color w:val="0000EE"/>
              </w:rPr>
            </w:pPr>
            <w:hyperlink w:anchor="page150">
              <w:r>
                <w:rPr>
                  <w:rFonts w:ascii="Arial" w:cs="Arial" w:eastAsia="Arial" w:hAnsi="Arial"/>
                  <w:sz w:val="17"/>
                  <w:szCs w:val="17"/>
                  <w:color w:val="0000EE"/>
                </w:rPr>
                <w:t>UNDERWRITING (CONFLICTS OF INTEREST)</w:t>
              </w:r>
            </w:hyperlink>
          </w:p>
        </w:tc>
        <w:tc>
          <w:tcPr>
            <w:tcW w:w="220" w:type="dxa"/>
            <w:vAlign w:val="bottom"/>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150">
              <w:r>
                <w:rPr>
                  <w:rFonts w:ascii="Arial" w:cs="Arial" w:eastAsia="Arial" w:hAnsi="Arial"/>
                  <w:sz w:val="17"/>
                  <w:szCs w:val="17"/>
                  <w:color w:val="0000EE"/>
                </w:rPr>
                <w:t>147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9"/>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460" w:type="dxa"/>
            <w:vAlign w:val="bottom"/>
            <w:gridSpan w:val="14"/>
          </w:tcPr>
          <w:p>
            <w:pPr>
              <w:spacing w:after="0" w:line="187" w:lineRule="exact"/>
              <w:rPr>
                <w:rFonts w:ascii="Arial" w:cs="Arial" w:eastAsia="Arial" w:hAnsi="Arial"/>
                <w:sz w:val="17"/>
                <w:szCs w:val="17"/>
                <w:color w:val="0000EE"/>
              </w:rPr>
            </w:pPr>
            <w:hyperlink w:anchor="page161">
              <w:r>
                <w:rPr>
                  <w:rFonts w:ascii="Arial" w:cs="Arial" w:eastAsia="Arial" w:hAnsi="Arial"/>
                  <w:sz w:val="17"/>
                  <w:szCs w:val="17"/>
                  <w:color w:val="0000EE"/>
                </w:rPr>
                <w:t>LEGAL MATTERS</w:t>
              </w:r>
            </w:hyperlink>
          </w:p>
        </w:tc>
        <w:tc>
          <w:tcPr>
            <w:tcW w:w="5100" w:type="dxa"/>
            <w:vAlign w:val="bottom"/>
            <w:gridSpan w:val="9"/>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161">
              <w:r>
                <w:rPr>
                  <w:rFonts w:ascii="Arial" w:cs="Arial" w:eastAsia="Arial" w:hAnsi="Arial"/>
                  <w:sz w:val="17"/>
                  <w:szCs w:val="17"/>
                  <w:color w:val="0000EE"/>
                </w:rPr>
                <w:t>158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7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360" w:type="dxa"/>
            <w:vAlign w:val="bottom"/>
            <w:gridSpan w:val="5"/>
          </w:tcPr>
          <w:p>
            <w:pPr>
              <w:spacing w:after="0" w:line="187" w:lineRule="exact"/>
              <w:rPr>
                <w:rFonts w:ascii="Arial" w:cs="Arial" w:eastAsia="Arial" w:hAnsi="Arial"/>
                <w:sz w:val="17"/>
                <w:szCs w:val="17"/>
                <w:color w:val="0000EE"/>
              </w:rPr>
            </w:pPr>
            <w:hyperlink w:anchor="page161">
              <w:r>
                <w:rPr>
                  <w:rFonts w:ascii="Arial" w:cs="Arial" w:eastAsia="Arial" w:hAnsi="Arial"/>
                  <w:sz w:val="17"/>
                  <w:szCs w:val="17"/>
                  <w:color w:val="0000EE"/>
                </w:rPr>
                <w:t>EXPERTS</w:t>
              </w:r>
            </w:hyperlink>
          </w:p>
        </w:tc>
        <w:tc>
          <w:tcPr>
            <w:tcW w:w="7200" w:type="dxa"/>
            <w:vAlign w:val="bottom"/>
            <w:gridSpan w:val="18"/>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161">
              <w:r>
                <w:rPr>
                  <w:rFonts w:ascii="Arial" w:cs="Arial" w:eastAsia="Arial" w:hAnsi="Arial"/>
                  <w:sz w:val="17"/>
                  <w:szCs w:val="17"/>
                  <w:color w:val="0000EE"/>
                </w:rPr>
                <w:t>158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34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40" w:type="dxa"/>
            <w:vAlign w:val="bottom"/>
            <w:gridSpan w:val="16"/>
          </w:tcPr>
          <w:p>
            <w:pPr>
              <w:spacing w:after="0" w:line="187" w:lineRule="exact"/>
              <w:rPr>
                <w:rFonts w:ascii="Arial" w:cs="Arial" w:eastAsia="Arial" w:hAnsi="Arial"/>
                <w:sz w:val="17"/>
                <w:szCs w:val="17"/>
                <w:color w:val="0000EE"/>
                <w:w w:val="98"/>
              </w:rPr>
            </w:pPr>
            <w:hyperlink w:anchor="page161">
              <w:r>
                <w:rPr>
                  <w:rFonts w:ascii="Arial" w:cs="Arial" w:eastAsia="Arial" w:hAnsi="Arial"/>
                  <w:sz w:val="17"/>
                  <w:szCs w:val="17"/>
                  <w:color w:val="0000EE"/>
                  <w:w w:val="98"/>
                </w:rPr>
                <w:t>WHERE YOU CAN FIND ADDITIONAL INFORMATION</w:t>
              </w:r>
            </w:hyperlink>
          </w:p>
        </w:tc>
        <w:tc>
          <w:tcPr>
            <w:tcW w:w="4420" w:type="dxa"/>
            <w:vAlign w:val="bottom"/>
            <w:gridSpan w:val="7"/>
          </w:tcPr>
          <w:p>
            <w:pPr>
              <w:spacing w:after="0"/>
              <w:rPr>
                <w:sz w:val="16"/>
                <w:szCs w:val="16"/>
                <w:color w:val="auto"/>
              </w:rPr>
            </w:pPr>
          </w:p>
        </w:tc>
        <w:tc>
          <w:tcPr>
            <w:tcW w:w="420" w:type="dxa"/>
            <w:vAlign w:val="bottom"/>
            <w:gridSpan w:val="4"/>
          </w:tcPr>
          <w:p>
            <w:pPr>
              <w:jc w:val="right"/>
              <w:spacing w:after="0" w:line="187" w:lineRule="exact"/>
              <w:rPr>
                <w:rFonts w:ascii="Arial" w:cs="Arial" w:eastAsia="Arial" w:hAnsi="Arial"/>
                <w:sz w:val="17"/>
                <w:szCs w:val="17"/>
                <w:color w:val="0000EE"/>
              </w:rPr>
            </w:pPr>
            <w:hyperlink w:anchor="page161">
              <w:r>
                <w:rPr>
                  <w:rFonts w:ascii="Arial" w:cs="Arial" w:eastAsia="Arial" w:hAnsi="Arial"/>
                  <w:sz w:val="17"/>
                  <w:szCs w:val="17"/>
                  <w:color w:val="0000EE"/>
                </w:rPr>
                <w:t>158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gridSpan w:val="1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560" w:type="dxa"/>
            <w:vAlign w:val="bottom"/>
            <w:gridSpan w:val="23"/>
          </w:tcPr>
          <w:p>
            <w:pPr>
              <w:spacing w:after="0" w:line="187" w:lineRule="exact"/>
              <w:rPr>
                <w:rFonts w:ascii="Arial" w:cs="Arial" w:eastAsia="Arial" w:hAnsi="Arial"/>
                <w:sz w:val="17"/>
                <w:szCs w:val="17"/>
                <w:color w:val="0000EE"/>
              </w:rPr>
            </w:pPr>
            <w:hyperlink w:anchor="page162">
              <w:r>
                <w:rPr>
                  <w:rFonts w:ascii="Arial" w:cs="Arial" w:eastAsia="Arial" w:hAnsi="Arial"/>
                  <w:sz w:val="17"/>
                  <w:szCs w:val="17"/>
                  <w:color w:val="0000EE"/>
                </w:rPr>
                <w:t>INDEX TO CONSOLIDATED FINANCIAL STATEMENTS</w:t>
              </w:r>
            </w:hyperlink>
          </w:p>
        </w:tc>
        <w:tc>
          <w:tcPr>
            <w:tcW w:w="200" w:type="dxa"/>
            <w:vAlign w:val="bottom"/>
          </w:tcPr>
          <w:p>
            <w:pPr>
              <w:spacing w:after="0"/>
              <w:rPr>
                <w:sz w:val="16"/>
                <w:szCs w:val="16"/>
                <w:color w:val="auto"/>
              </w:rPr>
            </w:pPr>
          </w:p>
        </w:tc>
        <w:tc>
          <w:tcPr>
            <w:tcW w:w="240" w:type="dxa"/>
            <w:vAlign w:val="bottom"/>
            <w:gridSpan w:val="4"/>
          </w:tcPr>
          <w:p>
            <w:pPr>
              <w:spacing w:after="0" w:line="187" w:lineRule="exact"/>
              <w:rPr>
                <w:rFonts w:ascii="Arial" w:cs="Arial" w:eastAsia="Arial" w:hAnsi="Arial"/>
                <w:sz w:val="17"/>
                <w:szCs w:val="17"/>
                <w:color w:val="0000EE"/>
                <w:w w:val="86"/>
              </w:rPr>
            </w:pPr>
            <w:hyperlink w:anchor="page162">
              <w:r>
                <w:rPr>
                  <w:rFonts w:ascii="Arial" w:cs="Arial" w:eastAsia="Arial" w:hAnsi="Arial"/>
                  <w:sz w:val="17"/>
                  <w:szCs w:val="17"/>
                  <w:color w:val="0000EE"/>
                  <w:w w:val="86"/>
                </w:rPr>
                <w:t>F-1</w:t>
              </w:r>
            </w:hyperlink>
          </w:p>
        </w:tc>
        <w:tc>
          <w:tcPr>
            <w:tcW w:w="0" w:type="dxa"/>
            <w:vAlign w:val="bottom"/>
          </w:tcPr>
          <w:p>
            <w:pPr>
              <w:spacing w:after="0"/>
              <w:rPr>
                <w:sz w:val="1"/>
                <w:szCs w:val="1"/>
                <w:color w:val="auto"/>
              </w:rPr>
            </w:pPr>
          </w:p>
        </w:tc>
      </w:tr>
      <w:tr>
        <w:trPr>
          <w:trHeight w:val="226"/>
        </w:trPr>
        <w:tc>
          <w:tcPr>
            <w:tcW w:w="7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bottom w:val="single" w:sz="8" w:color="auto"/>
            </w:tcBorders>
          </w:tcPr>
          <w:p>
            <w:pPr>
              <w:spacing w:after="0"/>
              <w:rPr>
                <w:sz w:val="19"/>
                <w:szCs w:val="19"/>
                <w:color w:val="auto"/>
              </w:rPr>
            </w:pPr>
          </w:p>
        </w:tc>
        <w:tc>
          <w:tcPr>
            <w:tcW w:w="260" w:type="dxa"/>
            <w:vAlign w:val="bottom"/>
            <w:tcBorders>
              <w:top w:val="single" w:sz="8" w:color="0000EE"/>
              <w:bottom w:val="single" w:sz="8" w:color="auto"/>
            </w:tcBorders>
          </w:tcPr>
          <w:p>
            <w:pPr>
              <w:spacing w:after="0"/>
              <w:rPr>
                <w:sz w:val="19"/>
                <w:szCs w:val="19"/>
                <w:color w:val="auto"/>
              </w:rPr>
            </w:pPr>
          </w:p>
        </w:tc>
        <w:tc>
          <w:tcPr>
            <w:tcW w:w="80" w:type="dxa"/>
            <w:vAlign w:val="bottom"/>
            <w:tcBorders>
              <w:top w:val="single" w:sz="8" w:color="0000EE"/>
              <w:bottom w:val="single" w:sz="8" w:color="auto"/>
            </w:tcBorders>
          </w:tcPr>
          <w:p>
            <w:pPr>
              <w:spacing w:after="0"/>
              <w:rPr>
                <w:sz w:val="19"/>
                <w:szCs w:val="19"/>
                <w:color w:val="auto"/>
              </w:rPr>
            </w:pPr>
          </w:p>
        </w:tc>
        <w:tc>
          <w:tcPr>
            <w:tcW w:w="140" w:type="dxa"/>
            <w:vAlign w:val="bottom"/>
            <w:tcBorders>
              <w:top w:val="single" w:sz="8" w:color="0000EE"/>
              <w:bottom w:val="single" w:sz="8" w:color="auto"/>
            </w:tcBorders>
          </w:tcPr>
          <w:p>
            <w:pPr>
              <w:spacing w:after="0"/>
              <w:rPr>
                <w:sz w:val="19"/>
                <w:szCs w:val="19"/>
                <w:color w:val="auto"/>
              </w:rPr>
            </w:pPr>
          </w:p>
        </w:tc>
        <w:tc>
          <w:tcPr>
            <w:tcW w:w="54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firstLine="336"/>
        <w:spacing w:after="0" w:line="258" w:lineRule="auto"/>
        <w:rPr>
          <w:sz w:val="20"/>
          <w:szCs w:val="20"/>
          <w:color w:val="auto"/>
        </w:rPr>
      </w:pPr>
      <w:r>
        <w:rPr>
          <w:rFonts w:ascii="Arial" w:cs="Arial" w:eastAsia="Arial" w:hAnsi="Arial"/>
          <w:sz w:val="17"/>
          <w:szCs w:val="17"/>
          <w:color w:val="auto"/>
        </w:rPr>
        <w:t>Neither we, the selling stockholders nor any of the underwriters have authorized anyone to provide any information or to make any representations other than those contained in this prospectus or in any free writing prospectus prepared by us or on our behalf to which we may have referred you in connection with this offering. Neither we, the selling stockholders nor the underwriters take responsibility for, or can provide assurance as to the reliability of, any other information that others may give you. We and the selling stockholders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88" w:lineRule="exact"/>
        <w:rPr>
          <w:sz w:val="20"/>
          <w:szCs w:val="20"/>
          <w:color w:val="auto"/>
        </w:rPr>
      </w:pPr>
    </w:p>
    <w:p>
      <w:pPr>
        <w:ind w:right="160" w:firstLine="336"/>
        <w:spacing w:after="0" w:line="261" w:lineRule="auto"/>
        <w:rPr>
          <w:sz w:val="20"/>
          <w:szCs w:val="20"/>
          <w:color w:val="auto"/>
        </w:rPr>
      </w:pPr>
      <w:r>
        <w:rPr>
          <w:rFonts w:ascii="Arial" w:cs="Arial" w:eastAsia="Arial" w:hAnsi="Arial"/>
          <w:sz w:val="17"/>
          <w:szCs w:val="17"/>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82" w:lineRule="exact"/>
        <w:rPr>
          <w:sz w:val="20"/>
          <w:szCs w:val="20"/>
          <w:color w:val="auto"/>
        </w:rPr>
      </w:pPr>
    </w:p>
    <w:p>
      <w:pPr>
        <w:jc w:val="both"/>
        <w:ind w:right="40" w:firstLine="336"/>
        <w:spacing w:after="0" w:line="225" w:lineRule="auto"/>
        <w:rPr>
          <w:sz w:val="20"/>
          <w:szCs w:val="20"/>
          <w:color w:val="auto"/>
        </w:rPr>
      </w:pPr>
      <w:r>
        <w:rPr>
          <w:rFonts w:ascii="Arial" w:cs="Arial" w:eastAsia="Arial" w:hAnsi="Arial"/>
          <w:sz w:val="17"/>
          <w:szCs w:val="17"/>
          <w:b w:val="1"/>
          <w:bCs w:val="1"/>
          <w:color w:val="auto"/>
        </w:rPr>
        <w:t>Through and including November 18, 2019 (the 25</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6780" cy="5942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780" cy="594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PROSPECTUS SUMMARY</w:t>
      </w:r>
    </w:p>
    <w:p>
      <w:pPr>
        <w:spacing w:after="0" w:line="222" w:lineRule="exact"/>
        <w:rPr>
          <w:sz w:val="20"/>
          <w:szCs w:val="20"/>
          <w:color w:val="auto"/>
        </w:rPr>
      </w:pPr>
    </w:p>
    <w:p>
      <w:pPr>
        <w:ind w:left="220" w:right="20" w:firstLine="336"/>
        <w:spacing w:after="0" w:line="25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you should consider before investing in our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"Progyny," the "company," "we," "our," "us" or similar terms refer to Progyny, Inc.</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Overview</w:t>
      </w:r>
    </w:p>
    <w:p>
      <w:pPr>
        <w:spacing w:after="0" w:line="222" w:lineRule="exact"/>
        <w:rPr>
          <w:sz w:val="20"/>
          <w:szCs w:val="20"/>
          <w:color w:val="auto"/>
        </w:rPr>
      </w:pPr>
    </w:p>
    <w:p>
      <w:pPr>
        <w:ind w:left="220" w:right="20" w:firstLine="333"/>
        <w:spacing w:after="0" w:line="289" w:lineRule="auto"/>
        <w:rPr>
          <w:sz w:val="20"/>
          <w:szCs w:val="20"/>
          <w:color w:val="auto"/>
        </w:rPr>
      </w:pPr>
      <w:r>
        <w:rPr>
          <w:rFonts w:ascii="Arial" w:cs="Arial" w:eastAsia="Arial" w:hAnsi="Arial"/>
          <w:sz w:val="16"/>
          <w:szCs w:val="16"/>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63" w:lineRule="exact"/>
        <w:rPr>
          <w:sz w:val="20"/>
          <w:szCs w:val="20"/>
          <w:color w:val="auto"/>
        </w:rPr>
      </w:pPr>
    </w:p>
    <w:p>
      <w:pPr>
        <w:ind w:left="220" w:firstLine="336"/>
        <w:spacing w:after="0" w:line="297" w:lineRule="auto"/>
        <w:rPr>
          <w:sz w:val="20"/>
          <w:szCs w:val="20"/>
          <w:color w:val="auto"/>
        </w:rPr>
      </w:pPr>
      <w:r>
        <w:rPr>
          <w:rFonts w:ascii="Arial" w:cs="Arial" w:eastAsia="Arial" w:hAnsi="Arial"/>
          <w:sz w:val="15"/>
          <w:szCs w:val="15"/>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 over 80. We currently provide coverage to approximately 1.4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over that same time period is evidenced by our most recent industry-leading Net Promoter Score, or NPS, of +71 for our fertility benefits solution and +86 for our integrated pharmacy benefits solution, Progyny Rx.</w:t>
      </w:r>
    </w:p>
    <w:p>
      <w:pPr>
        <w:spacing w:after="0" w:line="161" w:lineRule="exact"/>
        <w:rPr>
          <w:sz w:val="20"/>
          <w:szCs w:val="20"/>
          <w:color w:val="auto"/>
        </w:rPr>
      </w:pPr>
    </w:p>
    <w:p>
      <w:pPr>
        <w:ind w:left="220" w:right="20" w:firstLine="333"/>
        <w:spacing w:after="0" w:line="257" w:lineRule="auto"/>
        <w:rPr>
          <w:sz w:val="20"/>
          <w:szCs w:val="20"/>
          <w:color w:val="auto"/>
        </w:rPr>
      </w:pPr>
      <w:r>
        <w:rPr>
          <w:rFonts w:ascii="Arial" w:cs="Arial" w:eastAsia="Arial" w:hAnsi="Arial"/>
          <w:sz w:val="17"/>
          <w:szCs w:val="17"/>
          <w:color w:val="auto"/>
        </w:rPr>
        <w:t>The prevalence of infertility is high, affecting one in eight couples in the United States according to the Centers for Disease Control and Prevention, or CDC, and infertility is gaining attention as individuals are more openly discussing their struggles. Despite its high prevalence and its recognition by the World Health Organization, or WHO, as a disease since 2009, access to treatment has previously been limited by poor insurance coverage in the United States. This is driven in part by the fact that the American Medical Association did not vote in support of WHO's designation until 2017. Similarly, legislators have not designated infertility as a condition meriting mandated health insurance coverage, with only approximately one-third of states in the United States mandating insurance coverage for infertility. For the states that do mandate coverage, the mandates vary greatly and often leave patients with inadequate coverage or unable to pursue care at all.</w:t>
      </w:r>
    </w:p>
    <w:p>
      <w:pPr>
        <w:spacing w:after="0" w:line="190" w:lineRule="exact"/>
        <w:rPr>
          <w:sz w:val="20"/>
          <w:szCs w:val="20"/>
          <w:color w:val="auto"/>
        </w:rPr>
      </w:pPr>
    </w:p>
    <w:p>
      <w:pPr>
        <w:ind w:left="220" w:right="500" w:firstLine="333"/>
        <w:spacing w:after="0" w:line="265" w:lineRule="auto"/>
        <w:rPr>
          <w:sz w:val="20"/>
          <w:szCs w:val="20"/>
          <w:color w:val="auto"/>
        </w:rPr>
      </w:pPr>
      <w:r>
        <w:rPr>
          <w:rFonts w:ascii="Arial" w:cs="Arial" w:eastAsia="Arial" w:hAnsi="Arial"/>
          <w:sz w:val="17"/>
          <w:szCs w:val="17"/>
          <w:color w:val="auto"/>
        </w:rPr>
        <w:t>We estimate that the market for fertility treatments in the United States was approximately $6.7 billion in 2017, based on data published by the CDC regarding the number of treatment cycles and FertilityIQ's estimate of the average cost per cycle. As only 50% of individuals suffering from infertility seek treatment, we estimate the potential size of the U.S. fertility market to be at least twice as large.</w:t>
      </w:r>
    </w:p>
    <w:p>
      <w:pPr>
        <w:spacing w:after="0" w:line="180" w:lineRule="exact"/>
        <w:rPr>
          <w:sz w:val="20"/>
          <w:szCs w:val="20"/>
          <w:color w:val="auto"/>
        </w:rPr>
      </w:pPr>
    </w:p>
    <w:p>
      <w:pPr>
        <w:ind w:left="220" w:firstLine="333"/>
        <w:spacing w:after="0" w:line="258" w:lineRule="auto"/>
        <w:rPr>
          <w:sz w:val="20"/>
          <w:szCs w:val="20"/>
          <w:color w:val="auto"/>
        </w:rPr>
      </w:pPr>
      <w:r>
        <w:rPr>
          <w:rFonts w:ascii="Arial" w:cs="Arial" w:eastAsia="Arial" w:hAnsi="Arial"/>
          <w:sz w:val="17"/>
          <w:szCs w:val="17"/>
          <w:color w:val="auto"/>
        </w:rPr>
        <w:t>Whether an employer is mandated to cover infertility, or simply chooses to do so, the coverage and benefits design options have historically been limited and have resulted in poor patient outcomes, increased costs and unintended consequences for both patients and employers. Infertility coverage offered by conventional health insurance carriers today generally falls short in a number of important ways, including that it typically: (1) is structured as a limited lifetime dollar maximum benefit, which is often depleted by the patient before they have achieved a successful pregnancy; (2) includes rules that limit access to treatment options, leading to poor outcomes; (3) does not provide adequate education, guidance or support for patients struggling with the rigors of the fertility journey, leading to poor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6033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780" cy="603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right="660"/>
        <w:spacing w:after="0" w:line="276" w:lineRule="auto"/>
        <w:rPr>
          <w:sz w:val="20"/>
          <w:szCs w:val="20"/>
          <w:color w:val="auto"/>
        </w:rPr>
      </w:pPr>
      <w:r>
        <w:rPr>
          <w:rFonts w:ascii="Arial" w:cs="Arial" w:eastAsia="Arial" w:hAnsi="Arial"/>
          <w:sz w:val="17"/>
          <w:szCs w:val="17"/>
          <w:color w:val="auto"/>
        </w:rPr>
        <w:t>treatment choices; and (4) limits patient access to many of the nation's top reproductive endocrinologists because these fertility specialists do not broadly participate in conventional health insurance carrier networks.</w:t>
      </w:r>
    </w:p>
    <w:p>
      <w:pPr>
        <w:spacing w:after="0" w:line="171" w:lineRule="exact"/>
        <w:rPr>
          <w:sz w:val="20"/>
          <w:szCs w:val="20"/>
          <w:color w:val="auto"/>
        </w:rPr>
      </w:pPr>
    </w:p>
    <w:p>
      <w:pPr>
        <w:ind w:left="220" w:firstLine="333"/>
        <w:spacing w:after="0" w:line="274" w:lineRule="auto"/>
        <w:rPr>
          <w:sz w:val="20"/>
          <w:szCs w:val="20"/>
          <w:color w:val="auto"/>
        </w:rPr>
      </w:pPr>
      <w:r>
        <w:rPr>
          <w:rFonts w:ascii="Arial" w:cs="Arial" w:eastAsia="Arial" w:hAnsi="Arial"/>
          <w:sz w:val="16"/>
          <w:szCs w:val="16"/>
          <w:color w:val="auto"/>
        </w:rPr>
        <w:t>We are redefining fertility and family building benefits, proving that a comprehensive fertility solution can simultaneously benefit employers, patients and physicians. We believe the differentiated value proposition we deliver to all of these constituents is key to our success and growth. We enable our members to pursue effective and cost-efficient fertility treatments and support them throughout the entire fertility journey. It starts with our unique approach to benefits plan design—the Smart Cycle—which ensures that all member populations, regardless of their chosen path to parenthood, have comprehensive and equitable coverage. Smart Cycles are our proprietary treatment bundles designed by us to include the medical services required for a member's full course of treatment, including all necessary diagnostic testing and access to the latest technology. We offer a number of different Smart Cycle treatment bundles, which may be used in various combinations depending on the member's need. In conjunction with the Smart Cycle plan design, each of our members has a dedicated Patient Care Advocate, or PCA, who has fertility expertise and provides end-to-end concierge support, including logistical support, clinical guidance and emotional support. Additionally, all Progyny members have access to our selective network of high-quality fertility specialists who we equip with a benefits design that enables them to pursue the best treatment pathways.</w:t>
      </w:r>
    </w:p>
    <w:p>
      <w:pPr>
        <w:spacing w:after="0" w:line="176" w:lineRule="exact"/>
        <w:rPr>
          <w:sz w:val="20"/>
          <w:szCs w:val="20"/>
          <w:color w:val="auto"/>
        </w:rPr>
      </w:pPr>
    </w:p>
    <w:p>
      <w:pPr>
        <w:ind w:left="220" w:right="60" w:firstLine="336"/>
        <w:spacing w:after="0" w:line="299" w:lineRule="auto"/>
        <w:rPr>
          <w:sz w:val="20"/>
          <w:szCs w:val="20"/>
          <w:color w:val="auto"/>
        </w:rPr>
      </w:pPr>
      <w:r>
        <w:rPr>
          <w:rFonts w:ascii="Arial" w:cs="Arial" w:eastAsia="Arial" w:hAnsi="Arial"/>
          <w:sz w:val="15"/>
          <w:szCs w:val="15"/>
          <w:color w:val="auto"/>
        </w:rPr>
        <w:t>In addition to our fertility benefits solution, we offer an integrated pharmacy benefits solution, Progyny Rx, which can be added by our clients. Progyny Rx provides our members with access to the medications needed during their fertility treatment. Our Progyny Rx solution creates an efficient pharmacy solution for our members and their provider clinics by reducing dispensing and delivery times to our members, eliminating the risk of a missed treatment cycle and mitigating their administrative burden. As our members receive more effective treatment and differentiated support throughout their fertility journeys, our clients gain more value from their fertility benefits expenditures through an increase in healthier, timelier pregnancies as well as an ultimate reduction in both fertility treatment costs and maternity and neonatal intensive care unit, or NICU, expenses, all while supporting a more present and productive employee base.</w:t>
      </w:r>
    </w:p>
    <w:p>
      <w:pPr>
        <w:spacing w:after="0" w:line="159" w:lineRule="exact"/>
        <w:rPr>
          <w:sz w:val="20"/>
          <w:szCs w:val="20"/>
          <w:color w:val="auto"/>
        </w:rPr>
      </w:pPr>
    </w:p>
    <w:p>
      <w:pPr>
        <w:ind w:left="220" w:right="40" w:firstLine="333"/>
        <w:spacing w:after="0" w:line="261" w:lineRule="auto"/>
        <w:rPr>
          <w:sz w:val="20"/>
          <w:szCs w:val="20"/>
          <w:color w:val="auto"/>
        </w:rPr>
      </w:pPr>
      <w:r>
        <w:rPr>
          <w:rFonts w:ascii="Arial" w:cs="Arial" w:eastAsia="Arial" w:hAnsi="Arial"/>
          <w:sz w:val="17"/>
          <w:szCs w:val="17"/>
          <w:color w:val="auto"/>
        </w:rPr>
        <w:t>We have demonstrated our ability to drive better outcomes for our clients, members and provider clinics across multiple metrics as summarized in the table below. Provider clinics within our network produce outcomes that surpass their own reported practice averages when treating Progyny members because of our differentiated solution. As displayed in the chart below, Progyny's single embryo transfer rate, pregnancy rate per IVF transfer, miscarriage rate, live birth rate and IVF multiples rate are all better than national averages.</w:t>
      </w:r>
    </w:p>
    <w:p>
      <w:pPr>
        <w:spacing w:after="0" w:line="173"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Progyny In-Network</w:t>
            </w:r>
          </w:p>
        </w:tc>
      </w:tr>
      <w:tr>
        <w:trPr>
          <w:trHeight w:val="155"/>
        </w:trPr>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Progyny In-Network</w:t>
            </w:r>
          </w:p>
        </w:tc>
        <w:tc>
          <w:tcPr>
            <w:tcW w:w="14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Provider Clinic</w:t>
            </w:r>
          </w:p>
        </w:tc>
      </w:tr>
      <w:tr>
        <w:trPr>
          <w:trHeight w:val="142"/>
        </w:trPr>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3"/>
              </w:rPr>
              <w:t>Provider Clinic</w:t>
            </w:r>
          </w:p>
        </w:tc>
        <w:tc>
          <w:tcPr>
            <w:tcW w:w="144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5"/>
              </w:rPr>
              <w:t>Averages</w:t>
            </w:r>
          </w:p>
        </w:tc>
      </w:tr>
      <w:tr>
        <w:trPr>
          <w:trHeight w:val="142"/>
        </w:trPr>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6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w w:val="95"/>
              </w:rPr>
              <w:t>National Averages for All</w:t>
            </w:r>
          </w:p>
        </w:tc>
        <w:tc>
          <w:tcPr>
            <w:tcW w:w="182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Averages for</w:t>
            </w:r>
          </w:p>
        </w:tc>
        <w:tc>
          <w:tcPr>
            <w:tcW w:w="144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0"/>
              </w:rPr>
              <w:t>for Progyny</w:t>
            </w:r>
          </w:p>
        </w:tc>
      </w:tr>
      <w:tr>
        <w:trPr>
          <w:trHeight w:val="174"/>
        </w:trPr>
        <w:tc>
          <w:tcPr>
            <w:tcW w:w="3800" w:type="dxa"/>
            <w:vAlign w:val="bottom"/>
            <w:gridSpan w:val="3"/>
          </w:tcPr>
          <w:p>
            <w:pPr>
              <w:spacing w:after="0"/>
              <w:rPr>
                <w:sz w:val="20"/>
                <w:szCs w:val="20"/>
                <w:color w:val="auto"/>
              </w:rPr>
            </w:pPr>
            <w:r>
              <w:rPr>
                <w:rFonts w:ascii="Arial" w:cs="Arial" w:eastAsia="Arial" w:hAnsi="Arial"/>
                <w:sz w:val="13"/>
                <w:szCs w:val="13"/>
                <w:b w:val="1"/>
                <w:bCs w:val="1"/>
                <w:color w:val="auto"/>
              </w:rPr>
              <w:t>Outcome</w:t>
            </w:r>
          </w:p>
        </w:tc>
        <w:tc>
          <w:tcPr>
            <w:tcW w:w="17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Provider Clinics</w:t>
            </w:r>
          </w:p>
        </w:tc>
        <w:tc>
          <w:tcPr>
            <w:tcW w:w="1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All Patients</w:t>
            </w:r>
          </w:p>
        </w:tc>
        <w:tc>
          <w:tcPr>
            <w:tcW w:w="1440" w:type="dxa"/>
            <w:vAlign w:val="bottom"/>
            <w:gridSpan w:val="2"/>
          </w:tcPr>
          <w:p>
            <w:pPr>
              <w:jc w:val="center"/>
              <w:ind w:right="160"/>
              <w:spacing w:after="0" w:line="168" w:lineRule="exact"/>
              <w:rPr>
                <w:sz w:val="20"/>
                <w:szCs w:val="20"/>
                <w:color w:val="auto"/>
              </w:rPr>
            </w:pPr>
            <w:r>
              <w:rPr>
                <w:rFonts w:ascii="Arial" w:cs="Arial" w:eastAsia="Arial" w:hAnsi="Arial"/>
                <w:sz w:val="12"/>
                <w:szCs w:val="12"/>
                <w:b w:val="1"/>
                <w:bCs w:val="1"/>
                <w:color w:val="auto"/>
                <w:w w:val="97"/>
              </w:rPr>
              <w:t>Members Only</w:t>
            </w:r>
            <w:r>
              <w:rPr>
                <w:rFonts w:ascii="Arial" w:cs="Arial" w:eastAsia="Arial" w:hAnsi="Arial"/>
                <w:sz w:val="19"/>
                <w:szCs w:val="19"/>
                <w:b w:val="1"/>
                <w:bCs w:val="1"/>
                <w:color w:val="auto"/>
                <w:w w:val="97"/>
                <w:vertAlign w:val="superscript"/>
              </w:rPr>
              <w:t>(4)</w:t>
            </w:r>
          </w:p>
        </w:tc>
      </w:tr>
      <w:tr>
        <w:trPr>
          <w:trHeight w:val="233"/>
        </w:trPr>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Single</w:t>
            </w:r>
          </w:p>
        </w:tc>
        <w:tc>
          <w:tcPr>
            <w:tcW w:w="3300" w:type="dxa"/>
            <w:vAlign w:val="bottom"/>
            <w:tcBorders>
              <w:top w:val="single" w:sz="8" w:color="CCEEFF"/>
            </w:tcBorders>
            <w:gridSpan w:val="2"/>
            <w:shd w:val="clear" w:color="auto" w:fill="CCEEFF"/>
          </w:tcPr>
          <w:p>
            <w:pPr>
              <w:spacing w:after="0" w:line="232" w:lineRule="exact"/>
              <w:rPr>
                <w:sz w:val="20"/>
                <w:szCs w:val="20"/>
                <w:color w:val="auto"/>
              </w:rPr>
            </w:pPr>
            <w:r>
              <w:rPr>
                <w:rFonts w:ascii="Arial" w:cs="Arial" w:eastAsia="Arial" w:hAnsi="Arial"/>
                <w:sz w:val="16"/>
                <w:szCs w:val="16"/>
                <w:color w:val="auto"/>
              </w:rPr>
              <w:t>embryo transfer rate</w:t>
            </w:r>
            <w:r>
              <w:rPr>
                <w:rFonts w:ascii="Arial" w:cs="Arial" w:eastAsia="Arial" w:hAnsi="Arial"/>
                <w:sz w:val="26"/>
                <w:szCs w:val="26"/>
                <w:color w:val="auto"/>
                <w:vertAlign w:val="superscript"/>
              </w:rPr>
              <w:t>(1)</w:t>
            </w:r>
          </w:p>
        </w:tc>
        <w:tc>
          <w:tcPr>
            <w:tcW w:w="17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49.5%</w:t>
            </w:r>
          </w:p>
        </w:tc>
        <w:tc>
          <w:tcPr>
            <w:tcW w:w="1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53.1%</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89.0%</w:t>
            </w:r>
          </w:p>
        </w:tc>
      </w:tr>
      <w:tr>
        <w:trPr>
          <w:trHeight w:val="246"/>
        </w:trPr>
        <w:tc>
          <w:tcPr>
            <w:tcW w:w="3800" w:type="dxa"/>
            <w:vAlign w:val="bottom"/>
            <w:gridSpan w:val="3"/>
          </w:tcPr>
          <w:p>
            <w:pPr>
              <w:spacing w:after="0" w:line="246" w:lineRule="exact"/>
              <w:rPr>
                <w:sz w:val="20"/>
                <w:szCs w:val="20"/>
                <w:color w:val="auto"/>
              </w:rPr>
            </w:pPr>
            <w:r>
              <w:rPr>
                <w:rFonts w:ascii="Arial" w:cs="Arial" w:eastAsia="Arial" w:hAnsi="Arial"/>
                <w:sz w:val="17"/>
                <w:szCs w:val="17"/>
                <w:color w:val="auto"/>
              </w:rPr>
              <w:t>Pregnancy rate per IVF transfer</w:t>
            </w:r>
            <w:r>
              <w:rPr>
                <w:rFonts w:ascii="Arial" w:cs="Arial" w:eastAsia="Arial" w:hAnsi="Arial"/>
                <w:sz w:val="28"/>
                <w:szCs w:val="28"/>
                <w:color w:val="auto"/>
                <w:vertAlign w:val="superscript"/>
              </w:rPr>
              <w:t>(2)</w:t>
            </w:r>
          </w:p>
        </w:tc>
        <w:tc>
          <w:tcPr>
            <w:tcW w:w="1760" w:type="dxa"/>
            <w:vAlign w:val="bottom"/>
            <w:gridSpan w:val="2"/>
          </w:tcPr>
          <w:p>
            <w:pPr>
              <w:jc w:val="right"/>
              <w:ind w:right="20"/>
              <w:spacing w:after="0"/>
              <w:rPr>
                <w:sz w:val="20"/>
                <w:szCs w:val="20"/>
                <w:color w:val="auto"/>
              </w:rPr>
            </w:pPr>
            <w:r>
              <w:rPr>
                <w:rFonts w:ascii="Arial" w:cs="Arial" w:eastAsia="Arial" w:hAnsi="Arial"/>
                <w:sz w:val="17"/>
                <w:szCs w:val="17"/>
                <w:color w:val="auto"/>
              </w:rPr>
              <w:t>52.5%</w:t>
            </w: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54.6%</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60.7%</w:t>
            </w:r>
          </w:p>
        </w:tc>
      </w:tr>
      <w:tr>
        <w:trPr>
          <w:trHeight w:val="246"/>
        </w:trPr>
        <w:tc>
          <w:tcPr>
            <w:tcW w:w="380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Miscarriage rate</w:t>
            </w:r>
            <w:r>
              <w:rPr>
                <w:rFonts w:ascii="Arial" w:cs="Arial" w:eastAsia="Arial" w:hAnsi="Arial"/>
                <w:sz w:val="28"/>
                <w:szCs w:val="28"/>
                <w:color w:val="auto"/>
                <w:vertAlign w:val="superscript"/>
              </w:rPr>
              <w:t>(2)</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18.5%</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46"/>
        </w:trPr>
        <w:tc>
          <w:tcPr>
            <w:tcW w:w="3800" w:type="dxa"/>
            <w:vAlign w:val="bottom"/>
            <w:gridSpan w:val="3"/>
          </w:tcPr>
          <w:p>
            <w:pPr>
              <w:spacing w:after="0" w:line="246" w:lineRule="exact"/>
              <w:rPr>
                <w:sz w:val="20"/>
                <w:szCs w:val="20"/>
                <w:color w:val="auto"/>
              </w:rPr>
            </w:pPr>
            <w:r>
              <w:rPr>
                <w:rFonts w:ascii="Arial" w:cs="Arial" w:eastAsia="Arial" w:hAnsi="Arial"/>
                <w:sz w:val="17"/>
                <w:szCs w:val="17"/>
                <w:color w:val="auto"/>
              </w:rPr>
              <w:t>Live birth rate</w:t>
            </w:r>
            <w:r>
              <w:rPr>
                <w:rFonts w:ascii="Arial" w:cs="Arial" w:eastAsia="Arial" w:hAnsi="Arial"/>
                <w:sz w:val="28"/>
                <w:szCs w:val="28"/>
                <w:color w:val="auto"/>
                <w:vertAlign w:val="superscript"/>
              </w:rPr>
              <w:t>(3)</w:t>
            </w:r>
          </w:p>
        </w:tc>
        <w:tc>
          <w:tcPr>
            <w:tcW w:w="1760" w:type="dxa"/>
            <w:vAlign w:val="bottom"/>
            <w:gridSpan w:val="2"/>
          </w:tcPr>
          <w:p>
            <w:pPr>
              <w:jc w:val="right"/>
              <w:ind w:right="20"/>
              <w:spacing w:after="0"/>
              <w:rPr>
                <w:sz w:val="20"/>
                <w:szCs w:val="20"/>
                <w:color w:val="auto"/>
              </w:rPr>
            </w:pPr>
            <w:r>
              <w:rPr>
                <w:rFonts w:ascii="Arial" w:cs="Arial" w:eastAsia="Arial" w:hAnsi="Arial"/>
                <w:sz w:val="17"/>
                <w:szCs w:val="17"/>
                <w:color w:val="auto"/>
              </w:rPr>
              <w:t>43.3%</w:t>
            </w: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45.3%</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54.5%</w:t>
            </w:r>
          </w:p>
        </w:tc>
      </w:tr>
      <w:tr>
        <w:trPr>
          <w:trHeight w:val="246"/>
        </w:trPr>
        <w:tc>
          <w:tcPr>
            <w:tcW w:w="380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IVF multiples rate</w:t>
            </w:r>
            <w:r>
              <w:rPr>
                <w:rFonts w:ascii="Arial" w:cs="Arial" w:eastAsia="Arial" w:hAnsi="Arial"/>
                <w:sz w:val="28"/>
                <w:szCs w:val="28"/>
                <w:color w:val="auto"/>
                <w:vertAlign w:val="superscript"/>
              </w:rPr>
              <w:t>(3)</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16.1%</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103"/>
        </w:trPr>
        <w:tc>
          <w:tcPr>
            <w:tcW w:w="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5" w:lineRule="exact"/>
        <w:rPr>
          <w:sz w:val="20"/>
          <w:szCs w:val="20"/>
          <w:color w:val="auto"/>
        </w:rPr>
      </w:pPr>
    </w:p>
    <w:p>
      <w:pPr>
        <w:ind w:left="1840" w:hanging="515"/>
        <w:spacing w:after="0"/>
        <w:tabs>
          <w:tab w:leader="none" w:pos="1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Calculated based on the Society for Assisted Reproductive Technology, or SART, 2017 National Summary Report, published in 2019.</w:t>
      </w:r>
    </w:p>
    <w:p>
      <w:pPr>
        <w:spacing w:after="0" w:line="122" w:lineRule="exact"/>
        <w:rPr>
          <w:rFonts w:ascii="Arial" w:cs="Arial" w:eastAsia="Arial" w:hAnsi="Arial"/>
          <w:sz w:val="13"/>
          <w:szCs w:val="13"/>
          <w:color w:val="auto"/>
        </w:rPr>
      </w:pPr>
    </w:p>
    <w:p>
      <w:pPr>
        <w:ind w:left="1840" w:hanging="515"/>
        <w:spacing w:after="0"/>
        <w:tabs>
          <w:tab w:leader="none" w:pos="1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Calculated based on CDC, 2016 National Summary and Clinic Data Sets, published in 2018.</w:t>
      </w:r>
    </w:p>
    <w:p>
      <w:pPr>
        <w:spacing w:after="0" w:line="122" w:lineRule="exact"/>
        <w:rPr>
          <w:rFonts w:ascii="Arial" w:cs="Arial" w:eastAsia="Arial" w:hAnsi="Arial"/>
          <w:sz w:val="13"/>
          <w:szCs w:val="13"/>
          <w:color w:val="auto"/>
        </w:rPr>
      </w:pPr>
    </w:p>
    <w:p>
      <w:pPr>
        <w:ind w:left="1840" w:hanging="515"/>
        <w:spacing w:after="0"/>
        <w:tabs>
          <w:tab w:leader="none" w:pos="1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Calculated based on CDC, 2017 National Summary and Clinic Data Sets, published in 2019.</w:t>
      </w:r>
    </w:p>
    <w:p>
      <w:pPr>
        <w:spacing w:after="0" w:line="122" w:lineRule="exact"/>
        <w:rPr>
          <w:rFonts w:ascii="Arial" w:cs="Arial" w:eastAsia="Arial" w:hAnsi="Arial"/>
          <w:sz w:val="13"/>
          <w:szCs w:val="13"/>
          <w:color w:val="auto"/>
        </w:rPr>
      </w:pPr>
    </w:p>
    <w:p>
      <w:pPr>
        <w:ind w:left="1840" w:hanging="515"/>
        <w:spacing w:after="0"/>
        <w:tabs>
          <w:tab w:leader="none" w:pos="1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Calculated based on the 12-month period ended December 31,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5417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780" cy="541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firstLine="333"/>
        <w:spacing w:after="0" w:line="258" w:lineRule="auto"/>
        <w:rPr>
          <w:sz w:val="20"/>
          <w:szCs w:val="20"/>
          <w:color w:val="auto"/>
        </w:rPr>
      </w:pPr>
      <w:r>
        <w:rPr>
          <w:rFonts w:ascii="Arial" w:cs="Arial" w:eastAsia="Arial" w:hAnsi="Arial"/>
          <w:sz w:val="17"/>
          <w:szCs w:val="17"/>
          <w:color w:val="auto"/>
        </w:rPr>
        <w:t>We have experienced significant growth since the launch of our fertility benefits solution. Our growth strategy is to increase the number of clients we serve, expand the services our current clients utilize and increase the breadth of our offering with new services. We believe we are well positioned for growth as our current base of 1.4 million members represents only 2% of what we believe to be our total addressable market. In addition, we believe we can continue to increase our business with our existing clients as they expand their employee bases and adopt more of our services over time. As evidence of our success to date, we have retained substantially all of our clients since we began offering our fertility benefits solution, and in many cases, these clients have expanded their use of our offerings.</w:t>
      </w:r>
    </w:p>
    <w:p>
      <w:pPr>
        <w:spacing w:after="0" w:line="188" w:lineRule="exact"/>
        <w:rPr>
          <w:sz w:val="20"/>
          <w:szCs w:val="20"/>
          <w:color w:val="auto"/>
        </w:rPr>
      </w:pPr>
    </w:p>
    <w:p>
      <w:pPr>
        <w:ind w:left="220" w:right="20" w:firstLine="336"/>
        <w:spacing w:after="0" w:line="294" w:lineRule="auto"/>
        <w:rPr>
          <w:sz w:val="20"/>
          <w:szCs w:val="20"/>
          <w:color w:val="auto"/>
        </w:rPr>
      </w:pPr>
      <w:r>
        <w:rPr>
          <w:rFonts w:ascii="Arial" w:cs="Arial" w:eastAsia="Arial" w:hAnsi="Arial"/>
          <w:sz w:val="15"/>
          <w:szCs w:val="15"/>
          <w:color w:val="auto"/>
        </w:rPr>
        <w:t>Our revenue was $48.6 million and $105.4 million for the years ended December 31, 2017 and 2018, respectively, representing year-over-year growth of 117%. Our revenue was $48.4 million and $103.4 million for the six months ended June 30, 2018 and 2019, respectively, representing period-over-period growth of 113%. Our net loss from continuing operations was $(12.5) million and $(5.1) million for the years ended December 31, 2017 and 2018, respectively. Our net (loss) income from continuing operations was $(2.4) million and $4.0 million for the six months ended June 30, 2018 and 2019, respectively. Our Adjusted EBITDA was $(7.9) million and $1.4 million for the years ended December 31, 2017 and 2018, respectively. Our Adjusted EBITDA was $0.3 million and $8.9 million for the six months ended June 30, 2018 and 2019, respectively. See the section titled "—Summary Consolidated Financial Data—Non-GAAP Financial Measure—Adjusted EBITDA" below for the definition of Adjusted EBITDA as well as a reconciliation of Adjusted EBITDA to net (loss) income from continuing operations. Our fertility benefits solution represented 100% and 95% of our total revenue for the years ended December 31, 2017 and 2018, respectively, and 94% and 83% of total revenue for the six months ended June 30, 2018 and 2019, respectively. Progyny Rx, which went live in 2018, represented 5% of our total revenue for the year ended December 31, 2018 and 6% and 17% of total revenue for the six months ended June 30, 2018 and 2019, respectively.</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Industry Challenges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Employers are faced with three major challenges relating to providing fertility benefits to their employee bases:</w:t>
      </w:r>
    </w:p>
    <w:p>
      <w:pPr>
        <w:spacing w:after="0" w:line="218"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Lack of Effective Fertility Benefits Solutions</w:t>
      </w:r>
    </w:p>
    <w:p>
      <w:pPr>
        <w:spacing w:after="0" w:line="218" w:lineRule="exact"/>
        <w:rPr>
          <w:sz w:val="20"/>
          <w:szCs w:val="20"/>
          <w:color w:val="auto"/>
        </w:rPr>
      </w:pPr>
    </w:p>
    <w:p>
      <w:pPr>
        <w:ind w:left="220" w:firstLine="333"/>
        <w:spacing w:after="0" w:line="274" w:lineRule="auto"/>
        <w:rPr>
          <w:sz w:val="20"/>
          <w:szCs w:val="20"/>
          <w:color w:val="auto"/>
        </w:rPr>
      </w:pPr>
      <w:r>
        <w:rPr>
          <w:rFonts w:ascii="Arial" w:cs="Arial" w:eastAsia="Arial" w:hAnsi="Arial"/>
          <w:sz w:val="16"/>
          <w:szCs w:val="16"/>
          <w:color w:val="auto"/>
        </w:rPr>
        <w:t>The conventional fertility benefits options available to employers have been designed to control the utilization of services (and expenditures) by employees rather than to optimize outcomes. As such, their plan designs have included restrictive features, such as lifetime dollar maximums, mandated step therapy protocols and limited or no coverage for advanced diagnostics and procedures. In addition, these plan designs have failed to provide access to premier fertility specialists, robust patient support and the ability to dispense fertility medication in a timely manner. Given the evolution of fertility science, such conventional plans have not kept pace and have generated suboptimal clinical outcomes, as well as greater upfront treatment costs and maternity and NICU expenses. This in turn leads to inefficient utilization of employers' expenditures on their fertility benefits programs. Suboptimal outcomes also cause employers to bear the costs and the negative impact related to decreased employee productivity and retention, as well as increased employee absenteeism, stress and depression related to infertility. Furthermore, the restrictive plan designs, limited lifetime dollar maximums and significant administrative burdens of conventional fertility programs have deterred many of the nation's top fertility specialists from broadly participating in conventional health insurance carriers' networks. As a result, patients may not have access to premier specialists who have the highest success rates.</w:t>
      </w:r>
    </w:p>
    <w:p>
      <w:pPr>
        <w:spacing w:after="0" w:line="176" w:lineRule="exact"/>
        <w:rPr>
          <w:sz w:val="20"/>
          <w:szCs w:val="20"/>
          <w:color w:val="auto"/>
        </w:rPr>
      </w:pPr>
    </w:p>
    <w:p>
      <w:pPr>
        <w:ind w:left="220" w:right="400" w:firstLine="336"/>
        <w:spacing w:after="0" w:line="345" w:lineRule="auto"/>
        <w:rPr>
          <w:sz w:val="20"/>
          <w:szCs w:val="20"/>
          <w:color w:val="auto"/>
        </w:rPr>
      </w:pPr>
      <w:r>
        <w:rPr>
          <w:rFonts w:ascii="Arial" w:cs="Arial" w:eastAsia="Arial" w:hAnsi="Arial"/>
          <w:sz w:val="15"/>
          <w:szCs w:val="15"/>
          <w:color w:val="auto"/>
        </w:rPr>
        <w:t>Conventional benefits programs also lack any meaningful care coordination, education or patient support. Patients and their dependents have no help in understanding the complex choices they are faced with and discerning between treatment alternatives, or in managing the emotional strain of infertility.</w:t>
      </w: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5843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780" cy="5843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firstLine="327"/>
        <w:spacing w:after="0" w:line="277" w:lineRule="auto"/>
        <w:rPr>
          <w:sz w:val="20"/>
          <w:szCs w:val="20"/>
          <w:color w:val="auto"/>
        </w:rPr>
      </w:pPr>
      <w:r>
        <w:rPr>
          <w:rFonts w:ascii="Arial" w:cs="Arial" w:eastAsia="Arial" w:hAnsi="Arial"/>
          <w:sz w:val="16"/>
          <w:szCs w:val="16"/>
          <w:color w:val="auto"/>
        </w:rPr>
        <w:t>Additionally, conventional pharmacy delivery infrastructure is not designed to address the uniqueness of fertility treatment, which requires highly coordinated and timely delivery of medication. Conventional benefits managers require extensive and multiple authorizations and have inconsistent approval processes, which can complicate and delay the provision of medications that are essential to fertility treatment. If medications are not received on time, patients may have to wait a month or longer to commence another round of fertility treatment, wasting valuable time and money. Additionally, fertility medications are often self-administered injectable drugs, and the effectiveness of a patient's treatment may be compromised by improper storage and/or incorrect administration of their medications if the patient is not provided access to education and support.</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Costs Associated with Multiple Births and Poor Fertility Treatment Outcomes</w:t>
      </w:r>
    </w:p>
    <w:p>
      <w:pPr>
        <w:spacing w:after="0" w:line="218" w:lineRule="exact"/>
        <w:rPr>
          <w:sz w:val="20"/>
          <w:szCs w:val="20"/>
          <w:color w:val="auto"/>
        </w:rPr>
      </w:pPr>
    </w:p>
    <w:p>
      <w:pPr>
        <w:ind w:left="220" w:firstLine="336"/>
        <w:spacing w:after="0" w:line="276" w:lineRule="auto"/>
        <w:rPr>
          <w:sz w:val="20"/>
          <w:szCs w:val="20"/>
          <w:color w:val="auto"/>
        </w:rPr>
      </w:pPr>
      <w:r>
        <w:rPr>
          <w:rFonts w:ascii="Arial" w:cs="Arial" w:eastAsia="Arial" w:hAnsi="Arial"/>
          <w:sz w:val="17"/>
          <w:szCs w:val="17"/>
          <w:color w:val="auto"/>
        </w:rPr>
        <w:t>Regardless of whether an employer chooses to cover fertility treatments, employers end up bearing the significant medical costs associated with unanticipated multiple births and miscarriages, as well as the associated impacts on the workplace:</w:t>
      </w:r>
    </w:p>
    <w:p>
      <w:pPr>
        <w:spacing w:after="0" w:line="197" w:lineRule="exact"/>
        <w:rPr>
          <w:sz w:val="20"/>
          <w:szCs w:val="20"/>
          <w:color w:val="auto"/>
        </w:rPr>
      </w:pPr>
    </w:p>
    <w:p>
      <w:pPr>
        <w:ind w:left="1260" w:right="40" w:hanging="515"/>
        <w:spacing w:after="0" w:line="276"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high number of multiple embryo transfers that conventionally occurs during IVF leads to a significant number of multiple births, which in turn is a primary cause of dangerous and expensive preterm births, with extensive maternity and NICU costs.</w:t>
      </w:r>
    </w:p>
    <w:p>
      <w:pPr>
        <w:spacing w:after="0" w:line="184" w:lineRule="exact"/>
        <w:rPr>
          <w:rFonts w:ascii="Arial" w:cs="Arial" w:eastAsia="Arial" w:hAnsi="Arial"/>
          <w:sz w:val="17"/>
          <w:szCs w:val="17"/>
          <w:color w:val="auto"/>
        </w:rPr>
      </w:pPr>
    </w:p>
    <w:p>
      <w:pPr>
        <w:ind w:left="1260" w:right="340" w:hanging="515"/>
        <w:spacing w:after="0" w:line="276"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relatively higher miscarriage rate associated with IVF treatment also results in significant additional medical costs for employers and their employees.</w:t>
      </w:r>
    </w:p>
    <w:p>
      <w:pPr>
        <w:spacing w:after="0" w:line="184" w:lineRule="exact"/>
        <w:rPr>
          <w:rFonts w:ascii="Arial" w:cs="Arial" w:eastAsia="Arial" w:hAnsi="Arial"/>
          <w:sz w:val="17"/>
          <w:szCs w:val="17"/>
          <w:color w:val="auto"/>
        </w:rPr>
      </w:pPr>
    </w:p>
    <w:p>
      <w:pPr>
        <w:ind w:left="1260" w:right="160" w:hanging="515"/>
        <w:spacing w:after="0" w:line="276"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Employers bear additional costs of increased employee absenteeism at the workplace, which is common with instances of multiple births and can result from the emotional and physical strain of miscarriages.</w:t>
      </w:r>
    </w:p>
    <w:p>
      <w:pPr>
        <w:spacing w:after="0" w:line="171" w:lineRule="exact"/>
        <w:rPr>
          <w:sz w:val="20"/>
          <w:szCs w:val="20"/>
          <w:color w:val="auto"/>
        </w:rPr>
      </w:pPr>
    </w:p>
    <w:p>
      <w:pPr>
        <w:ind w:left="220" w:right="60" w:firstLine="336"/>
        <w:spacing w:after="0" w:line="265" w:lineRule="auto"/>
        <w:rPr>
          <w:sz w:val="20"/>
          <w:szCs w:val="20"/>
          <w:color w:val="auto"/>
        </w:rPr>
      </w:pPr>
      <w:r>
        <w:rPr>
          <w:rFonts w:ascii="Arial" w:cs="Arial" w:eastAsia="Arial" w:hAnsi="Arial"/>
          <w:sz w:val="17"/>
          <w:szCs w:val="17"/>
          <w:color w:val="auto"/>
        </w:rPr>
        <w:t>Employers may not be fully aware of the causal effect and ultimate impact of suboptimal fertility care under the current solutions offered by the conventional benefits programs since these programs do not collect outcomes data from their fertility specialists and therefore cannot accurately report on their program's performance in a timely manner.</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Ability to Attract and Retain Talent</w:t>
      </w:r>
    </w:p>
    <w:p>
      <w:pPr>
        <w:spacing w:after="0" w:line="218" w:lineRule="exact"/>
        <w:rPr>
          <w:sz w:val="20"/>
          <w:szCs w:val="20"/>
          <w:color w:val="auto"/>
        </w:rPr>
      </w:pPr>
    </w:p>
    <w:p>
      <w:pPr>
        <w:ind w:left="220" w:right="120" w:firstLine="336"/>
        <w:spacing w:after="0" w:line="259" w:lineRule="auto"/>
        <w:rPr>
          <w:sz w:val="20"/>
          <w:szCs w:val="20"/>
          <w:color w:val="auto"/>
        </w:rPr>
      </w:pPr>
      <w:r>
        <w:rPr>
          <w:rFonts w:ascii="Arial" w:cs="Arial" w:eastAsia="Arial" w:hAnsi="Arial"/>
          <w:sz w:val="17"/>
          <w:szCs w:val="17"/>
          <w:color w:val="auto"/>
        </w:rPr>
        <w:t>Employers are facing increasing competition to attract and retain talent as the labor market is at historically low unemployment levels. In a 2015 survey conducted by Reproductive Medicine Associates of New Jersey, 68% of respondents indicated that they were willing to change jobs to ensure fertility coverage. Among those respondents who have needed fertility treatment, 90% indicated a willingness to change jobs to ensure fertility coverage. As a result, employers are enhancing their value proposition to employees by evaluating and providing benefits that are most in demand. Family building solutions are an increasing area of focus for employees, and in turn, employers.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Our Solutions</w:t>
      </w:r>
    </w:p>
    <w:p>
      <w:pPr>
        <w:spacing w:after="0" w:line="222" w:lineRule="exact"/>
        <w:rPr>
          <w:sz w:val="20"/>
          <w:szCs w:val="20"/>
          <w:color w:val="auto"/>
        </w:rPr>
      </w:pPr>
    </w:p>
    <w:p>
      <w:pPr>
        <w:ind w:left="220" w:right="120" w:firstLine="333"/>
        <w:spacing w:after="0" w:line="259" w:lineRule="auto"/>
        <w:rPr>
          <w:sz w:val="20"/>
          <w:szCs w:val="20"/>
          <w:color w:val="auto"/>
        </w:rPr>
      </w:pPr>
      <w:r>
        <w:rPr>
          <w:rFonts w:ascii="Arial" w:cs="Arial" w:eastAsia="Arial" w:hAnsi="Arial"/>
          <w:sz w:val="17"/>
          <w:szCs w:val="17"/>
          <w:color w:val="auto"/>
        </w:rPr>
        <w:t>We are redefining effective fertility and family building benefits through our purpose-built, data-driven and disruptive platform. Our innovative and comprehensive fertility solution has proven to be simultaneously beneficial for our clients, our members and our network of fertility specialists. Through our differentiated approach to benefits plan design, patient education and support and active network management, our clients' employees are able to pursue the most effective treatment from the best fertility specialists and achieve optimal outcomes in a cost-efficient manner, while our clients achieve savings in upfront treatment costs as well as reduced maternity and NICU expenses.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5811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780" cy="581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Fertility Benefits Solution</w:t>
      </w:r>
    </w:p>
    <w:p>
      <w:pPr>
        <w:spacing w:after="0" w:line="218"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Differentiated Benefits Plan Design</w:t>
      </w:r>
    </w:p>
    <w:p>
      <w:pPr>
        <w:spacing w:after="0" w:line="218" w:lineRule="exact"/>
        <w:rPr>
          <w:sz w:val="20"/>
          <w:szCs w:val="20"/>
          <w:color w:val="auto"/>
        </w:rPr>
      </w:pPr>
    </w:p>
    <w:p>
      <w:pPr>
        <w:ind w:left="220" w:firstLine="333"/>
        <w:spacing w:after="0" w:line="276" w:lineRule="auto"/>
        <w:rPr>
          <w:sz w:val="20"/>
          <w:szCs w:val="20"/>
          <w:color w:val="auto"/>
        </w:rPr>
      </w:pPr>
      <w:r>
        <w:rPr>
          <w:rFonts w:ascii="Arial" w:cs="Arial" w:eastAsia="Arial" w:hAnsi="Arial"/>
          <w:sz w:val="16"/>
          <w:szCs w:val="16"/>
          <w:color w:val="auto"/>
        </w:rPr>
        <w:t>The innovative Smart Cycle is our easy-to-understand fertility benefits design. Our Smart Cycle plan design allows members equitable access to the treatment they need and is designed to drive superior outcomes and reduce both upfront treatment and subsequent costs. Everything needed for a comprehensive fertility treatment is contained within a Smart Cycle treatment bundle, including all necessary diagnostic testing and access to the latest technology (e.g., in the case of IVF treatment, preimplantation genetic testing). The Smart Cycle structure allows our members, together with the advice of their fertility specialists and the support of their PCAs, to select the Smart Cycle treatment bundles that align with their unique treatment needs and their intended family building pathway, without having to follow the "one size fits all" protocols common to conventional health insurance carriers, and without the worry that their desired treatment approach will not be authorized or covered throughout the full treatment cycle.</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Personalized Concierge-Style Member Support Services</w:t>
      </w:r>
    </w:p>
    <w:p>
      <w:pPr>
        <w:spacing w:after="0" w:line="218" w:lineRule="exact"/>
        <w:rPr>
          <w:sz w:val="20"/>
          <w:szCs w:val="20"/>
          <w:color w:val="auto"/>
        </w:rPr>
      </w:pPr>
    </w:p>
    <w:p>
      <w:pPr>
        <w:ind w:left="220" w:right="100" w:firstLine="336"/>
        <w:spacing w:after="0" w:line="297" w:lineRule="auto"/>
        <w:rPr>
          <w:sz w:val="20"/>
          <w:szCs w:val="20"/>
          <w:color w:val="auto"/>
        </w:rPr>
      </w:pPr>
      <w:r>
        <w:rPr>
          <w:rFonts w:ascii="Arial" w:cs="Arial" w:eastAsia="Arial" w:hAnsi="Arial"/>
          <w:sz w:val="15"/>
          <w:szCs w:val="15"/>
          <w:color w:val="auto"/>
        </w:rPr>
        <w:t>Our fertility benefits solution provides members with access to significant support services that are crucial to the success of the fertility and family building journey. Before the fertility treatment process begins, and throughout every step of the fertility journey, we deliver high-touch member support services through a dedicated PCA. Our PCAs have deep fertility expertise and provide extensive clinical education, guidance and emotional support to our members. Additionally, we have an in-house clinical staff, comprised of professionals with substantial expertise in reproductive endocrinology, fertility nursing, clinical psychology and social work that design our PCA training curriculum and direct our comprehensive member experience. Our member portal, accessible via any desktop or mobile device, further supports the member experience by providing key educational resources and easy-to-access benefits information to our members. We believe our platform provides our members with best-in-class support services to help them navigate their fertility and family building journeys.</w:t>
      </w:r>
    </w:p>
    <w:p>
      <w:pPr>
        <w:spacing w:after="0" w:line="161"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Selective Network of High-Quality Fertility Specialists</w:t>
      </w:r>
    </w:p>
    <w:p>
      <w:pPr>
        <w:spacing w:after="0" w:line="218" w:lineRule="exact"/>
        <w:rPr>
          <w:sz w:val="20"/>
          <w:szCs w:val="20"/>
          <w:color w:val="auto"/>
        </w:rPr>
      </w:pPr>
    </w:p>
    <w:p>
      <w:pPr>
        <w:ind w:left="220" w:right="60" w:firstLine="333"/>
        <w:spacing w:after="0" w:line="297" w:lineRule="auto"/>
        <w:rPr>
          <w:sz w:val="20"/>
          <w:szCs w:val="20"/>
          <w:color w:val="auto"/>
        </w:rPr>
      </w:pPr>
      <w:r>
        <w:rPr>
          <w:rFonts w:ascii="Arial" w:cs="Arial" w:eastAsia="Arial" w:hAnsi="Arial"/>
          <w:sz w:val="15"/>
          <w:szCs w:val="15"/>
          <w:color w:val="auto"/>
        </w:rPr>
        <w:t>We have utilized our deep industry knowledge and the insights derived from our data analytics platform to establish and actively manage a national network of the leading fertility specialists in the country. Our members receive access to our selective Center of Excellence network of high-quality providers that includes nearly 800 fertility specialists who practice at nearly 600 provider clinic locations throughout the United States. Our network includes 22 of the top 25 fertility practice groups by volume in the United States according to 2017 CDC data, which was published in 2019 and is the most recent data available. Our fertility specialist network is unique in that approximately 30% of our provider clinics do not broadly participate in conventional health insurance carrier networks, meaning they contract with us and no more than one other health insurance carrier. Our national network serves members in virtually every state (two states have no practicing reproductive endocrinologists), providing extensive geographic coverage to our national employers.</w:t>
      </w:r>
    </w:p>
    <w:p>
      <w:pPr>
        <w:spacing w:after="0" w:line="161"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Progyny Rx, an Integrated Pharmacy Benefits Solution</w:t>
      </w:r>
    </w:p>
    <w:p>
      <w:pPr>
        <w:spacing w:after="0" w:line="218" w:lineRule="exact"/>
        <w:rPr>
          <w:sz w:val="20"/>
          <w:szCs w:val="20"/>
          <w:color w:val="auto"/>
        </w:rPr>
      </w:pPr>
    </w:p>
    <w:p>
      <w:pPr>
        <w:ind w:left="220" w:right="180" w:firstLine="336"/>
        <w:spacing w:after="0" w:line="258" w:lineRule="auto"/>
        <w:rPr>
          <w:sz w:val="20"/>
          <w:szCs w:val="20"/>
          <w:color w:val="auto"/>
        </w:rPr>
      </w:pPr>
      <w:r>
        <w:rPr>
          <w:rFonts w:ascii="Arial" w:cs="Arial" w:eastAsia="Arial" w:hAnsi="Arial"/>
          <w:sz w:val="17"/>
          <w:szCs w:val="17"/>
          <w:color w:val="auto"/>
        </w:rPr>
        <w:t>Progyny Rx is our integrated pharmacy benefits solution that can be added by clients that utilize our fertility benefits solution. This solution provides our members with access to the medications needed during their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Progyny Rx reduces dispensing and delivery time to two days to eliminate the risk of missed treatment cycles. We provide phone-based, clinical education and support seven days a week to ensure that our members understand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6682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780" cy="668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right="100"/>
        <w:spacing w:after="0" w:line="261" w:lineRule="auto"/>
        <w:rPr>
          <w:sz w:val="20"/>
          <w:szCs w:val="20"/>
          <w:color w:val="auto"/>
        </w:rPr>
      </w:pPr>
      <w:r>
        <w:rPr>
          <w:rFonts w:ascii="Arial" w:cs="Arial" w:eastAsia="Arial" w:hAnsi="Arial"/>
          <w:sz w:val="17"/>
          <w:szCs w:val="17"/>
          <w:color w:val="auto"/>
        </w:rPr>
        <w:t>any necessary medication storage requirements and administration techniques, including injection training. To further support those members that require additional education, we also offer a library of on-demand videos. Given the importance of the timely use of medication to the success of fertility treatments, and the complexity involved in administering the medications, we believe Progyny Rx provides a differentiated and effective pharmacy solution for our clients and their employees.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Surrogacy and Adoption Reimbursement Program</w:t>
      </w:r>
    </w:p>
    <w:p>
      <w:pPr>
        <w:spacing w:after="0" w:line="218" w:lineRule="exact"/>
        <w:rPr>
          <w:sz w:val="20"/>
          <w:szCs w:val="20"/>
          <w:color w:val="auto"/>
        </w:rPr>
      </w:pPr>
    </w:p>
    <w:p>
      <w:pPr>
        <w:jc w:val="both"/>
        <w:ind w:left="220" w:right="160" w:firstLine="336"/>
        <w:spacing w:after="0" w:line="289" w:lineRule="auto"/>
        <w:rPr>
          <w:sz w:val="20"/>
          <w:szCs w:val="20"/>
          <w:color w:val="auto"/>
        </w:rPr>
      </w:pPr>
      <w:r>
        <w:rPr>
          <w:rFonts w:ascii="Arial" w:cs="Arial" w:eastAsia="Arial" w:hAnsi="Arial"/>
          <w:sz w:val="16"/>
          <w:szCs w:val="16"/>
          <w:color w:val="auto"/>
        </w:rPr>
        <w:t>In addition, for clients who select the service, we manage the reimbursement of surrogacy and adoption expenses for clients and their employees. For these programs, employers designate a specific dollar amount toward surrogacy and/or adoption services, and we work with our clients to determine which expenses related to adoption and/or surrogacy will be covered under their plan, thereby alleviating their administrative burden.</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Robust Platform Support Capabilities</w:t>
      </w:r>
    </w:p>
    <w:p>
      <w:pPr>
        <w:spacing w:after="0" w:line="244" w:lineRule="exact"/>
        <w:rPr>
          <w:sz w:val="20"/>
          <w:szCs w:val="20"/>
          <w:color w:val="auto"/>
        </w:rPr>
      </w:pPr>
    </w:p>
    <w:p>
      <w:pPr>
        <w:ind w:left="1260" w:right="60" w:hanging="515"/>
        <w:spacing w:after="0" w:line="261"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Robust Data Collection Process. </w:t>
      </w:r>
      <w:r>
        <w:rPr>
          <w:rFonts w:ascii="Arial" w:cs="Arial" w:eastAsia="Arial" w:hAnsi="Arial"/>
          <w:sz w:val="17"/>
          <w:szCs w:val="17"/>
          <w:color w:val="auto"/>
        </w:rPr>
        <w:t>We believe that we are the only fertility and family building benefits company to collect data in a timely manner</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from providers on adherence to treatment protocols and clinical outcomes. This data is used to understand the utilization of our benefits, our provider clinics' adherence to best practices and the outcomes produced by each clinic and across our network. This data informs decisions across our platform, from services covered to our fertility network standards.</w:t>
      </w:r>
    </w:p>
    <w:p>
      <w:pPr>
        <w:spacing w:after="0" w:line="197" w:lineRule="exact"/>
        <w:rPr>
          <w:rFonts w:ascii="Arial" w:cs="Arial" w:eastAsia="Arial" w:hAnsi="Arial"/>
          <w:sz w:val="17"/>
          <w:szCs w:val="17"/>
          <w:color w:val="auto"/>
        </w:rPr>
      </w:pPr>
    </w:p>
    <w:p>
      <w:pPr>
        <w:jc w:val="both"/>
        <w:ind w:left="1260" w:right="360" w:hanging="515"/>
        <w:spacing w:after="0" w:line="265"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Prestigious Medical Advisory Board. </w:t>
      </w:r>
      <w:r>
        <w:rPr>
          <w:rFonts w:ascii="Arial" w:cs="Arial" w:eastAsia="Arial" w:hAnsi="Arial"/>
          <w:sz w:val="17"/>
          <w:szCs w:val="17"/>
          <w:color w:val="auto"/>
        </w:rPr>
        <w:t>Our Medical Advisory Board, comprised of nationally recognized fertility specialists, is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oversight of key clinical issues, including evaluating new fertility treatment diagnostics and procedures to ensure that our benefits design and overall program is comprehensive and is designed to drive to the best outcomes.</w:t>
      </w:r>
    </w:p>
    <w:p>
      <w:pPr>
        <w:spacing w:after="0" w:line="193" w:lineRule="exact"/>
        <w:rPr>
          <w:rFonts w:ascii="Arial" w:cs="Arial" w:eastAsia="Arial" w:hAnsi="Arial"/>
          <w:sz w:val="17"/>
          <w:szCs w:val="17"/>
          <w:color w:val="auto"/>
        </w:rPr>
      </w:pPr>
    </w:p>
    <w:p>
      <w:pPr>
        <w:ind w:left="1260" w:right="280" w:hanging="515"/>
        <w:spacing w:after="0" w:line="345" w:lineRule="auto"/>
        <w:tabs>
          <w:tab w:leader="none" w:pos="12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Full Service Client Account Management. </w:t>
      </w:r>
      <w:r>
        <w:rPr>
          <w:rFonts w:ascii="Arial" w:cs="Arial" w:eastAsia="Arial" w:hAnsi="Arial"/>
          <w:sz w:val="15"/>
          <w:szCs w:val="15"/>
          <w:color w:val="auto"/>
        </w:rPr>
        <w:t>We provide a dedicated account management team to each of our clients to support their day-to-day</w:t>
      </w:r>
      <w:r>
        <w:rPr>
          <w:rFonts w:ascii="Arial" w:cs="Arial" w:eastAsia="Arial" w:hAnsi="Arial"/>
          <w:sz w:val="15"/>
          <w:szCs w:val="15"/>
          <w:i w:val="1"/>
          <w:iCs w:val="1"/>
          <w:color w:val="auto"/>
        </w:rPr>
        <w:t xml:space="preserve"> </w:t>
      </w:r>
      <w:r>
        <w:rPr>
          <w:rFonts w:ascii="Arial" w:cs="Arial" w:eastAsia="Arial" w:hAnsi="Arial"/>
          <w:sz w:val="15"/>
          <w:szCs w:val="15"/>
          <w:color w:val="auto"/>
        </w:rPr>
        <w:t>needs, resolve issues as they arise and to assist them in the review of the detailed quarterly and annual reporting that we provide.</w:t>
      </w:r>
    </w:p>
    <w:p>
      <w:pPr>
        <w:spacing w:after="0" w:line="150" w:lineRule="exact"/>
        <w:rPr>
          <w:rFonts w:ascii="Arial" w:cs="Arial" w:eastAsia="Arial" w:hAnsi="Arial"/>
          <w:sz w:val="15"/>
          <w:szCs w:val="15"/>
          <w:color w:val="auto"/>
        </w:rPr>
      </w:pPr>
    </w:p>
    <w:p>
      <w:pPr>
        <w:ind w:left="1260" w:hanging="515"/>
        <w:spacing w:after="0" w:line="276"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Ease of Integration for Our Clients. </w:t>
      </w:r>
      <w:r>
        <w:rPr>
          <w:rFonts w:ascii="Arial" w:cs="Arial" w:eastAsia="Arial" w:hAnsi="Arial"/>
          <w:sz w:val="17"/>
          <w:szCs w:val="17"/>
          <w:color w:val="auto"/>
        </w:rPr>
        <w:t>We believe our ability to integrate our benefits solutions with all of the large national health insurance carriers</w:t>
      </w:r>
      <w:r>
        <w:rPr>
          <w:rFonts w:ascii="Arial" w:cs="Arial" w:eastAsia="Arial" w:hAnsi="Arial"/>
          <w:sz w:val="17"/>
          <w:szCs w:val="17"/>
          <w:i w:val="1"/>
          <w:iCs w:val="1"/>
          <w:color w:val="auto"/>
        </w:rPr>
        <w:t xml:space="preserve"> </w:t>
      </w:r>
      <w:r>
        <w:rPr>
          <w:rFonts w:ascii="Arial" w:cs="Arial" w:eastAsia="Arial" w:hAnsi="Arial"/>
          <w:sz w:val="17"/>
          <w:szCs w:val="17"/>
          <w:color w:val="auto"/>
        </w:rPr>
        <w:t>is a differentiating factor within the industry.</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Our Value Proposition</w:t>
      </w:r>
    </w:p>
    <w:p>
      <w:pPr>
        <w:spacing w:after="0" w:line="222" w:lineRule="exact"/>
        <w:rPr>
          <w:sz w:val="20"/>
          <w:szCs w:val="20"/>
          <w:color w:val="auto"/>
        </w:rPr>
      </w:pPr>
    </w:p>
    <w:p>
      <w:pPr>
        <w:ind w:left="220" w:right="40" w:firstLine="333"/>
        <w:spacing w:after="0" w:line="308" w:lineRule="auto"/>
        <w:rPr>
          <w:sz w:val="20"/>
          <w:szCs w:val="20"/>
          <w:color w:val="auto"/>
        </w:rPr>
      </w:pPr>
      <w:r>
        <w:rPr>
          <w:rFonts w:ascii="Arial" w:cs="Arial" w:eastAsia="Arial" w:hAnsi="Arial"/>
          <w:sz w:val="16"/>
          <w:szCs w:val="16"/>
          <w:color w:val="auto"/>
        </w:rPr>
        <w:t>We believe that our competitive success is a function of our ability to concurrently: (1) provide tangible financial value to our clients; (2) deliver a better and more supported fertility journey to our members; and (3) provide value to, and work collaboratively with, the nation's finest fertility specialists.</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We Provide Measurable Value to Our Employer Clients</w:t>
      </w:r>
    </w:p>
    <w:p>
      <w:pPr>
        <w:spacing w:after="0" w:line="231" w:lineRule="exact"/>
        <w:rPr>
          <w:sz w:val="20"/>
          <w:szCs w:val="20"/>
          <w:color w:val="auto"/>
        </w:rPr>
      </w:pPr>
    </w:p>
    <w:p>
      <w:pPr>
        <w:ind w:left="1260" w:right="320" w:hanging="515"/>
        <w:spacing w:after="0" w:line="308" w:lineRule="auto"/>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Substantial and Measurable Financial Value. </w:t>
      </w:r>
      <w:r>
        <w:rPr>
          <w:rFonts w:ascii="Arial" w:cs="Arial" w:eastAsia="Arial" w:hAnsi="Arial"/>
          <w:sz w:val="16"/>
          <w:szCs w:val="16"/>
          <w:color w:val="auto"/>
        </w:rPr>
        <w:t>Our superior clinical outcomes drive savings in both upfront fertility treatment costs (due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higher live birth rates) as well as subsequent maternity and NICU expenses for our clients (due to our lower multiples birth rates).</w:t>
      </w:r>
    </w:p>
    <w:p>
      <w:pPr>
        <w:spacing w:after="0" w:line="161" w:lineRule="exact"/>
        <w:rPr>
          <w:rFonts w:ascii="Arial" w:cs="Arial" w:eastAsia="Arial" w:hAnsi="Arial"/>
          <w:sz w:val="16"/>
          <w:szCs w:val="16"/>
          <w:color w:val="auto"/>
        </w:rPr>
      </w:pPr>
    </w:p>
    <w:p>
      <w:pPr>
        <w:ind w:left="1260" w:right="100" w:hanging="515"/>
        <w:spacing w:after="0" w:line="276" w:lineRule="auto"/>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Progyny Rx Savings. </w:t>
      </w:r>
      <w:r>
        <w:rPr>
          <w:rFonts w:ascii="Arial" w:cs="Arial" w:eastAsia="Arial" w:hAnsi="Arial"/>
          <w:sz w:val="17"/>
          <w:szCs w:val="17"/>
          <w:color w:val="auto"/>
        </w:rPr>
        <w:t>Progyny Rx delivers unit cost savings of between 10% and 20% to our clients, and additional cost savings of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8% through our cost containment program based on a reduction in unnecessary quantities dispensed.</w:t>
      </w:r>
    </w:p>
    <w:p>
      <w:pPr>
        <w:spacing w:after="0" w:line="197" w:lineRule="exact"/>
        <w:rPr>
          <w:rFonts w:ascii="Arial" w:cs="Arial" w:eastAsia="Arial" w:hAnsi="Arial"/>
          <w:sz w:val="17"/>
          <w:szCs w:val="17"/>
          <w:color w:val="auto"/>
        </w:rPr>
      </w:pPr>
    </w:p>
    <w:p>
      <w:pPr>
        <w:ind w:left="1260" w:right="60" w:hanging="515"/>
        <w:spacing w:after="0" w:line="345" w:lineRule="auto"/>
        <w:tabs>
          <w:tab w:leader="none" w:pos="126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Employee Productivity and Retention. </w:t>
      </w:r>
      <w:r>
        <w:rPr>
          <w:rFonts w:ascii="Arial" w:cs="Arial" w:eastAsia="Arial" w:hAnsi="Arial"/>
          <w:sz w:val="15"/>
          <w:szCs w:val="15"/>
          <w:color w:val="auto"/>
        </w:rPr>
        <w:t>Our solution addresses employee absenteeism, poor productivity and the lack of employee retention driven</w:t>
      </w:r>
      <w:r>
        <w:rPr>
          <w:rFonts w:ascii="Arial" w:cs="Arial" w:eastAsia="Arial" w:hAnsi="Arial"/>
          <w:sz w:val="15"/>
          <w:szCs w:val="15"/>
          <w:i w:val="1"/>
          <w:iCs w:val="1"/>
          <w:color w:val="auto"/>
        </w:rPr>
        <w:t xml:space="preserve"> </w:t>
      </w:r>
      <w:r>
        <w:rPr>
          <w:rFonts w:ascii="Arial" w:cs="Arial" w:eastAsia="Arial" w:hAnsi="Arial"/>
          <w:sz w:val="15"/>
          <w:szCs w:val="15"/>
          <w:color w:val="auto"/>
        </w:rPr>
        <w:t>by the stress of suffering from infertility (and undergoing fertility treatment) as well as the back-to-work issues related to multiple births.</w:t>
      </w:r>
    </w:p>
    <w:p>
      <w:pPr>
        <w:spacing w:after="0" w:line="137" w:lineRule="exact"/>
        <w:rPr>
          <w:rFonts w:ascii="Arial" w:cs="Arial" w:eastAsia="Arial" w:hAnsi="Arial"/>
          <w:sz w:val="15"/>
          <w:szCs w:val="15"/>
          <w:color w:val="auto"/>
        </w:rPr>
      </w:pPr>
    </w:p>
    <w:p>
      <w:pPr>
        <w:ind w:left="1260" w:right="460" w:hanging="515"/>
        <w:spacing w:after="0" w:line="276" w:lineRule="auto"/>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Appeal to Existing and Prospective Employees. </w:t>
      </w:r>
      <w:r>
        <w:rPr>
          <w:rFonts w:ascii="Arial" w:cs="Arial" w:eastAsia="Arial" w:hAnsi="Arial"/>
          <w:sz w:val="17"/>
          <w:szCs w:val="17"/>
          <w:color w:val="auto"/>
        </w:rPr>
        <w:t>Better fertility benefits programs can be a key component of enhancing a company's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and an important tool in its recruiting efforts and in helping retain key talent.</w:t>
      </w:r>
    </w:p>
    <w:p>
      <w:pPr>
        <w:spacing w:after="0" w:line="200" w:lineRule="exact"/>
        <w:rPr>
          <w:sz w:val="20"/>
          <w:szCs w:val="20"/>
          <w:color w:val="auto"/>
        </w:rPr>
      </w:pPr>
    </w:p>
    <w:p>
      <w:pPr>
        <w:spacing w:after="0" w:line="39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6780" cy="6189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780" cy="618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We Provide Meaningful Value to Our Members</w:t>
      </w:r>
    </w:p>
    <w:p>
      <w:pPr>
        <w:spacing w:after="0" w:line="244" w:lineRule="exact"/>
        <w:rPr>
          <w:sz w:val="20"/>
          <w:szCs w:val="20"/>
          <w:color w:val="auto"/>
        </w:rPr>
      </w:pPr>
    </w:p>
    <w:p>
      <w:pPr>
        <w:ind w:left="1260" w:right="280" w:hanging="515"/>
        <w:spacing w:after="0" w:line="308" w:lineRule="auto"/>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Superior Clinical Outcomes. </w:t>
      </w:r>
      <w:r>
        <w:rPr>
          <w:rFonts w:ascii="Arial" w:cs="Arial" w:eastAsia="Arial" w:hAnsi="Arial"/>
          <w:sz w:val="16"/>
          <w:szCs w:val="16"/>
          <w:color w:val="auto"/>
        </w:rPr>
        <w:t>Our members experience healthier pregnancies and superior rates of pregnancy and live births, as well as reduced</w:t>
      </w:r>
      <w:r>
        <w:rPr>
          <w:rFonts w:ascii="Arial" w:cs="Arial" w:eastAsia="Arial" w:hAnsi="Arial"/>
          <w:sz w:val="16"/>
          <w:szCs w:val="16"/>
          <w:i w:val="1"/>
          <w:iCs w:val="1"/>
          <w:color w:val="auto"/>
        </w:rPr>
        <w:t xml:space="preserve"> </w:t>
      </w:r>
      <w:r>
        <w:rPr>
          <w:rFonts w:ascii="Arial" w:cs="Arial" w:eastAsia="Arial" w:hAnsi="Arial"/>
          <w:sz w:val="16"/>
          <w:szCs w:val="16"/>
          <w:color w:val="auto"/>
        </w:rPr>
        <w:t>rates of miscarriage and multiple births, saving valuable time and money and limiting personal and professional disruption.</w:t>
      </w:r>
    </w:p>
    <w:p>
      <w:pPr>
        <w:spacing w:after="0" w:line="161" w:lineRule="exact"/>
        <w:rPr>
          <w:rFonts w:ascii="Arial" w:cs="Arial" w:eastAsia="Arial" w:hAnsi="Arial"/>
          <w:sz w:val="16"/>
          <w:szCs w:val="16"/>
          <w:color w:val="auto"/>
        </w:rPr>
      </w:pPr>
    </w:p>
    <w:p>
      <w:pPr>
        <w:ind w:left="1260" w:right="100" w:hanging="515"/>
        <w:spacing w:after="0" w:line="265"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Comprehensive Coverage. </w:t>
      </w:r>
      <w:r>
        <w:rPr>
          <w:rFonts w:ascii="Arial" w:cs="Arial" w:eastAsia="Arial" w:hAnsi="Arial"/>
          <w:sz w:val="17"/>
          <w:szCs w:val="17"/>
          <w:color w:val="auto"/>
        </w:rPr>
        <w:t>Our Smart Cycle design ensures that members always have coverage for a full treatment cycle as their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is not limited by a dollar maximum that could be exhausted mid-treatment. Additionally, members have access to the latest technologies and procedures, which are reviewed and approved by our Medical Advisory Board.</w:t>
      </w:r>
    </w:p>
    <w:p>
      <w:pPr>
        <w:spacing w:after="0" w:line="193" w:lineRule="exact"/>
        <w:rPr>
          <w:rFonts w:ascii="Arial" w:cs="Arial" w:eastAsia="Arial" w:hAnsi="Arial"/>
          <w:sz w:val="17"/>
          <w:szCs w:val="17"/>
          <w:color w:val="auto"/>
        </w:rPr>
      </w:pPr>
    </w:p>
    <w:p>
      <w:pPr>
        <w:ind w:left="1260" w:right="380" w:hanging="515"/>
        <w:spacing w:after="0" w:line="276"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Access for All Members and Dependents. </w:t>
      </w:r>
      <w:r>
        <w:rPr>
          <w:rFonts w:ascii="Arial" w:cs="Arial" w:eastAsia="Arial" w:hAnsi="Arial"/>
          <w:sz w:val="17"/>
          <w:szCs w:val="17"/>
          <w:color w:val="auto"/>
        </w:rPr>
        <w:t>Our Smart Cycles are available to be utilized across all employee groups, including populations not</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covered, such as LGBTQ+ individuals and single mothers by choice.</w:t>
      </w:r>
    </w:p>
    <w:p>
      <w:pPr>
        <w:spacing w:after="0" w:line="197" w:lineRule="exact"/>
        <w:rPr>
          <w:rFonts w:ascii="Arial" w:cs="Arial" w:eastAsia="Arial" w:hAnsi="Arial"/>
          <w:sz w:val="17"/>
          <w:szCs w:val="17"/>
          <w:color w:val="auto"/>
        </w:rPr>
      </w:pPr>
    </w:p>
    <w:p>
      <w:pPr>
        <w:ind w:left="1260" w:right="500" w:hanging="515"/>
        <w:spacing w:after="0" w:line="276"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Equitable Access to Care. </w:t>
      </w:r>
      <w:r>
        <w:rPr>
          <w:rFonts w:ascii="Arial" w:cs="Arial" w:eastAsia="Arial" w:hAnsi="Arial"/>
          <w:sz w:val="17"/>
          <w:szCs w:val="17"/>
          <w:color w:val="auto"/>
        </w:rPr>
        <w:t>Our Smart Cycle design ensures members receive fair and balanced access to care that is not dependent on where</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live, how expensive a fertility specialist is or which specific treatments are required.</w:t>
      </w:r>
    </w:p>
    <w:p>
      <w:pPr>
        <w:spacing w:after="0" w:line="184" w:lineRule="exact"/>
        <w:rPr>
          <w:rFonts w:ascii="Arial" w:cs="Arial" w:eastAsia="Arial" w:hAnsi="Arial"/>
          <w:sz w:val="17"/>
          <w:szCs w:val="17"/>
          <w:color w:val="auto"/>
        </w:rPr>
      </w:pPr>
    </w:p>
    <w:p>
      <w:pPr>
        <w:ind w:left="1260" w:right="640" w:hanging="515"/>
        <w:spacing w:after="0" w:line="276"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High-Touch Concierge Member Experience. </w:t>
      </w:r>
      <w:r>
        <w:rPr>
          <w:rFonts w:ascii="Arial" w:cs="Arial" w:eastAsia="Arial" w:hAnsi="Arial"/>
          <w:sz w:val="17"/>
          <w:szCs w:val="17"/>
          <w:color w:val="auto"/>
        </w:rPr>
        <w:t>We provide our members with high-touch, end-to-end concierge support, including logistical</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clinical guidance and emotional support, through our PCAs and our in-house clinical staff.</w:t>
      </w:r>
    </w:p>
    <w:p>
      <w:pPr>
        <w:spacing w:after="0" w:line="184" w:lineRule="exact"/>
        <w:rPr>
          <w:rFonts w:ascii="Arial" w:cs="Arial" w:eastAsia="Arial" w:hAnsi="Arial"/>
          <w:sz w:val="17"/>
          <w:szCs w:val="17"/>
          <w:color w:val="auto"/>
        </w:rPr>
      </w:pPr>
    </w:p>
    <w:p>
      <w:pPr>
        <w:ind w:left="1260" w:right="40" w:hanging="515"/>
        <w:spacing w:after="0" w:line="261"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Access to Selective, Premier Fertility Specialist Network. </w:t>
      </w:r>
      <w:r>
        <w:rPr>
          <w:rFonts w:ascii="Arial" w:cs="Arial" w:eastAsia="Arial" w:hAnsi="Arial"/>
          <w:sz w:val="17"/>
          <w:szCs w:val="17"/>
          <w:color w:val="auto"/>
        </w:rPr>
        <w:t>Our solution provides members access to the nation's most desired fertility providers,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nearly 800 fertility specialists who practice at nearly 600 provider clinic locations throughout the United States. Our network includes 22 of the top 25 fertility practice groups by volume in the United States according to 2017 CDC data. In addition, approximately 30% of our provider clinics do not broadly participate in conventional health insurance carrier networks.</w:t>
      </w:r>
    </w:p>
    <w:p>
      <w:pPr>
        <w:spacing w:after="0" w:line="210" w:lineRule="exact"/>
        <w:rPr>
          <w:rFonts w:ascii="Arial" w:cs="Arial" w:eastAsia="Arial" w:hAnsi="Arial"/>
          <w:sz w:val="17"/>
          <w:szCs w:val="17"/>
          <w:color w:val="auto"/>
        </w:rPr>
      </w:pPr>
    </w:p>
    <w:p>
      <w:pPr>
        <w:ind w:left="1260" w:right="260" w:hanging="515"/>
        <w:spacing w:after="0" w:line="276"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Integrated Pharmacy Benefits Solution. </w:t>
      </w:r>
      <w:r>
        <w:rPr>
          <w:rFonts w:ascii="Arial" w:cs="Arial" w:eastAsia="Arial" w:hAnsi="Arial"/>
          <w:sz w:val="17"/>
          <w:szCs w:val="17"/>
          <w:color w:val="auto"/>
        </w:rPr>
        <w:t>Progyny Rx provides members with a simplified authorization process, timely medication delivery and</w:t>
      </w:r>
      <w:r>
        <w:rPr>
          <w:rFonts w:ascii="Arial" w:cs="Arial" w:eastAsia="Arial" w:hAnsi="Arial"/>
          <w:sz w:val="17"/>
          <w:szCs w:val="17"/>
          <w:i w:val="1"/>
          <w:iCs w:val="1"/>
          <w:color w:val="auto"/>
        </w:rPr>
        <w:t xml:space="preserve"> </w:t>
      </w:r>
      <w:r>
        <w:rPr>
          <w:rFonts w:ascii="Arial" w:cs="Arial" w:eastAsia="Arial" w:hAnsi="Arial"/>
          <w:sz w:val="17"/>
          <w:szCs w:val="17"/>
          <w:color w:val="auto"/>
        </w:rPr>
        <w:t>member support from pharmacy clinicians seven days a week.</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We Provide Meaningful Value to Our Fertility Specialists</w:t>
      </w:r>
    </w:p>
    <w:p>
      <w:pPr>
        <w:spacing w:after="0" w:line="231" w:lineRule="exact"/>
        <w:rPr>
          <w:sz w:val="20"/>
          <w:szCs w:val="20"/>
          <w:color w:val="auto"/>
        </w:rPr>
      </w:pPr>
    </w:p>
    <w:p>
      <w:pPr>
        <w:ind w:left="1260" w:right="300" w:hanging="515"/>
        <w:spacing w:after="0" w:line="316" w:lineRule="auto"/>
        <w:tabs>
          <w:tab w:leader="none" w:pos="126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Members Supported With a Comprehensive Benefit. </w:t>
      </w:r>
      <w:r>
        <w:rPr>
          <w:rFonts w:ascii="Arial" w:cs="Arial" w:eastAsia="Arial" w:hAnsi="Arial"/>
          <w:sz w:val="15"/>
          <w:szCs w:val="15"/>
          <w:color w:val="auto"/>
        </w:rPr>
        <w:t>Our solutions allow our members to arrive at their fertility specialist with a fully-covered</w:t>
      </w:r>
      <w:r>
        <w:rPr>
          <w:rFonts w:ascii="Arial" w:cs="Arial" w:eastAsia="Arial" w:hAnsi="Arial"/>
          <w:sz w:val="15"/>
          <w:szCs w:val="15"/>
          <w:i w:val="1"/>
          <w:iCs w:val="1"/>
          <w:color w:val="auto"/>
        </w:rPr>
        <w:t xml:space="preserve"> </w:t>
      </w:r>
      <w:r>
        <w:rPr>
          <w:rFonts w:ascii="Arial" w:cs="Arial" w:eastAsia="Arial" w:hAnsi="Arial"/>
          <w:sz w:val="15"/>
          <w:szCs w:val="15"/>
          <w:color w:val="auto"/>
        </w:rPr>
        <w:t>course of treatment and the flexibility to utilize the latest approved technologies and best practices via our comprehensive Smart Cycle benefits plan design. These members are also educated on the use of best practices and are supported by PCAs along their fertility journey.</w:t>
      </w:r>
    </w:p>
    <w:p>
      <w:pPr>
        <w:spacing w:after="0" w:line="159" w:lineRule="exact"/>
        <w:rPr>
          <w:rFonts w:ascii="Arial" w:cs="Arial" w:eastAsia="Arial" w:hAnsi="Arial"/>
          <w:sz w:val="15"/>
          <w:szCs w:val="15"/>
          <w:color w:val="auto"/>
        </w:rPr>
      </w:pPr>
    </w:p>
    <w:p>
      <w:pPr>
        <w:ind w:left="1260" w:right="60" w:hanging="515"/>
        <w:spacing w:after="0" w:line="265" w:lineRule="auto"/>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Eliminate Step Therapy Protocols. </w:t>
      </w:r>
      <w:r>
        <w:rPr>
          <w:rFonts w:ascii="Arial" w:cs="Arial" w:eastAsia="Arial" w:hAnsi="Arial"/>
          <w:sz w:val="17"/>
          <w:szCs w:val="17"/>
          <w:color w:val="auto"/>
        </w:rPr>
        <w:t>Our network of fertility specialists have access to the latest science and technologies through our innovative</w:t>
      </w:r>
      <w:r>
        <w:rPr>
          <w:rFonts w:ascii="Arial" w:cs="Arial" w:eastAsia="Arial" w:hAnsi="Arial"/>
          <w:sz w:val="17"/>
          <w:szCs w:val="17"/>
          <w:i w:val="1"/>
          <w:iCs w:val="1"/>
          <w:color w:val="auto"/>
        </w:rPr>
        <w:t xml:space="preserve"> </w:t>
      </w:r>
      <w:r>
        <w:rPr>
          <w:rFonts w:ascii="Arial" w:cs="Arial" w:eastAsia="Arial" w:hAnsi="Arial"/>
          <w:sz w:val="17"/>
          <w:szCs w:val="17"/>
          <w:color w:val="auto"/>
        </w:rPr>
        <w:t>Smart Cycles, which free our fertility specialists from having to follow the ineffective protocols common to conventional coverage and allow them to pursue the most effective treatments first, thereby saving time and money.</w:t>
      </w:r>
    </w:p>
    <w:p>
      <w:pPr>
        <w:spacing w:after="0" w:line="206" w:lineRule="exact"/>
        <w:rPr>
          <w:rFonts w:ascii="Arial" w:cs="Arial" w:eastAsia="Arial" w:hAnsi="Arial"/>
          <w:sz w:val="17"/>
          <w:szCs w:val="17"/>
          <w:color w:val="auto"/>
        </w:rPr>
      </w:pPr>
    </w:p>
    <w:p>
      <w:pPr>
        <w:ind w:left="1260" w:right="280" w:hanging="515"/>
        <w:spacing w:after="0" w:line="276" w:lineRule="auto"/>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Simplified Administration. </w:t>
      </w:r>
      <w:r>
        <w:rPr>
          <w:rFonts w:ascii="Arial" w:cs="Arial" w:eastAsia="Arial" w:hAnsi="Arial"/>
          <w:sz w:val="17"/>
          <w:szCs w:val="17"/>
          <w:color w:val="auto"/>
        </w:rPr>
        <w:t>Once a Smart Cycle treatment is authorized, fertility specialists within our network are able to prescribe the optimal</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plan without any need for pre-certification or pre-authorization.</w:t>
      </w:r>
    </w:p>
    <w:p>
      <w:pPr>
        <w:spacing w:after="0" w:line="184" w:lineRule="exact"/>
        <w:rPr>
          <w:rFonts w:ascii="Arial" w:cs="Arial" w:eastAsia="Arial" w:hAnsi="Arial"/>
          <w:sz w:val="17"/>
          <w:szCs w:val="17"/>
          <w:color w:val="auto"/>
        </w:rPr>
      </w:pPr>
    </w:p>
    <w:p>
      <w:pPr>
        <w:jc w:val="both"/>
        <w:ind w:left="1260" w:hanging="515"/>
        <w:spacing w:after="0" w:line="265" w:lineRule="auto"/>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Superior Clinical Outcomes. </w:t>
      </w:r>
      <w:r>
        <w:rPr>
          <w:rFonts w:ascii="Arial" w:cs="Arial" w:eastAsia="Arial" w:hAnsi="Arial"/>
          <w:sz w:val="17"/>
          <w:szCs w:val="17"/>
          <w:color w:val="auto"/>
        </w:rPr>
        <w:t>Outcomes for Progyny members across our fertility specialist network are superior to the average outcomes that these</w:t>
      </w:r>
      <w:r>
        <w:rPr>
          <w:rFonts w:ascii="Arial" w:cs="Arial" w:eastAsia="Arial" w:hAnsi="Arial"/>
          <w:sz w:val="17"/>
          <w:szCs w:val="17"/>
          <w:i w:val="1"/>
          <w:iCs w:val="1"/>
          <w:color w:val="auto"/>
        </w:rPr>
        <w:t xml:space="preserve"> </w:t>
      </w:r>
      <w:r>
        <w:rPr>
          <w:rFonts w:ascii="Arial" w:cs="Arial" w:eastAsia="Arial" w:hAnsi="Arial"/>
          <w:sz w:val="17"/>
          <w:szCs w:val="17"/>
          <w:color w:val="auto"/>
        </w:rPr>
        <w:t>same provider clinics report to the CDC for all of their patients. For example, the in-network average live birth rate for Progyny members is 54.5%, as compared to the 45.3% average live birth rate for all of the patients at those same clinics.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6534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780" cy="653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20" w:hanging="515"/>
        <w:spacing w:after="0" w:line="265" w:lineRule="auto"/>
        <w:tabs>
          <w:tab w:leader="none" w:pos="12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Eliminating Financial Risk Associated With Collections. </w:t>
      </w:r>
      <w:r>
        <w:rPr>
          <w:rFonts w:ascii="Arial" w:cs="Arial" w:eastAsia="Arial" w:hAnsi="Arial"/>
          <w:sz w:val="17"/>
          <w:szCs w:val="17"/>
          <w:color w:val="auto"/>
        </w:rPr>
        <w:t>We assume full responsibility for the collection of all members' deductibles and</w:t>
      </w:r>
      <w:r>
        <w:rPr>
          <w:rFonts w:ascii="Arial" w:cs="Arial" w:eastAsia="Arial" w:hAnsi="Arial"/>
          <w:sz w:val="17"/>
          <w:szCs w:val="17"/>
          <w:i w:val="1"/>
          <w:iCs w:val="1"/>
          <w:color w:val="auto"/>
        </w:rPr>
        <w:t xml:space="preserve"> </w:t>
      </w:r>
      <w:r>
        <w:rPr>
          <w:rFonts w:ascii="Arial" w:cs="Arial" w:eastAsia="Arial" w:hAnsi="Arial"/>
          <w:sz w:val="17"/>
          <w:szCs w:val="17"/>
          <w:color w:val="auto"/>
        </w:rPr>
        <w:t>coinsurance, thereby eliminating the burden and cost of collection (and bad debt expense) for member payments that our provider clinics otherwise would experience.</w:t>
      </w:r>
    </w:p>
    <w:p>
      <w:pPr>
        <w:spacing w:after="0" w:line="193" w:lineRule="exact"/>
        <w:rPr>
          <w:rFonts w:ascii="Arial" w:cs="Arial" w:eastAsia="Arial" w:hAnsi="Arial"/>
          <w:sz w:val="17"/>
          <w:szCs w:val="17"/>
          <w:color w:val="auto"/>
        </w:rPr>
      </w:pPr>
    </w:p>
    <w:p>
      <w:pPr>
        <w:ind w:left="1260" w:right="240" w:hanging="515"/>
        <w:spacing w:after="0" w:line="276" w:lineRule="auto"/>
        <w:tabs>
          <w:tab w:leader="none" w:pos="12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Data Sharing and Reporting. </w:t>
      </w:r>
      <w:r>
        <w:rPr>
          <w:rFonts w:ascii="Arial" w:cs="Arial" w:eastAsia="Arial" w:hAnsi="Arial"/>
          <w:sz w:val="17"/>
          <w:szCs w:val="17"/>
          <w:color w:val="auto"/>
        </w:rPr>
        <w:t>We produce clinic scorecards quarterly with key performance indicators that allow fertility specialists to compare</w:t>
      </w:r>
      <w:r>
        <w:rPr>
          <w:rFonts w:ascii="Arial" w:cs="Arial" w:eastAsia="Arial" w:hAnsi="Arial"/>
          <w:sz w:val="17"/>
          <w:szCs w:val="17"/>
          <w:i w:val="1"/>
          <w:iCs w:val="1"/>
          <w:color w:val="auto"/>
        </w:rPr>
        <w:t xml:space="preserve"> </w:t>
      </w:r>
      <w:r>
        <w:rPr>
          <w:rFonts w:ascii="Arial" w:cs="Arial" w:eastAsia="Arial" w:hAnsi="Arial"/>
          <w:sz w:val="17"/>
          <w:szCs w:val="17"/>
          <w:color w:val="auto"/>
        </w:rPr>
        <w:t>their results with peer averages.</w:t>
      </w:r>
    </w:p>
    <w:p>
      <w:pPr>
        <w:spacing w:after="0" w:line="184" w:lineRule="exact"/>
        <w:rPr>
          <w:rFonts w:ascii="Arial" w:cs="Arial" w:eastAsia="Arial" w:hAnsi="Arial"/>
          <w:sz w:val="17"/>
          <w:szCs w:val="17"/>
          <w:color w:val="auto"/>
        </w:rPr>
      </w:pPr>
    </w:p>
    <w:p>
      <w:pPr>
        <w:ind w:left="1260" w:right="320" w:hanging="515"/>
        <w:spacing w:after="0" w:line="345" w:lineRule="auto"/>
        <w:tabs>
          <w:tab w:leader="none" w:pos="126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Higher Volumes and Improved Financial Performance. </w:t>
      </w:r>
      <w:r>
        <w:rPr>
          <w:rFonts w:ascii="Arial" w:cs="Arial" w:eastAsia="Arial" w:hAnsi="Arial"/>
          <w:sz w:val="15"/>
          <w:szCs w:val="15"/>
          <w:color w:val="auto"/>
        </w:rPr>
        <w:t>Fertility specialists in our network often experience an increase in patient volume, and</w:t>
      </w:r>
      <w:r>
        <w:rPr>
          <w:rFonts w:ascii="Arial" w:cs="Arial" w:eastAsia="Arial" w:hAnsi="Arial"/>
          <w:sz w:val="15"/>
          <w:szCs w:val="15"/>
          <w:i w:val="1"/>
          <w:iCs w:val="1"/>
          <w:color w:val="auto"/>
        </w:rPr>
        <w:t xml:space="preserve"> </w:t>
      </w:r>
      <w:r>
        <w:rPr>
          <w:rFonts w:ascii="Arial" w:cs="Arial" w:eastAsia="Arial" w:hAnsi="Arial"/>
          <w:sz w:val="15"/>
          <w:szCs w:val="15"/>
          <w:color w:val="auto"/>
        </w:rPr>
        <w:t>because of our comprehensive benefits design, an increase in the number of patients who progress from consultation to treatment.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Our Competitive Strengths</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Market Leadership</w:t>
      </w:r>
    </w:p>
    <w:p>
      <w:pPr>
        <w:spacing w:after="0" w:line="218" w:lineRule="exact"/>
        <w:rPr>
          <w:sz w:val="20"/>
          <w:szCs w:val="20"/>
          <w:color w:val="auto"/>
        </w:rPr>
      </w:pPr>
    </w:p>
    <w:p>
      <w:pPr>
        <w:ind w:left="220" w:right="60" w:firstLine="333"/>
        <w:spacing w:after="0" w:line="265" w:lineRule="auto"/>
        <w:rPr>
          <w:sz w:val="20"/>
          <w:szCs w:val="20"/>
          <w:color w:val="auto"/>
        </w:rPr>
      </w:pPr>
      <w:r>
        <w:rPr>
          <w:rFonts w:ascii="Arial" w:cs="Arial" w:eastAsia="Arial" w:hAnsi="Arial"/>
          <w:sz w:val="17"/>
          <w:szCs w:val="17"/>
          <w:color w:val="auto"/>
        </w:rPr>
        <w:t>We are a leading benefits management company specializing in fertility and family building benefits solutions in the United States, with a client base of over 80 self-insured employer clients representing 1.4 million members. We drive superior clinical outcomes for our members including higher pregnancy success rates, lower miscarriage rates, fewer multiple births and a higher live birth rate.</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Differentiated Model Drives Superior Clinical Outcomes at Reduced Overall Cost</w:t>
      </w:r>
    </w:p>
    <w:p>
      <w:pPr>
        <w:spacing w:after="0" w:line="218" w:lineRule="exact"/>
        <w:rPr>
          <w:sz w:val="20"/>
          <w:szCs w:val="20"/>
          <w:color w:val="auto"/>
        </w:rPr>
      </w:pPr>
    </w:p>
    <w:p>
      <w:pPr>
        <w:ind w:left="220" w:right="20" w:firstLine="336"/>
        <w:spacing w:after="0" w:line="265" w:lineRule="auto"/>
        <w:rPr>
          <w:sz w:val="20"/>
          <w:szCs w:val="20"/>
          <w:color w:val="auto"/>
        </w:rPr>
      </w:pPr>
      <w:r>
        <w:rPr>
          <w:rFonts w:ascii="Arial" w:cs="Arial" w:eastAsia="Arial" w:hAnsi="Arial"/>
          <w:sz w:val="17"/>
          <w:szCs w:val="17"/>
          <w:color w:val="auto"/>
        </w:rPr>
        <w:t>In contrast to conventional fee-for-service coverage, which is designed to simply contain utilization, our case management-driven benefits model is comprehensive, does not exhaust coverage mid-treatment cycle, includes access to the latest technologies and best clinical practices and drives superior outcomes. This is a cost-efficient model, allowing employers to provide more robust coverage with lower overall expenditures.</w:t>
      </w:r>
    </w:p>
    <w:p>
      <w:pPr>
        <w:spacing w:after="0" w:line="180" w:lineRule="exact"/>
        <w:rPr>
          <w:sz w:val="20"/>
          <w:szCs w:val="20"/>
          <w:color w:val="auto"/>
        </w:rPr>
      </w:pPr>
    </w:p>
    <w:p>
      <w:pPr>
        <w:ind w:left="220" w:right="80" w:firstLine="336"/>
        <w:spacing w:after="0" w:line="276" w:lineRule="auto"/>
        <w:rPr>
          <w:sz w:val="20"/>
          <w:szCs w:val="20"/>
          <w:color w:val="auto"/>
        </w:rPr>
      </w:pPr>
      <w:r>
        <w:rPr>
          <w:rFonts w:ascii="Arial" w:cs="Arial" w:eastAsia="Arial" w:hAnsi="Arial"/>
          <w:sz w:val="17"/>
          <w:szCs w:val="17"/>
          <w:color w:val="auto"/>
        </w:rPr>
        <w:t>Our clients also avoid some of the indirect costs of infertility such as employee absenteeism and loss of productivity caused by stress and depression, as well as lack of employee retention caused by multiple births.</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Superior Member Experience</w:t>
      </w:r>
    </w:p>
    <w:p>
      <w:pPr>
        <w:spacing w:after="0" w:line="244" w:lineRule="exact"/>
        <w:rPr>
          <w:sz w:val="20"/>
          <w:szCs w:val="20"/>
          <w:color w:val="auto"/>
        </w:rPr>
      </w:pPr>
    </w:p>
    <w:p>
      <w:pPr>
        <w:ind w:left="1260" w:right="220" w:hanging="515"/>
        <w:spacing w:after="0" w:line="265" w:lineRule="auto"/>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Concierge Member Support. </w:t>
      </w:r>
      <w:r>
        <w:rPr>
          <w:rFonts w:ascii="Arial" w:cs="Arial" w:eastAsia="Arial" w:hAnsi="Arial"/>
          <w:sz w:val="17"/>
          <w:szCs w:val="17"/>
          <w:color w:val="auto"/>
        </w:rPr>
        <w:t>We provide our members with concierge support through our PCAs who are unique to our platform and a valuable</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 to our members. PCAs provide meaningful education, clinical guidance and emotional support for our members and are available throughout the member's fertility and family building journey.</w:t>
      </w:r>
    </w:p>
    <w:p>
      <w:pPr>
        <w:spacing w:after="0" w:line="193" w:lineRule="exact"/>
        <w:rPr>
          <w:rFonts w:ascii="Arial" w:cs="Arial" w:eastAsia="Arial" w:hAnsi="Arial"/>
          <w:sz w:val="17"/>
          <w:szCs w:val="17"/>
          <w:color w:val="auto"/>
        </w:rPr>
      </w:pPr>
    </w:p>
    <w:p>
      <w:pPr>
        <w:ind w:left="1260" w:right="40" w:hanging="515"/>
        <w:spacing w:after="0" w:line="265" w:lineRule="auto"/>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Tailored Member Experience. </w:t>
      </w:r>
      <w:r>
        <w:rPr>
          <w:rFonts w:ascii="Arial" w:cs="Arial" w:eastAsia="Arial" w:hAnsi="Arial"/>
          <w:sz w:val="17"/>
          <w:szCs w:val="17"/>
          <w:color w:val="auto"/>
        </w:rPr>
        <w:t>Our member experience is tailored to meet the unique needs of our clients' employees, and the PCAs have expertise</w:t>
      </w:r>
      <w:r>
        <w:rPr>
          <w:rFonts w:ascii="Arial" w:cs="Arial" w:eastAsia="Arial" w:hAnsi="Arial"/>
          <w:sz w:val="17"/>
          <w:szCs w:val="17"/>
          <w:i w:val="1"/>
          <w:iCs w:val="1"/>
          <w:color w:val="auto"/>
        </w:rPr>
        <w:t xml:space="preserve"> </w:t>
      </w:r>
      <w:r>
        <w:rPr>
          <w:rFonts w:ascii="Arial" w:cs="Arial" w:eastAsia="Arial" w:hAnsi="Arial"/>
          <w:sz w:val="17"/>
          <w:szCs w:val="17"/>
          <w:color w:val="auto"/>
        </w:rPr>
        <w:t>in fertility treatment issues uniquely affecting LGBTQ+ individuals, single mothers by choice and individuals looking to pursue surrogacy or adoption.</w:t>
      </w:r>
    </w:p>
    <w:p>
      <w:pPr>
        <w:spacing w:after="0" w:line="193" w:lineRule="exact"/>
        <w:rPr>
          <w:rFonts w:ascii="Arial" w:cs="Arial" w:eastAsia="Arial" w:hAnsi="Arial"/>
          <w:sz w:val="17"/>
          <w:szCs w:val="17"/>
          <w:color w:val="auto"/>
        </w:rPr>
      </w:pPr>
    </w:p>
    <w:p>
      <w:pPr>
        <w:ind w:left="1260" w:hanging="515"/>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Online Member Portal. </w:t>
      </w:r>
      <w:r>
        <w:rPr>
          <w:rFonts w:ascii="Arial" w:cs="Arial" w:eastAsia="Arial" w:hAnsi="Arial"/>
          <w:sz w:val="17"/>
          <w:szCs w:val="17"/>
          <w:color w:val="auto"/>
        </w:rPr>
        <w:t>Our solution includes an easy-to-use interface and significant educational resources and support tools.</w:t>
      </w:r>
    </w:p>
    <w:p>
      <w:pPr>
        <w:spacing w:after="0" w:line="218"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Selective, Premier Fertility Specialist Network</w:t>
      </w:r>
    </w:p>
    <w:p>
      <w:pPr>
        <w:spacing w:after="0" w:line="218" w:lineRule="exact"/>
        <w:rPr>
          <w:sz w:val="20"/>
          <w:szCs w:val="20"/>
          <w:color w:val="auto"/>
        </w:rPr>
      </w:pPr>
    </w:p>
    <w:p>
      <w:pPr>
        <w:ind w:left="220" w:firstLine="333"/>
        <w:spacing w:after="0" w:line="261" w:lineRule="auto"/>
        <w:rPr>
          <w:sz w:val="20"/>
          <w:szCs w:val="20"/>
          <w:color w:val="auto"/>
        </w:rPr>
      </w:pPr>
      <w:r>
        <w:rPr>
          <w:rFonts w:ascii="Arial" w:cs="Arial" w:eastAsia="Arial" w:hAnsi="Arial"/>
          <w:sz w:val="17"/>
          <w:szCs w:val="17"/>
          <w:color w:val="auto"/>
        </w:rPr>
        <w:t>We have built a network of the nation's most desired fertility providers. Our fertility specialists are thought leaders in the treatment of fertility and are driving differentiated outcomes for our members. Because of the unique Progyny benefits design, our fertility specialists can utilize the most effective treatment for members the first time, without the restrictions of conventional benefits programs. Our network includes 22 of the top 25 fertility practice groups by volume in the United States according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5975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780" cy="597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right="300"/>
        <w:spacing w:after="0" w:line="345" w:lineRule="auto"/>
        <w:rPr>
          <w:sz w:val="20"/>
          <w:szCs w:val="20"/>
          <w:color w:val="auto"/>
        </w:rPr>
      </w:pPr>
      <w:r>
        <w:rPr>
          <w:rFonts w:ascii="Arial" w:cs="Arial" w:eastAsia="Arial" w:hAnsi="Arial"/>
          <w:sz w:val="15"/>
          <w:szCs w:val="15"/>
          <w:color w:val="auto"/>
        </w:rPr>
        <w:t>2017 CDC data. Our differentiated approach to fertility benefits design and its alignment with our fertility specialists' primary objective of delivering the best possible outcomes is evidenced by the fact that approximately 30% of our provider clinics do not broadly contract with conventional health insurance carriers.</w:t>
      </w:r>
    </w:p>
    <w:p>
      <w:pPr>
        <w:spacing w:after="0" w:line="125"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Value-Added Integrated Pharmacy Program</w:t>
      </w:r>
    </w:p>
    <w:p>
      <w:pPr>
        <w:spacing w:after="0" w:line="218" w:lineRule="exact"/>
        <w:rPr>
          <w:sz w:val="20"/>
          <w:szCs w:val="20"/>
          <w:color w:val="auto"/>
        </w:rPr>
      </w:pPr>
    </w:p>
    <w:p>
      <w:pPr>
        <w:ind w:left="220" w:right="440" w:firstLine="336"/>
        <w:spacing w:after="0" w:line="276" w:lineRule="auto"/>
        <w:rPr>
          <w:sz w:val="20"/>
          <w:szCs w:val="20"/>
          <w:color w:val="auto"/>
        </w:rPr>
      </w:pPr>
      <w:r>
        <w:rPr>
          <w:rFonts w:ascii="Arial" w:cs="Arial" w:eastAsia="Arial" w:hAnsi="Arial"/>
          <w:sz w:val="17"/>
          <w:szCs w:val="17"/>
          <w:color w:val="auto"/>
        </w:rPr>
        <w:t>Fertility medication is expensive, complicated, time sensitive and critical to the success of treatment. We more effectively manage the complex fertility medication process:</w:t>
      </w:r>
    </w:p>
    <w:p>
      <w:pPr>
        <w:spacing w:after="0" w:line="197" w:lineRule="exact"/>
        <w:rPr>
          <w:sz w:val="20"/>
          <w:szCs w:val="20"/>
          <w:color w:val="auto"/>
        </w:rPr>
      </w:pPr>
    </w:p>
    <w:p>
      <w:pPr>
        <w:ind w:left="1260" w:right="320" w:hanging="515"/>
        <w:spacing w:after="0" w:line="265" w:lineRule="auto"/>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Single Authorization Mechanism for Treatment and Medication. </w:t>
      </w:r>
      <w:r>
        <w:rPr>
          <w:rFonts w:ascii="Arial" w:cs="Arial" w:eastAsia="Arial" w:hAnsi="Arial"/>
          <w:sz w:val="17"/>
          <w:szCs w:val="17"/>
          <w:color w:val="auto"/>
        </w:rPr>
        <w:t>Our single authorization mechanism includes both fertility treatments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prescription drugs, with guaranteed timely delivery and extensive seven days a week clinical support around drug storage and administration.</w:t>
      </w:r>
    </w:p>
    <w:p>
      <w:pPr>
        <w:spacing w:after="0" w:line="193" w:lineRule="exact"/>
        <w:rPr>
          <w:rFonts w:ascii="Arial" w:cs="Arial" w:eastAsia="Arial" w:hAnsi="Arial"/>
          <w:sz w:val="17"/>
          <w:szCs w:val="17"/>
          <w:color w:val="auto"/>
        </w:rPr>
      </w:pPr>
    </w:p>
    <w:p>
      <w:pPr>
        <w:ind w:left="1260" w:hanging="515"/>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Meaningful Cost Savings. </w:t>
      </w:r>
      <w:r>
        <w:rPr>
          <w:rFonts w:ascii="Arial" w:cs="Arial" w:eastAsia="Arial" w:hAnsi="Arial"/>
          <w:sz w:val="17"/>
          <w:szCs w:val="17"/>
          <w:color w:val="auto"/>
        </w:rPr>
        <w:t>We generate significant unit cost savings for our clients through our negotiated formulary rates.</w:t>
      </w:r>
    </w:p>
    <w:p>
      <w:pPr>
        <w:spacing w:after="0" w:line="231" w:lineRule="exact"/>
        <w:rPr>
          <w:rFonts w:ascii="Arial" w:cs="Arial" w:eastAsia="Arial" w:hAnsi="Arial"/>
          <w:sz w:val="17"/>
          <w:szCs w:val="17"/>
          <w:color w:val="auto"/>
        </w:rPr>
      </w:pPr>
    </w:p>
    <w:p>
      <w:pPr>
        <w:ind w:left="1260" w:right="760" w:hanging="515"/>
        <w:spacing w:after="0" w:line="276" w:lineRule="auto"/>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Innovative Cost Containment Program. </w:t>
      </w:r>
      <w:r>
        <w:rPr>
          <w:rFonts w:ascii="Arial" w:cs="Arial" w:eastAsia="Arial" w:hAnsi="Arial"/>
          <w:sz w:val="17"/>
          <w:szCs w:val="17"/>
          <w:color w:val="auto"/>
        </w:rPr>
        <w:t>This program enables our clients and members to save additional costs through the reduction in</w:t>
      </w:r>
      <w:r>
        <w:rPr>
          <w:rFonts w:ascii="Arial" w:cs="Arial" w:eastAsia="Arial" w:hAnsi="Arial"/>
          <w:sz w:val="17"/>
          <w:szCs w:val="17"/>
          <w:i w:val="1"/>
          <w:iCs w:val="1"/>
          <w:color w:val="auto"/>
        </w:rPr>
        <w:t xml:space="preserve"> </w:t>
      </w:r>
      <w:r>
        <w:rPr>
          <w:rFonts w:ascii="Arial" w:cs="Arial" w:eastAsia="Arial" w:hAnsi="Arial"/>
          <w:sz w:val="17"/>
          <w:szCs w:val="17"/>
          <w:color w:val="auto"/>
        </w:rPr>
        <w:t>overprescribing that is typical of conventional fertility pharmacy management.</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Purpose-Built, Data-Driven and Disruptive Platform</w:t>
      </w:r>
    </w:p>
    <w:p>
      <w:pPr>
        <w:spacing w:after="0" w:line="218" w:lineRule="exact"/>
        <w:rPr>
          <w:sz w:val="20"/>
          <w:szCs w:val="20"/>
          <w:color w:val="auto"/>
        </w:rPr>
      </w:pPr>
    </w:p>
    <w:p>
      <w:pPr>
        <w:ind w:left="220" w:right="180" w:firstLine="333"/>
        <w:spacing w:after="0" w:line="289" w:lineRule="auto"/>
        <w:rPr>
          <w:sz w:val="20"/>
          <w:szCs w:val="20"/>
          <w:color w:val="auto"/>
        </w:rPr>
      </w:pPr>
      <w:r>
        <w:rPr>
          <w:rFonts w:ascii="Arial" w:cs="Arial" w:eastAsia="Arial" w:hAnsi="Arial"/>
          <w:sz w:val="16"/>
          <w:szCs w:val="16"/>
          <w:color w:val="auto"/>
        </w:rPr>
        <w:t>The outcomes data we collect and analyze provides insights across our business, including the creation and management of our plan design and clinical protocols to ensure the efficiency of employer expenditures. We also manage our fertility specialist network and ensure adherence to Progyny practice standards based on this data to ensure that fertility specialists are driving improved clinical outcomes and member satisfaction.</w:t>
      </w:r>
    </w:p>
    <w:p>
      <w:pPr>
        <w:spacing w:after="0" w:line="163" w:lineRule="exact"/>
        <w:rPr>
          <w:sz w:val="20"/>
          <w:szCs w:val="20"/>
          <w:color w:val="auto"/>
        </w:rPr>
      </w:pPr>
    </w:p>
    <w:p>
      <w:pPr>
        <w:ind w:left="220" w:right="160" w:firstLine="327"/>
        <w:spacing w:after="0" w:line="265" w:lineRule="auto"/>
        <w:rPr>
          <w:sz w:val="20"/>
          <w:szCs w:val="20"/>
          <w:color w:val="auto"/>
        </w:rPr>
      </w:pPr>
      <w:r>
        <w:rPr>
          <w:rFonts w:ascii="Arial" w:cs="Arial" w:eastAsia="Arial" w:hAnsi="Arial"/>
          <w:sz w:val="17"/>
          <w:szCs w:val="17"/>
          <w:color w:val="auto"/>
        </w:rPr>
        <w:t>A key differentiator of our solution is our in-depth client reporting. We believe we are the only benefits manager that tracks fertility outcomes from medical record data on a timely basis, and we believe this unique data reporting to be important for our employer clients to understand why Progyny offers a superior solution.</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Highly Scalable Platform</w:t>
      </w:r>
    </w:p>
    <w:p>
      <w:pPr>
        <w:spacing w:after="0" w:line="218" w:lineRule="exact"/>
        <w:rPr>
          <w:sz w:val="20"/>
          <w:szCs w:val="20"/>
          <w:color w:val="auto"/>
        </w:rPr>
      </w:pPr>
    </w:p>
    <w:p>
      <w:pPr>
        <w:ind w:left="220" w:firstLine="336"/>
        <w:spacing w:after="0" w:line="261" w:lineRule="auto"/>
        <w:rPr>
          <w:sz w:val="20"/>
          <w:szCs w:val="20"/>
          <w:color w:val="auto"/>
        </w:rPr>
      </w:pPr>
      <w:r>
        <w:rPr>
          <w:rFonts w:ascii="Arial" w:cs="Arial" w:eastAsia="Arial" w:hAnsi="Arial"/>
          <w:sz w:val="17"/>
          <w:szCs w:val="17"/>
          <w:color w:val="auto"/>
        </w:rPr>
        <w:t>Since launching our benefits solution, we have more than doubled our client base every year without any dilution to or decrease in the level and quality of services. Once we begin providing services to a client, we believe it is difficult for our clients to replicate our outcomes with another solution. In addition, we have been able to add new solutions and technologies to our offering while sustaining this growth and believe our platform is capable of continuing to rapidly adopt more clients without meaningful infrastructure enhancements.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Deeply Experienced Management Team with Strong Culture</w:t>
      </w:r>
    </w:p>
    <w:p>
      <w:pPr>
        <w:spacing w:after="0" w:line="218" w:lineRule="exact"/>
        <w:rPr>
          <w:sz w:val="20"/>
          <w:szCs w:val="20"/>
          <w:color w:val="auto"/>
        </w:rPr>
      </w:pPr>
    </w:p>
    <w:p>
      <w:pPr>
        <w:ind w:left="220" w:right="120" w:firstLine="336"/>
        <w:spacing w:after="0" w:line="279" w:lineRule="auto"/>
        <w:rPr>
          <w:sz w:val="20"/>
          <w:szCs w:val="20"/>
          <w:color w:val="auto"/>
        </w:rPr>
      </w:pPr>
      <w:r>
        <w:rPr>
          <w:rFonts w:ascii="Arial" w:cs="Arial" w:eastAsia="Arial" w:hAnsi="Arial"/>
          <w:sz w:val="16"/>
          <w:szCs w:val="16"/>
          <w:color w:val="auto"/>
        </w:rPr>
        <w:t>Our management team has extensive operational experience and background in healthcare, technology and services. Additionally, our sales, support and development teams have significant healthcare, technology and benefits experience and are a key competitive advantage to our success. Given the complexity of the highly regulated industry we operate in, we believe our management's industry experience is also a meaningful differentiator for us. Their demonstrated track record of success in running public companies and scaling growth organizations will allow us to continue to be leaders in our industry. A large part of our continued success is driven by our unique culture and the dedication and commitment of our Progyny team.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5811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780" cy="581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Our Growth Strategy</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Expand Our Client Base</w:t>
      </w:r>
    </w:p>
    <w:p>
      <w:pPr>
        <w:spacing w:after="0" w:line="218" w:lineRule="exact"/>
        <w:rPr>
          <w:sz w:val="20"/>
          <w:szCs w:val="20"/>
          <w:color w:val="auto"/>
        </w:rPr>
      </w:pPr>
    </w:p>
    <w:p>
      <w:pPr>
        <w:ind w:left="220" w:right="100" w:firstLine="333"/>
        <w:spacing w:after="0" w:line="257" w:lineRule="auto"/>
        <w:rPr>
          <w:sz w:val="20"/>
          <w:szCs w:val="20"/>
          <w:color w:val="auto"/>
        </w:rPr>
      </w:pPr>
      <w:r>
        <w:rPr>
          <w:rFonts w:ascii="Arial" w:cs="Arial" w:eastAsia="Arial" w:hAnsi="Arial"/>
          <w:sz w:val="17"/>
          <w:szCs w:val="17"/>
          <w:color w:val="auto"/>
        </w:rPr>
        <w:t>We intend to continue increasing our client base of self-insured employers throughout the United States by leveraging our experienced salesforce and strong relationships with benefits consultants. We believe we have an addressable market of approximately 8,000 potential self-insured employer clients in the United States and, with our current base of over 80 clients, are still in the early stages of our growth trajectory. As we have continued to grow, we have meaningfully diversified our client base across an array of different industries. We are expanding our client base within each industry that we serve, and have an industry-specific strategy, which enables us to most effectively target our addressable market. Additionally, we believe that our expanding presence has resulted in a heightened awareness of fertility benefits and has informed the market of the value we provide to our employer clients and our members, which we believe also helps facilitate growth.</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Capitalize on Embedded Growth Potential within Our Existing Client Base</w:t>
      </w:r>
    </w:p>
    <w:p>
      <w:pPr>
        <w:spacing w:after="0" w:line="218" w:lineRule="exact"/>
        <w:rPr>
          <w:sz w:val="20"/>
          <w:szCs w:val="20"/>
          <w:color w:val="auto"/>
        </w:rPr>
      </w:pPr>
    </w:p>
    <w:p>
      <w:pPr>
        <w:ind w:left="220" w:right="180" w:firstLine="333"/>
        <w:spacing w:after="0" w:line="265" w:lineRule="auto"/>
        <w:rPr>
          <w:sz w:val="20"/>
          <w:szCs w:val="20"/>
          <w:color w:val="auto"/>
        </w:rPr>
      </w:pPr>
      <w:r>
        <w:rPr>
          <w:rFonts w:ascii="Arial" w:cs="Arial" w:eastAsia="Arial" w:hAnsi="Arial"/>
          <w:sz w:val="17"/>
          <w:szCs w:val="17"/>
          <w:color w:val="auto"/>
        </w:rPr>
        <w:t>We believe we are positioned to realize organic revenue growth as our clients and their respective employee bases grow and utilize more fertility treatment services as a result. We believe this is supported by trends that we have witnessed within our existing client base, where we have historically realized similar utilization trends of fertility services for new members compared with existing members on a same client basis.</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Expansion of Progyny Benefits Solutions within Our Existing Client Base</w:t>
      </w:r>
    </w:p>
    <w:p>
      <w:pPr>
        <w:spacing w:after="0" w:line="218" w:lineRule="exact"/>
        <w:rPr>
          <w:sz w:val="20"/>
          <w:szCs w:val="20"/>
          <w:color w:val="auto"/>
        </w:rPr>
      </w:pPr>
    </w:p>
    <w:p>
      <w:pPr>
        <w:jc w:val="both"/>
        <w:ind w:left="220" w:right="40" w:firstLine="333"/>
        <w:spacing w:after="0" w:line="316" w:lineRule="auto"/>
        <w:rPr>
          <w:sz w:val="20"/>
          <w:szCs w:val="20"/>
          <w:color w:val="auto"/>
        </w:rPr>
      </w:pPr>
      <w:r>
        <w:rPr>
          <w:rFonts w:ascii="Arial" w:cs="Arial" w:eastAsia="Arial" w:hAnsi="Arial"/>
          <w:sz w:val="15"/>
          <w:szCs w:val="15"/>
          <w:color w:val="auto"/>
        </w:rPr>
        <w:t>We believe we will continue to see growth from existing clients that add incremental services to their fertility benefits program, such as electing to cover egg freezing, increasing the number of Smart Cycles, or purchasing our add-on Progyny Rx solution. We introduced Progyny Rx in the third quarter of 2017 and went live with a select number of clients in January 2018. Currently, 60% of our clients are utilizing this solution, including 68% of the clients that went live in 2019.</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New Services and Addressable Markets to Enhance the Depth and Breadth of Our Comprehensive Fertility Offering</w:t>
      </w:r>
    </w:p>
    <w:p>
      <w:pPr>
        <w:spacing w:after="0" w:line="218" w:lineRule="exact"/>
        <w:rPr>
          <w:sz w:val="20"/>
          <w:szCs w:val="20"/>
          <w:color w:val="auto"/>
        </w:rPr>
      </w:pPr>
    </w:p>
    <w:p>
      <w:pPr>
        <w:ind w:left="220" w:firstLine="333"/>
        <w:spacing w:after="0" w:line="257" w:lineRule="auto"/>
        <w:rPr>
          <w:sz w:val="20"/>
          <w:szCs w:val="20"/>
          <w:color w:val="auto"/>
        </w:rPr>
      </w:pPr>
      <w:r>
        <w:rPr>
          <w:rFonts w:ascii="Arial" w:cs="Arial" w:eastAsia="Arial" w:hAnsi="Arial"/>
          <w:sz w:val="17"/>
          <w:szCs w:val="17"/>
          <w:color w:val="auto"/>
        </w:rPr>
        <w:t>We are continuously evaluating the latest evolving trends to find ways we can better serve the needs of existing and new potential clients and their employees. We believe the combination of our Medical Advisory Board and our selective network of high-quality fertility specialists, as well as the data we collect and analyze, provides us with differentiated insights into fertility care delivery and support. In addition, we believe we have positive and collaborative relationships with our clients that offer us additional insights into their needs. To date, we have identified several ways we believe we can potentially expand our offering and expand our client base in the future, including vertically integrating services we currently outsource, and pursuing adjacent growth opportunities such as adding programs for high-risk pregnancy management, neonatal care management, mental health and return-to-work programs. We will continue to evaluate opportunities as our platform continues to expand.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Recent Developments (Preliminary and Unaudited)</w:t>
      </w:r>
    </w:p>
    <w:p>
      <w:pPr>
        <w:spacing w:after="0" w:line="222" w:lineRule="exact"/>
        <w:rPr>
          <w:sz w:val="20"/>
          <w:szCs w:val="20"/>
          <w:color w:val="auto"/>
        </w:rPr>
      </w:pPr>
    </w:p>
    <w:p>
      <w:pPr>
        <w:ind w:left="220" w:right="100" w:firstLine="336"/>
        <w:spacing w:after="0" w:line="261" w:lineRule="auto"/>
        <w:rPr>
          <w:sz w:val="20"/>
          <w:szCs w:val="20"/>
          <w:color w:val="auto"/>
        </w:rPr>
      </w:pPr>
      <w:r>
        <w:rPr>
          <w:rFonts w:ascii="Arial" w:cs="Arial" w:eastAsia="Arial" w:hAnsi="Arial"/>
          <w:sz w:val="17"/>
          <w:szCs w:val="17"/>
          <w:color w:val="auto"/>
        </w:rPr>
        <w:t>Set forth below are preliminary estimates of unaudited selected financial and other data for the nine months ended September 30, 2019 and actual unaudited financial and other data for the nine months ended September 30, 2018. Our unaudited interim consolidated financial statements for the nine months ended September 30, 2019 are not yet available. The following information reflects our preliminary estimates based on currently available information, is not a comprehensive statement of our financial results and is subject to change.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5614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780" cy="561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right="100" w:firstLine="333"/>
        <w:spacing w:after="0" w:line="296" w:lineRule="auto"/>
        <w:rPr>
          <w:sz w:val="20"/>
          <w:szCs w:val="20"/>
          <w:color w:val="auto"/>
        </w:rPr>
      </w:pPr>
      <w:r>
        <w:rPr>
          <w:rFonts w:ascii="Arial" w:cs="Arial" w:eastAsia="Arial" w:hAnsi="Arial"/>
          <w:sz w:val="15"/>
          <w:szCs w:val="15"/>
          <w:color w:val="auto"/>
        </w:rPr>
        <w:t>We have provided ranges, rather than specific amounts, for the preliminary estimates of the unaudited financial and other data described below primarily because our financial closing procedures for the nine months ended September 30, 2019 are not yet complete and, as a result, our final results upon completion of our closing procedures may vary from the preliminary estimates. These estimates should not be viewed as a substitute for our full interim or annual financial statements prepared in accordance with generally accepted accounting principles in the United States, or GAAP. Further, our preliminary estimated results are not necessarily indicative of the results to be expected for the remainder of the year or any future period. See the sections titled "Risk Factors," "Special Note Regarding Forward-Looking Statements," and "Management's Discussion and Analysis of Financial Condition and Results of Operations" for additional information regarding factors that could result in differences between the preliminary estimated ranges of certain of our unaudited financial and other data presented below and the actual financial and other data we will report for the nine months ended September 30, 2019.</w:t>
      </w:r>
    </w:p>
    <w:p>
      <w:pPr>
        <w:spacing w:after="0" w:line="161" w:lineRule="exact"/>
        <w:rPr>
          <w:sz w:val="20"/>
          <w:szCs w:val="20"/>
          <w:color w:val="auto"/>
        </w:rPr>
      </w:pPr>
    </w:p>
    <w:p>
      <w:pPr>
        <w:ind w:left="220" w:right="60" w:firstLine="333"/>
        <w:spacing w:after="0" w:line="282" w:lineRule="auto"/>
        <w:rPr>
          <w:sz w:val="20"/>
          <w:szCs w:val="20"/>
          <w:color w:val="auto"/>
        </w:rPr>
      </w:pPr>
      <w:r>
        <w:rPr>
          <w:rFonts w:ascii="Arial" w:cs="Arial" w:eastAsia="Arial" w:hAnsi="Arial"/>
          <w:sz w:val="16"/>
          <w:szCs w:val="16"/>
          <w:color w:val="auto"/>
        </w:rPr>
        <w:t>The preliminary estimates for the nine months ended September 30, 2019 presented below have been prepared by, and are the responsibility of, management. Ernst &amp; Young LLP, our independent registered public accounting firm, has not audited, reviewed, compiled or performed any procedures with respect to such preliminary data nor has Ernst &amp; Young LLP audited, reviewed or compiled the financial data for the comparative nine-month period ended September 30, 2018. Accordingly, Ernst &amp; Young LLP does not express an opinion or any other form of assurance with respect thereto.</w:t>
      </w:r>
    </w:p>
    <w:p>
      <w:pPr>
        <w:spacing w:after="0" w:line="159"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6"/>
          </w:tcPr>
          <w:p>
            <w:pPr>
              <w:jc w:val="center"/>
              <w:ind w:left="462"/>
              <w:spacing w:after="0"/>
              <w:rPr>
                <w:sz w:val="20"/>
                <w:szCs w:val="20"/>
                <w:color w:val="auto"/>
              </w:rPr>
            </w:pPr>
            <w:r>
              <w:rPr>
                <w:rFonts w:ascii="Arial" w:cs="Arial" w:eastAsia="Arial" w:hAnsi="Arial"/>
                <w:sz w:val="13"/>
                <w:szCs w:val="13"/>
                <w:b w:val="1"/>
                <w:bCs w:val="1"/>
                <w:color w:val="auto"/>
                <w:w w:val="90"/>
              </w:rPr>
              <w:t>Nine Months Ended</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87"/>
              </w:rPr>
              <w:t>September 30,</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tcPr>
          <w:p>
            <w:pPr>
              <w:jc w:val="right"/>
              <w:ind w:right="76"/>
              <w:spacing w:after="0" w:line="123" w:lineRule="exact"/>
              <w:rPr>
                <w:sz w:val="20"/>
                <w:szCs w:val="20"/>
                <w:color w:val="auto"/>
              </w:rPr>
            </w:pPr>
            <w:r>
              <w:rPr>
                <w:rFonts w:ascii="Arial" w:cs="Arial" w:eastAsia="Arial" w:hAnsi="Arial"/>
                <w:sz w:val="13"/>
                <w:szCs w:val="13"/>
                <w:b w:val="1"/>
                <w:bCs w:val="1"/>
                <w:color w:val="auto"/>
              </w:rPr>
              <w:t>2019</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3"/>
                <w:szCs w:val="13"/>
                <w:b w:val="1"/>
                <w:bCs w:val="1"/>
                <w:color w:val="auto"/>
                <w:w w:val="99"/>
              </w:rPr>
              <w:t>2018 Actual</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Estimated</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ind w:left="100"/>
              <w:spacing w:after="0" w:line="136" w:lineRule="exact"/>
              <w:rPr>
                <w:sz w:val="20"/>
                <w:szCs w:val="20"/>
                <w:color w:val="auto"/>
              </w:rPr>
            </w:pPr>
            <w:r>
              <w:rPr>
                <w:rFonts w:ascii="Arial" w:cs="Arial" w:eastAsia="Arial" w:hAnsi="Arial"/>
                <w:sz w:val="13"/>
                <w:szCs w:val="13"/>
                <w:b w:val="1"/>
                <w:bCs w:val="1"/>
                <w:color w:val="auto"/>
              </w:rPr>
              <w:t>Low</w:t>
            </w:r>
          </w:p>
        </w:tc>
        <w:tc>
          <w:tcPr>
            <w:tcW w:w="220" w:type="dxa"/>
            <w:vAlign w:val="bottom"/>
          </w:tcPr>
          <w:p>
            <w:pPr>
              <w:spacing w:after="0"/>
              <w:rPr>
                <w:sz w:val="11"/>
                <w:szCs w:val="11"/>
                <w:color w:val="auto"/>
              </w:rPr>
            </w:pPr>
          </w:p>
        </w:tc>
        <w:tc>
          <w:tcPr>
            <w:tcW w:w="540" w:type="dxa"/>
            <w:vAlign w:val="bottom"/>
          </w:tcPr>
          <w:p>
            <w:pPr>
              <w:jc w:val="right"/>
              <w:ind w:right="160"/>
              <w:spacing w:after="0" w:line="136" w:lineRule="exact"/>
              <w:rPr>
                <w:sz w:val="20"/>
                <w:szCs w:val="20"/>
                <w:color w:val="auto"/>
              </w:rPr>
            </w:pPr>
            <w:r>
              <w:rPr>
                <w:rFonts w:ascii="Arial" w:cs="Arial" w:eastAsia="Arial" w:hAnsi="Arial"/>
                <w:sz w:val="13"/>
                <w:szCs w:val="13"/>
                <w:b w:val="1"/>
                <w:bCs w:val="1"/>
                <w:color w:val="auto"/>
                <w:w w:val="96"/>
              </w:rPr>
              <w:t>High</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7"/>
          </w:tcPr>
          <w:p>
            <w:pPr>
              <w:jc w:val="center"/>
              <w:ind w:left="262"/>
              <w:spacing w:after="0"/>
              <w:rPr>
                <w:sz w:val="20"/>
                <w:szCs w:val="20"/>
                <w:color w:val="auto"/>
              </w:rPr>
            </w:pPr>
            <w:r>
              <w:rPr>
                <w:rFonts w:ascii="Arial" w:cs="Arial" w:eastAsia="Arial" w:hAnsi="Arial"/>
                <w:sz w:val="13"/>
                <w:szCs w:val="13"/>
                <w:b w:val="1"/>
                <w:bCs w:val="1"/>
                <w:color w:val="auto"/>
                <w:w w:val="88"/>
              </w:rPr>
              <w:t>(dollars in thousands)</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76,213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163,665</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164,165</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7"/>
                <w:szCs w:val="17"/>
                <w:color w:val="auto"/>
              </w:rPr>
              <w:t>(Loss) income from operations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0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(2,749)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8,203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8,403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0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Net (loss) income from continuing operations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line="186" w:lineRule="exact"/>
              <w:rPr>
                <w:sz w:val="20"/>
                <w:szCs w:val="20"/>
                <w:color w:val="auto"/>
              </w:rPr>
            </w:pPr>
            <w:r>
              <w:rPr>
                <w:rFonts w:ascii="Arial" w:cs="Arial" w:eastAsia="Arial" w:hAnsi="Arial"/>
                <w:sz w:val="17"/>
                <w:szCs w:val="17"/>
                <w:color w:val="auto"/>
              </w:rPr>
              <w:t>(3,539)</w:t>
            </w:r>
          </w:p>
        </w:tc>
        <w:tc>
          <w:tcPr>
            <w:tcW w:w="220" w:type="dxa"/>
            <w:vAlign w:val="bottom"/>
            <w:gridSpan w:val="2"/>
            <w:shd w:val="clear" w:color="auto" w:fill="CCEEFF"/>
          </w:tcPr>
          <w:p>
            <w:pPr>
              <w:ind w:left="60"/>
              <w:spacing w:after="0" w:line="186"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line="186" w:lineRule="exact"/>
              <w:rPr>
                <w:sz w:val="20"/>
                <w:szCs w:val="20"/>
                <w:color w:val="auto"/>
              </w:rPr>
            </w:pPr>
            <w:r>
              <w:rPr>
                <w:rFonts w:ascii="Arial" w:cs="Arial" w:eastAsia="Arial" w:hAnsi="Arial"/>
                <w:sz w:val="17"/>
                <w:szCs w:val="17"/>
                <w:color w:val="auto"/>
              </w:rPr>
              <w:t>5,557</w:t>
            </w:r>
          </w:p>
        </w:tc>
        <w:tc>
          <w:tcPr>
            <w:tcW w:w="220" w:type="dxa"/>
            <w:vAlign w:val="bottom"/>
            <w:shd w:val="clear" w:color="auto" w:fill="CCEEFF"/>
          </w:tcPr>
          <w:p>
            <w:pPr>
              <w:jc w:val="right"/>
              <w:ind w:right="36"/>
              <w:spacing w:after="0" w:line="186"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line="186" w:lineRule="exact"/>
              <w:rPr>
                <w:sz w:val="20"/>
                <w:szCs w:val="20"/>
                <w:color w:val="auto"/>
              </w:rPr>
            </w:pPr>
            <w:r>
              <w:rPr>
                <w:rFonts w:ascii="Arial" w:cs="Arial" w:eastAsia="Arial" w:hAnsi="Arial"/>
                <w:sz w:val="17"/>
                <w:szCs w:val="17"/>
                <w:color w:val="auto"/>
              </w:rPr>
              <w:t>5,757</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Non-GAAP Financial Data:</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000" w:type="dxa"/>
            <w:vAlign w:val="bottom"/>
            <w:gridSpan w:val="2"/>
            <w:shd w:val="clear" w:color="auto" w:fill="CCEEFF"/>
          </w:tcPr>
          <w:p>
            <w:pPr>
              <w:spacing w:after="0" w:line="246"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(1)</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14,129</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14,329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32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1840" w:right="300" w:hanging="515"/>
        <w:spacing w:after="0" w:line="239" w:lineRule="auto"/>
        <w:tabs>
          <w:tab w:leader="none" w:pos="18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See the section titled "—Non-GAAP Financial Measure—Adjusted EBITDA" for the definition of Adjusted EBITDA and additional information. A reconciliation of Adjusted EBITDA to net (loss) income from continuing operations, the most directly comparable financial measure stated in accordance with GAAP for each of the periods presented is included below.</w:t>
      </w:r>
    </w:p>
    <w:p>
      <w:pPr>
        <w:spacing w:after="0" w:line="187" w:lineRule="exact"/>
        <w:rPr>
          <w:sz w:val="20"/>
          <w:szCs w:val="20"/>
          <w:color w:val="auto"/>
        </w:rPr>
      </w:pPr>
    </w:p>
    <w:p>
      <w:pPr>
        <w:ind w:left="220" w:right="80" w:firstLine="333"/>
        <w:spacing w:after="0" w:line="345" w:lineRule="auto"/>
        <w:rPr>
          <w:sz w:val="20"/>
          <w:szCs w:val="20"/>
          <w:color w:val="auto"/>
        </w:rPr>
      </w:pPr>
      <w:r>
        <w:rPr>
          <w:rFonts w:ascii="Arial" w:cs="Arial" w:eastAsia="Arial" w:hAnsi="Arial"/>
          <w:sz w:val="15"/>
          <w:szCs w:val="15"/>
          <w:color w:val="auto"/>
        </w:rPr>
        <w:t>The expected increase in revenue for the nine months ended September 30, 2019 as compared to the nine months ended September 30, 2018 is primarily due to higher revenue from our fertility benefits solution as a result of an increase in the number of clients as well as an increase in sales of our Progyny Rx solution.</w:t>
      </w:r>
    </w:p>
    <w:p>
      <w:pPr>
        <w:spacing w:after="0" w:line="125" w:lineRule="exact"/>
        <w:rPr>
          <w:sz w:val="20"/>
          <w:szCs w:val="20"/>
          <w:color w:val="auto"/>
        </w:rPr>
      </w:pPr>
    </w:p>
    <w:p>
      <w:pPr>
        <w:ind w:left="220" w:firstLine="333"/>
        <w:spacing w:after="0" w:line="265" w:lineRule="auto"/>
        <w:rPr>
          <w:sz w:val="20"/>
          <w:szCs w:val="20"/>
          <w:color w:val="auto"/>
        </w:rPr>
      </w:pPr>
      <w:r>
        <w:rPr>
          <w:rFonts w:ascii="Arial" w:cs="Arial" w:eastAsia="Arial" w:hAnsi="Arial"/>
          <w:sz w:val="17"/>
          <w:szCs w:val="17"/>
          <w:color w:val="auto"/>
        </w:rPr>
        <w:t>The expected improvement in income from operations for the nine months ended September 30, 2019 as compared to the nine months ended September 30, 2018 is primarily due to an increase in revenue and gross profit partially offset by increases in personnel costs, including stock-based compensation expense due to headcount growth, as well as commissions to support our growth in revenue.</w:t>
      </w:r>
    </w:p>
    <w:p>
      <w:pPr>
        <w:spacing w:after="0" w:line="180" w:lineRule="exact"/>
        <w:rPr>
          <w:sz w:val="20"/>
          <w:szCs w:val="20"/>
          <w:color w:val="auto"/>
        </w:rPr>
      </w:pPr>
    </w:p>
    <w:p>
      <w:pPr>
        <w:ind w:left="220" w:right="160" w:firstLine="333"/>
        <w:spacing w:after="0" w:line="276" w:lineRule="auto"/>
        <w:rPr>
          <w:sz w:val="20"/>
          <w:szCs w:val="20"/>
          <w:color w:val="auto"/>
        </w:rPr>
      </w:pPr>
      <w:r>
        <w:rPr>
          <w:rFonts w:ascii="Arial" w:cs="Arial" w:eastAsia="Arial" w:hAnsi="Arial"/>
          <w:sz w:val="17"/>
          <w:szCs w:val="17"/>
          <w:color w:val="auto"/>
        </w:rPr>
        <w:t>The expected net income from continuing operations for the nine months ended September 30, 2019 as compared to the net loss from continuing operations for the nine months ended September 30, 2018 is primarily due to the increase in income from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6583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6780" cy="658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right="120" w:firstLine="333"/>
        <w:spacing w:after="0" w:line="276" w:lineRule="auto"/>
        <w:rPr>
          <w:sz w:val="20"/>
          <w:szCs w:val="20"/>
          <w:color w:val="auto"/>
        </w:rPr>
      </w:pPr>
      <w:r>
        <w:rPr>
          <w:rFonts w:ascii="Arial" w:cs="Arial" w:eastAsia="Arial" w:hAnsi="Arial"/>
          <w:sz w:val="17"/>
          <w:szCs w:val="17"/>
          <w:color w:val="auto"/>
        </w:rPr>
        <w:t>The following table provides a reconciliation of Adjusted EBITDA to net (loss) income from continuing operations, the most directly comparable financial measure stated in accordance with GAAP for each of the periods presented:</w:t>
      </w:r>
    </w:p>
    <w:p>
      <w:pPr>
        <w:spacing w:after="0" w:line="160"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6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7"/>
          </w:tcPr>
          <w:p>
            <w:pPr>
              <w:jc w:val="right"/>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3"/>
                <w:szCs w:val="13"/>
                <w:b w:val="1"/>
                <w:bCs w:val="1"/>
                <w:color w:val="auto"/>
                <w:w w:val="87"/>
              </w:rPr>
              <w:t>September 30,</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right"/>
              <w:ind w:right="16"/>
              <w:spacing w:after="0" w:line="123" w:lineRule="exact"/>
              <w:rPr>
                <w:sz w:val="20"/>
                <w:szCs w:val="20"/>
                <w:color w:val="auto"/>
              </w:rPr>
            </w:pPr>
            <w:r>
              <w:rPr>
                <w:rFonts w:ascii="Arial" w:cs="Arial" w:eastAsia="Arial" w:hAnsi="Arial"/>
                <w:sz w:val="13"/>
                <w:szCs w:val="13"/>
                <w:b w:val="1"/>
                <w:bCs w:val="1"/>
                <w:color w:val="auto"/>
              </w:rPr>
              <w:t>2019</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140" w:type="dxa"/>
            <w:vAlign w:val="bottom"/>
          </w:tcPr>
          <w:p>
            <w:pPr>
              <w:spacing w:after="0"/>
              <w:rPr>
                <w:sz w:val="13"/>
                <w:szCs w:val="13"/>
                <w:color w:val="auto"/>
              </w:rPr>
            </w:pPr>
          </w:p>
        </w:tc>
        <w:tc>
          <w:tcPr>
            <w:tcW w:w="900" w:type="dxa"/>
            <w:vAlign w:val="bottom"/>
            <w:gridSpan w:val="4"/>
            <w:vMerge w:val="restart"/>
          </w:tcPr>
          <w:p>
            <w:pPr>
              <w:jc w:val="right"/>
              <w:ind w:right="95"/>
              <w:spacing w:after="0"/>
              <w:rPr>
                <w:sz w:val="20"/>
                <w:szCs w:val="20"/>
                <w:color w:val="auto"/>
              </w:rPr>
            </w:pPr>
            <w:r>
              <w:rPr>
                <w:rFonts w:ascii="Arial" w:cs="Arial" w:eastAsia="Arial" w:hAnsi="Arial"/>
                <w:sz w:val="13"/>
                <w:szCs w:val="13"/>
                <w:b w:val="1"/>
                <w:bCs w:val="1"/>
                <w:color w:val="auto"/>
                <w:w w:val="99"/>
              </w:rPr>
              <w:t>2018 Actual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35"/>
        </w:trPr>
        <w:tc>
          <w:tcPr>
            <w:tcW w:w="614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360"/>
              <w:spacing w:after="0" w:line="136" w:lineRule="exact"/>
              <w:rPr>
                <w:sz w:val="20"/>
                <w:szCs w:val="20"/>
                <w:color w:val="auto"/>
              </w:rPr>
            </w:pPr>
            <w:r>
              <w:rPr>
                <w:rFonts w:ascii="Arial" w:cs="Arial" w:eastAsia="Arial" w:hAnsi="Arial"/>
                <w:sz w:val="13"/>
                <w:szCs w:val="13"/>
                <w:b w:val="1"/>
                <w:bCs w:val="1"/>
                <w:color w:val="auto"/>
              </w:rPr>
              <w:t>Low</w:t>
            </w: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8"/>
              <w:spacing w:after="0" w:line="136" w:lineRule="exact"/>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 from continuing operations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w w:val="84"/>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(3,539)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5,757</w:t>
            </w:r>
          </w:p>
        </w:tc>
        <w:tc>
          <w:tcPr>
            <w:tcW w:w="0" w:type="dxa"/>
            <w:vAlign w:val="bottom"/>
          </w:tcPr>
          <w:p>
            <w:pPr>
              <w:spacing w:after="0"/>
              <w:rPr>
                <w:sz w:val="1"/>
                <w:szCs w:val="1"/>
                <w:color w:val="auto"/>
              </w:rPr>
            </w:pPr>
          </w:p>
        </w:tc>
      </w:tr>
      <w:tr>
        <w:trPr>
          <w:trHeight w:val="207"/>
        </w:trPr>
        <w:tc>
          <w:tcPr>
            <w:tcW w:w="6140" w:type="dxa"/>
            <w:vAlign w:val="bottom"/>
          </w:tcPr>
          <w:p>
            <w:pPr>
              <w:spacing w:after="0"/>
              <w:rPr>
                <w:sz w:val="20"/>
                <w:szCs w:val="20"/>
                <w:color w:val="auto"/>
              </w:rPr>
            </w:pPr>
            <w:r>
              <w:rPr>
                <w:rFonts w:ascii="Arial" w:cs="Arial" w:eastAsia="Arial" w:hAnsi="Arial"/>
                <w:sz w:val="17"/>
                <w:szCs w:val="17"/>
                <w:color w:val="auto"/>
              </w:rPr>
              <w:t>Add:</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1,594</w:t>
            </w:r>
          </w:p>
        </w:tc>
        <w:tc>
          <w:tcPr>
            <w:tcW w:w="0" w:type="dxa"/>
            <w:vAlign w:val="bottom"/>
          </w:tcPr>
          <w:p>
            <w:pPr>
              <w:spacing w:after="0"/>
              <w:rPr>
                <w:sz w:val="1"/>
                <w:szCs w:val="1"/>
                <w:color w:val="auto"/>
              </w:rPr>
            </w:pPr>
          </w:p>
        </w:tc>
      </w:tr>
      <w:tr>
        <w:trPr>
          <w:trHeight w:val="207"/>
        </w:trPr>
        <w:tc>
          <w:tcPr>
            <w:tcW w:w="614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2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2,304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3,209</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3,209</w:t>
            </w: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7"/>
        </w:trPr>
        <w:tc>
          <w:tcPr>
            <w:tcW w:w="6140" w:type="dxa"/>
            <w:vAlign w:val="bottom"/>
          </w:tcPr>
          <w:p>
            <w:pPr>
              <w:ind w:left="180"/>
              <w:spacing w:after="0"/>
              <w:rPr>
                <w:sz w:val="20"/>
                <w:szCs w:val="20"/>
                <w:color w:val="auto"/>
              </w:rPr>
            </w:pPr>
            <w:r>
              <w:rPr>
                <w:rFonts w:ascii="Arial" w:cs="Arial" w:eastAsia="Arial" w:hAnsi="Arial"/>
                <w:sz w:val="17"/>
                <w:szCs w:val="17"/>
                <w:color w:val="auto"/>
              </w:rPr>
              <w:t>Convertible preferred stock warrant valuation</w:t>
            </w:r>
          </w:p>
        </w:tc>
        <w:tc>
          <w:tcPr>
            <w:tcW w:w="2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1,561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2,362</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2,362</w:t>
            </w: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Provision (benefit) for income taxes</w:t>
            </w:r>
          </w:p>
        </w:tc>
        <w:tc>
          <w:tcPr>
            <w:tcW w:w="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7"/>
        </w:trPr>
        <w:tc>
          <w:tcPr>
            <w:tcW w:w="6140" w:type="dxa"/>
            <w:vAlign w:val="bottom"/>
          </w:tcPr>
          <w:p>
            <w:pPr>
              <w:ind w:left="180"/>
              <w:spacing w:after="0"/>
              <w:rPr>
                <w:sz w:val="20"/>
                <w:szCs w:val="20"/>
                <w:color w:val="auto"/>
              </w:rPr>
            </w:pPr>
            <w:r>
              <w:rPr>
                <w:rFonts w:ascii="Arial" w:cs="Arial" w:eastAsia="Arial" w:hAnsi="Arial"/>
                <w:sz w:val="17"/>
                <w:szCs w:val="17"/>
                <w:color w:val="auto"/>
              </w:rPr>
              <w:t>Legal fees associated with a vendor arbitration</w:t>
            </w:r>
          </w:p>
        </w:tc>
        <w:tc>
          <w:tcPr>
            <w:tcW w:w="240" w:type="dxa"/>
            <w:vAlign w:val="bottom"/>
          </w:tcPr>
          <w:p>
            <w:pPr>
              <w:spacing w:after="0"/>
              <w:rPr>
                <w:sz w:val="17"/>
                <w:szCs w:val="17"/>
                <w:color w:val="auto"/>
              </w:rPr>
            </w:pPr>
          </w:p>
        </w:tc>
        <w:tc>
          <w:tcPr>
            <w:tcW w:w="660" w:type="dxa"/>
            <w:vAlign w:val="bottom"/>
            <w:gridSpan w:val="3"/>
          </w:tcPr>
          <w:p>
            <w:pPr>
              <w:jc w:val="right"/>
              <w:ind w:right="1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973</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973</w:t>
            </w: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IPO costs</w:t>
            </w:r>
          </w:p>
        </w:tc>
        <w:tc>
          <w:tcPr>
            <w:tcW w:w="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0"/>
        </w:trPr>
        <w:tc>
          <w:tcPr>
            <w:tcW w:w="6140" w:type="dxa"/>
            <w:vAlign w:val="bottom"/>
          </w:tcPr>
          <w:p>
            <w:pPr>
              <w:spacing w:after="0"/>
              <w:rPr>
                <w:sz w:val="20"/>
                <w:szCs w:val="20"/>
                <w:color w:val="auto"/>
              </w:rPr>
            </w:pPr>
            <w:r>
              <w:rPr>
                <w:rFonts w:ascii="Arial" w:cs="Arial" w:eastAsia="Arial" w:hAnsi="Arial"/>
                <w:sz w:val="17"/>
                <w:szCs w:val="17"/>
                <w:color w:val="auto"/>
              </w:rPr>
              <w:t>Adjusted EBITDA</w:t>
            </w: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950</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14,129</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14,329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Risk Factors Summary</w:t>
      </w:r>
    </w:p>
    <w:p>
      <w:pPr>
        <w:spacing w:after="0" w:line="222" w:lineRule="exact"/>
        <w:rPr>
          <w:sz w:val="20"/>
          <w:szCs w:val="20"/>
          <w:color w:val="auto"/>
        </w:rPr>
      </w:pPr>
    </w:p>
    <w:p>
      <w:pPr>
        <w:ind w:left="220" w:right="200" w:firstLine="336"/>
        <w:spacing w:after="0" w:line="265" w:lineRule="auto"/>
        <w:rPr>
          <w:sz w:val="20"/>
          <w:szCs w:val="20"/>
          <w:color w:val="auto"/>
        </w:rPr>
      </w:pPr>
      <w:r>
        <w:rPr>
          <w:rFonts w:ascii="Arial" w:cs="Arial" w:eastAsia="Arial" w:hAnsi="Arial"/>
          <w:sz w:val="17"/>
          <w:szCs w:val="17"/>
          <w:color w:val="auto"/>
        </w:rPr>
        <w:t>Investing in our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206" w:lineRule="exact"/>
        <w:rPr>
          <w:sz w:val="20"/>
          <w:szCs w:val="20"/>
          <w:color w:val="auto"/>
        </w:rPr>
      </w:pPr>
    </w:p>
    <w:p>
      <w:pPr>
        <w:ind w:left="1260" w:right="280" w:hanging="515"/>
        <w:spacing w:after="0" w:line="276"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fertility market in which we participate is competitive, and if we do not continue to compete effectively, our results of operations could be harmed.</w:t>
      </w:r>
    </w:p>
    <w:p>
      <w:pPr>
        <w:spacing w:after="0" w:line="184" w:lineRule="exact"/>
        <w:rPr>
          <w:rFonts w:ascii="Arial" w:cs="Arial" w:eastAsia="Arial" w:hAnsi="Arial"/>
          <w:sz w:val="17"/>
          <w:szCs w:val="17"/>
          <w:color w:val="auto"/>
        </w:rPr>
      </w:pPr>
    </w:p>
    <w:p>
      <w:pPr>
        <w:ind w:left="1260" w:hanging="515"/>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a history of operating losses and may not sustain profitability in the future.</w:t>
      </w:r>
    </w:p>
    <w:p>
      <w:pPr>
        <w:spacing w:after="0" w:line="231" w:lineRule="exact"/>
        <w:rPr>
          <w:rFonts w:ascii="Arial" w:cs="Arial" w:eastAsia="Arial" w:hAnsi="Arial"/>
          <w:sz w:val="17"/>
          <w:szCs w:val="17"/>
          <w:color w:val="auto"/>
        </w:rPr>
      </w:pPr>
    </w:p>
    <w:p>
      <w:pPr>
        <w:ind w:left="1260" w:hanging="515"/>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a limited operating history with our current platform of solutions, which makes it difficult to predict our future results of operations.</w:t>
      </w:r>
    </w:p>
    <w:p>
      <w:pPr>
        <w:spacing w:after="0" w:line="255" w:lineRule="exact"/>
        <w:rPr>
          <w:rFonts w:ascii="Arial" w:cs="Arial" w:eastAsia="Arial" w:hAnsi="Arial"/>
          <w:sz w:val="16"/>
          <w:szCs w:val="16"/>
          <w:color w:val="auto"/>
        </w:rPr>
      </w:pPr>
    </w:p>
    <w:p>
      <w:pPr>
        <w:ind w:left="1260" w:hanging="515"/>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are unable to attract new clients, our business, financial condition and results of operations would be adversely affected.</w:t>
      </w:r>
    </w:p>
    <w:p>
      <w:pPr>
        <w:spacing w:after="0" w:line="231" w:lineRule="exact"/>
        <w:rPr>
          <w:rFonts w:ascii="Arial" w:cs="Arial" w:eastAsia="Arial" w:hAnsi="Arial"/>
          <w:sz w:val="17"/>
          <w:szCs w:val="17"/>
          <w:color w:val="auto"/>
        </w:rPr>
      </w:pPr>
    </w:p>
    <w:p>
      <w:pPr>
        <w:ind w:left="1260" w:hanging="515"/>
        <w:spacing w:after="0" w:line="276"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84" w:lineRule="exact"/>
        <w:rPr>
          <w:rFonts w:ascii="Arial" w:cs="Arial" w:eastAsia="Arial" w:hAnsi="Arial"/>
          <w:sz w:val="17"/>
          <w:szCs w:val="17"/>
          <w:color w:val="auto"/>
        </w:rPr>
      </w:pPr>
    </w:p>
    <w:p>
      <w:pPr>
        <w:jc w:val="both"/>
        <w:ind w:left="1260" w:right="80" w:hanging="515"/>
        <w:spacing w:after="0" w:line="265"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largest clients account for a significant portion of our revenue and a significant number of our clients are in the technology industry. The loss of one or more of these clients or changes within the technology industry could negatively impact our business, financial condition and results of operations.</w:t>
      </w:r>
    </w:p>
    <w:p>
      <w:pPr>
        <w:spacing w:after="0" w:line="206" w:lineRule="exact"/>
        <w:rPr>
          <w:rFonts w:ascii="Arial" w:cs="Arial" w:eastAsia="Arial" w:hAnsi="Arial"/>
          <w:sz w:val="17"/>
          <w:szCs w:val="17"/>
          <w:color w:val="auto"/>
        </w:rPr>
      </w:pPr>
    </w:p>
    <w:p>
      <w:pPr>
        <w:ind w:left="1260" w:hanging="515"/>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the health insurance market could harm our business, financial condition and results of operations.</w:t>
      </w:r>
    </w:p>
    <w:p>
      <w:pPr>
        <w:spacing w:after="0" w:line="231" w:lineRule="exact"/>
        <w:rPr>
          <w:rFonts w:ascii="Arial" w:cs="Arial" w:eastAsia="Arial" w:hAnsi="Arial"/>
          <w:sz w:val="17"/>
          <w:szCs w:val="17"/>
          <w:color w:val="auto"/>
        </w:rPr>
      </w:pPr>
    </w:p>
    <w:p>
      <w:pPr>
        <w:ind w:left="1260" w:right="320" w:hanging="515"/>
        <w:spacing w:after="0" w:line="276"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health benefits industry may be subject to negative publicity, which could adversely affect our business, financial condition and results of operations.</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5728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780" cy="572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80" w:hanging="515"/>
        <w:spacing w:after="0" w:line="308" w:lineRule="auto"/>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p>
    <w:p>
      <w:pPr>
        <w:spacing w:after="0" w:line="161" w:lineRule="exact"/>
        <w:rPr>
          <w:rFonts w:ascii="Arial" w:cs="Arial" w:eastAsia="Arial" w:hAnsi="Arial"/>
          <w:sz w:val="16"/>
          <w:szCs w:val="16"/>
          <w:color w:val="auto"/>
        </w:rPr>
      </w:pPr>
    </w:p>
    <w:p>
      <w:pPr>
        <w:ind w:left="1260" w:right="220" w:hanging="515"/>
        <w:spacing w:after="0" w:line="265"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93" w:lineRule="exact"/>
        <w:rPr>
          <w:rFonts w:ascii="Arial" w:cs="Arial" w:eastAsia="Arial" w:hAnsi="Arial"/>
          <w:sz w:val="17"/>
          <w:szCs w:val="17"/>
          <w:color w:val="auto"/>
        </w:rPr>
      </w:pPr>
    </w:p>
    <w:p>
      <w:pPr>
        <w:ind w:left="1260" w:hanging="515"/>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operate in a highly regulated industry and must comply with a significant number of complex and evolving requirements.</w:t>
      </w:r>
    </w:p>
    <w:p>
      <w:pPr>
        <w:spacing w:after="0" w:line="244" w:lineRule="exact"/>
        <w:rPr>
          <w:rFonts w:ascii="Arial" w:cs="Arial" w:eastAsia="Arial" w:hAnsi="Arial"/>
          <w:sz w:val="17"/>
          <w:szCs w:val="17"/>
          <w:color w:val="auto"/>
        </w:rPr>
      </w:pPr>
    </w:p>
    <w:p>
      <w:pPr>
        <w:ind w:left="1260" w:right="20" w:hanging="515"/>
        <w:spacing w:after="0" w:line="276"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84" w:lineRule="exact"/>
        <w:rPr>
          <w:rFonts w:ascii="Arial" w:cs="Arial" w:eastAsia="Arial" w:hAnsi="Arial"/>
          <w:sz w:val="17"/>
          <w:szCs w:val="17"/>
          <w:color w:val="auto"/>
        </w:rPr>
      </w:pPr>
    </w:p>
    <w:p>
      <w:pPr>
        <w:ind w:left="1260" w:right="240" w:hanging="515"/>
        <w:spacing w:after="0" w:line="265"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connection with our preparation of our annual financial statements for the year ended December 31, 2018, we and our independent registered public accounting firm identified a material weakness in our internal control over financial reporting. Any failure to maintain effective internal control over financial reporting could harm us.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Corporate Information</w:t>
      </w:r>
    </w:p>
    <w:p>
      <w:pPr>
        <w:spacing w:after="0" w:line="222" w:lineRule="exact"/>
        <w:rPr>
          <w:sz w:val="20"/>
          <w:szCs w:val="20"/>
          <w:color w:val="auto"/>
        </w:rPr>
      </w:pPr>
    </w:p>
    <w:p>
      <w:pPr>
        <w:ind w:left="220" w:right="440" w:firstLine="333"/>
        <w:spacing w:after="0" w:line="292" w:lineRule="auto"/>
        <w:rPr>
          <w:sz w:val="20"/>
          <w:szCs w:val="20"/>
          <w:color w:val="auto"/>
        </w:rPr>
      </w:pPr>
      <w:r>
        <w:rPr>
          <w:rFonts w:ascii="Arial" w:cs="Arial" w:eastAsia="Arial" w:hAnsi="Arial"/>
          <w:sz w:val="15"/>
          <w:szCs w:val="15"/>
          <w:color w:val="auto"/>
        </w:rPr>
        <w:t>We were incorporated in Delaware in 2008 under the name Auxogen Bioscience, Inc. In 2010, we changed our name to Auxogyn, Inc., and in 2015 we changed our name to Progyny, Inc. Our principal executive offices are located at 245 5th Avenue, New York, New York 10016, and our telephone number is</w:t>
      </w:r>
    </w:p>
    <w:p>
      <w:pPr>
        <w:spacing w:after="0" w:line="1" w:lineRule="exact"/>
        <w:rPr>
          <w:sz w:val="20"/>
          <w:szCs w:val="20"/>
          <w:color w:val="auto"/>
        </w:rPr>
      </w:pPr>
    </w:p>
    <w:p>
      <w:pPr>
        <w:ind w:left="220" w:firstLine="8"/>
        <w:spacing w:after="0" w:line="268" w:lineRule="auto"/>
        <w:tabs>
          <w:tab w:leader="none" w:pos="626"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888-3124. Our website address is </w:t>
      </w:r>
      <w:r>
        <w:rPr>
          <w:rFonts w:ascii="Arial" w:cs="Arial" w:eastAsia="Arial" w:hAnsi="Arial"/>
          <w:sz w:val="17"/>
          <w:szCs w:val="17"/>
          <w:i w:val="1"/>
          <w:iCs w:val="1"/>
          <w:color w:val="auto"/>
        </w:rPr>
        <w:t>www.progyny.com</w:t>
      </w:r>
      <w:r>
        <w:rPr>
          <w:rFonts w:ascii="Arial" w:cs="Arial" w:eastAsia="Arial" w:hAnsi="Arial"/>
          <w:sz w:val="17"/>
          <w:szCs w:val="17"/>
          <w:color w:val="auto"/>
        </w:rPr>
        <w:t>. Information contained on, or that can be accessed through, our website is not incorporated by reference into this prospectus, and you should not consider information on our website to be part of this prospectus.</w:t>
      </w:r>
    </w:p>
    <w:p>
      <w:pPr>
        <w:spacing w:after="0" w:line="177" w:lineRule="exact"/>
        <w:rPr>
          <w:sz w:val="20"/>
          <w:szCs w:val="20"/>
          <w:color w:val="auto"/>
        </w:rPr>
      </w:pPr>
    </w:p>
    <w:p>
      <w:pPr>
        <w:ind w:left="220" w:right="180" w:firstLine="336"/>
        <w:spacing w:after="0" w:line="261" w:lineRule="auto"/>
        <w:rPr>
          <w:sz w:val="20"/>
          <w:szCs w:val="20"/>
          <w:color w:val="auto"/>
        </w:rPr>
      </w:pPr>
      <w:r>
        <w:rPr>
          <w:rFonts w:ascii="Arial" w:cs="Arial" w:eastAsia="Arial" w:hAnsi="Arial"/>
          <w:sz w:val="17"/>
          <w:szCs w:val="17"/>
          <w:color w:val="auto"/>
        </w:rPr>
        <w:t>"Progyny®" and our other registered and common law trade names, trademarks and service marks are the property of Progyny, Inc. Other trade names, trademarks and service marks used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22" w:lineRule="exact"/>
        <w:rPr>
          <w:sz w:val="20"/>
          <w:szCs w:val="20"/>
          <w:color w:val="auto"/>
        </w:rPr>
      </w:pPr>
    </w:p>
    <w:p>
      <w:pPr>
        <w:ind w:left="220" w:firstLine="333"/>
        <w:spacing w:after="0" w:line="295"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38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419100</wp:posOffset>
            </wp:positionV>
            <wp:extent cx="7256780" cy="5154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780" cy="515429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The Offering</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 offered by us</w:t>
      </w:r>
    </w:p>
    <w:p>
      <w:pPr>
        <w:spacing w:after="0" w:line="218" w:lineRule="exact"/>
        <w:rPr>
          <w:sz w:val="20"/>
          <w:szCs w:val="20"/>
          <w:color w:val="auto"/>
        </w:rPr>
      </w:pPr>
    </w:p>
    <w:p>
      <w:pPr>
        <w:ind w:left="400" w:right="140" w:hanging="171"/>
        <w:spacing w:after="0" w:line="276" w:lineRule="auto"/>
        <w:rPr>
          <w:sz w:val="20"/>
          <w:szCs w:val="20"/>
          <w:color w:val="auto"/>
        </w:rPr>
      </w:pPr>
      <w:r>
        <w:rPr>
          <w:rFonts w:ascii="Arial" w:cs="Arial" w:eastAsia="Arial" w:hAnsi="Arial"/>
          <w:sz w:val="17"/>
          <w:szCs w:val="17"/>
          <w:color w:val="auto"/>
        </w:rPr>
        <w:t>Common stock offered by the selling stockholders</w:t>
      </w:r>
    </w:p>
    <w:p>
      <w:pPr>
        <w:spacing w:after="0" w:line="171" w:lineRule="exact"/>
        <w:rPr>
          <w:sz w:val="20"/>
          <w:szCs w:val="20"/>
          <w:color w:val="auto"/>
        </w:rPr>
      </w:pPr>
    </w:p>
    <w:p>
      <w:pPr>
        <w:ind w:left="400" w:right="60" w:hanging="171"/>
        <w:spacing w:after="0" w:line="276" w:lineRule="auto"/>
        <w:rPr>
          <w:sz w:val="20"/>
          <w:szCs w:val="20"/>
          <w:color w:val="auto"/>
        </w:rPr>
      </w:pPr>
      <w:r>
        <w:rPr>
          <w:rFonts w:ascii="Arial" w:cs="Arial" w:eastAsia="Arial" w:hAnsi="Arial"/>
          <w:sz w:val="17"/>
          <w:szCs w:val="17"/>
          <w:color w:val="auto"/>
        </w:rPr>
        <w:t>Common stock to be outstanding after this offering</w:t>
      </w:r>
    </w:p>
    <w:p>
      <w:pPr>
        <w:spacing w:after="0" w:line="171" w:lineRule="exact"/>
        <w:rPr>
          <w:sz w:val="20"/>
          <w:szCs w:val="20"/>
          <w:color w:val="auto"/>
        </w:rPr>
      </w:pPr>
    </w:p>
    <w:p>
      <w:pPr>
        <w:ind w:left="400" w:hanging="171"/>
        <w:spacing w:after="0" w:line="265" w:lineRule="auto"/>
        <w:rPr>
          <w:sz w:val="20"/>
          <w:szCs w:val="20"/>
          <w:color w:val="auto"/>
        </w:rPr>
      </w:pPr>
      <w:r>
        <w:rPr>
          <w:rFonts w:ascii="Arial" w:cs="Arial" w:eastAsia="Arial" w:hAnsi="Arial"/>
          <w:sz w:val="17"/>
          <w:szCs w:val="17"/>
          <w:color w:val="auto"/>
        </w:rPr>
        <w:t>Option to purchase additional shares of common stock offered by certain selling stockholders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Conflicts of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6,700,000 shares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3,300,000 shares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82,174,794 shares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1,500,000 shares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our net proceeds from the sale of our common stock that we are offering will be approximately</w:t>
      </w:r>
    </w:p>
    <w:p>
      <w:pPr>
        <w:spacing w:after="0" w:line="30"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$77.7 million, based on the initial public offering price of $13.00 per share, after deducting underwriting discounts and commissions and estimated offering expenses payable by us.</w:t>
      </w:r>
    </w:p>
    <w:p>
      <w:pPr>
        <w:spacing w:after="0" w:line="177" w:lineRule="exact"/>
        <w:rPr>
          <w:sz w:val="20"/>
          <w:szCs w:val="20"/>
          <w:color w:val="auto"/>
        </w:rPr>
      </w:pPr>
    </w:p>
    <w:p>
      <w:pPr>
        <w:ind w:right="260"/>
        <w:spacing w:after="0" w:line="296" w:lineRule="auto"/>
        <w:rPr>
          <w:sz w:val="20"/>
          <w:szCs w:val="20"/>
          <w:color w:val="auto"/>
        </w:rPr>
      </w:pPr>
      <w:r>
        <w:rPr>
          <w:rFonts w:ascii="Arial" w:cs="Arial" w:eastAsia="Arial" w:hAnsi="Arial"/>
          <w:sz w:val="15"/>
          <w:szCs w:val="15"/>
          <w:color w:val="auto"/>
        </w:rPr>
        <w:t>The principal purposes of this offering are to create a public market for our common stock, facilitate our future access to the capital markets and increase our capitalization and financial flexibility.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services or technologies. However, we do not have agreements or commitments to enter into any acquisitions at this time. We will not receive any proceeds from the sale of shares of our common stock by the selling stockholders. See the section titled "Use of Proceeds" for additional information.</w:t>
      </w:r>
    </w:p>
    <w:p>
      <w:pPr>
        <w:spacing w:after="0" w:line="161" w:lineRule="exact"/>
        <w:rPr>
          <w:sz w:val="20"/>
          <w:szCs w:val="20"/>
          <w:color w:val="auto"/>
        </w:rPr>
      </w:pPr>
    </w:p>
    <w:p>
      <w:pPr>
        <w:jc w:val="both"/>
        <w:ind w:right="260"/>
        <w:spacing w:after="0" w:line="307" w:lineRule="auto"/>
        <w:rPr>
          <w:sz w:val="20"/>
          <w:szCs w:val="20"/>
          <w:color w:val="auto"/>
        </w:rPr>
      </w:pPr>
      <w:r>
        <w:rPr>
          <w:rFonts w:ascii="Arial" w:cs="Arial" w:eastAsia="Arial" w:hAnsi="Arial"/>
          <w:sz w:val="15"/>
          <w:szCs w:val="15"/>
          <w:color w:val="auto"/>
        </w:rPr>
        <w:t>An affiliate of TPG Capital BD, LLC, an underwriter in this offering, owns more than 10% of our outstanding common stock. Accordingly, TPG Capital BD, LLC is deemed to have a "conflict of interest" within the meaning of Rule 5121 of the Financial Industry Regulatory Authority, Inc., or FINRA, and this offering will be conducted in accordance with the applicable provisions of FINRA Rule 5121. See "Underwriting (Conflicts of Interest)—Conflicts of Interest."</w:t>
      </w:r>
    </w:p>
    <w:p>
      <w:pPr>
        <w:spacing w:after="0" w:line="152" w:lineRule="exact"/>
        <w:rPr>
          <w:sz w:val="20"/>
          <w:szCs w:val="20"/>
          <w:color w:val="auto"/>
        </w:rPr>
      </w:pPr>
    </w:p>
    <w:p>
      <w:pPr>
        <w:sectPr>
          <w:pgSz w:w="11900" w:h="16838" w:orient="portrait"/>
          <w:cols w:equalWidth="0" w:num="2">
            <w:col w:w="2860" w:space="200"/>
            <w:col w:w="836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420" w:type="dxa"/>
            <w:vAlign w:val="bottom"/>
          </w:tcPr>
          <w:p>
            <w:pPr>
              <w:ind w:left="220"/>
              <w:spacing w:after="0"/>
              <w:rPr>
                <w:sz w:val="20"/>
                <w:szCs w:val="20"/>
                <w:color w:val="auto"/>
              </w:rPr>
            </w:pPr>
            <w:r>
              <w:rPr>
                <w:rFonts w:ascii="Arial" w:cs="Arial" w:eastAsia="Arial" w:hAnsi="Arial"/>
                <w:sz w:val="17"/>
                <w:szCs w:val="17"/>
                <w:color w:val="auto"/>
              </w:rPr>
              <w:t>Risk factors</w:t>
            </w:r>
          </w:p>
        </w:tc>
        <w:tc>
          <w:tcPr>
            <w:tcW w:w="9000" w:type="dxa"/>
            <w:vAlign w:val="bottom"/>
          </w:tcPr>
          <w:p>
            <w:pPr>
              <w:ind w:left="640"/>
              <w:spacing w:after="0"/>
              <w:rPr>
                <w:sz w:val="20"/>
                <w:szCs w:val="20"/>
                <w:color w:val="auto"/>
              </w:rPr>
            </w:pPr>
            <w:r>
              <w:rPr>
                <w:rFonts w:ascii="Arial" w:cs="Arial" w:eastAsia="Arial" w:hAnsi="Arial"/>
                <w:sz w:val="17"/>
                <w:szCs w:val="17"/>
                <w:color w:val="auto"/>
                <w:w w:val="93"/>
              </w:rPr>
              <w:t>You should carefully read the "Risk Factors" beginning on page 21 and other information included in this prospectus for</w:t>
            </w:r>
          </w:p>
        </w:tc>
      </w:tr>
      <w:tr>
        <w:trPr>
          <w:trHeight w:val="214"/>
        </w:trPr>
        <w:tc>
          <w:tcPr>
            <w:tcW w:w="2420" w:type="dxa"/>
            <w:vAlign w:val="bottom"/>
          </w:tcPr>
          <w:p>
            <w:pPr>
              <w:spacing w:after="0"/>
              <w:rPr>
                <w:sz w:val="18"/>
                <w:szCs w:val="18"/>
                <w:color w:val="auto"/>
              </w:rPr>
            </w:pPr>
          </w:p>
        </w:tc>
        <w:tc>
          <w:tcPr>
            <w:tcW w:w="9000" w:type="dxa"/>
            <w:vAlign w:val="bottom"/>
          </w:tcPr>
          <w:p>
            <w:pPr>
              <w:ind w:left="640"/>
              <w:spacing w:after="0"/>
              <w:rPr>
                <w:sz w:val="20"/>
                <w:szCs w:val="20"/>
                <w:color w:val="auto"/>
              </w:rPr>
            </w:pPr>
            <w:r>
              <w:rPr>
                <w:rFonts w:ascii="Arial" w:cs="Arial" w:eastAsia="Arial" w:hAnsi="Arial"/>
                <w:sz w:val="17"/>
                <w:szCs w:val="17"/>
                <w:color w:val="auto"/>
              </w:rPr>
              <w:t>a discussion of facts that you should consider before deciding to invest in shares of our common stock.</w:t>
            </w:r>
          </w:p>
        </w:tc>
      </w:tr>
      <w:tr>
        <w:trPr>
          <w:trHeight w:val="414"/>
        </w:trPr>
        <w:tc>
          <w:tcPr>
            <w:tcW w:w="2420" w:type="dxa"/>
            <w:vAlign w:val="bottom"/>
          </w:tcPr>
          <w:p>
            <w:pPr>
              <w:ind w:left="220"/>
              <w:spacing w:after="0"/>
              <w:rPr>
                <w:sz w:val="20"/>
                <w:szCs w:val="20"/>
                <w:color w:val="auto"/>
              </w:rPr>
            </w:pPr>
            <w:r>
              <w:rPr>
                <w:rFonts w:ascii="Arial" w:cs="Arial" w:eastAsia="Arial" w:hAnsi="Arial"/>
                <w:sz w:val="17"/>
                <w:szCs w:val="17"/>
                <w:color w:val="auto"/>
              </w:rPr>
              <w:t>Nasdaq trading symbol</w:t>
            </w:r>
          </w:p>
        </w:tc>
        <w:tc>
          <w:tcPr>
            <w:tcW w:w="9000" w:type="dxa"/>
            <w:vAlign w:val="bottom"/>
          </w:tcPr>
          <w:p>
            <w:pPr>
              <w:ind w:left="640"/>
              <w:spacing w:after="0"/>
              <w:rPr>
                <w:sz w:val="20"/>
                <w:szCs w:val="20"/>
                <w:color w:val="auto"/>
              </w:rPr>
            </w:pPr>
            <w:r>
              <w:rPr>
                <w:rFonts w:ascii="Arial" w:cs="Arial" w:eastAsia="Arial" w:hAnsi="Arial"/>
                <w:sz w:val="17"/>
                <w:szCs w:val="17"/>
                <w:color w:val="auto"/>
              </w:rPr>
              <w:t>"PGNY"</w:t>
            </w:r>
          </w:p>
        </w:tc>
      </w:tr>
      <w:tr>
        <w:trPr>
          <w:trHeight w:val="218"/>
        </w:trPr>
        <w:tc>
          <w:tcPr>
            <w:tcW w:w="2420" w:type="dxa"/>
            <w:vAlign w:val="bottom"/>
            <w:tcBorders>
              <w:bottom w:val="single" w:sz="8" w:color="auto"/>
            </w:tcBorders>
          </w:tcPr>
          <w:p>
            <w:pPr>
              <w:spacing w:after="0"/>
              <w:rPr>
                <w:sz w:val="18"/>
                <w:szCs w:val="18"/>
                <w:color w:val="auto"/>
              </w:rPr>
            </w:pPr>
          </w:p>
        </w:tc>
        <w:tc>
          <w:tcPr>
            <w:tcW w:w="9000" w:type="dxa"/>
            <w:vAlign w:val="bottom"/>
            <w:tcBorders>
              <w:bottom w:val="single" w:sz="8" w:color="auto"/>
            </w:tcBorders>
          </w:tcPr>
          <w:p>
            <w:pPr>
              <w:spacing w:after="0"/>
              <w:rPr>
                <w:sz w:val="18"/>
                <w:szCs w:val="18"/>
                <w:color w:val="auto"/>
              </w:rPr>
            </w:pPr>
          </w:p>
        </w:tc>
      </w:tr>
      <w:tr>
        <w:trPr>
          <w:trHeight w:val="409"/>
        </w:trPr>
        <w:tc>
          <w:tcPr>
            <w:tcW w:w="2420" w:type="dxa"/>
            <w:vAlign w:val="bottom"/>
          </w:tcPr>
          <w:p>
            <w:pPr>
              <w:spacing w:after="0"/>
              <w:rPr>
                <w:sz w:val="24"/>
                <w:szCs w:val="24"/>
                <w:color w:val="auto"/>
              </w:rPr>
            </w:pPr>
          </w:p>
        </w:tc>
        <w:tc>
          <w:tcPr>
            <w:tcW w:w="9000" w:type="dxa"/>
            <w:vAlign w:val="bottom"/>
          </w:tcPr>
          <w:p>
            <w:pPr>
              <w:jc w:val="right"/>
              <w:ind w:right="5536"/>
              <w:spacing w:after="0"/>
              <w:rPr>
                <w:sz w:val="20"/>
                <w:szCs w:val="20"/>
                <w:color w:val="auto"/>
              </w:rPr>
            </w:pPr>
            <w:r>
              <w:rPr>
                <w:rFonts w:ascii="Arial" w:cs="Arial" w:eastAsia="Arial" w:hAnsi="Arial"/>
                <w:sz w:val="17"/>
                <w:szCs w:val="17"/>
                <w:color w:val="auto"/>
              </w:rPr>
              <w:t>14</w:t>
            </w:r>
          </w:p>
        </w:tc>
      </w:tr>
      <w:tr>
        <w:trPr>
          <w:trHeight w:val="218"/>
        </w:trPr>
        <w:tc>
          <w:tcPr>
            <w:tcW w:w="2420" w:type="dxa"/>
            <w:vAlign w:val="bottom"/>
            <w:tcBorders>
              <w:bottom w:val="single" w:sz="8" w:color="808080"/>
            </w:tcBorders>
          </w:tcPr>
          <w:p>
            <w:pPr>
              <w:spacing w:after="0"/>
              <w:rPr>
                <w:sz w:val="18"/>
                <w:szCs w:val="18"/>
                <w:color w:val="auto"/>
              </w:rPr>
            </w:pPr>
          </w:p>
        </w:tc>
        <w:tc>
          <w:tcPr>
            <w:tcW w:w="90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 w:name="page18"/>
    <w:bookmarkEnd w:id="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53924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6780" cy="539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number of shares of common stock that will be outstanding after this offering is based on 75,474,794 shares of common stock outstanding as of</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September 30, 2019, and excludes:</w:t>
      </w:r>
    </w:p>
    <w:p>
      <w:pPr>
        <w:spacing w:after="0" w:line="237" w:lineRule="exact"/>
        <w:rPr>
          <w:sz w:val="20"/>
          <w:szCs w:val="20"/>
          <w:color w:val="auto"/>
        </w:rPr>
      </w:pPr>
    </w:p>
    <w:p>
      <w:pPr>
        <w:jc w:val="both"/>
        <w:ind w:left="1260" w:right="100" w:hanging="515"/>
        <w:spacing w:after="0" w:line="261"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17,409,666 shares of common stock issuable on the exercise of stock options outstanding as of September 30, 2019 under the 2008 Stock Plan, or 2008 Plan, and 2017 Equity Incentive Plan, or the 2017 Plan, with a weighted-average exercise price of approximately $2.12 per share (including 1,311,944 shares of common stock to be issued upon exercise of stock options by certain of the selling stockholders in connection with the sale of these shares in the offering);</w:t>
      </w:r>
    </w:p>
    <w:p>
      <w:pPr>
        <w:spacing w:after="0" w:line="197" w:lineRule="exact"/>
        <w:rPr>
          <w:rFonts w:ascii="Arial" w:cs="Arial" w:eastAsia="Arial" w:hAnsi="Arial"/>
          <w:sz w:val="17"/>
          <w:szCs w:val="17"/>
          <w:color w:val="auto"/>
        </w:rPr>
      </w:pPr>
    </w:p>
    <w:p>
      <w:pPr>
        <w:ind w:left="1260" w:right="320" w:hanging="515"/>
        <w:spacing w:after="0" w:line="276"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225,611 shares of common stock issuable upon the exercise of outstanding stock options issued after September 30, 2019 pursuant to our 2017 Plan with an exercise price of $9.60 per share;</w:t>
      </w:r>
    </w:p>
    <w:p>
      <w:pPr>
        <w:spacing w:after="0" w:line="184" w:lineRule="exact"/>
        <w:rPr>
          <w:rFonts w:ascii="Arial" w:cs="Arial" w:eastAsia="Arial" w:hAnsi="Arial"/>
          <w:sz w:val="17"/>
          <w:szCs w:val="17"/>
          <w:color w:val="auto"/>
        </w:rPr>
      </w:pPr>
    </w:p>
    <w:p>
      <w:pPr>
        <w:ind w:left="1260" w:right="100" w:hanging="515"/>
        <w:spacing w:after="0" w:line="276"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2,159,639 shares of common stock issuable upon the exercise of warrants outstanding as of September 30, 2019 with a weighted-average exercise price of $1.69 per share;</w:t>
      </w:r>
    </w:p>
    <w:p>
      <w:pPr>
        <w:spacing w:after="0" w:line="197" w:lineRule="exact"/>
        <w:rPr>
          <w:rFonts w:ascii="Arial" w:cs="Arial" w:eastAsia="Arial" w:hAnsi="Arial"/>
          <w:sz w:val="17"/>
          <w:szCs w:val="17"/>
          <w:color w:val="auto"/>
        </w:rPr>
      </w:pPr>
    </w:p>
    <w:p>
      <w:pPr>
        <w:ind w:left="1260" w:hanging="515"/>
        <w:spacing w:after="0" w:line="282"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3,059,708 shares of common stock reserved for future issuance under our 2019 Equity Incentive Plan, or the 2019 Plan (which number includes the contemplated director nominee grants described under "Management—Non-Employee Director Compensation"), as well as any shares underlying options outstanding under the 2017 Plan that expire or otherwise terminate prior to exercise after the effective date of the 2019 Plan and any future increases in the number of shares of common stock reserved for issuance under our 2019 Plan; and</w:t>
      </w:r>
    </w:p>
    <w:p>
      <w:pPr>
        <w:spacing w:after="0" w:line="182" w:lineRule="exact"/>
        <w:rPr>
          <w:rFonts w:ascii="Arial" w:cs="Arial" w:eastAsia="Arial" w:hAnsi="Arial"/>
          <w:sz w:val="16"/>
          <w:szCs w:val="16"/>
          <w:color w:val="auto"/>
        </w:rPr>
      </w:pPr>
    </w:p>
    <w:p>
      <w:pPr>
        <w:ind w:left="1260" w:right="560" w:hanging="515"/>
        <w:spacing w:after="0" w:line="276"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1,700,000 shares of common stock reserved for issuance under our 2019 Employee Stock Purchase Plan, or the ESPP, as well as any future increases in the number of shares of common stock reserved for future issuance under our ESPP.</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unless we specifically state otherwise, the information in this prospectus assumes:</w:t>
      </w:r>
    </w:p>
    <w:p>
      <w:pPr>
        <w:spacing w:after="0" w:line="231" w:lineRule="exact"/>
        <w:rPr>
          <w:sz w:val="20"/>
          <w:szCs w:val="20"/>
          <w:color w:val="auto"/>
        </w:rPr>
      </w:pPr>
    </w:p>
    <w:p>
      <w:pPr>
        <w:ind w:left="1260" w:hanging="5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1-for-4.5454 reverse stock split effected on October 14, 2019;</w:t>
      </w:r>
    </w:p>
    <w:p>
      <w:pPr>
        <w:spacing w:after="0" w:line="244" w:lineRule="exact"/>
        <w:rPr>
          <w:rFonts w:ascii="Arial" w:cs="Arial" w:eastAsia="Arial" w:hAnsi="Arial"/>
          <w:sz w:val="17"/>
          <w:szCs w:val="17"/>
          <w:color w:val="auto"/>
        </w:rPr>
      </w:pPr>
    </w:p>
    <w:p>
      <w:pPr>
        <w:ind w:left="1260" w:hanging="5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filing of our amended and restated certificate of incorporation, which will be in effect on the completion of this offering;</w:t>
      </w:r>
    </w:p>
    <w:p>
      <w:pPr>
        <w:spacing w:after="0" w:line="231" w:lineRule="exact"/>
        <w:rPr>
          <w:rFonts w:ascii="Arial" w:cs="Arial" w:eastAsia="Arial" w:hAnsi="Arial"/>
          <w:sz w:val="17"/>
          <w:szCs w:val="17"/>
          <w:color w:val="auto"/>
        </w:rPr>
      </w:pPr>
    </w:p>
    <w:p>
      <w:pPr>
        <w:ind w:left="1260" w:right="20" w:hanging="515"/>
        <w:spacing w:after="0" w:line="276"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conversion of all outstanding convertible preferred stock warrants to warrants to purchase 2,019,245 shares of our common stock in connection with this offering;</w:t>
      </w:r>
    </w:p>
    <w:p>
      <w:pPr>
        <w:spacing w:after="0" w:line="184" w:lineRule="exact"/>
        <w:rPr>
          <w:rFonts w:ascii="Arial" w:cs="Arial" w:eastAsia="Arial" w:hAnsi="Arial"/>
          <w:sz w:val="17"/>
          <w:szCs w:val="17"/>
          <w:color w:val="auto"/>
        </w:rPr>
      </w:pPr>
    </w:p>
    <w:p>
      <w:pPr>
        <w:ind w:left="1260" w:right="160" w:hanging="515"/>
        <w:spacing w:after="0" w:line="276"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preferred stock into an aggregate of 65,428,088 shares of common stock in connection with this offering; and</w:t>
      </w:r>
    </w:p>
    <w:p>
      <w:pPr>
        <w:spacing w:after="0" w:line="197" w:lineRule="exact"/>
        <w:rPr>
          <w:rFonts w:ascii="Arial" w:cs="Arial" w:eastAsia="Arial" w:hAnsi="Arial"/>
          <w:sz w:val="17"/>
          <w:szCs w:val="17"/>
          <w:color w:val="auto"/>
        </w:rPr>
      </w:pPr>
    </w:p>
    <w:p>
      <w:pPr>
        <w:ind w:left="1260" w:right="120" w:hanging="515"/>
        <w:spacing w:after="0" w:line="276"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up to an additional 1,500,000 shares of common stock from certain selling stockholders in this offering.</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6476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6780" cy="647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Summary Consolidated Financial Data</w:t>
      </w:r>
    </w:p>
    <w:p>
      <w:pPr>
        <w:spacing w:after="0" w:line="222" w:lineRule="exact"/>
        <w:rPr>
          <w:sz w:val="20"/>
          <w:szCs w:val="20"/>
          <w:color w:val="auto"/>
        </w:rPr>
      </w:pPr>
    </w:p>
    <w:p>
      <w:pPr>
        <w:ind w:left="220" w:right="220" w:firstLine="333"/>
        <w:spacing w:after="0" w:line="257" w:lineRule="auto"/>
        <w:rPr>
          <w:sz w:val="20"/>
          <w:szCs w:val="20"/>
          <w:color w:val="auto"/>
        </w:rPr>
      </w:pPr>
      <w:r>
        <w:rPr>
          <w:rFonts w:ascii="Arial" w:cs="Arial" w:eastAsia="Arial" w:hAnsi="Arial"/>
          <w:sz w:val="17"/>
          <w:szCs w:val="17"/>
          <w:color w:val="auto"/>
        </w:rPr>
        <w:t>The summary statement of operations data for the years ended December 31, 2017 and 2018 have been derived from our audited consolidated financial statements included elsewhere in this prospectus. In order to provide additional historical financial information, we have included supplemental unaudited summary statement of operations data for the year ended December 31, 2016, which have been derived from our unaudited consolidated financial statements not included elsewhere in this prospectus. The summary statements of operations data for the six months ended June 30, 2018 and 2019 and the summary consolidated balance sheet data as of June 30, 2019 have been derived from our unaudited interim consolidated financial statements included elsewhere in this prospectus. The unaudited consolidated financial statements have been prepared on the same basis as the annual consolidated financial statements, and in the opinion of management, reflect all adjustments, which include only normal recurring adjustments, necessary to present fairly our consolidated financial position and results of operations.</w:t>
      </w:r>
    </w:p>
    <w:p>
      <w:pPr>
        <w:spacing w:after="0" w:line="188" w:lineRule="exact"/>
        <w:rPr>
          <w:sz w:val="20"/>
          <w:szCs w:val="20"/>
          <w:color w:val="auto"/>
        </w:rPr>
      </w:pPr>
    </w:p>
    <w:p>
      <w:pPr>
        <w:jc w:val="both"/>
        <w:ind w:left="220" w:right="240" w:firstLine="330"/>
        <w:spacing w:after="0" w:line="289" w:lineRule="auto"/>
        <w:rPr>
          <w:sz w:val="20"/>
          <w:szCs w:val="20"/>
          <w:color w:val="auto"/>
        </w:rPr>
      </w:pPr>
      <w:r>
        <w:rPr>
          <w:rFonts w:ascii="Arial" w:cs="Arial" w:eastAsia="Arial" w:hAnsi="Arial"/>
          <w:sz w:val="16"/>
          <w:szCs w:val="16"/>
          <w:color w:val="auto"/>
        </w:rPr>
        <w:t>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interim and historical results are not necessarily indicative of the results to be expected for the full year or any other period in the future.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Year Ended</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gridSpan w:val="6"/>
          </w:tcPr>
          <w:p>
            <w:pPr>
              <w:jc w:val="center"/>
              <w:ind w:right="172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13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December 31,</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35"/>
        </w:trPr>
        <w:tc>
          <w:tcPr>
            <w:tcW w:w="13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78"/>
              <w:spacing w:after="0" w:line="136" w:lineRule="exact"/>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20"/>
              <w:spacing w:after="0" w:line="136"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7"/>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0"/>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77"/>
              <w:spacing w:after="0" w:line="136"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22"/>
        </w:trPr>
        <w:tc>
          <w:tcPr>
            <w:tcW w:w="13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78"/>
              <w:spacing w:after="0" w:line="123" w:lineRule="exact"/>
              <w:rPr>
                <w:sz w:val="20"/>
                <w:szCs w:val="20"/>
                <w:color w:val="auto"/>
              </w:rPr>
            </w:pPr>
            <w:r>
              <w:rPr>
                <w:rFonts w:ascii="Arial" w:cs="Arial" w:eastAsia="Arial" w:hAnsi="Arial"/>
                <w:sz w:val="13"/>
                <w:szCs w:val="13"/>
                <w:b w:val="1"/>
                <w:bCs w:val="1"/>
                <w:color w:val="auto"/>
                <w:w w:val="96"/>
              </w:rPr>
              <w:t>(unaudited)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jc w:val="center"/>
              <w:ind w:left="360"/>
              <w:spacing w:after="0" w:line="123" w:lineRule="exact"/>
              <w:rPr>
                <w:sz w:val="20"/>
                <w:szCs w:val="20"/>
                <w:color w:val="auto"/>
              </w:rPr>
            </w:pPr>
            <w:r>
              <w:rPr>
                <w:rFonts w:ascii="Arial" w:cs="Arial" w:eastAsia="Arial" w:hAnsi="Arial"/>
                <w:sz w:val="13"/>
                <w:szCs w:val="13"/>
                <w:b w:val="1"/>
                <w:bCs w:val="1"/>
                <w:color w:val="auto"/>
                <w:w w:val="90"/>
              </w:rPr>
              <w:t>(unaudited)</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55"/>
        </w:trPr>
        <w:tc>
          <w:tcPr>
            <w:tcW w:w="13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gridSpan w:val="8"/>
          </w:tcPr>
          <w:p>
            <w:pPr>
              <w:jc w:val="right"/>
              <w:ind w:right="460"/>
              <w:spacing w:after="0"/>
              <w:rPr>
                <w:sz w:val="20"/>
                <w:szCs w:val="20"/>
                <w:color w:val="auto"/>
              </w:rPr>
            </w:pPr>
            <w:r>
              <w:rPr>
                <w:rFonts w:ascii="Arial" w:cs="Arial" w:eastAsia="Arial" w:hAnsi="Arial"/>
                <w:sz w:val="13"/>
                <w:szCs w:val="13"/>
                <w:b w:val="1"/>
                <w:bCs w:val="1"/>
                <w:color w:val="auto"/>
                <w:w w:val="94"/>
              </w:rPr>
              <w:t>(in thousands, except share and per share data)</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4"/>
        </w:trPr>
        <w:tc>
          <w:tcPr>
            <w:tcW w:w="1320" w:type="dxa"/>
            <w:vAlign w:val="bottom"/>
          </w:tcPr>
          <w:p>
            <w:pPr>
              <w:spacing w:after="0"/>
              <w:rPr>
                <w:sz w:val="16"/>
                <w:szCs w:val="16"/>
                <w:color w:val="auto"/>
              </w:rPr>
            </w:pPr>
          </w:p>
        </w:tc>
        <w:tc>
          <w:tcPr>
            <w:tcW w:w="31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w w:val="97"/>
              </w:rPr>
              <w:t>Consolidated Statements of Operations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tcPr>
          <w:p>
            <w:pPr>
              <w:spacing w:after="0"/>
              <w:rPr>
                <w:sz w:val="16"/>
                <w:szCs w:val="16"/>
                <w:color w:val="auto"/>
              </w:rPr>
            </w:pPr>
          </w:p>
        </w:tc>
      </w:tr>
      <w:tr>
        <w:trPr>
          <w:trHeight w:val="220"/>
        </w:trPr>
        <w:tc>
          <w:tcPr>
            <w:tcW w:w="1320" w:type="dxa"/>
            <w:vAlign w:val="bottom"/>
          </w:tcPr>
          <w:p>
            <w:pPr>
              <w:spacing w:after="0"/>
              <w:rPr>
                <w:sz w:val="19"/>
                <w:szCs w:val="19"/>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Data:</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tcPr>
          <w:p>
            <w:pPr>
              <w:spacing w:after="0"/>
              <w:rPr>
                <w:sz w:val="19"/>
                <w:szCs w:val="19"/>
                <w:color w:val="auto"/>
              </w:rPr>
            </w:pPr>
          </w:p>
        </w:tc>
      </w:tr>
      <w:tr>
        <w:trPr>
          <w:trHeight w:val="207"/>
        </w:trPr>
        <w:tc>
          <w:tcPr>
            <w:tcW w:w="13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22,106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48,584</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105,400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48,415</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103,365</w:t>
            </w:r>
          </w:p>
        </w:tc>
        <w:tc>
          <w:tcPr>
            <w:tcW w:w="1360" w:type="dxa"/>
            <w:vAlign w:val="bottom"/>
          </w:tcPr>
          <w:p>
            <w:pPr>
              <w:spacing w:after="0"/>
              <w:rPr>
                <w:sz w:val="17"/>
                <w:szCs w:val="17"/>
                <w:color w:val="auto"/>
              </w:rPr>
            </w:pPr>
          </w:p>
        </w:tc>
      </w:tr>
      <w:tr>
        <w:trPr>
          <w:trHeight w:val="246"/>
        </w:trPr>
        <w:tc>
          <w:tcPr>
            <w:tcW w:w="1320" w:type="dxa"/>
            <w:vAlign w:val="bottom"/>
          </w:tcPr>
          <w:p>
            <w:pPr>
              <w:spacing w:after="0"/>
              <w:rPr>
                <w:sz w:val="21"/>
                <w:szCs w:val="21"/>
                <w:color w:val="auto"/>
              </w:rPr>
            </w:pPr>
          </w:p>
        </w:tc>
        <w:tc>
          <w:tcPr>
            <w:tcW w:w="312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Cost of services</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21,368</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41,184</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85,966</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39,443</w:t>
            </w: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81,949</w:t>
            </w:r>
          </w:p>
        </w:tc>
        <w:tc>
          <w:tcPr>
            <w:tcW w:w="1360" w:type="dxa"/>
            <w:vAlign w:val="bottom"/>
          </w:tcPr>
          <w:p>
            <w:pPr>
              <w:spacing w:after="0"/>
              <w:rPr>
                <w:sz w:val="21"/>
                <w:szCs w:val="21"/>
                <w:color w:val="auto"/>
              </w:rPr>
            </w:pPr>
          </w:p>
        </w:tc>
      </w:tr>
      <w:tr>
        <w:trPr>
          <w:trHeight w:val="200"/>
        </w:trPr>
        <w:tc>
          <w:tcPr>
            <w:tcW w:w="1320" w:type="dxa"/>
            <w:vAlign w:val="bottom"/>
          </w:tcPr>
          <w:p>
            <w:pPr>
              <w:spacing w:after="0"/>
              <w:rPr>
                <w:sz w:val="17"/>
                <w:szCs w:val="17"/>
                <w:color w:val="auto"/>
              </w:rPr>
            </w:pPr>
          </w:p>
        </w:tc>
        <w:tc>
          <w:tcPr>
            <w:tcW w:w="3120" w:type="dxa"/>
            <w:vAlign w:val="bottom"/>
          </w:tcPr>
          <w:p>
            <w:pPr>
              <w:ind w:left="180"/>
              <w:spacing w:after="0"/>
              <w:rPr>
                <w:sz w:val="20"/>
                <w:szCs w:val="20"/>
                <w:color w:val="auto"/>
              </w:rPr>
            </w:pPr>
            <w:r>
              <w:rPr>
                <w:rFonts w:ascii="Arial" w:cs="Arial" w:eastAsia="Arial" w:hAnsi="Arial"/>
                <w:sz w:val="17"/>
                <w:szCs w:val="17"/>
                <w:color w:val="auto"/>
              </w:rPr>
              <w:t>Gross profit</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7,400</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19,434</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8,972</w:t>
            </w: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21,416</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7"/>
        </w:trPr>
        <w:tc>
          <w:tcPr>
            <w:tcW w:w="13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46"/>
        </w:trPr>
        <w:tc>
          <w:tcPr>
            <w:tcW w:w="1320" w:type="dxa"/>
            <w:vAlign w:val="bottom"/>
          </w:tcPr>
          <w:p>
            <w:pPr>
              <w:spacing w:after="0"/>
              <w:rPr>
                <w:sz w:val="21"/>
                <w:szCs w:val="21"/>
                <w:color w:val="auto"/>
              </w:rPr>
            </w:pPr>
          </w:p>
        </w:tc>
        <w:tc>
          <w:tcPr>
            <w:tcW w:w="3120" w:type="dxa"/>
            <w:vAlign w:val="bottom"/>
          </w:tcPr>
          <w:p>
            <w:pPr>
              <w:ind w:left="180"/>
              <w:spacing w:after="0" w:line="24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2,407</w:t>
            </w:r>
          </w:p>
        </w:tc>
        <w:tc>
          <w:tcPr>
            <w:tcW w:w="1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4,258</w:t>
            </w:r>
          </w:p>
        </w:tc>
        <w:tc>
          <w:tcPr>
            <w:tcW w:w="2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7,285</w:t>
            </w:r>
          </w:p>
        </w:tc>
        <w:tc>
          <w:tcPr>
            <w:tcW w:w="2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3,494</w:t>
            </w:r>
          </w:p>
        </w:tc>
        <w:tc>
          <w:tcPr>
            <w:tcW w:w="30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5,463</w:t>
            </w:r>
          </w:p>
        </w:tc>
        <w:tc>
          <w:tcPr>
            <w:tcW w:w="1360" w:type="dxa"/>
            <w:vAlign w:val="bottom"/>
          </w:tcPr>
          <w:p>
            <w:pPr>
              <w:spacing w:after="0"/>
              <w:rPr>
                <w:sz w:val="21"/>
                <w:szCs w:val="21"/>
                <w:color w:val="auto"/>
              </w:rPr>
            </w:pPr>
          </w:p>
        </w:tc>
      </w:tr>
      <w:tr>
        <w:trPr>
          <w:trHeight w:val="246"/>
        </w:trPr>
        <w:tc>
          <w:tcPr>
            <w:tcW w:w="1320" w:type="dxa"/>
            <w:vAlign w:val="bottom"/>
          </w:tcPr>
          <w:p>
            <w:pPr>
              <w:spacing w:after="0"/>
              <w:rPr>
                <w:sz w:val="21"/>
                <w:szCs w:val="21"/>
                <w:color w:val="auto"/>
              </w:rPr>
            </w:pPr>
          </w:p>
        </w:tc>
        <w:tc>
          <w:tcPr>
            <w:tcW w:w="3120" w:type="dxa"/>
            <w:vAlign w:val="bottom"/>
            <w:shd w:val="clear" w:color="auto" w:fill="CCEEFF"/>
          </w:tcPr>
          <w:p>
            <w:pPr>
              <w:ind w:left="180"/>
              <w:spacing w:after="0" w:line="24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12,868</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14,147</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15,601</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7,640</w:t>
            </w: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10,489</w:t>
            </w:r>
          </w:p>
        </w:tc>
        <w:tc>
          <w:tcPr>
            <w:tcW w:w="1360" w:type="dxa"/>
            <w:vAlign w:val="bottom"/>
          </w:tcPr>
          <w:p>
            <w:pPr>
              <w:spacing w:after="0"/>
              <w:rPr>
                <w:sz w:val="21"/>
                <w:szCs w:val="21"/>
                <w:color w:val="auto"/>
              </w:rPr>
            </w:pPr>
          </w:p>
        </w:tc>
      </w:tr>
      <w:tr>
        <w:trPr>
          <w:trHeight w:val="200"/>
        </w:trPr>
        <w:tc>
          <w:tcPr>
            <w:tcW w:w="1320" w:type="dxa"/>
            <w:vAlign w:val="bottom"/>
          </w:tcPr>
          <w:p>
            <w:pPr>
              <w:spacing w:after="0"/>
              <w:rPr>
                <w:sz w:val="17"/>
                <w:szCs w:val="17"/>
                <w:color w:val="auto"/>
              </w:rPr>
            </w:pPr>
          </w:p>
        </w:tc>
        <w:tc>
          <w:tcPr>
            <w:tcW w:w="3120" w:type="dxa"/>
            <w:vAlign w:val="bottom"/>
          </w:tcPr>
          <w:p>
            <w:pPr>
              <w:ind w:left="34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15,275</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18,405</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22,886</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11,134</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15,952</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0"/>
        </w:trPr>
        <w:tc>
          <w:tcPr>
            <w:tcW w:w="13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operations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(14,537)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(11,005)</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(2,162)</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5,464</w:t>
            </w:r>
          </w:p>
        </w:tc>
        <w:tc>
          <w:tcPr>
            <w:tcW w:w="1360" w:type="dxa"/>
            <w:vAlign w:val="bottom"/>
          </w:tcPr>
          <w:p>
            <w:pPr>
              <w:spacing w:after="0"/>
              <w:rPr>
                <w:sz w:val="17"/>
                <w:szCs w:val="17"/>
                <w:color w:val="auto"/>
              </w:rPr>
            </w:pPr>
          </w:p>
        </w:tc>
      </w:tr>
      <w:tr>
        <w:trPr>
          <w:trHeight w:val="199"/>
        </w:trPr>
        <w:tc>
          <w:tcPr>
            <w:tcW w:w="13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7"/>
                <w:szCs w:val="17"/>
                <w:color w:val="auto"/>
              </w:rPr>
              <w:t>Other expense:</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8"/>
        </w:trPr>
        <w:tc>
          <w:tcPr>
            <w:tcW w:w="1320" w:type="dxa"/>
            <w:vAlign w:val="bottom"/>
          </w:tcPr>
          <w:p>
            <w:pPr>
              <w:spacing w:after="0"/>
              <w:rPr>
                <w:sz w:val="18"/>
                <w:szCs w:val="18"/>
                <w:color w:val="auto"/>
              </w:rPr>
            </w:pPr>
          </w:p>
        </w:tc>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(432)</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w:t>
            </w:r>
          </w:p>
        </w:tc>
        <w:tc>
          <w:tcPr>
            <w:tcW w:w="1360" w:type="dxa"/>
            <w:vAlign w:val="bottom"/>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3120" w:type="dxa"/>
            <w:vAlign w:val="bottom"/>
          </w:tcPr>
          <w:p>
            <w:pPr>
              <w:ind w:left="340"/>
              <w:spacing w:after="0"/>
              <w:rPr>
                <w:sz w:val="20"/>
                <w:szCs w:val="20"/>
                <w:color w:val="auto"/>
              </w:rPr>
            </w:pPr>
            <w:r>
              <w:rPr>
                <w:rFonts w:ascii="Arial" w:cs="Arial" w:eastAsia="Arial" w:hAnsi="Arial"/>
                <w:sz w:val="17"/>
                <w:szCs w:val="17"/>
                <w:color w:val="auto"/>
              </w:rPr>
              <w:t>Convertible preferred stock warrant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5"/>
        </w:trPr>
        <w:tc>
          <w:tcPr>
            <w:tcW w:w="1320" w:type="dxa"/>
            <w:vAlign w:val="bottom"/>
          </w:tcPr>
          <w:p>
            <w:pPr>
              <w:spacing w:after="0"/>
              <w:rPr>
                <w:sz w:val="18"/>
                <w:szCs w:val="18"/>
                <w:color w:val="auto"/>
              </w:rPr>
            </w:pPr>
          </w:p>
        </w:tc>
        <w:tc>
          <w:tcPr>
            <w:tcW w:w="3120" w:type="dxa"/>
            <w:vAlign w:val="bottom"/>
          </w:tcPr>
          <w:p>
            <w:pPr>
              <w:ind w:left="520"/>
              <w:spacing w:after="0"/>
              <w:rPr>
                <w:sz w:val="20"/>
                <w:szCs w:val="20"/>
                <w:color w:val="auto"/>
              </w:rPr>
            </w:pPr>
            <w:r>
              <w:rPr>
                <w:rFonts w:ascii="Arial" w:cs="Arial" w:eastAsia="Arial" w:hAnsi="Arial"/>
                <w:sz w:val="17"/>
                <w:szCs w:val="17"/>
                <w:color w:val="auto"/>
              </w:rPr>
              <w:t>valuation adjustment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(714)</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(2,944)</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(643)</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(1,193)</w:t>
            </w:r>
          </w:p>
        </w:tc>
        <w:tc>
          <w:tcPr>
            <w:tcW w:w="136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1"/>
        </w:trPr>
        <w:tc>
          <w:tcPr>
            <w:tcW w:w="13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Total other expense, net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(1,075)</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(1,359)</w:t>
            </w:r>
          </w:p>
        </w:tc>
        <w:tc>
          <w:tcPr>
            <w:tcW w:w="1360" w:type="dxa"/>
            <w:vAlign w:val="bottom"/>
          </w:tcPr>
          <w:p>
            <w:pPr>
              <w:spacing w:after="0"/>
              <w:rPr>
                <w:sz w:val="17"/>
                <w:szCs w:val="17"/>
                <w:color w:val="auto"/>
              </w:rPr>
            </w:pPr>
          </w:p>
        </w:tc>
      </w:tr>
      <w:tr>
        <w:trPr>
          <w:trHeight w:val="191"/>
        </w:trPr>
        <w:tc>
          <w:tcPr>
            <w:tcW w:w="1320" w:type="dxa"/>
            <w:vAlign w:val="bottom"/>
          </w:tcPr>
          <w:p>
            <w:pPr>
              <w:spacing w:after="0"/>
              <w:rPr>
                <w:sz w:val="16"/>
                <w:szCs w:val="16"/>
                <w:color w:val="auto"/>
              </w:rPr>
            </w:pPr>
          </w:p>
        </w:tc>
        <w:tc>
          <w:tcPr>
            <w:tcW w:w="3120" w:type="dxa"/>
            <w:vAlign w:val="bottom"/>
          </w:tcPr>
          <w:p>
            <w:pPr>
              <w:spacing w:after="0" w:line="191" w:lineRule="exact"/>
              <w:rPr>
                <w:sz w:val="20"/>
                <w:szCs w:val="20"/>
                <w:color w:val="auto"/>
              </w:rPr>
            </w:pPr>
            <w:r>
              <w:rPr>
                <w:rFonts w:ascii="Arial" w:cs="Arial" w:eastAsia="Arial" w:hAnsi="Arial"/>
                <w:sz w:val="17"/>
                <w:szCs w:val="17"/>
                <w:color w:val="auto"/>
                <w:w w:val="97"/>
              </w:rPr>
              <w:t>(Loss) income from continuing operations,</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3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7"/>
                <w:szCs w:val="17"/>
                <w:color w:val="auto"/>
              </w:rPr>
              <w:t>before tax</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(14,861)</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(12,459)</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(6,893)</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(3,237)</w:t>
            </w: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4,105</w:t>
            </w:r>
          </w:p>
        </w:tc>
        <w:tc>
          <w:tcPr>
            <w:tcW w:w="1360" w:type="dxa"/>
            <w:vAlign w:val="bottom"/>
          </w:tcPr>
          <w:p>
            <w:pPr>
              <w:spacing w:after="0"/>
              <w:rPr>
                <w:sz w:val="18"/>
                <w:szCs w:val="18"/>
                <w:color w:val="auto"/>
              </w:rPr>
            </w:pPr>
          </w:p>
        </w:tc>
      </w:tr>
      <w:tr>
        <w:trPr>
          <w:trHeight w:val="208"/>
        </w:trPr>
        <w:tc>
          <w:tcPr>
            <w:tcW w:w="13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3,028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w:t>
            </w:r>
          </w:p>
        </w:tc>
        <w:tc>
          <w:tcPr>
            <w:tcW w:w="1360" w:type="dxa"/>
            <w:vAlign w:val="bottom"/>
          </w:tcPr>
          <w:p>
            <w:pPr>
              <w:spacing w:after="0"/>
              <w:rPr>
                <w:sz w:val="18"/>
                <w:szCs w:val="18"/>
                <w:color w:val="auto"/>
              </w:rPr>
            </w:pPr>
          </w:p>
        </w:tc>
      </w:tr>
      <w:tr>
        <w:trPr>
          <w:trHeight w:val="191"/>
        </w:trPr>
        <w:tc>
          <w:tcPr>
            <w:tcW w:w="1320" w:type="dxa"/>
            <w:vAlign w:val="bottom"/>
          </w:tcPr>
          <w:p>
            <w:pPr>
              <w:spacing w:after="0"/>
              <w:rPr>
                <w:sz w:val="16"/>
                <w:szCs w:val="16"/>
                <w:color w:val="auto"/>
              </w:rPr>
            </w:pPr>
          </w:p>
        </w:tc>
        <w:tc>
          <w:tcPr>
            <w:tcW w:w="3120" w:type="dxa"/>
            <w:vAlign w:val="bottom"/>
          </w:tcPr>
          <w:p>
            <w:pPr>
              <w:spacing w:after="0" w:line="191" w:lineRule="exact"/>
              <w:rPr>
                <w:sz w:val="20"/>
                <w:szCs w:val="20"/>
                <w:color w:val="auto"/>
              </w:rPr>
            </w:pPr>
            <w:r>
              <w:rPr>
                <w:rFonts w:ascii="Arial" w:cs="Arial" w:eastAsia="Arial" w:hAnsi="Arial"/>
                <w:sz w:val="17"/>
                <w:szCs w:val="17"/>
                <w:color w:val="auto"/>
              </w:rPr>
              <w:t>Net (loss) income from continuing</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3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7"/>
                <w:szCs w:val="17"/>
                <w:color w:val="auto"/>
              </w:rPr>
              <w:t>operations</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(11,833)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(12,456)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(5,116)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(2,402)</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4,041</w:t>
            </w:r>
          </w:p>
        </w:tc>
        <w:tc>
          <w:tcPr>
            <w:tcW w:w="1360" w:type="dxa"/>
            <w:vAlign w:val="bottom"/>
          </w:tcPr>
          <w:p>
            <w:pPr>
              <w:spacing w:after="0"/>
              <w:rPr>
                <w:sz w:val="18"/>
                <w:szCs w:val="18"/>
                <w:color w:val="auto"/>
              </w:rPr>
            </w:pPr>
          </w:p>
        </w:tc>
      </w:tr>
      <w:tr>
        <w:trPr>
          <w:trHeight w:val="193"/>
        </w:trPr>
        <w:tc>
          <w:tcPr>
            <w:tcW w:w="1320" w:type="dxa"/>
            <w:vAlign w:val="bottom"/>
          </w:tcPr>
          <w:p>
            <w:pPr>
              <w:spacing w:after="0"/>
              <w:rPr>
                <w:sz w:val="16"/>
                <w:szCs w:val="16"/>
                <w:color w:val="auto"/>
              </w:rPr>
            </w:pPr>
          </w:p>
        </w:tc>
        <w:tc>
          <w:tcPr>
            <w:tcW w:w="312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Net income from discontinued</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tcPr>
          <w:p>
            <w:pPr>
              <w:spacing w:after="0"/>
              <w:rPr>
                <w:sz w:val="16"/>
                <w:szCs w:val="16"/>
                <w:color w:val="auto"/>
              </w:rPr>
            </w:pPr>
          </w:p>
        </w:tc>
      </w:tr>
      <w:tr>
        <w:trPr>
          <w:trHeight w:val="253"/>
        </w:trPr>
        <w:tc>
          <w:tcPr>
            <w:tcW w:w="1320" w:type="dxa"/>
            <w:vAlign w:val="bottom"/>
          </w:tcPr>
          <w:p>
            <w:pPr>
              <w:spacing w:after="0"/>
              <w:rPr>
                <w:sz w:val="22"/>
                <w:szCs w:val="22"/>
                <w:color w:val="auto"/>
              </w:rPr>
            </w:pPr>
          </w:p>
        </w:tc>
        <w:tc>
          <w:tcPr>
            <w:tcW w:w="3120" w:type="dxa"/>
            <w:vAlign w:val="bottom"/>
            <w:shd w:val="clear" w:color="auto" w:fill="CCEEFF"/>
          </w:tcPr>
          <w:p>
            <w:pPr>
              <w:ind w:left="340"/>
              <w:spacing w:after="0" w:line="253" w:lineRule="exact"/>
              <w:rPr>
                <w:sz w:val="20"/>
                <w:szCs w:val="20"/>
                <w:color w:val="auto"/>
              </w:rPr>
            </w:pPr>
            <w:r>
              <w:rPr>
                <w:rFonts w:ascii="Arial" w:cs="Arial" w:eastAsia="Arial" w:hAnsi="Arial"/>
                <w:sz w:val="17"/>
                <w:szCs w:val="17"/>
                <w:color w:val="auto"/>
              </w:rPr>
              <w:t>operations, net of taxes</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4,737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5,777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5,724</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60" w:type="dxa"/>
            <w:vAlign w:val="bottom"/>
          </w:tcPr>
          <w:p>
            <w:pPr>
              <w:spacing w:after="0"/>
              <w:rPr>
                <w:sz w:val="22"/>
                <w:szCs w:val="22"/>
                <w:color w:val="auto"/>
              </w:rPr>
            </w:pPr>
          </w:p>
        </w:tc>
      </w:tr>
      <w:tr>
        <w:trPr>
          <w:trHeight w:val="191"/>
        </w:trPr>
        <w:tc>
          <w:tcPr>
            <w:tcW w:w="1320" w:type="dxa"/>
            <w:vAlign w:val="bottom"/>
          </w:tcPr>
          <w:p>
            <w:pPr>
              <w:spacing w:after="0"/>
              <w:rPr>
                <w:sz w:val="16"/>
                <w:szCs w:val="16"/>
                <w:color w:val="auto"/>
              </w:rPr>
            </w:pPr>
          </w:p>
        </w:tc>
        <w:tc>
          <w:tcPr>
            <w:tcW w:w="3120" w:type="dxa"/>
            <w:vAlign w:val="bottom"/>
          </w:tcPr>
          <w:p>
            <w:pPr>
              <w:spacing w:after="0" w:line="191" w:lineRule="exact"/>
              <w:rPr>
                <w:sz w:val="20"/>
                <w:szCs w:val="20"/>
                <w:color w:val="auto"/>
              </w:rPr>
            </w:pPr>
            <w:r>
              <w:rPr>
                <w:rFonts w:ascii="Arial" w:cs="Arial" w:eastAsia="Arial" w:hAnsi="Arial"/>
                <w:sz w:val="17"/>
                <w:szCs w:val="17"/>
                <w:color w:val="auto"/>
                <w:w w:val="93"/>
              </w:rPr>
              <w:t>Net (loss) income and comprehensive (loss)</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3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7"/>
                <w:szCs w:val="17"/>
                <w:color w:val="auto"/>
              </w:rPr>
              <w:t>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(7,096)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(12,452)</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661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3,322</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4,041</w:t>
            </w:r>
          </w:p>
        </w:tc>
        <w:tc>
          <w:tcPr>
            <w:tcW w:w="136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03"/>
        </w:trPr>
        <w:tc>
          <w:tcPr>
            <w:tcW w:w="1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409"/>
        </w:trPr>
        <w:tc>
          <w:tcPr>
            <w:tcW w:w="1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8"/>
        </w:trPr>
        <w:tc>
          <w:tcPr>
            <w:tcW w:w="1320" w:type="dxa"/>
            <w:vAlign w:val="bottom"/>
            <w:tcBorders>
              <w:bottom w:val="single" w:sz="8" w:color="808080"/>
            </w:tcBorders>
          </w:tcPr>
          <w:p>
            <w:pPr>
              <w:spacing w:after="0"/>
              <w:rPr>
                <w:sz w:val="18"/>
                <w:szCs w:val="18"/>
                <w:color w:val="auto"/>
              </w:rPr>
            </w:pPr>
          </w:p>
        </w:tc>
        <w:tc>
          <w:tcPr>
            <w:tcW w:w="3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5819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6780" cy="58197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December 31,</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3"/>
                <w:szCs w:val="13"/>
                <w:b w:val="1"/>
                <w:bCs w:val="1"/>
                <w:color w:val="auto"/>
                <w:w w:val="88"/>
              </w:rPr>
              <w:t>June 30,</w:t>
            </w: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81"/>
              <w:spacing w:after="0" w:line="136" w:lineRule="exact"/>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24"/>
              <w:spacing w:after="0" w:line="136"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78"/>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64"/>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8"/>
              <w:spacing w:after="0" w:line="136"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81"/>
              <w:spacing w:after="0" w:line="123" w:lineRule="exact"/>
              <w:rPr>
                <w:sz w:val="20"/>
                <w:szCs w:val="20"/>
                <w:color w:val="auto"/>
              </w:rPr>
            </w:pPr>
            <w:r>
              <w:rPr>
                <w:rFonts w:ascii="Arial" w:cs="Arial" w:eastAsia="Arial" w:hAnsi="Arial"/>
                <w:sz w:val="13"/>
                <w:szCs w:val="13"/>
                <w:b w:val="1"/>
                <w:bCs w:val="1"/>
                <w:color w:val="auto"/>
                <w:w w:val="96"/>
              </w:rPr>
              <w:t>(unaudited)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60" w:type="dxa"/>
            <w:vAlign w:val="bottom"/>
            <w:gridSpan w:val="5"/>
          </w:tcPr>
          <w:p>
            <w:pPr>
              <w:jc w:val="center"/>
              <w:ind w:right="340"/>
              <w:spacing w:after="0" w:line="123" w:lineRule="exact"/>
              <w:rPr>
                <w:sz w:val="20"/>
                <w:szCs w:val="20"/>
                <w:color w:val="auto"/>
              </w:rPr>
            </w:pPr>
            <w:r>
              <w:rPr>
                <w:rFonts w:ascii="Arial" w:cs="Arial" w:eastAsia="Arial" w:hAnsi="Arial"/>
                <w:sz w:val="13"/>
                <w:szCs w:val="13"/>
                <w:b w:val="1"/>
                <w:bCs w:val="1"/>
                <w:color w:val="auto"/>
                <w:w w:val="90"/>
              </w:rPr>
              <w:t>(unaudited)</w:t>
            </w: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w w:val="87"/>
              </w:rPr>
              <w:t>(in thousands, except share and per share data)</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income attributable to common</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(5,541)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(2,826)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7"/>
                <w:szCs w:val="17"/>
                <w:color w:val="auto"/>
                <w:w w:val="97"/>
              </w:rPr>
              <w:t>Net (loss) income per share attributable to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120" w:type="dxa"/>
            <w:vAlign w:val="bottom"/>
            <w:gridSpan w:val="2"/>
          </w:tcPr>
          <w:p>
            <w:pPr>
              <w:ind w:left="180"/>
              <w:spacing w:after="0"/>
              <w:rPr>
                <w:sz w:val="20"/>
                <w:szCs w:val="20"/>
                <w:color w:val="auto"/>
              </w:rPr>
            </w:pPr>
            <w:r>
              <w:rPr>
                <w:rFonts w:ascii="Arial" w:cs="Arial" w:eastAsia="Arial" w:hAnsi="Arial"/>
                <w:sz w:val="17"/>
                <w:szCs w:val="17"/>
                <w:color w:val="auto"/>
                <w:w w:val="96"/>
              </w:rPr>
              <w:t>common stockholders, basic and diluted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ind w:left="180"/>
              <w:spacing w:after="0"/>
              <w:rPr>
                <w:sz w:val="20"/>
                <w:szCs w:val="20"/>
                <w:color w:val="auto"/>
              </w:rPr>
            </w:pPr>
            <w:r>
              <w:rPr>
                <w:rFonts w:ascii="Arial" w:cs="Arial" w:eastAsia="Arial" w:hAnsi="Arial"/>
                <w:sz w:val="17"/>
                <w:szCs w:val="17"/>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(2.09)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(0.50)</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7"/>
        </w:trPr>
        <w:tc>
          <w:tcPr>
            <w:tcW w:w="3120" w:type="dxa"/>
            <w:vAlign w:val="bottom"/>
            <w:gridSpan w:val="2"/>
            <w:shd w:val="clear" w:color="auto" w:fill="CCEEFF"/>
          </w:tcPr>
          <w:p>
            <w:pPr>
              <w:ind w:left="180"/>
              <w:spacing w:after="0" w:line="246" w:lineRule="exact"/>
              <w:rPr>
                <w:sz w:val="20"/>
                <w:szCs w:val="20"/>
                <w:color w:val="auto"/>
              </w:rPr>
            </w:pPr>
            <w:r>
              <w:rPr>
                <w:rFonts w:ascii="Arial" w:cs="Arial" w:eastAsia="Arial" w:hAnsi="Arial"/>
                <w:sz w:val="17"/>
                <w:szCs w:val="17"/>
                <w:color w:val="auto"/>
              </w:rPr>
              <w:t>Discontinued operations</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0.84</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3120" w:type="dxa"/>
            <w:vAlign w:val="bottom"/>
            <w:gridSpan w:val="2"/>
          </w:tcPr>
          <w:p>
            <w:pPr>
              <w:spacing w:after="0" w:line="191" w:lineRule="exact"/>
              <w:rPr>
                <w:sz w:val="20"/>
                <w:szCs w:val="20"/>
                <w:color w:val="auto"/>
              </w:rPr>
            </w:pPr>
            <w:r>
              <w:rPr>
                <w:rFonts w:ascii="Arial" w:cs="Arial" w:eastAsia="Arial" w:hAnsi="Arial"/>
                <w:sz w:val="17"/>
                <w:szCs w:val="17"/>
                <w:color w:val="auto"/>
              </w:rPr>
              <w:t>Total net (loss) income per share</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20" w:type="dxa"/>
            <w:vAlign w:val="bottom"/>
            <w:gridSpan w:val="2"/>
          </w:tcPr>
          <w:p>
            <w:pPr>
              <w:ind w:left="180"/>
              <w:spacing w:after="0"/>
              <w:rPr>
                <w:sz w:val="20"/>
                <w:szCs w:val="20"/>
                <w:color w:val="auto"/>
              </w:rPr>
            </w:pPr>
            <w:r>
              <w:rPr>
                <w:rFonts w:ascii="Arial" w:cs="Arial" w:eastAsia="Arial" w:hAnsi="Arial"/>
                <w:sz w:val="17"/>
                <w:szCs w:val="17"/>
                <w:color w:val="auto"/>
              </w:rPr>
              <w:t>attributable to common stockholders,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ind w:left="180"/>
              <w:spacing w:after="0"/>
              <w:rPr>
                <w:sz w:val="20"/>
                <w:szCs w:val="20"/>
                <w:color w:val="auto"/>
              </w:rPr>
            </w:pPr>
            <w:r>
              <w:rPr>
                <w:rFonts w:ascii="Arial" w:cs="Arial" w:eastAsia="Arial" w:hAnsi="Arial"/>
                <w:sz w:val="17"/>
                <w:szCs w:val="17"/>
                <w:color w:val="auto"/>
              </w:rPr>
              <w:t>basic and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0.04</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0.50</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2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color w:val="auto"/>
              </w:rPr>
              <w:t>Weighted-average shares used in</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9"/>
              </w:rPr>
              <w:t>computing net (loss) income per share: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120" w:type="dxa"/>
            <w:vAlign w:val="bottom"/>
            <w:gridSpan w:val="2"/>
          </w:tcPr>
          <w:p>
            <w:pPr>
              <w:ind w:left="180"/>
              <w:spacing w:after="0" w:line="246" w:lineRule="exact"/>
              <w:rPr>
                <w:sz w:val="20"/>
                <w:szCs w:val="20"/>
                <w:color w:val="auto"/>
              </w:rPr>
            </w:pPr>
            <w:r>
              <w:rPr>
                <w:rFonts w:ascii="Arial" w:cs="Arial" w:eastAsia="Arial" w:hAnsi="Arial"/>
                <w:sz w:val="17"/>
                <w:szCs w:val="17"/>
                <w:color w:val="auto"/>
              </w:rPr>
              <w:t>Basic</w:t>
            </w:r>
            <w:r>
              <w:rPr>
                <w:rFonts w:ascii="Arial" w:cs="Arial" w:eastAsia="Arial" w:hAnsi="Arial"/>
                <w:sz w:val="28"/>
                <w:szCs w:val="28"/>
                <w:color w:val="auto"/>
                <w:vertAlign w:val="superscript"/>
              </w:rPr>
              <w:t>(3)</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5,564,140</w:t>
            </w:r>
          </w:p>
        </w:tc>
        <w:tc>
          <w:tcPr>
            <w:tcW w:w="1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5,677,860</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5,539,739</w:t>
            </w: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5,691,643</w:t>
            </w: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5,164,564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12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6"/>
                <w:szCs w:val="16"/>
                <w:color w:val="auto"/>
              </w:rPr>
              <w:t>Diluted</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5,564,140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5,677,860</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5,539,739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5,691,643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5,164,564</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7"/>
                <w:szCs w:val="17"/>
                <w:color w:val="auto"/>
              </w:rPr>
              <w:t>Pro forma (loss)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120" w:type="dxa"/>
            <w:vAlign w:val="bottom"/>
            <w:gridSpan w:val="2"/>
          </w:tcPr>
          <w:p>
            <w:pPr>
              <w:ind w:left="180"/>
              <w:spacing w:after="0" w:line="253" w:lineRule="exact"/>
              <w:rPr>
                <w:sz w:val="20"/>
                <w:szCs w:val="20"/>
                <w:color w:val="auto"/>
              </w:rPr>
            </w:pPr>
            <w:r>
              <w:rPr>
                <w:rFonts w:ascii="Arial" w:cs="Arial" w:eastAsia="Arial" w:hAnsi="Arial"/>
                <w:sz w:val="17"/>
                <w:szCs w:val="17"/>
                <w:color w:val="auto"/>
              </w:rPr>
              <w:t>(unaudited)</w:t>
            </w:r>
            <w:r>
              <w:rPr>
                <w:rFonts w:ascii="Arial" w:cs="Arial" w:eastAsia="Arial" w:hAnsi="Arial"/>
                <w:sz w:val="28"/>
                <w:szCs w:val="28"/>
                <w:color w:val="auto"/>
                <w:vertAlign w:val="superscript"/>
              </w:rPr>
              <w:t>(3)</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(0.08)</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7"/>
        </w:trPr>
        <w:tc>
          <w:tcPr>
            <w:tcW w:w="3120" w:type="dxa"/>
            <w:vAlign w:val="bottom"/>
            <w:gridSpan w:val="2"/>
          </w:tcPr>
          <w:p>
            <w:pPr>
              <w:ind w:left="34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(0.08)</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gridSpan w:val="2"/>
            <w:shd w:val="clear" w:color="auto" w:fill="CCEEFF"/>
          </w:tcPr>
          <w:p>
            <w:pPr>
              <w:spacing w:after="0" w:line="177" w:lineRule="exact"/>
              <w:rPr>
                <w:sz w:val="20"/>
                <w:szCs w:val="20"/>
                <w:color w:val="auto"/>
              </w:rPr>
            </w:pPr>
            <w:r>
              <w:rPr>
                <w:rFonts w:ascii="Arial" w:cs="Arial" w:eastAsia="Arial" w:hAnsi="Arial"/>
                <w:sz w:val="17"/>
                <w:szCs w:val="17"/>
                <w:color w:val="auto"/>
              </w:rPr>
              <w:t>Weighted-average shares used in</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computing pro forma net (loss)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120" w:type="dxa"/>
            <w:vAlign w:val="bottom"/>
            <w:gridSpan w:val="2"/>
            <w:shd w:val="clear" w:color="auto" w:fill="CCEEFF"/>
          </w:tcPr>
          <w:p>
            <w:pPr>
              <w:ind w:left="180"/>
              <w:spacing w:after="0" w:line="253" w:lineRule="exact"/>
              <w:rPr>
                <w:sz w:val="20"/>
                <w:szCs w:val="20"/>
                <w:color w:val="auto"/>
              </w:rPr>
            </w:pPr>
            <w:r>
              <w:rPr>
                <w:rFonts w:ascii="Arial" w:cs="Arial" w:eastAsia="Arial" w:hAnsi="Arial"/>
                <w:sz w:val="17"/>
                <w:szCs w:val="17"/>
                <w:color w:val="auto"/>
              </w:rPr>
              <w:t>per share (unaudited)</w:t>
            </w:r>
            <w:r>
              <w:rPr>
                <w:rFonts w:ascii="Arial" w:cs="Arial" w:eastAsia="Arial" w:hAnsi="Arial"/>
                <w:sz w:val="28"/>
                <w:szCs w:val="28"/>
                <w:color w:val="auto"/>
                <w:vertAlign w:val="superscript"/>
              </w:rPr>
              <w:t>(2)(3)</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12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71,499,944</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70,592,652</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71,499,944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81,561,714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660" w:type="dxa"/>
            <w:vAlign w:val="bottom"/>
            <w:tcBorders>
              <w:bottom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840" w:hanging="515"/>
        <w:spacing w:after="0"/>
        <w:tabs>
          <w:tab w:leader="none" w:pos="18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Year Ended</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3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December 31,</w:t>
            </w: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3"/>
                <w:szCs w:val="13"/>
                <w:b w:val="1"/>
                <w:bCs w:val="1"/>
                <w:color w:val="auto"/>
                <w:w w:val="88"/>
              </w:rPr>
              <w:t>June 30,</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3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5"/>
              <w:spacing w:after="0" w:line="136" w:lineRule="exact"/>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5"/>
              <w:spacing w:after="0" w:line="136" w:lineRule="exact"/>
              <w:rPr>
                <w:sz w:val="20"/>
                <w:szCs w:val="20"/>
                <w:color w:val="auto"/>
              </w:rPr>
            </w:pPr>
            <w:r>
              <w:rPr>
                <w:rFonts w:ascii="Arial" w:cs="Arial" w:eastAsia="Arial" w:hAnsi="Arial"/>
                <w:sz w:val="13"/>
                <w:szCs w:val="13"/>
                <w:b w:val="1"/>
                <w:bCs w:val="1"/>
                <w:color w:val="auto"/>
                <w:w w:val="89"/>
              </w:rPr>
              <w:t>2017</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2018</w:t>
            </w:r>
          </w:p>
        </w:tc>
        <w:tc>
          <w:tcPr>
            <w:tcW w:w="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5"/>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95"/>
              <w:spacing w:after="0" w:line="136"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95"/>
              <w:spacing w:after="0" w:line="136" w:lineRule="exact"/>
              <w:rPr>
                <w:sz w:val="20"/>
                <w:szCs w:val="20"/>
                <w:color w:val="auto"/>
              </w:rPr>
            </w:pPr>
            <w:r>
              <w:rPr>
                <w:rFonts w:ascii="Arial" w:cs="Arial" w:eastAsia="Arial" w:hAnsi="Arial"/>
                <w:sz w:val="13"/>
                <w:szCs w:val="13"/>
                <w:b w:val="1"/>
                <w:bCs w:val="1"/>
                <w:color w:val="auto"/>
                <w:w w:val="93"/>
              </w:rPr>
              <w:t>(unaudited)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jc w:val="center"/>
              <w:ind w:left="375"/>
              <w:spacing w:after="0" w:line="136" w:lineRule="exact"/>
              <w:rPr>
                <w:sz w:val="20"/>
                <w:szCs w:val="20"/>
                <w:color w:val="auto"/>
              </w:rPr>
            </w:pPr>
            <w:r>
              <w:rPr>
                <w:rFonts w:ascii="Arial" w:cs="Arial" w:eastAsia="Arial" w:hAnsi="Arial"/>
                <w:sz w:val="13"/>
                <w:szCs w:val="13"/>
                <w:b w:val="1"/>
                <w:bCs w:val="1"/>
                <w:color w:val="auto"/>
                <w:w w:val="90"/>
              </w:rPr>
              <w:t>(unaudited)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2"/>
        </w:trPr>
        <w:tc>
          <w:tcPr>
            <w:tcW w:w="31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Cost of services</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26</w:t>
            </w:r>
          </w:p>
        </w:tc>
        <w:tc>
          <w:tcPr>
            <w:tcW w:w="640" w:type="dxa"/>
            <w:vAlign w:val="bottom"/>
            <w:shd w:val="clear" w:color="auto" w:fill="CCEEFF"/>
          </w:tcPr>
          <w:p>
            <w:pPr>
              <w:jc w:val="right"/>
              <w:ind w:right="495"/>
              <w:spacing w:after="0" w:line="143"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96</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38</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125</w:t>
            </w:r>
          </w:p>
        </w:tc>
      </w:tr>
      <w:tr>
        <w:trPr>
          <w:trHeight w:val="142"/>
        </w:trPr>
        <w:tc>
          <w:tcPr>
            <w:tcW w:w="3180" w:type="dxa"/>
            <w:vAlign w:val="bottom"/>
          </w:tcPr>
          <w:p>
            <w:pPr>
              <w:ind w:left="260"/>
              <w:spacing w:after="0" w:line="143" w:lineRule="exact"/>
              <w:rPr>
                <w:sz w:val="20"/>
                <w:szCs w:val="20"/>
                <w:color w:val="auto"/>
              </w:rPr>
            </w:pPr>
            <w:r>
              <w:rPr>
                <w:rFonts w:ascii="Arial" w:cs="Arial" w:eastAsia="Arial" w:hAnsi="Arial"/>
                <w:sz w:val="13"/>
                <w:szCs w:val="13"/>
                <w:color w:val="auto"/>
              </w:rPr>
              <w:t>Selling and marketing</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131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309</w:t>
            </w:r>
          </w:p>
        </w:tc>
        <w:tc>
          <w:tcPr>
            <w:tcW w:w="640" w:type="dxa"/>
            <w:vAlign w:val="bottom"/>
          </w:tcPr>
          <w:p>
            <w:pPr>
              <w:spacing w:after="0"/>
              <w:rPr>
                <w:sz w:val="12"/>
                <w:szCs w:val="12"/>
                <w:color w:val="auto"/>
              </w:rPr>
            </w:pPr>
          </w:p>
        </w:tc>
        <w:tc>
          <w:tcPr>
            <w:tcW w:w="4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366</w:t>
            </w:r>
          </w:p>
        </w:tc>
        <w:tc>
          <w:tcPr>
            <w:tcW w:w="220" w:type="dxa"/>
            <w:vAlign w:val="bottom"/>
          </w:tcPr>
          <w:p>
            <w:pPr>
              <w:spacing w:after="0"/>
              <w:rPr>
                <w:sz w:val="12"/>
                <w:szCs w:val="12"/>
                <w:color w:val="auto"/>
              </w:rPr>
            </w:pPr>
          </w:p>
        </w:tc>
        <w:tc>
          <w:tcPr>
            <w:tcW w:w="9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177</w:t>
            </w:r>
          </w:p>
        </w:tc>
        <w:tc>
          <w:tcPr>
            <w:tcW w:w="300" w:type="dxa"/>
            <w:vAlign w:val="bottom"/>
          </w:tcPr>
          <w:p>
            <w:pPr>
              <w:spacing w:after="0"/>
              <w:rPr>
                <w:sz w:val="12"/>
                <w:szCs w:val="12"/>
                <w:color w:val="auto"/>
              </w:rPr>
            </w:pP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261</w:t>
            </w:r>
          </w:p>
        </w:tc>
      </w:tr>
      <w:tr>
        <w:trPr>
          <w:trHeight w:val="142"/>
        </w:trPr>
        <w:tc>
          <w:tcPr>
            <w:tcW w:w="31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593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1,224</w:t>
            </w:r>
          </w:p>
        </w:tc>
        <w:tc>
          <w:tcPr>
            <w:tcW w:w="6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w w:val="92"/>
              </w:rPr>
              <w:t>2,535</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1,293</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1,143</w:t>
            </w:r>
          </w:p>
        </w:tc>
      </w:tr>
      <w:tr>
        <w:trPr>
          <w:trHeight w:val="135"/>
        </w:trPr>
        <w:tc>
          <w:tcPr>
            <w:tcW w:w="3180" w:type="dxa"/>
            <w:vAlign w:val="bottom"/>
          </w:tcPr>
          <w:p>
            <w:pPr>
              <w:ind w:left="260"/>
              <w:spacing w:after="0" w:line="136" w:lineRule="exact"/>
              <w:rPr>
                <w:sz w:val="20"/>
                <w:szCs w:val="20"/>
                <w:color w:val="auto"/>
              </w:rPr>
            </w:pPr>
            <w:r>
              <w:rPr>
                <w:rFonts w:ascii="Arial" w:cs="Arial" w:eastAsia="Arial" w:hAnsi="Arial"/>
                <w:sz w:val="13"/>
                <w:szCs w:val="13"/>
                <w:color w:val="auto"/>
              </w:rPr>
              <w:t>Total stock-based compensation expense</w:t>
            </w:r>
          </w:p>
        </w:tc>
        <w:tc>
          <w:tcPr>
            <w:tcW w:w="1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728</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1,559</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495"/>
              <w:spacing w:after="0" w:line="136"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92"/>
              </w:rPr>
              <w:t>2,997</w:t>
            </w:r>
          </w:p>
        </w:tc>
        <w:tc>
          <w:tcPr>
            <w:tcW w:w="1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1,508</w:t>
            </w:r>
          </w:p>
        </w:tc>
        <w:tc>
          <w:tcPr>
            <w:tcW w:w="1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1,529</w:t>
            </w:r>
          </w:p>
        </w:tc>
        <w:tc>
          <w:tcPr>
            <w:tcW w:w="140" w:type="dxa"/>
            <w:vAlign w:val="bottom"/>
          </w:tcPr>
          <w:p>
            <w:pPr>
              <w:spacing w:after="0"/>
              <w:rPr>
                <w:sz w:val="11"/>
                <w:szCs w:val="1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ind w:left="1840" w:hanging="515"/>
        <w:spacing w:after="0"/>
        <w:tabs>
          <w:tab w:leader="none" w:pos="18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Note 6 to our consolidated financial statements included elsewhere in this prospectus for further information about a certain divestiture.</w:t>
      </w:r>
    </w:p>
    <w:p>
      <w:pPr>
        <w:spacing w:after="0" w:line="122" w:lineRule="exact"/>
        <w:rPr>
          <w:rFonts w:ascii="Arial" w:cs="Arial" w:eastAsia="Arial" w:hAnsi="Arial"/>
          <w:sz w:val="13"/>
          <w:szCs w:val="13"/>
          <w:color w:val="auto"/>
        </w:rPr>
      </w:pPr>
    </w:p>
    <w:p>
      <w:pPr>
        <w:ind w:left="1840" w:hanging="515"/>
        <w:spacing w:after="0" w:line="239" w:lineRule="auto"/>
        <w:tabs>
          <w:tab w:leader="none" w:pos="18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Note 15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 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6287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6780" cy="628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320" w:type="dxa"/>
        <w:tblCellMar>
          <w:top w:w="0" w:type="dxa"/>
          <w:left w:w="0" w:type="dxa"/>
          <w:bottom w:w="0" w:type="dxa"/>
          <w:right w:w="0" w:type="dxa"/>
        </w:tblCellMar>
      </w:tblPr>
      <w:tr>
        <w:trPr>
          <w:trHeight w:val="155"/>
        </w:trPr>
        <w:tc>
          <w:tcPr>
            <w:tcW w:w="23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w w:val="92"/>
              </w:rPr>
              <w:t>June 30, 2019</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18"/>
        </w:trPr>
        <w:tc>
          <w:tcPr>
            <w:tcW w:w="23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0"/>
                <w:szCs w:val="10"/>
                <w:color w:val="auto"/>
              </w:rPr>
            </w:pPr>
          </w:p>
        </w:tc>
      </w:tr>
      <w:tr>
        <w:trPr>
          <w:trHeight w:val="186"/>
        </w:trPr>
        <w:tc>
          <w:tcPr>
            <w:tcW w:w="23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Actual</w:t>
            </w:r>
          </w:p>
        </w:tc>
        <w:tc>
          <w:tcPr>
            <w:tcW w:w="900" w:type="dxa"/>
            <w:vAlign w:val="bottom"/>
            <w:gridSpan w:val="3"/>
          </w:tcPr>
          <w:p>
            <w:pPr>
              <w:jc w:val="right"/>
              <w:ind w:right="160"/>
              <w:spacing w:after="0" w:line="186" w:lineRule="exact"/>
              <w:rPr>
                <w:sz w:val="20"/>
                <w:szCs w:val="20"/>
                <w:color w:val="auto"/>
              </w:rPr>
            </w:pPr>
            <w:r>
              <w:rPr>
                <w:rFonts w:ascii="Arial" w:cs="Arial" w:eastAsia="Arial" w:hAnsi="Arial"/>
                <w:sz w:val="13"/>
                <w:szCs w:val="13"/>
                <w:b w:val="1"/>
                <w:bCs w:val="1"/>
                <w:color w:val="auto"/>
                <w:w w:val="87"/>
              </w:rPr>
              <w:t>Pro Forma</w:t>
            </w:r>
            <w:r>
              <w:rPr>
                <w:rFonts w:ascii="Arial" w:cs="Arial" w:eastAsia="Arial" w:hAnsi="Arial"/>
                <w:sz w:val="21"/>
                <w:szCs w:val="21"/>
                <w:b w:val="1"/>
                <w:bCs w:val="1"/>
                <w:color w:val="auto"/>
                <w:w w:val="87"/>
                <w:vertAlign w:val="superscript"/>
              </w:rPr>
              <w:t>(1)</w:t>
            </w:r>
          </w:p>
        </w:tc>
        <w:tc>
          <w:tcPr>
            <w:tcW w:w="1000" w:type="dxa"/>
            <w:vAlign w:val="bottom"/>
            <w:gridSpan w:val="3"/>
          </w:tcPr>
          <w:p>
            <w:pPr>
              <w:ind w:left="20"/>
              <w:spacing w:after="0" w:line="186"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21"/>
                <w:szCs w:val="21"/>
                <w:b w:val="1"/>
                <w:bCs w:val="1"/>
                <w:color w:val="auto"/>
                <w:vertAlign w:val="superscript"/>
              </w:rPr>
              <w:t>(2)</w:t>
            </w:r>
          </w:p>
        </w:tc>
      </w:tr>
      <w:tr>
        <w:trPr>
          <w:trHeight w:val="135"/>
        </w:trPr>
        <w:tc>
          <w:tcPr>
            <w:tcW w:w="2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3"/>
                <w:szCs w:val="13"/>
                <w:b w:val="1"/>
                <w:bCs w:val="1"/>
                <w:color w:val="auto"/>
                <w:w w:val="80"/>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7"/>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7"/>
        </w:trPr>
        <w:tc>
          <w:tcPr>
            <w:tcW w:w="598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298</w:t>
            </w:r>
          </w:p>
        </w:tc>
        <w:tc>
          <w:tcPr>
            <w:tcW w:w="180" w:type="dxa"/>
            <w:vAlign w:val="bottom"/>
          </w:tcPr>
          <w:p>
            <w:pPr>
              <w:jc w:val="right"/>
              <w:ind w:right="3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78,019</w:t>
            </w:r>
          </w:p>
        </w:tc>
      </w:tr>
      <w:tr>
        <w:trPr>
          <w:trHeight w:val="207"/>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63,082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63,082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140,803</w:t>
            </w:r>
          </w:p>
        </w:tc>
      </w:tr>
      <w:tr>
        <w:trPr>
          <w:trHeight w:val="246"/>
        </w:trPr>
        <w:tc>
          <w:tcPr>
            <w:tcW w:w="5980" w:type="dxa"/>
            <w:vAlign w:val="bottom"/>
            <w:gridSpan w:val="2"/>
          </w:tcPr>
          <w:p>
            <w:pPr>
              <w:spacing w:after="0" w:line="246" w:lineRule="exact"/>
              <w:rPr>
                <w:sz w:val="20"/>
                <w:szCs w:val="20"/>
                <w:color w:val="auto"/>
              </w:rPr>
            </w:pPr>
            <w:r>
              <w:rPr>
                <w:rFonts w:ascii="Arial" w:cs="Arial" w:eastAsia="Arial" w:hAnsi="Arial"/>
                <w:sz w:val="17"/>
                <w:szCs w:val="17"/>
                <w:color w:val="auto"/>
              </w:rPr>
              <w:t>Working capital</w:t>
            </w:r>
            <w:r>
              <w:rPr>
                <w:rFonts w:ascii="Arial" w:cs="Arial" w:eastAsia="Arial" w:hAnsi="Arial"/>
                <w:sz w:val="28"/>
                <w:szCs w:val="28"/>
                <w:color w:val="auto"/>
                <w:vertAlign w:val="superscript"/>
              </w:rPr>
              <w:t>(3)</w:t>
            </w:r>
          </w:p>
        </w:tc>
        <w:tc>
          <w:tcPr>
            <w:tcW w:w="1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(547)</w:t>
            </w:r>
          </w:p>
        </w:tc>
        <w:tc>
          <w:tcPr>
            <w:tcW w:w="1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5,235</w:t>
            </w:r>
          </w:p>
        </w:tc>
        <w:tc>
          <w:tcPr>
            <w:tcW w:w="1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82,956</w:t>
            </w:r>
          </w:p>
        </w:tc>
      </w:tr>
      <w:tr>
        <w:trPr>
          <w:trHeight w:val="207"/>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Convertible preferred stock warrant liability</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5,782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4"/>
        </w:trPr>
        <w:tc>
          <w:tcPr>
            <w:tcW w:w="5980" w:type="dxa"/>
            <w:vAlign w:val="bottom"/>
            <w:gridSpan w:val="2"/>
          </w:tcPr>
          <w:p>
            <w:pPr>
              <w:spacing w:after="0"/>
              <w:rPr>
                <w:sz w:val="20"/>
                <w:szCs w:val="20"/>
                <w:color w:val="auto"/>
              </w:rPr>
            </w:pPr>
            <w:r>
              <w:rPr>
                <w:rFonts w:ascii="Arial" w:cs="Arial" w:eastAsia="Arial" w:hAnsi="Arial"/>
                <w:sz w:val="17"/>
                <w:szCs w:val="17"/>
                <w:color w:val="auto"/>
              </w:rPr>
              <w:t>Total stockholders' (deficit) equity</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(89,514)</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22,505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100,226</w:t>
            </w:r>
          </w:p>
        </w:tc>
      </w:tr>
      <w:tr>
        <w:trPr>
          <w:trHeight w:val="97"/>
        </w:trPr>
        <w:tc>
          <w:tcPr>
            <w:tcW w:w="232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5" w:lineRule="exact"/>
        <w:rPr>
          <w:sz w:val="20"/>
          <w:szCs w:val="20"/>
          <w:color w:val="auto"/>
        </w:rPr>
      </w:pPr>
    </w:p>
    <w:p>
      <w:pPr>
        <w:ind w:left="1840" w:right="140" w:hanging="515"/>
        <w:spacing w:after="0" w:line="262" w:lineRule="auto"/>
        <w:tabs>
          <w:tab w:leader="none" w:pos="18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pro forma consolidated balance sheet data gives effect to (a) the automatic conversion of all of our outstanding shares of convertible preferred stock into 65,428,088 shares of common stock in connection with this offering, (b) the conversion of outstanding convertible preferred stock warrants to warrants to purchase 2,019,245 shares of our common stock, and the resulting reclassification of the convertible preferred stock warrant liability to additional paid-in capital in connection with this offering; and (c) the filing and effectiveness of our amended and restated certificate of incorporation that will be in effect on the completion of this offering.</w:t>
      </w:r>
    </w:p>
    <w:p>
      <w:pPr>
        <w:spacing w:after="0" w:line="95" w:lineRule="exact"/>
        <w:rPr>
          <w:rFonts w:ascii="Arial" w:cs="Arial" w:eastAsia="Arial" w:hAnsi="Arial"/>
          <w:sz w:val="12"/>
          <w:szCs w:val="12"/>
          <w:color w:val="auto"/>
        </w:rPr>
      </w:pPr>
    </w:p>
    <w:p>
      <w:pPr>
        <w:ind w:left="1840" w:right="60" w:hanging="515"/>
        <w:spacing w:after="0" w:line="239" w:lineRule="auto"/>
        <w:tabs>
          <w:tab w:leader="none" w:pos="18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pro forma as adjusted consolidated balance sheet data reflects (a) the items described in footnote (1) above and (b) our receipt of estimated net proceeds from the sale of shares of common stock that we are offering at the initial public offering price of $13.00 per share, after deducting the underwriting discounts and commissions and estimated offering expenses payable by us.</w:t>
      </w:r>
    </w:p>
    <w:p>
      <w:pPr>
        <w:spacing w:after="0" w:line="109" w:lineRule="exact"/>
        <w:rPr>
          <w:rFonts w:ascii="Arial" w:cs="Arial" w:eastAsia="Arial" w:hAnsi="Arial"/>
          <w:sz w:val="13"/>
          <w:szCs w:val="13"/>
          <w:color w:val="auto"/>
        </w:rPr>
      </w:pPr>
    </w:p>
    <w:p>
      <w:pPr>
        <w:ind w:left="1840" w:hanging="515"/>
        <w:spacing w:after="0"/>
        <w:tabs>
          <w:tab w:leader="none" w:pos="18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Working capital is defined as current assets less current liabilities.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Non-GAAP Financial Measure—Adjusted EBITDA</w:t>
      </w:r>
    </w:p>
    <w:p>
      <w:pPr>
        <w:spacing w:after="0" w:line="211"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Year Ended</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1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December 31,</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left="391"/>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16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89"/>
              <w:spacing w:after="0" w:line="136" w:lineRule="exact"/>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1"/>
              <w:spacing w:after="0" w:line="136"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8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1"/>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86"/>
              <w:spacing w:after="0" w:line="136"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1"/>
                <w:szCs w:val="11"/>
                <w:color w:val="auto"/>
              </w:rPr>
            </w:pPr>
          </w:p>
        </w:tc>
      </w:tr>
      <w:tr>
        <w:trPr>
          <w:trHeight w:val="122"/>
        </w:trPr>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49"/>
              <w:spacing w:after="0" w:line="123" w:lineRule="exact"/>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jc w:val="center"/>
              <w:ind w:left="371"/>
              <w:spacing w:after="0" w:line="123" w:lineRule="exact"/>
              <w:rPr>
                <w:sz w:val="20"/>
                <w:szCs w:val="20"/>
                <w:color w:val="auto"/>
              </w:rPr>
            </w:pPr>
            <w:r>
              <w:rPr>
                <w:rFonts w:ascii="Arial" w:cs="Arial" w:eastAsia="Arial" w:hAnsi="Arial"/>
                <w:sz w:val="13"/>
                <w:szCs w:val="13"/>
                <w:b w:val="1"/>
                <w:bCs w:val="1"/>
                <w:color w:val="auto"/>
                <w:w w:val="90"/>
              </w:rPr>
              <w:t>(unaudited)</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5"/>
        </w:trPr>
        <w:tc>
          <w:tcPr>
            <w:tcW w:w="1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w w:val="87"/>
              </w:rPr>
              <w:t>(in thousands, except share and per share data)</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7"/>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Non-GAAP Financial Measure: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349"/>
        </w:trPr>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(1)</w:t>
            </w:r>
          </w:p>
        </w:tc>
        <w:tc>
          <w:tcPr>
            <w:tcW w:w="1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(12,109)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(7,887)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1,428</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267</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8,929</w:t>
            </w:r>
          </w:p>
        </w:tc>
      </w:tr>
    </w:tbl>
    <w:p>
      <w:pPr>
        <w:spacing w:after="0" w:line="185" w:lineRule="exact"/>
        <w:rPr>
          <w:sz w:val="20"/>
          <w:szCs w:val="20"/>
          <w:color w:val="auto"/>
        </w:rPr>
      </w:pPr>
    </w:p>
    <w:p>
      <w:pPr>
        <w:ind w:left="1840" w:hanging="515"/>
        <w:spacing w:after="0"/>
        <w:tabs>
          <w:tab w:leader="none" w:pos="18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calculate Adjusted EBITDA as net (loss) income from continuing operations, adjusted to exclude: (a) depreciation and amortization; (b) stock-based compensation expense;</w:t>
      </w:r>
    </w:p>
    <w:p>
      <w:pPr>
        <w:spacing w:after="0" w:line="14" w:lineRule="exact"/>
        <w:rPr>
          <w:rFonts w:ascii="Arial" w:cs="Arial" w:eastAsia="Arial" w:hAnsi="Arial"/>
          <w:sz w:val="12"/>
          <w:szCs w:val="12"/>
          <w:color w:val="auto"/>
        </w:rPr>
      </w:pPr>
    </w:p>
    <w:p>
      <w:pPr>
        <w:ind w:left="1840" w:right="200"/>
        <w:spacing w:after="0" w:line="237" w:lineRule="auto"/>
        <w:rPr>
          <w:rFonts w:ascii="Arial" w:cs="Arial" w:eastAsia="Arial" w:hAnsi="Arial"/>
          <w:sz w:val="12"/>
          <w:szCs w:val="12"/>
          <w:color w:val="auto"/>
        </w:rPr>
      </w:pPr>
      <w:r>
        <w:rPr>
          <w:rFonts w:ascii="Arial" w:cs="Arial" w:eastAsia="Arial" w:hAnsi="Arial"/>
          <w:sz w:val="13"/>
          <w:szCs w:val="13"/>
          <w:color w:val="auto"/>
        </w:rPr>
        <w:t>(c) interest expense, net; (d) convertible preferred stock warrant valuation adjustment; (e) provision (benefit) for income taxes; (f) legal fees associated with a vendor arbitration; and (g) non-deferred costs associated with this offering.</w:t>
      </w:r>
    </w:p>
    <w:p>
      <w:pPr>
        <w:spacing w:after="0" w:line="186" w:lineRule="exact"/>
        <w:rPr>
          <w:sz w:val="20"/>
          <w:szCs w:val="20"/>
          <w:color w:val="auto"/>
        </w:rPr>
      </w:pPr>
    </w:p>
    <w:p>
      <w:pPr>
        <w:ind w:left="1840"/>
        <w:spacing w:after="0" w:line="235" w:lineRule="auto"/>
        <w:rPr>
          <w:sz w:val="20"/>
          <w:szCs w:val="20"/>
          <w:color w:val="auto"/>
        </w:rPr>
      </w:pPr>
      <w:r>
        <w:rPr>
          <w:rFonts w:ascii="Arial" w:cs="Arial" w:eastAsia="Arial" w:hAnsi="Arial"/>
          <w:sz w:val="13"/>
          <w:szCs w:val="13"/>
          <w:color w:val="auto"/>
        </w:rPr>
        <w:t>Adjusted EBITDA is a financial measure that is not required by, or presented in accordance with GAAP. We believe that Adjusted EBITDA, when taken together with our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86" w:lineRule="exact"/>
        <w:rPr>
          <w:sz w:val="20"/>
          <w:szCs w:val="20"/>
          <w:color w:val="auto"/>
        </w:rPr>
      </w:pPr>
    </w:p>
    <w:p>
      <w:pPr>
        <w:ind w:left="1840" w:right="100"/>
        <w:spacing w:after="0" w:line="252" w:lineRule="auto"/>
        <w:rPr>
          <w:sz w:val="20"/>
          <w:szCs w:val="20"/>
          <w:color w:val="auto"/>
        </w:rPr>
      </w:pPr>
      <w:r>
        <w:rPr>
          <w:rFonts w:ascii="Arial" w:cs="Arial" w:eastAsia="Arial" w:hAnsi="Arial"/>
          <w:sz w:val="12"/>
          <w:szCs w:val="12"/>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net; (5) it does not consider the impact of any stock warrant valuation adjustment; (6) it does not reflect tax payments that may represent a reduction in cash available to us; (7) it does not include legal fees that may be payable in connection with vendor arbitration; and (8) it does not include non-deferred costs associated with this offering.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(loss) income from continuing operations and other GAAP results.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665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678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40"/>
        <w:spacing w:after="0" w:line="250" w:lineRule="auto"/>
        <w:rPr>
          <w:sz w:val="20"/>
          <w:szCs w:val="20"/>
          <w:color w:val="auto"/>
        </w:rPr>
      </w:pPr>
      <w:r>
        <w:rPr>
          <w:rFonts w:ascii="Arial" w:cs="Arial" w:eastAsia="Arial" w:hAnsi="Arial"/>
          <w:sz w:val="13"/>
          <w:szCs w:val="13"/>
          <w:color w:val="auto"/>
        </w:rPr>
        <w:t>The following table presents a reconciliation of Adjusted EBITDA to net (loss) income from continuing operations, the most directly comparable financial measure stated in accordance with GAAP for each of the periods presented:</w:t>
      </w:r>
    </w:p>
    <w:p>
      <w:pPr>
        <w:spacing w:after="0" w:line="169"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5"/>
              </w:rPr>
              <w:t>Year 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left="275"/>
              <w:spacing w:after="0"/>
              <w:rPr>
                <w:sz w:val="20"/>
                <w:szCs w:val="20"/>
                <w:color w:val="auto"/>
              </w:rPr>
            </w:pPr>
            <w:r>
              <w:rPr>
                <w:rFonts w:ascii="Arial" w:cs="Arial" w:eastAsia="Arial" w:hAnsi="Arial"/>
                <w:sz w:val="13"/>
                <w:szCs w:val="13"/>
                <w:b w:val="1"/>
                <w:bCs w:val="1"/>
                <w:color w:val="auto"/>
                <w:w w:val="92"/>
              </w:rPr>
              <w:t>Six Months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auto"/>
                <w:w w:val="94"/>
              </w:rPr>
              <w:t>December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88"/>
              </w:rPr>
              <w:t>Ended June 30,</w:t>
            </w:r>
          </w:p>
        </w:tc>
      </w:tr>
      <w:tr>
        <w:trPr>
          <w:trHeight w:val="135"/>
        </w:trPr>
        <w:tc>
          <w:tcPr>
            <w:tcW w:w="2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5"/>
              <w:spacing w:after="0" w:line="136" w:lineRule="exact"/>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5"/>
              <w:spacing w:after="0" w:line="136" w:lineRule="exact"/>
              <w:rPr>
                <w:sz w:val="20"/>
                <w:szCs w:val="20"/>
                <w:color w:val="auto"/>
              </w:rPr>
            </w:pPr>
            <w:r>
              <w:rPr>
                <w:rFonts w:ascii="Arial" w:cs="Arial" w:eastAsia="Arial" w:hAnsi="Arial"/>
                <w:sz w:val="13"/>
                <w:szCs w:val="13"/>
                <w:b w:val="1"/>
                <w:bCs w:val="1"/>
                <w:color w:val="auto"/>
              </w:rPr>
              <w:t>2017</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5"/>
              <w:spacing w:after="0" w:line="136"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5"/>
              <w:spacing w:after="0" w:line="136"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75"/>
              <w:spacing w:after="0" w:line="136" w:lineRule="exact"/>
              <w:rPr>
                <w:sz w:val="20"/>
                <w:szCs w:val="20"/>
                <w:color w:val="auto"/>
              </w:rPr>
            </w:pPr>
            <w:r>
              <w:rPr>
                <w:rFonts w:ascii="Arial" w:cs="Arial" w:eastAsia="Arial" w:hAnsi="Arial"/>
                <w:sz w:val="13"/>
                <w:szCs w:val="13"/>
                <w:b w:val="1"/>
                <w:bCs w:val="1"/>
                <w:color w:val="auto"/>
                <w:w w:val="82"/>
              </w:rPr>
              <w:t>2019</w:t>
            </w:r>
          </w:p>
        </w:tc>
        <w:tc>
          <w:tcPr>
            <w:tcW w:w="140" w:type="dxa"/>
            <w:vAlign w:val="bottom"/>
          </w:tcPr>
          <w:p>
            <w:pPr>
              <w:spacing w:after="0"/>
              <w:rPr>
                <w:sz w:val="11"/>
                <w:szCs w:val="11"/>
                <w:color w:val="auto"/>
              </w:rPr>
            </w:pPr>
          </w:p>
        </w:tc>
      </w:tr>
      <w:tr>
        <w:trPr>
          <w:trHeight w:val="135"/>
        </w:trPr>
        <w:tc>
          <w:tcPr>
            <w:tcW w:w="2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w w:val="78"/>
              </w:rPr>
              <w:t>(in thousands)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2"/>
        </w:trPr>
        <w:tc>
          <w:tcPr>
            <w:tcW w:w="320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Net (loss) income from continuing operations</w:t>
            </w:r>
          </w:p>
        </w:tc>
        <w:tc>
          <w:tcPr>
            <w:tcW w:w="160" w:type="dxa"/>
            <w:vAlign w:val="bottom"/>
            <w:gridSpan w:val="2"/>
            <w:shd w:val="clear" w:color="auto" w:fill="CCEEFF"/>
          </w:tcPr>
          <w:p>
            <w:pPr>
              <w:jc w:val="right"/>
              <w:ind w:right="31"/>
              <w:spacing w:after="0" w:line="143"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(11,833)</w:t>
            </w:r>
          </w:p>
        </w:tc>
        <w:tc>
          <w:tcPr>
            <w:tcW w:w="22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(12,456)</w:t>
            </w:r>
          </w:p>
        </w:tc>
        <w:tc>
          <w:tcPr>
            <w:tcW w:w="220" w:type="dxa"/>
            <w:vAlign w:val="bottom"/>
            <w:gridSpan w:val="2"/>
            <w:shd w:val="clear" w:color="auto" w:fill="CCEEFF"/>
          </w:tcPr>
          <w:p>
            <w:pPr>
              <w:jc w:val="right"/>
              <w:ind w:right="23"/>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(5,116)</w:t>
            </w:r>
          </w:p>
        </w:tc>
        <w:tc>
          <w:tcPr>
            <w:tcW w:w="220" w:type="dxa"/>
            <w:vAlign w:val="bottom"/>
            <w:gridSpan w:val="2"/>
            <w:shd w:val="clear" w:color="auto" w:fill="CCEEFF"/>
          </w:tcPr>
          <w:p>
            <w:pPr>
              <w:jc w:val="right"/>
              <w:ind w:right="51"/>
              <w:spacing w:after="0" w:line="143"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(2,402)</w:t>
            </w:r>
          </w:p>
        </w:tc>
        <w:tc>
          <w:tcPr>
            <w:tcW w:w="3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4,041</w:t>
            </w:r>
          </w:p>
        </w:tc>
        <w:tc>
          <w:tcPr>
            <w:tcW w:w="140" w:type="dxa"/>
            <w:vAlign w:val="bottom"/>
            <w:shd w:val="clear" w:color="auto" w:fill="CCEEFF"/>
          </w:tcPr>
          <w:p>
            <w:pPr>
              <w:spacing w:after="0"/>
              <w:rPr>
                <w:sz w:val="12"/>
                <w:szCs w:val="12"/>
                <w:color w:val="auto"/>
              </w:rPr>
            </w:pPr>
          </w:p>
        </w:tc>
      </w:tr>
      <w:tr>
        <w:trPr>
          <w:trHeight w:val="142"/>
        </w:trPr>
        <w:tc>
          <w:tcPr>
            <w:tcW w:w="3200" w:type="dxa"/>
            <w:vAlign w:val="bottom"/>
            <w:gridSpan w:val="2"/>
          </w:tcPr>
          <w:p>
            <w:pPr>
              <w:spacing w:after="0" w:line="143" w:lineRule="exact"/>
              <w:rPr>
                <w:sz w:val="20"/>
                <w:szCs w:val="20"/>
                <w:color w:val="auto"/>
              </w:rPr>
            </w:pPr>
            <w:r>
              <w:rPr>
                <w:rFonts w:ascii="Arial" w:cs="Arial" w:eastAsia="Arial" w:hAnsi="Arial"/>
                <w:sz w:val="13"/>
                <w:szCs w:val="13"/>
                <w:color w:val="auto"/>
              </w:rPr>
              <w:t>Add: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320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3"/>
                <w:szCs w:val="13"/>
                <w:color w:val="auto"/>
              </w:rPr>
              <w:t>Depreciation and amortization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1,700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1,559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1,883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921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1,060</w:t>
            </w:r>
          </w:p>
        </w:tc>
        <w:tc>
          <w:tcPr>
            <w:tcW w:w="140" w:type="dxa"/>
            <w:vAlign w:val="bottom"/>
            <w:shd w:val="clear" w:color="auto" w:fill="CCEEFF"/>
          </w:tcPr>
          <w:p>
            <w:pPr>
              <w:spacing w:after="0"/>
              <w:rPr>
                <w:sz w:val="12"/>
                <w:szCs w:val="12"/>
                <w:color w:val="auto"/>
              </w:rPr>
            </w:pPr>
          </w:p>
        </w:tc>
      </w:tr>
      <w:tr>
        <w:trPr>
          <w:trHeight w:val="142"/>
        </w:trPr>
        <w:tc>
          <w:tcPr>
            <w:tcW w:w="3200" w:type="dxa"/>
            <w:vAlign w:val="bottom"/>
            <w:gridSpan w:val="2"/>
          </w:tcPr>
          <w:p>
            <w:pPr>
              <w:ind w:left="140"/>
              <w:spacing w:after="0" w:line="143" w:lineRule="exact"/>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728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1,559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2,997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1,508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1,529</w:t>
            </w:r>
          </w:p>
        </w:tc>
        <w:tc>
          <w:tcPr>
            <w:tcW w:w="140" w:type="dxa"/>
            <w:vAlign w:val="bottom"/>
          </w:tcPr>
          <w:p>
            <w:pPr>
              <w:spacing w:after="0"/>
              <w:rPr>
                <w:sz w:val="12"/>
                <w:szCs w:val="12"/>
                <w:color w:val="auto"/>
              </w:rPr>
            </w:pPr>
          </w:p>
        </w:tc>
      </w:tr>
      <w:tr>
        <w:trPr>
          <w:trHeight w:val="142"/>
        </w:trPr>
        <w:tc>
          <w:tcPr>
            <w:tcW w:w="320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3"/>
                <w:szCs w:val="13"/>
                <w:color w:val="auto"/>
              </w:rPr>
              <w:t>Interest expense, net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1,065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166</w:t>
            </w:r>
          </w:p>
        </w:tc>
        <w:tc>
          <w:tcPr>
            <w:tcW w:w="140" w:type="dxa"/>
            <w:vAlign w:val="bottom"/>
            <w:shd w:val="clear" w:color="auto" w:fill="CCEEFF"/>
          </w:tcPr>
          <w:p>
            <w:pPr>
              <w:spacing w:after="0"/>
              <w:rPr>
                <w:sz w:val="12"/>
                <w:szCs w:val="12"/>
                <w:color w:val="auto"/>
              </w:rPr>
            </w:pPr>
          </w:p>
        </w:tc>
      </w:tr>
      <w:tr>
        <w:trPr>
          <w:trHeight w:val="133"/>
        </w:trPr>
        <w:tc>
          <w:tcPr>
            <w:tcW w:w="3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Convertible preferred stock warrant valuation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1"/>
        </w:trPr>
        <w:tc>
          <w:tcPr>
            <w:tcW w:w="3200" w:type="dxa"/>
            <w:vAlign w:val="bottom"/>
            <w:gridSpan w:val="2"/>
          </w:tcPr>
          <w:p>
            <w:pPr>
              <w:ind w:left="280"/>
              <w:spacing w:after="0"/>
              <w:rPr>
                <w:sz w:val="20"/>
                <w:szCs w:val="20"/>
                <w:color w:val="auto"/>
              </w:rPr>
            </w:pPr>
            <w:r>
              <w:rPr>
                <w:rFonts w:ascii="Arial" w:cs="Arial" w:eastAsia="Arial" w:hAnsi="Arial"/>
                <w:sz w:val="13"/>
                <w:szCs w:val="13"/>
                <w:color w:val="auto"/>
              </w:rPr>
              <w:t>adjustment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(741)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2,944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1,193</w:t>
            </w:r>
          </w:p>
        </w:tc>
        <w:tc>
          <w:tcPr>
            <w:tcW w:w="140" w:type="dxa"/>
            <w:vAlign w:val="bottom"/>
          </w:tcPr>
          <w:p>
            <w:pPr>
              <w:spacing w:after="0"/>
              <w:rPr>
                <w:sz w:val="13"/>
                <w:szCs w:val="13"/>
                <w:color w:val="auto"/>
              </w:rPr>
            </w:pPr>
          </w:p>
        </w:tc>
      </w:tr>
      <w:tr>
        <w:trPr>
          <w:trHeight w:val="142"/>
        </w:trPr>
        <w:tc>
          <w:tcPr>
            <w:tcW w:w="320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3"/>
                <w:szCs w:val="13"/>
                <w:color w:val="auto"/>
              </w:rPr>
              <w:t>Provision (benefit) for income taxes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(3,028)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(1,777)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(835)</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2"/>
                <w:szCs w:val="12"/>
                <w:color w:val="auto"/>
              </w:rPr>
            </w:pPr>
          </w:p>
        </w:tc>
      </w:tr>
      <w:tr>
        <w:trPr>
          <w:trHeight w:val="168"/>
        </w:trPr>
        <w:tc>
          <w:tcPr>
            <w:tcW w:w="3200" w:type="dxa"/>
            <w:vAlign w:val="bottom"/>
            <w:gridSpan w:val="2"/>
          </w:tcPr>
          <w:p>
            <w:pPr>
              <w:ind w:left="140"/>
              <w:spacing w:after="0" w:line="168" w:lineRule="exact"/>
              <w:rPr>
                <w:sz w:val="20"/>
                <w:szCs w:val="20"/>
                <w:color w:val="auto"/>
              </w:rPr>
            </w:pPr>
            <w:r>
              <w:rPr>
                <w:rFonts w:ascii="Arial" w:cs="Arial" w:eastAsia="Arial" w:hAnsi="Arial"/>
                <w:sz w:val="12"/>
                <w:szCs w:val="12"/>
                <w:color w:val="auto"/>
              </w:rPr>
              <w:t>Legal fees associated with a vendor arbitration</w:t>
            </w:r>
            <w:r>
              <w:rPr>
                <w:rFonts w:ascii="Arial" w:cs="Arial" w:eastAsia="Arial" w:hAnsi="Arial"/>
                <w:sz w:val="19"/>
                <w:szCs w:val="19"/>
                <w:color w:val="auto"/>
                <w:vertAlign w:val="superscript"/>
              </w:rPr>
              <w:t>(a)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726</w:t>
            </w:r>
          </w:p>
        </w:tc>
        <w:tc>
          <w:tcPr>
            <w:tcW w:w="140" w:type="dxa"/>
            <w:vAlign w:val="bottom"/>
          </w:tcPr>
          <w:p>
            <w:pPr>
              <w:spacing w:after="0"/>
              <w:rPr>
                <w:sz w:val="14"/>
                <w:szCs w:val="14"/>
                <w:color w:val="auto"/>
              </w:rPr>
            </w:pPr>
          </w:p>
        </w:tc>
      </w:tr>
      <w:tr>
        <w:trPr>
          <w:trHeight w:val="142"/>
        </w:trPr>
        <w:tc>
          <w:tcPr>
            <w:tcW w:w="320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3"/>
                <w:szCs w:val="13"/>
                <w:color w:val="auto"/>
              </w:rPr>
              <w:t>IPO costs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150</w:t>
            </w:r>
          </w:p>
        </w:tc>
        <w:tc>
          <w:tcPr>
            <w:tcW w:w="140" w:type="dxa"/>
            <w:vAlign w:val="bottom"/>
            <w:shd w:val="clear" w:color="auto" w:fill="CCEEFF"/>
          </w:tcPr>
          <w:p>
            <w:pPr>
              <w:spacing w:after="0"/>
              <w:rPr>
                <w:sz w:val="12"/>
                <w:szCs w:val="12"/>
                <w:color w:val="auto"/>
              </w:rPr>
            </w:pPr>
          </w:p>
        </w:tc>
      </w:tr>
      <w:tr>
        <w:trPr>
          <w:trHeight w:val="135"/>
        </w:trPr>
        <w:tc>
          <w:tcPr>
            <w:tcW w:w="3200" w:type="dxa"/>
            <w:vAlign w:val="bottom"/>
            <w:gridSpan w:val="2"/>
          </w:tcPr>
          <w:p>
            <w:pPr>
              <w:spacing w:after="0" w:line="136" w:lineRule="exact"/>
              <w:rPr>
                <w:sz w:val="20"/>
                <w:szCs w:val="20"/>
                <w:color w:val="auto"/>
              </w:rPr>
            </w:pPr>
            <w:r>
              <w:rPr>
                <w:rFonts w:ascii="Arial" w:cs="Arial" w:eastAsia="Arial" w:hAnsi="Arial"/>
                <w:sz w:val="13"/>
                <w:szCs w:val="13"/>
                <w:color w:val="auto"/>
              </w:rPr>
              <w:t>Adjusted EBITDA</w:t>
            </w: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(12,109)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(7,887)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1,428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267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8,929</w:t>
            </w:r>
          </w:p>
        </w:tc>
        <w:tc>
          <w:tcPr>
            <w:tcW w:w="140" w:type="dxa"/>
            <w:vAlign w:val="bottom"/>
          </w:tcPr>
          <w:p>
            <w:pPr>
              <w:spacing w:after="0"/>
              <w:rPr>
                <w:sz w:val="11"/>
                <w:szCs w:val="11"/>
                <w:color w:val="auto"/>
              </w:rPr>
            </w:pPr>
          </w:p>
        </w:tc>
      </w:tr>
      <w:tr>
        <w:trPr>
          <w:trHeight w:val="20"/>
        </w:trPr>
        <w:tc>
          <w:tcPr>
            <w:tcW w:w="2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2"/>
        </w:trPr>
        <w:tc>
          <w:tcPr>
            <w:tcW w:w="202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5" w:lineRule="exact"/>
        <w:rPr>
          <w:sz w:val="20"/>
          <w:szCs w:val="20"/>
          <w:color w:val="auto"/>
        </w:rPr>
      </w:pPr>
    </w:p>
    <w:p>
      <w:pPr>
        <w:ind w:left="2400" w:right="60" w:hanging="526"/>
        <w:spacing w:after="0" w:line="250" w:lineRule="auto"/>
        <w:tabs>
          <w:tab w:leader="none" w:pos="2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engage in other activities and transactions that can impact our net income. In recent periods, these other items included, but were not limited, to legal fees related to an arbitration resulting from our termination of an agreement with a specialty pharmacy vendor.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 FACTORS</w:t>
      </w:r>
    </w:p>
    <w:p>
      <w:pPr>
        <w:spacing w:after="0" w:line="222" w:lineRule="exact"/>
        <w:rPr>
          <w:sz w:val="20"/>
          <w:szCs w:val="20"/>
          <w:color w:val="auto"/>
        </w:rPr>
      </w:pPr>
    </w:p>
    <w:p>
      <w:pPr>
        <w:ind w:right="160" w:firstLine="336"/>
        <w:spacing w:after="0" w:line="279"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some or all of your original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fertility market in which we participate is competitive, and if we do not continue to compete effectively, our results of operations could be harmed.</w:t>
      </w:r>
    </w:p>
    <w:p>
      <w:pPr>
        <w:spacing w:after="0" w:line="241" w:lineRule="exact"/>
        <w:rPr>
          <w:sz w:val="20"/>
          <w:szCs w:val="20"/>
          <w:color w:val="auto"/>
        </w:rPr>
      </w:pPr>
    </w:p>
    <w:p>
      <w:pPr>
        <w:ind w:right="20" w:firstLine="333"/>
        <w:spacing w:after="0" w:line="274"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our unique Smart Cycle plan design, superior clinical outcomes, access for all employee groups (including LGBTQ+ and single mothers by choice), equitable access to care across geographies, quality of the member experience and comprehensive member support, access to our Center of Excellence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76" w:lineRule="exact"/>
        <w:rPr>
          <w:sz w:val="20"/>
          <w:szCs w:val="20"/>
          <w:color w:val="auto"/>
        </w:rPr>
      </w:pPr>
    </w:p>
    <w:p>
      <w:pPr>
        <w:ind w:right="20" w:firstLine="327"/>
        <w:spacing w:after="0" w:line="257"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our Progyny Rx solution.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90" w:lineRule="exact"/>
        <w:rPr>
          <w:sz w:val="20"/>
          <w:szCs w:val="20"/>
          <w:color w:val="auto"/>
        </w:rPr>
      </w:pPr>
    </w:p>
    <w:p>
      <w:pPr>
        <w:ind w:firstLine="336"/>
        <w:spacing w:after="0" w:line="282" w:lineRule="auto"/>
        <w:rPr>
          <w:sz w:val="20"/>
          <w:szCs w:val="20"/>
          <w:color w:val="auto"/>
        </w:rPr>
      </w:pPr>
      <w:r>
        <w:rPr>
          <w:rFonts w:ascii="Arial" w:cs="Arial" w:eastAsia="Arial" w:hAnsi="Arial"/>
          <w:sz w:val="16"/>
          <w:szCs w:val="16"/>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operating losses and may not sustain profitability in the future.</w:t>
      </w:r>
    </w:p>
    <w:p>
      <w:pPr>
        <w:spacing w:after="0" w:line="218" w:lineRule="exact"/>
        <w:rPr>
          <w:sz w:val="20"/>
          <w:szCs w:val="20"/>
          <w:color w:val="auto"/>
        </w:rPr>
      </w:pPr>
    </w:p>
    <w:p>
      <w:pPr>
        <w:ind w:firstLine="333"/>
        <w:spacing w:after="0" w:line="273" w:lineRule="auto"/>
        <w:rPr>
          <w:sz w:val="20"/>
          <w:szCs w:val="20"/>
          <w:color w:val="auto"/>
        </w:rPr>
      </w:pPr>
      <w:r>
        <w:rPr>
          <w:rFonts w:ascii="Arial" w:cs="Arial" w:eastAsia="Arial" w:hAnsi="Arial"/>
          <w:sz w:val="16"/>
          <w:szCs w:val="16"/>
          <w:color w:val="auto"/>
        </w:rPr>
        <w:t>We experienced net losses from 2015 to 2018. Our net loss from continuing operations was $(12.5) million and $(5.1) million for the years ended December 31, 2017 and 2018, respectively. Our net (loss) income from continuing operations was $(2.4) million and $4.0 million, for the six months ended June 30, 2018 and 2019, respectively. While we have experienced significant revenue growth since 2016, we are not certain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with our current platform of solutions, which makes it difficult to predict our future results of operations.</w:t>
      </w:r>
    </w:p>
    <w:p>
      <w:pPr>
        <w:spacing w:after="0" w:line="218" w:lineRule="exact"/>
        <w:rPr>
          <w:sz w:val="20"/>
          <w:szCs w:val="20"/>
          <w:color w:val="auto"/>
        </w:rPr>
      </w:pPr>
    </w:p>
    <w:p>
      <w:pPr>
        <w:ind w:right="100" w:firstLine="333"/>
        <w:spacing w:after="0" w:line="296" w:lineRule="auto"/>
        <w:rPr>
          <w:sz w:val="20"/>
          <w:szCs w:val="20"/>
          <w:color w:val="auto"/>
        </w:rPr>
      </w:pPr>
      <w:r>
        <w:rPr>
          <w:rFonts w:ascii="Arial" w:cs="Arial" w:eastAsia="Arial" w:hAnsi="Arial"/>
          <w:sz w:val="15"/>
          <w:szCs w:val="15"/>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 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attract new clients, our business, financial condition and results of operations would be adversely affected.</w:t>
      </w:r>
    </w:p>
    <w:p>
      <w:pPr>
        <w:spacing w:after="0" w:line="218" w:lineRule="exact"/>
        <w:rPr>
          <w:sz w:val="20"/>
          <w:szCs w:val="20"/>
          <w:color w:val="auto"/>
        </w:rPr>
      </w:pPr>
    </w:p>
    <w:p>
      <w:pPr>
        <w:ind w:firstLine="333"/>
        <w:spacing w:after="0" w:line="276" w:lineRule="auto"/>
        <w:rPr>
          <w:sz w:val="20"/>
          <w:szCs w:val="20"/>
          <w:color w:val="auto"/>
        </w:rPr>
      </w:pPr>
      <w:r>
        <w:rPr>
          <w:rFonts w:ascii="Arial" w:cs="Arial" w:eastAsia="Arial" w:hAnsi="Arial"/>
          <w:sz w:val="16"/>
          <w:szCs w:val="16"/>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7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71" w:lineRule="exact"/>
        <w:rPr>
          <w:sz w:val="20"/>
          <w:szCs w:val="20"/>
          <w:color w:val="auto"/>
        </w:rPr>
      </w:pPr>
    </w:p>
    <w:p>
      <w:pPr>
        <w:ind w:right="100" w:firstLine="327"/>
        <w:spacing w:after="0" w:line="259" w:lineRule="auto"/>
        <w:rPr>
          <w:sz w:val="20"/>
          <w:szCs w:val="20"/>
          <w:color w:val="auto"/>
        </w:rPr>
      </w:pPr>
      <w:r>
        <w:rPr>
          <w:rFonts w:ascii="Arial" w:cs="Arial" w:eastAsia="Arial" w:hAnsi="Arial"/>
          <w:sz w:val="17"/>
          <w:szCs w:val="17"/>
          <w:color w:val="auto"/>
        </w:rPr>
        <w:t>As part of our growth strategy, we are focused on retaining and expanding our services within our existing client base. A client can expand the fertility benefit they offer to their employees a number of ways, including by adding egg freezing or increasing the number of Smart Cycle units under their benefits plan (i.e., from two to three Smart Cycles per household). For example, 9% of our existing 2018 clients increased their Smart Cycle benefit for their 2019 benefits plan year. In addition, our fertility benefits solution clients can purchase our add-on Progyny Rx solution. We went live with Progyny Rx in 2018 and 60% of our clients have now launched this solution, including 68% of the clients we signed in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Factors that may affect our ability to retain our existing clients and sell additional solutions to them include, but are not limited to, the following:</w:t>
      </w:r>
    </w:p>
    <w:p>
      <w:pPr>
        <w:spacing w:after="0" w:line="231"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price, timeliness and outcomes of our solutions;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availability, price, timeliness, outcome, performance and functionality of competing solutions;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maintain and appropriately expand our Center of Excellence network of high-quality fertility specialists;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fertility offering;</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healthcare laws, regulations or trends;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material increase in unemployment rate;</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business environment of our clients and, in particular, reduction in our clients' headcount; and</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18" w:lineRule="exact"/>
        <w:rPr>
          <w:sz w:val="20"/>
          <w:szCs w:val="20"/>
          <w:color w:val="auto"/>
        </w:rPr>
      </w:pPr>
    </w:p>
    <w:p>
      <w:pPr>
        <w:ind w:right="180" w:firstLine="327"/>
        <w:spacing w:after="0" w:line="276" w:lineRule="auto"/>
        <w:rPr>
          <w:sz w:val="20"/>
          <w:szCs w:val="20"/>
          <w:color w:val="auto"/>
        </w:rPr>
      </w:pPr>
      <w:r>
        <w:rPr>
          <w:rFonts w:ascii="Arial" w:cs="Arial" w:eastAsia="Arial" w:hAnsi="Arial"/>
          <w:sz w:val="17"/>
          <w:szCs w:val="17"/>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71" w:lineRule="exact"/>
        <w:rPr>
          <w:sz w:val="20"/>
          <w:szCs w:val="20"/>
          <w:color w:val="auto"/>
        </w:rPr>
      </w:pPr>
    </w:p>
    <w:p>
      <w:pPr>
        <w:spacing w:after="0" w:line="345" w:lineRule="auto"/>
        <w:rPr>
          <w:sz w:val="20"/>
          <w:szCs w:val="20"/>
          <w:color w:val="auto"/>
        </w:rPr>
      </w:pPr>
      <w:r>
        <w:rPr>
          <w:rFonts w:ascii="Arial" w:cs="Arial" w:eastAsia="Arial" w:hAnsi="Arial"/>
          <w:sz w:val="15"/>
          <w:szCs w:val="15"/>
          <w:b w:val="1"/>
          <w:bCs w:val="1"/>
          <w:i w:val="1"/>
          <w:iCs w:val="1"/>
          <w:color w:val="auto"/>
        </w:rPr>
        <w:t>Our largest clients account for a significant portion of our revenue and a significant number of our clients are in the technology industry. The loss of one or more of these clients or changes within the technology industry could negatively impact our business, financial condition and results of operations.</w:t>
      </w:r>
    </w:p>
    <w:p>
      <w:pPr>
        <w:spacing w:after="0" w:line="125" w:lineRule="exact"/>
        <w:rPr>
          <w:sz w:val="20"/>
          <w:szCs w:val="20"/>
          <w:color w:val="auto"/>
        </w:rPr>
      </w:pPr>
    </w:p>
    <w:p>
      <w:pPr>
        <w:ind w:right="40" w:firstLine="333"/>
        <w:spacing w:after="0" w:line="277" w:lineRule="auto"/>
        <w:rPr>
          <w:sz w:val="20"/>
          <w:szCs w:val="20"/>
          <w:color w:val="auto"/>
        </w:rPr>
      </w:pPr>
      <w:r>
        <w:rPr>
          <w:rFonts w:ascii="Arial" w:cs="Arial" w:eastAsia="Arial" w:hAnsi="Arial"/>
          <w:sz w:val="16"/>
          <w:szCs w:val="16"/>
          <w:color w:val="auto"/>
        </w:rPr>
        <w:t>We currently serve over 80 self-insured employers in the United States across more than 20 industries. In 2017 and 2018, each of our largest three clients represented more than 10% of our total revenue and in the six months ended June 30, 2019, each of our largest two clients represented 10% or more of our total revenue. For the years ended December 31, 2017 and 2018 and for the six months ended June 30, 2019, one of our clients accounted for 45%, 24% and 17% of our total revenue, respectively. In addition, another client accounted for 14% and 11% of our total revenue for the year ended December 31, 2018 and the six months ended June 30, 2019, respectively. Engagement with these clients is generally covered through contracts that are multi-year in duration. One or more of these clients may terminate early or decline to renew their existing contracts with us upon expiration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80"/>
        <w:spacing w:after="0" w:line="316" w:lineRule="auto"/>
        <w:rPr>
          <w:sz w:val="20"/>
          <w:szCs w:val="20"/>
          <w:color w:val="auto"/>
        </w:rPr>
      </w:pPr>
      <w:r>
        <w:rPr>
          <w:rFonts w:ascii="Arial" w:cs="Arial" w:eastAsia="Arial" w:hAnsi="Arial"/>
          <w:sz w:val="15"/>
          <w:szCs w:val="15"/>
          <w:color w:val="auto"/>
        </w:rPr>
        <w:t>and any such termination or failure to renew could have a negative impact on our revenue and compromise our growth strategy.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health insurance market could harm our business, financial condition and results of operations.</w:t>
      </w:r>
    </w:p>
    <w:p>
      <w:pPr>
        <w:spacing w:after="0" w:line="218" w:lineRule="exact"/>
        <w:rPr>
          <w:sz w:val="20"/>
          <w:szCs w:val="20"/>
          <w:color w:val="auto"/>
        </w:rPr>
      </w:pPr>
    </w:p>
    <w:p>
      <w:pPr>
        <w:ind w:firstLine="333"/>
        <w:spacing w:after="0" w:line="275" w:lineRule="auto"/>
        <w:rPr>
          <w:sz w:val="20"/>
          <w:szCs w:val="20"/>
          <w:color w:val="auto"/>
        </w:rPr>
      </w:pPr>
      <w:r>
        <w:rPr>
          <w:rFonts w:ascii="Arial" w:cs="Arial" w:eastAsia="Arial" w:hAnsi="Arial"/>
          <w:sz w:val="16"/>
          <w:szCs w:val="16"/>
          <w:color w:val="auto"/>
        </w:rPr>
        <w:t>The market for private health insurance in the United States is evolving and, as our solutions are integrated with health insurance plans offered by insurance carriers for our clients, our future financial performance will depend in part on the growth in this market. Changes and developments in the health insurance system in the United States, including taxability of medical benefits like ours, could reduce demand for our solutions and harm our business. For example, there has been an ongoing national debate relating to the health care reimbursement system in the United States. Some members of Congress have introduced proposals that would create a new single payor national health insurance program for all United States residents, others have proposed more incremental approaches such as creating a new public health insurance plan option as a supplement to private sources of coverage. In the event that laws, regulations or rules that eliminate or reduce private sources of health insurance or require such benefits to be taxable are adopted, the subsequent impact on the insurance carriers may in turn adversely impact our ability to accurately forecast future results and harm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health benefits industry may be subject to negative publicity, which could adversely affect our business, financial condition and results of operations.</w:t>
      </w:r>
    </w:p>
    <w:p>
      <w:pPr>
        <w:spacing w:after="0" w:line="241" w:lineRule="exact"/>
        <w:rPr>
          <w:sz w:val="20"/>
          <w:szCs w:val="20"/>
          <w:color w:val="auto"/>
        </w:rPr>
      </w:pPr>
    </w:p>
    <w:p>
      <w:pPr>
        <w:ind w:right="20" w:firstLine="333"/>
        <w:spacing w:after="0" w:line="276" w:lineRule="auto"/>
        <w:rPr>
          <w:sz w:val="20"/>
          <w:szCs w:val="20"/>
          <w:color w:val="auto"/>
        </w:rPr>
      </w:pPr>
      <w:r>
        <w:rPr>
          <w:rFonts w:ascii="Arial" w:cs="Arial" w:eastAsia="Arial" w:hAnsi="Arial"/>
          <w:sz w:val="16"/>
          <w:szCs w:val="16"/>
          <w:color w:val="auto"/>
        </w:rPr>
        <w:t>The health benefits industry may be subject to negative publicity, which can arise from, among other things, increases in premium rates, industry consolidation, cost of care initiatives, drug prices and the ongoing debate over the Patient Protection and Affordable Care Act, as amended by the Health Care and Education Reconciliation Act, or collectively the ACA.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this negative publicity may lead to regulatory changes that could potentially affect our business and operations. Negative public perception or publicity of the health benefits industry in general, the insurance carriers with whom we integrate our solutions, or us could adversely affect our business, financial condition and results of operations.</w:t>
      </w:r>
    </w:p>
    <w:p>
      <w:pPr>
        <w:spacing w:after="0" w:line="175"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i w:val="1"/>
          <w:iCs w:val="1"/>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p>
    <w:p>
      <w:pPr>
        <w:spacing w:after="0" w:line="171" w:lineRule="exact"/>
        <w:rPr>
          <w:sz w:val="20"/>
          <w:szCs w:val="20"/>
          <w:color w:val="auto"/>
        </w:rPr>
      </w:pPr>
    </w:p>
    <w:p>
      <w:pPr>
        <w:ind w:firstLine="336"/>
        <w:spacing w:after="0" w:line="299" w:lineRule="auto"/>
        <w:rPr>
          <w:sz w:val="20"/>
          <w:szCs w:val="20"/>
          <w:color w:val="auto"/>
        </w:rPr>
      </w:pPr>
      <w:r>
        <w:rPr>
          <w:rFonts w:ascii="Arial" w:cs="Arial" w:eastAsia="Arial" w:hAnsi="Arial"/>
          <w:sz w:val="15"/>
          <w:szCs w:val="15"/>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firstLine="336"/>
        <w:spacing w:after="0" w:line="257" w:lineRule="auto"/>
        <w:rPr>
          <w:sz w:val="20"/>
          <w:szCs w:val="20"/>
          <w:color w:val="auto"/>
        </w:rPr>
      </w:pPr>
      <w:r>
        <w:rPr>
          <w:rFonts w:ascii="Arial" w:cs="Arial" w:eastAsia="Arial" w:hAnsi="Arial"/>
          <w:sz w:val="17"/>
          <w:szCs w:val="17"/>
          <w:color w:val="auto"/>
        </w:rPr>
        <w:t>In addition, despite the implementation of security measures, our internal computer systems, and those of our provider clinics, specialty pharmacies or other downstream vendors, are potentially vulnerable to damage from malicious intrusion, malware, computer viruses, unauthorized access, natural disasters, terrorism, war and telecommunication and electrical failures. While we are not aware that we have experienced any such system failure, accident or security breach to date, if such an event were to occur and cause interruptions in our operations, it could result in a material disruption to our ability to deliver our solutions. In addition, to the extent that any disruption or security breach were to result in a loss or inappropriate disclosure of confidential information, we could incur liability. See "—Risks Related to Government Regulation—We operate in a highly regulated industry and must comply with a significant number of complex and evolving requirements—Data Protection and Breaches."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change in the utilization of our solutions could have an adverse effect on our business, financial condition and results of operations.</w:t>
      </w:r>
    </w:p>
    <w:p>
      <w:pPr>
        <w:spacing w:after="0" w:line="230" w:lineRule="exact"/>
        <w:rPr>
          <w:sz w:val="20"/>
          <w:szCs w:val="20"/>
          <w:color w:val="auto"/>
        </w:rPr>
      </w:pPr>
    </w:p>
    <w:p>
      <w:pPr>
        <w:jc w:val="both"/>
        <w:ind w:right="100" w:firstLine="333"/>
        <w:spacing w:after="0" w:line="299" w:lineRule="auto"/>
        <w:rPr>
          <w:sz w:val="20"/>
          <w:szCs w:val="20"/>
          <w:color w:val="auto"/>
        </w:rPr>
      </w:pPr>
      <w:r>
        <w:rPr>
          <w:rFonts w:ascii="Arial" w:cs="Arial" w:eastAsia="Arial" w:hAnsi="Arial"/>
          <w:sz w:val="15"/>
          <w:szCs w:val="15"/>
          <w:color w:val="auto"/>
        </w:rPr>
        <w:t>We do not control or impact the level of utilization of our solutions for each of our clients, in particular for newer clients. A significant reduction in the number of members using our solutions could adversely affect our business, financial condition and results of operations. Factors that could contribute to a reduction in the use of our solutions include: reductions in workforce by existing clients; general economic downturn that results in business failures and high unemployment rates; employers no longer offering comprehensive health coverage or offering alternative solutions such as coverage on a voluntary, employee-funded basis; federal and state regulatory changes; changes to taxability of medical benefits; failure to adapt and respond effectively to changing medical landscape, changing regulations, changing client needs, requirements or preferences; premium increases and benefits changes; negative publicity, through social media or otherwise and news coverage.</w:t>
      </w:r>
    </w:p>
    <w:p>
      <w:pPr>
        <w:spacing w:after="0" w:line="159" w:lineRule="exact"/>
        <w:rPr>
          <w:sz w:val="20"/>
          <w:szCs w:val="20"/>
          <w:color w:val="auto"/>
        </w:rPr>
      </w:pPr>
    </w:p>
    <w:p>
      <w:pPr>
        <w:ind w:firstLine="336"/>
        <w:spacing w:after="0" w:line="289" w:lineRule="auto"/>
        <w:rPr>
          <w:sz w:val="20"/>
          <w:szCs w:val="20"/>
          <w:color w:val="auto"/>
        </w:rPr>
      </w:pPr>
      <w:r>
        <w:rPr>
          <w:rFonts w:ascii="Arial" w:cs="Arial" w:eastAsia="Arial" w:hAnsi="Arial"/>
          <w:sz w:val="16"/>
          <w:szCs w:val="16"/>
          <w:color w:val="auto"/>
        </w:rPr>
        <w:t>It is also difficult for us to predict the level of utilization of our services at the member level.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support, our reputation could suffer.</w:t>
      </w:r>
    </w:p>
    <w:p>
      <w:pPr>
        <w:spacing w:after="0" w:line="218" w:lineRule="exact"/>
        <w:rPr>
          <w:sz w:val="20"/>
          <w:szCs w:val="20"/>
          <w:color w:val="auto"/>
        </w:rPr>
      </w:pPr>
    </w:p>
    <w:p>
      <w:pPr>
        <w:ind w:right="20" w:firstLine="336"/>
        <w:spacing w:after="0" w:line="299" w:lineRule="auto"/>
        <w:rPr>
          <w:sz w:val="20"/>
          <w:szCs w:val="20"/>
          <w:color w:val="auto"/>
        </w:rPr>
      </w:pPr>
      <w:r>
        <w:rPr>
          <w:rFonts w:ascii="Arial" w:cs="Arial" w:eastAsia="Arial" w:hAnsi="Arial"/>
          <w:sz w:val="15"/>
          <w:szCs w:val="15"/>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marketing efforts depend significantly on our ability to receive positive references from our existing clients.</w:t>
      </w:r>
    </w:p>
    <w:p>
      <w:pPr>
        <w:spacing w:after="0" w:line="218" w:lineRule="exact"/>
        <w:rPr>
          <w:sz w:val="20"/>
          <w:szCs w:val="20"/>
          <w:color w:val="auto"/>
        </w:rPr>
      </w:pPr>
    </w:p>
    <w:p>
      <w:pPr>
        <w:ind w:right="220" w:firstLine="336"/>
        <w:spacing w:after="0" w:line="261" w:lineRule="auto"/>
        <w:rPr>
          <w:sz w:val="20"/>
          <w:szCs w:val="20"/>
          <w:color w:val="auto"/>
        </w:rPr>
      </w:pPr>
      <w:r>
        <w:rPr>
          <w:rFonts w:ascii="Arial" w:cs="Arial" w:eastAsia="Arial" w:hAnsi="Arial"/>
          <w:sz w:val="17"/>
          <w:szCs w:val="17"/>
          <w:color w:val="auto"/>
        </w:rPr>
        <w:t>Our marketing efforts depend significantly on our ability to call on our current clients to provide positive references to new, potential clients. Given our limited number of long-term clients, the loss or dissatisfaction of any client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1" w:lineRule="exact"/>
        <w:rPr>
          <w:sz w:val="20"/>
          <w:szCs w:val="20"/>
          <w:color w:val="auto"/>
        </w:rPr>
      </w:pPr>
    </w:p>
    <w:p>
      <w:pPr>
        <w:ind w:firstLine="336"/>
        <w:spacing w:after="0" w:line="276"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revenue may not grow at the rates they historically have, or at all.</w:t>
      </w:r>
    </w:p>
    <w:p>
      <w:pPr>
        <w:spacing w:after="0" w:line="218" w:lineRule="exact"/>
        <w:rPr>
          <w:sz w:val="20"/>
          <w:szCs w:val="20"/>
          <w:color w:val="auto"/>
        </w:rPr>
      </w:pPr>
    </w:p>
    <w:p>
      <w:pPr>
        <w:ind w:right="140" w:firstLine="333"/>
        <w:spacing w:after="0" w:line="265" w:lineRule="auto"/>
        <w:rPr>
          <w:sz w:val="20"/>
          <w:szCs w:val="20"/>
          <w:color w:val="auto"/>
        </w:rPr>
      </w:pPr>
      <w:r>
        <w:rPr>
          <w:rFonts w:ascii="Arial" w:cs="Arial" w:eastAsia="Arial" w:hAnsi="Arial"/>
          <w:sz w:val="17"/>
          <w:szCs w:val="17"/>
          <w:color w:val="auto"/>
        </w:rPr>
        <w:t>We have experienced significant growth since the launch of our fertility benefits solution in 2016 and have more than doubled our client base each year since then. Revenue and our client base may not grow at the same rates they historically have, or they may decline in the future. Our future growth will depend, in part, on our ability to:</w:t>
      </w:r>
    </w:p>
    <w:p>
      <w:pPr>
        <w:spacing w:after="0" w:line="19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to attract new clients and maintain existing clients;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price our solutions and services effectively so that we are able to attract new clients, expand sales to our existing clients and maintain profitability;</w:t>
      </w:r>
    </w:p>
    <w:p>
      <w:pPr>
        <w:spacing w:after="0" w:line="242"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 our clients and members with client support that meets their needs, including through dedicated PCAs;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 successful collection of member cost shares and other applicable receivable balances directly from members;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retain and maintain relationships with high-quality and respected fertility specialists;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attract and retain highly qualified personnel to support all clients and members;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 satisfactory relationships with insurance carriers; and</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 awareness of our brand and successfully compete with other companies.</w:t>
      </w:r>
    </w:p>
    <w:p>
      <w:pPr>
        <w:spacing w:after="0" w:line="218" w:lineRule="exact"/>
        <w:rPr>
          <w:sz w:val="20"/>
          <w:szCs w:val="20"/>
          <w:color w:val="auto"/>
        </w:rPr>
      </w:pPr>
    </w:p>
    <w:p>
      <w:pPr>
        <w:jc w:val="both"/>
        <w:ind w:right="180" w:firstLine="333"/>
        <w:spacing w:after="0" w:line="316" w:lineRule="auto"/>
        <w:rPr>
          <w:sz w:val="20"/>
          <w:szCs w:val="20"/>
          <w:color w:val="auto"/>
        </w:rPr>
      </w:pPr>
      <w:r>
        <w:rPr>
          <w:rFonts w:ascii="Arial" w:cs="Arial" w:eastAsia="Arial" w:hAnsi="Arial"/>
          <w:sz w:val="15"/>
          <w:szCs w:val="15"/>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we expect to continue to expend substantial financial and other resources on:</w:t>
      </w:r>
    </w:p>
    <w:p>
      <w:pPr>
        <w:spacing w:after="0" w:line="231"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sales and marketing;</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technology infrastructure, including systems architecture, scalability, availability, performance and security; and</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general administration, including increased legal and accounting expenses associated with being a public company.</w:t>
      </w:r>
    </w:p>
    <w:p>
      <w:pPr>
        <w:spacing w:after="0" w:line="218" w:lineRule="exact"/>
        <w:rPr>
          <w:sz w:val="20"/>
          <w:szCs w:val="20"/>
          <w:color w:val="auto"/>
        </w:rPr>
      </w:pPr>
    </w:p>
    <w:p>
      <w:pPr>
        <w:ind w:right="120" w:firstLine="333"/>
        <w:spacing w:after="0" w:line="316" w:lineRule="auto"/>
        <w:rPr>
          <w:sz w:val="20"/>
          <w:szCs w:val="20"/>
          <w:color w:val="auto"/>
        </w:rPr>
      </w:pPr>
      <w:r>
        <w:rPr>
          <w:rFonts w:ascii="Arial" w:cs="Arial" w:eastAsia="Arial" w:hAnsi="Arial"/>
          <w:sz w:val="15"/>
          <w:szCs w:val="15"/>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If our revenue growth does not meet our expectations in future periods, we may not maintain profitability in the future, our business, financial position and results of operations may be harmed.</w:t>
      </w:r>
    </w:p>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1" w:lineRule="exact"/>
        <w:rPr>
          <w:sz w:val="20"/>
          <w:szCs w:val="20"/>
          <w:color w:val="auto"/>
        </w:rPr>
      </w:pPr>
    </w:p>
    <w:p>
      <w:pPr>
        <w:ind w:right="60" w:firstLine="336"/>
        <w:spacing w:after="0" w:line="279"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included in this prospectus,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72" w:lineRule="exact"/>
        <w:rPr>
          <w:sz w:val="20"/>
          <w:szCs w:val="20"/>
          <w:color w:val="auto"/>
        </w:rPr>
      </w:pPr>
    </w:p>
    <w:p>
      <w:pPr>
        <w:ind w:firstLine="336"/>
        <w:spacing w:after="0" w:line="279" w:lineRule="auto"/>
        <w:rPr>
          <w:sz w:val="20"/>
          <w:szCs w:val="20"/>
          <w:color w:val="auto"/>
        </w:rPr>
      </w:pPr>
      <w:r>
        <w:rPr>
          <w:rFonts w:ascii="Arial" w:cs="Arial" w:eastAsia="Arial" w:hAnsi="Arial"/>
          <w:sz w:val="16"/>
          <w:szCs w:val="16"/>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2" w:lineRule="exact"/>
        <w:rPr>
          <w:sz w:val="20"/>
          <w:szCs w:val="20"/>
          <w:color w:val="auto"/>
        </w:rPr>
      </w:pPr>
    </w:p>
    <w:p>
      <w:pPr>
        <w:ind w:right="60" w:firstLine="336"/>
        <w:spacing w:after="0" w:line="277" w:lineRule="auto"/>
        <w:rPr>
          <w:sz w:val="20"/>
          <w:szCs w:val="20"/>
          <w:color w:val="auto"/>
        </w:rPr>
      </w:pPr>
      <w:r>
        <w:rPr>
          <w:rFonts w:ascii="Arial" w:cs="Arial" w:eastAsia="Arial" w:hAnsi="Arial"/>
          <w:sz w:val="16"/>
          <w:szCs w:val="16"/>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75" w:lineRule="exact"/>
        <w:rPr>
          <w:sz w:val="20"/>
          <w:szCs w:val="20"/>
          <w:color w:val="auto"/>
        </w:rPr>
      </w:pPr>
    </w:p>
    <w:p>
      <w:pPr>
        <w:ind w:right="200" w:firstLine="336"/>
        <w:spacing w:after="0" w:line="282" w:lineRule="auto"/>
        <w:rPr>
          <w:sz w:val="20"/>
          <w:szCs w:val="20"/>
          <w:color w:val="auto"/>
        </w:rPr>
      </w:pPr>
      <w:r>
        <w:rPr>
          <w:rFonts w:ascii="Arial" w:cs="Arial" w:eastAsia="Arial" w:hAnsi="Arial"/>
          <w:sz w:val="16"/>
          <w:szCs w:val="16"/>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We may not be able to successfully manage our growth, and if we are not able to grow efficiently, our business, financial condition and results of operations could be harmed.</w:t>
      </w:r>
    </w:p>
    <w:p>
      <w:pPr>
        <w:spacing w:after="0" w:line="171" w:lineRule="exact"/>
        <w:rPr>
          <w:sz w:val="20"/>
          <w:szCs w:val="20"/>
          <w:color w:val="auto"/>
        </w:rPr>
      </w:pPr>
    </w:p>
    <w:p>
      <w:pPr>
        <w:ind w:firstLine="327"/>
        <w:spacing w:after="0" w:line="302" w:lineRule="auto"/>
        <w:rPr>
          <w:sz w:val="20"/>
          <w:szCs w:val="20"/>
          <w:color w:val="auto"/>
        </w:rPr>
      </w:pPr>
      <w:r>
        <w:rPr>
          <w:rFonts w:ascii="Arial" w:cs="Arial" w:eastAsia="Arial" w:hAnsi="Arial"/>
          <w:sz w:val="15"/>
          <w:szCs w:val="15"/>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the expansion and improvements to our internal infrastructure will be effectively implemented on a timely basis, and such failures could harm our business, financial condition and results of operations.</w:t>
      </w:r>
    </w:p>
    <w:p>
      <w:pPr>
        <w:spacing w:after="0" w:line="17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Unfavorable conditions in our industry or the United States economy, or reductions in employee benefits spending, could limit our ability to grow our business and negatively affect our results of operations.</w:t>
      </w:r>
    </w:p>
    <w:p>
      <w:pPr>
        <w:spacing w:after="0" w:line="171" w:lineRule="exact"/>
        <w:rPr>
          <w:sz w:val="20"/>
          <w:szCs w:val="20"/>
          <w:color w:val="auto"/>
        </w:rPr>
      </w:pPr>
    </w:p>
    <w:p>
      <w:pPr>
        <w:ind w:right="20" w:firstLine="336"/>
        <w:spacing w:after="0" w:line="296" w:lineRule="auto"/>
        <w:rPr>
          <w:sz w:val="20"/>
          <w:szCs w:val="20"/>
          <w:color w:val="auto"/>
        </w:rPr>
      </w:pPr>
      <w:r>
        <w:rPr>
          <w:rFonts w:ascii="Arial" w:cs="Arial" w:eastAsia="Arial" w:hAnsi="Arial"/>
          <w:sz w:val="15"/>
          <w:szCs w:val="15"/>
          <w:color w:val="auto"/>
        </w:rPr>
        <w:t>Unfavorable changes in our industry or in the United States economy could have a negative effect on ours and our clients' and potential clients' results of operations. Negative conditions in the general economy in the United States, including conditions resulting from changes in gross domestic product growth, financial and credit market fluctuations, international trade relations, political turmoil, natural catastrophes, warfare and terrorist attacks on the United States, could cause a decrease in business investments, including spending on employee benefits, and negatively affect the growth of our business. In addition, unfavorable economic conditions could result in the cancellation by certain clients or material defaults by members on their cost share. Further, economic conditions including interest rate fluctuations, changes in capital market conditions and regulatory changes, such as the taxability of medical benefits like ours, may affect our ability to obtain necessary financing on acceptable terms.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 may cause fluctuations in our sales and results of operations.</w:t>
      </w:r>
    </w:p>
    <w:p>
      <w:pPr>
        <w:spacing w:after="0" w:line="218" w:lineRule="exact"/>
        <w:rPr>
          <w:sz w:val="20"/>
          <w:szCs w:val="20"/>
          <w:color w:val="auto"/>
        </w:rPr>
      </w:pPr>
    </w:p>
    <w:p>
      <w:pPr>
        <w:ind w:firstLine="336"/>
        <w:spacing w:after="0" w:line="277" w:lineRule="auto"/>
        <w:rPr>
          <w:sz w:val="20"/>
          <w:szCs w:val="20"/>
          <w:color w:val="auto"/>
        </w:rPr>
      </w:pPr>
      <w:r>
        <w:rPr>
          <w:rFonts w:ascii="Arial" w:cs="Arial" w:eastAsia="Arial" w:hAnsi="Arial"/>
          <w:sz w:val="16"/>
          <w:szCs w:val="16"/>
          <w:color w:val="auto"/>
        </w:rPr>
        <w:t>Our business experiences moderate seasonality in revenue with a slightly higher proportion of revenue during the second half of the year as compared with the first half. Given that the majority of our clients contract with us for a January 1st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75" w:lineRule="exact"/>
        <w:rPr>
          <w:sz w:val="20"/>
          <w:szCs w:val="20"/>
          <w:color w:val="auto"/>
        </w:rPr>
      </w:pPr>
    </w:p>
    <w:p>
      <w:pPr>
        <w:ind w:right="20" w:firstLine="336"/>
        <w:spacing w:after="0" w:line="316" w:lineRule="auto"/>
        <w:rPr>
          <w:sz w:val="20"/>
          <w:szCs w:val="20"/>
          <w:color w:val="auto"/>
        </w:rPr>
      </w:pPr>
      <w:r>
        <w:rPr>
          <w:rFonts w:ascii="Arial" w:cs="Arial" w:eastAsia="Arial" w:hAnsi="Arial"/>
          <w:sz w:val="15"/>
          <w:szCs w:val="15"/>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4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71" w:lineRule="exact"/>
        <w:rPr>
          <w:sz w:val="20"/>
          <w:szCs w:val="20"/>
          <w:color w:val="auto"/>
        </w:rPr>
      </w:pPr>
    </w:p>
    <w:p>
      <w:pPr>
        <w:ind w:right="80" w:firstLine="333"/>
        <w:spacing w:after="0" w:line="299" w:lineRule="auto"/>
        <w:rPr>
          <w:sz w:val="20"/>
          <w:szCs w:val="20"/>
          <w:color w:val="auto"/>
        </w:rPr>
      </w:pPr>
      <w:r>
        <w:rPr>
          <w:rFonts w:ascii="Arial" w:cs="Arial" w:eastAsia="Arial" w:hAnsi="Arial"/>
          <w:sz w:val="15"/>
          <w:szCs w:val="15"/>
          <w:color w:val="auto"/>
        </w:rPr>
        <w:t>To date, we have derived a substantial majority of our revenue from sales of our fertility benefits and Progyny Rx solutions. As we operate in an evolving industry,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b w:val="1"/>
          <w:bCs w:val="1"/>
          <w:i w:val="1"/>
          <w:iCs w:val="1"/>
          <w:color w:val="auto"/>
        </w:rPr>
        <w:t>If we fail to adapt and respond effectively to the changing medical landscape, changing regulations, changing client needs, requirements or preferences, our offerings may become less competitive.</w:t>
      </w:r>
    </w:p>
    <w:p>
      <w:pPr>
        <w:spacing w:after="0" w:line="171" w:lineRule="exact"/>
        <w:rPr>
          <w:sz w:val="20"/>
          <w:szCs w:val="20"/>
          <w:color w:val="auto"/>
        </w:rPr>
      </w:pPr>
    </w:p>
    <w:p>
      <w:pPr>
        <w:ind w:firstLine="333"/>
        <w:spacing w:after="0" w:line="274" w:lineRule="auto"/>
        <w:rPr>
          <w:sz w:val="20"/>
          <w:szCs w:val="20"/>
          <w:color w:val="auto"/>
        </w:rPr>
      </w:pPr>
      <w:r>
        <w:rPr>
          <w:rFonts w:ascii="Arial" w:cs="Arial" w:eastAsia="Arial" w:hAnsi="Arial"/>
          <w:sz w:val="16"/>
          <w:szCs w:val="16"/>
          <w:color w:val="auto"/>
        </w:rPr>
        <w:t>The market in which we compete is subject to a changing medical landscape and changing regulations,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7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If we fail to maintain and enhance our brand, our ability to expand our client base will be impaired and our business, financial condition and results of operations may suffer.</w:t>
      </w:r>
    </w:p>
    <w:p>
      <w:pPr>
        <w:spacing w:after="0" w:line="171" w:lineRule="exact"/>
        <w:rPr>
          <w:sz w:val="20"/>
          <w:szCs w:val="20"/>
          <w:color w:val="auto"/>
        </w:rPr>
      </w:pPr>
    </w:p>
    <w:p>
      <w:pPr>
        <w:ind w:right="100" w:firstLine="333"/>
        <w:spacing w:after="0" w:line="276"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71" w:lineRule="exact"/>
        <w:rPr>
          <w:sz w:val="20"/>
          <w:szCs w:val="20"/>
          <w:color w:val="auto"/>
        </w:rPr>
      </w:pPr>
    </w:p>
    <w:p>
      <w:pPr>
        <w:ind w:right="120" w:firstLine="336"/>
        <w:spacing w:after="0" w:line="307" w:lineRule="auto"/>
        <w:rPr>
          <w:sz w:val="20"/>
          <w:szCs w:val="20"/>
          <w:color w:val="auto"/>
        </w:rPr>
      </w:pPr>
      <w:r>
        <w:rPr>
          <w:rFonts w:ascii="Arial" w:cs="Arial" w:eastAsia="Arial" w:hAnsi="Arial"/>
          <w:sz w:val="15"/>
          <w:szCs w:val="15"/>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pacing w:after="0" w:line="152" w:lineRule="exact"/>
        <w:rPr>
          <w:sz w:val="20"/>
          <w:szCs w:val="20"/>
          <w:color w:val="auto"/>
        </w:rPr>
      </w:pPr>
    </w:p>
    <w:p>
      <w:pPr>
        <w:ind w:right="60" w:firstLine="336"/>
        <w:spacing w:after="0" w:line="302" w:lineRule="auto"/>
        <w:rPr>
          <w:sz w:val="20"/>
          <w:szCs w:val="20"/>
          <w:color w:val="auto"/>
        </w:rPr>
      </w:pPr>
      <w:r>
        <w:rPr>
          <w:rFonts w:ascii="Arial" w:cs="Arial" w:eastAsia="Arial" w:hAnsi="Arial"/>
          <w:sz w:val="15"/>
          <w:szCs w:val="15"/>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maintain our company culture as we grow, our success and our business and competitive position may be harmed.</w:t>
      </w:r>
    </w:p>
    <w:p>
      <w:pPr>
        <w:spacing w:after="0" w:line="218" w:lineRule="exact"/>
        <w:rPr>
          <w:sz w:val="20"/>
          <w:szCs w:val="20"/>
          <w:color w:val="auto"/>
        </w:rPr>
      </w:pPr>
    </w:p>
    <w:p>
      <w:pPr>
        <w:ind w:right="240" w:firstLine="333"/>
        <w:spacing w:after="0" w:line="307" w:lineRule="auto"/>
        <w:rPr>
          <w:sz w:val="20"/>
          <w:szCs w:val="20"/>
          <w:color w:val="auto"/>
        </w:rPr>
      </w:pPr>
      <w:r>
        <w:rPr>
          <w:rFonts w:ascii="Arial" w:cs="Arial" w:eastAsia="Arial" w:hAnsi="Arial"/>
          <w:sz w:val="15"/>
          <w:szCs w:val="15"/>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Relationships with Third Parties</w:t>
      </w:r>
    </w:p>
    <w:p>
      <w:pPr>
        <w:spacing w:after="0" w:line="222" w:lineRule="exact"/>
        <w:rPr>
          <w:sz w:val="20"/>
          <w:szCs w:val="20"/>
          <w:color w:val="auto"/>
        </w:rPr>
      </w:pPr>
    </w:p>
    <w:p>
      <w:pPr>
        <w:ind w:right="460"/>
        <w:spacing w:after="0" w:line="345" w:lineRule="auto"/>
        <w:rPr>
          <w:sz w:val="20"/>
          <w:szCs w:val="20"/>
          <w:color w:val="auto"/>
        </w:rPr>
      </w:pPr>
      <w:r>
        <w:rPr>
          <w:rFonts w:ascii="Arial" w:cs="Arial" w:eastAsia="Arial" w:hAnsi="Arial"/>
          <w:sz w:val="15"/>
          <w:szCs w:val="15"/>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25" w:lineRule="exact"/>
        <w:rPr>
          <w:sz w:val="20"/>
          <w:szCs w:val="20"/>
          <w:color w:val="auto"/>
        </w:rPr>
      </w:pPr>
    </w:p>
    <w:p>
      <w:pPr>
        <w:ind w:right="80" w:firstLine="336"/>
        <w:spacing w:after="0" w:line="293" w:lineRule="auto"/>
        <w:rPr>
          <w:sz w:val="20"/>
          <w:szCs w:val="20"/>
          <w:color w:val="auto"/>
        </w:rPr>
      </w:pPr>
      <w:r>
        <w:rPr>
          <w:rFonts w:ascii="Arial" w:cs="Arial" w:eastAsia="Arial" w:hAnsi="Arial"/>
          <w:sz w:val="15"/>
          <w:szCs w:val="15"/>
          <w:color w:val="auto"/>
        </w:rPr>
        <w:t>Our success is dependent upon our continued ability to maintain a selective Center of Excellence, our proprietary, credentialed network of high-quality fertility specialists. Fertility specialists could refuse to contract, demand higher payments or take other actions that could result in higher medical costs, less attractive service for our members or difficulty meeting regulatory or accreditation requirements. Identifying high-quality fertility specialists, credentialing and negotiating contracts with them and evaluating, monitoring and maintaining our network, requires significant time and resources.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also may be negatively impacted by other factors not associated with us,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us and may compete directly with us, which could adversely affect our business, financial condition and results of operations.</w:t>
      </w:r>
    </w:p>
    <w:p>
      <w:pPr>
        <w:spacing w:after="0" w:line="167" w:lineRule="exact"/>
        <w:rPr>
          <w:sz w:val="20"/>
          <w:szCs w:val="20"/>
          <w:color w:val="auto"/>
        </w:rPr>
      </w:pPr>
    </w:p>
    <w:p>
      <w:pPr>
        <w:ind w:firstLine="336"/>
        <w:spacing w:after="0" w:line="277" w:lineRule="auto"/>
        <w:rPr>
          <w:sz w:val="20"/>
          <w:szCs w:val="20"/>
          <w:color w:val="auto"/>
        </w:rPr>
      </w:pPr>
      <w:r>
        <w:rPr>
          <w:rFonts w:ascii="Arial" w:cs="Arial" w:eastAsia="Arial" w:hAnsi="Arial"/>
          <w:sz w:val="16"/>
          <w:szCs w:val="16"/>
          <w:color w:val="auto"/>
        </w:rPr>
        <w:t>In addition, the perceived value of our solutions and our reputation may be negatively impacted if the services provided by one or more of our fertility specialists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give rise to litigation against us. Any such issue with one of our providers may expose us to public scrutiny, adversely affect our brand and reputation, expose us to litigation or regulatory action, and otherwise make our operations vulnerable. Further, if a fertility specialist provides services that result in less than favorable outcomes, this could cause us to fail to meet our contractually guaranteed specified service metrics, and we could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be obligated to provide the client with a fee reduction. The failure to maintain our selective network of high-quality fertility specialists or the failure of those specialists to meet and exceed our members' expectations, may result in a loss of or inability to grow or maintain our client base, which could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growth depends in part on the success of our strategic relationships with, and monitoring of, third parties, including vendors, as well as insurance carriers.</w:t>
      </w:r>
    </w:p>
    <w:p>
      <w:pPr>
        <w:spacing w:after="0" w:line="253" w:lineRule="exact"/>
        <w:rPr>
          <w:sz w:val="20"/>
          <w:szCs w:val="20"/>
          <w:color w:val="auto"/>
        </w:rPr>
      </w:pPr>
    </w:p>
    <w:p>
      <w:pPr>
        <w:ind w:right="40" w:firstLine="336"/>
        <w:spacing w:after="0" w:line="259" w:lineRule="auto"/>
        <w:rPr>
          <w:sz w:val="20"/>
          <w:szCs w:val="20"/>
          <w:color w:val="auto"/>
        </w:rPr>
      </w:pPr>
      <w:r>
        <w:rPr>
          <w:rFonts w:ascii="Arial" w:cs="Arial" w:eastAsia="Arial" w:hAnsi="Arial"/>
          <w:sz w:val="17"/>
          <w:szCs w:val="17"/>
          <w:color w:val="auto"/>
        </w:rPr>
        <w:t>In order to grow our business, we anticipate that we will continue to depend on our relationships with third parties, including vendors and insurance carriers.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87" w:lineRule="exact"/>
        <w:rPr>
          <w:sz w:val="20"/>
          <w:szCs w:val="20"/>
          <w:color w:val="auto"/>
        </w:rPr>
      </w:pPr>
    </w:p>
    <w:p>
      <w:pPr>
        <w:ind w:right="60" w:firstLine="336"/>
        <w:spacing w:after="0" w:line="265" w:lineRule="auto"/>
        <w:rPr>
          <w:sz w:val="20"/>
          <w:szCs w:val="20"/>
          <w:color w:val="auto"/>
        </w:rPr>
      </w:pPr>
      <w:r>
        <w:rPr>
          <w:rFonts w:ascii="Arial" w:cs="Arial" w:eastAsia="Arial" w:hAnsi="Arial"/>
          <w:sz w:val="17"/>
          <w:szCs w:val="17"/>
          <w:color w:val="auto"/>
        </w:rPr>
        <w:t>In addition, our arrangements with these third parties may expose us to public scrutiny, adversely affect our brand and reputation, expose us to litigation or regulatory action, and otherwise make our operations vulnerable if we fail to adequately monitor their performance or if they fail to meet their contractual obligations to us or to comply with applicable laws or regulations.</w:t>
      </w:r>
    </w:p>
    <w:p>
      <w:pPr>
        <w:spacing w:after="0" w:line="18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If we fail to maintain an efficient pharmacy distribution network or if there is a disruption to our distribution network, our business, financial condition and results of operations could suffer.</w:t>
      </w:r>
    </w:p>
    <w:p>
      <w:pPr>
        <w:spacing w:after="0" w:line="171" w:lineRule="exact"/>
        <w:rPr>
          <w:sz w:val="20"/>
          <w:szCs w:val="20"/>
          <w:color w:val="auto"/>
        </w:rPr>
      </w:pPr>
    </w:p>
    <w:p>
      <w:pPr>
        <w:ind w:firstLine="333"/>
        <w:spacing w:after="0" w:line="279" w:lineRule="auto"/>
        <w:rPr>
          <w:sz w:val="20"/>
          <w:szCs w:val="20"/>
          <w:color w:val="auto"/>
        </w:rPr>
      </w:pPr>
      <w:r>
        <w:rPr>
          <w:rFonts w:ascii="Arial" w:cs="Arial" w:eastAsia="Arial" w:hAnsi="Arial"/>
          <w:sz w:val="16"/>
          <w:szCs w:val="16"/>
          <w:color w:val="auto"/>
        </w:rPr>
        <w:t>The timely delivery of fertility prescriptions is essential for fertility treatments. If prescriptions are delivered late, the delay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If we are unable to maintain an efficient pharmacy distribution network, or if a significant disruption thereto should occur, the use of Progyny Rx may decline due to the inability to timely deliver prescription to members, which could cause our business, financial condition and results of operations to suffer.</w:t>
      </w:r>
    </w:p>
    <w:p>
      <w:pPr>
        <w:spacing w:after="0" w:line="172"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If we lose our relationship with one or more key pharmaceutical manufacturers, or if the rebates provided by pharmaceutical manufactures decline, our business and results of operations could be adversely affected.</w:t>
      </w:r>
    </w:p>
    <w:p>
      <w:pPr>
        <w:spacing w:after="0" w:line="171" w:lineRule="exact"/>
        <w:rPr>
          <w:sz w:val="20"/>
          <w:szCs w:val="20"/>
          <w:color w:val="auto"/>
        </w:rPr>
      </w:pPr>
    </w:p>
    <w:p>
      <w:pPr>
        <w:ind w:right="120" w:firstLine="333"/>
        <w:spacing w:after="0" w:line="258" w:lineRule="auto"/>
        <w:rPr>
          <w:sz w:val="20"/>
          <w:szCs w:val="20"/>
          <w:color w:val="auto"/>
        </w:rPr>
      </w:pPr>
      <w:r>
        <w:rPr>
          <w:rFonts w:ascii="Arial" w:cs="Arial" w:eastAsia="Arial" w:hAnsi="Arial"/>
          <w:sz w:val="17"/>
          <w:szCs w:val="17"/>
          <w:color w:val="auto"/>
        </w:rPr>
        <w:t>We maintain contractual relationships with select pharmaceutical manufacturers which provide us with access to limited distribution specialty pharmaceutical rebates for drugs we purchase.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 In addition, PBM programs have been the subject of debate in federal and state legislatures and various other public and governmental forums. Adoption of new laws, rules or regulations or changes in, or new interpretations of, existing laws, rules or regulations, relating to any of these programs could materially adversely affect our business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marketing efforts depend on our ability to maintain our relationship with benefits consultants.</w:t>
      </w:r>
    </w:p>
    <w:p>
      <w:pPr>
        <w:spacing w:after="0" w:line="218" w:lineRule="exact"/>
        <w:rPr>
          <w:sz w:val="20"/>
          <w:szCs w:val="20"/>
          <w:color w:val="auto"/>
        </w:rPr>
      </w:pPr>
    </w:p>
    <w:p>
      <w:pPr>
        <w:jc w:val="both"/>
        <w:ind w:right="160" w:firstLine="333"/>
        <w:spacing w:after="0" w:line="265" w:lineRule="auto"/>
        <w:rPr>
          <w:sz w:val="20"/>
          <w:szCs w:val="20"/>
          <w:color w:val="auto"/>
        </w:rPr>
      </w:pPr>
      <w:r>
        <w:rPr>
          <w:rFonts w:ascii="Arial" w:cs="Arial" w:eastAsia="Arial" w:hAnsi="Arial"/>
          <w:sz w:val="17"/>
          <w:szCs w:val="17"/>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our relationship with the benefits consultants, our marketing efforts, business and profitability would be adversely impacted.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credit risk from our members.</w:t>
      </w:r>
    </w:p>
    <w:p>
      <w:pPr>
        <w:spacing w:after="0" w:line="218" w:lineRule="exact"/>
        <w:rPr>
          <w:sz w:val="20"/>
          <w:szCs w:val="20"/>
          <w:color w:val="auto"/>
        </w:rPr>
      </w:pPr>
    </w:p>
    <w:p>
      <w:pPr>
        <w:ind w:right="240" w:firstLine="333"/>
        <w:spacing w:after="0" w:line="345" w:lineRule="auto"/>
        <w:rPr>
          <w:sz w:val="20"/>
          <w:szCs w:val="20"/>
          <w:color w:val="auto"/>
        </w:rPr>
      </w:pPr>
      <w:r>
        <w:rPr>
          <w:rFonts w:ascii="Arial" w:cs="Arial" w:eastAsia="Arial" w:hAnsi="Arial"/>
          <w:sz w:val="15"/>
          <w:szCs w:val="15"/>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highly regulated industry and must comply with a significant number of complex and evolving requirements.</w:t>
      </w:r>
    </w:p>
    <w:p>
      <w:pPr>
        <w:spacing w:after="0" w:line="218" w:lineRule="exact"/>
        <w:rPr>
          <w:sz w:val="20"/>
          <w:szCs w:val="20"/>
          <w:color w:val="auto"/>
        </w:rPr>
      </w:pPr>
    </w:p>
    <w:p>
      <w:pPr>
        <w:ind w:firstLine="333"/>
        <w:spacing w:after="0" w:line="293" w:lineRule="auto"/>
        <w:rPr>
          <w:sz w:val="20"/>
          <w:szCs w:val="20"/>
          <w:color w:val="auto"/>
        </w:rPr>
      </w:pPr>
      <w:r>
        <w:rPr>
          <w:rFonts w:ascii="Arial" w:cs="Arial" w:eastAsia="Arial" w:hAnsi="Arial"/>
          <w:sz w:val="15"/>
          <w:szCs w:val="15"/>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solutions or services violate, or cause our clients to violate, applicable laws, regulations or other requirements could subject us or our clients to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76" w:lineRule="exact"/>
        <w:rPr>
          <w:sz w:val="20"/>
          <w:szCs w:val="20"/>
          <w:color w:val="auto"/>
        </w:rPr>
      </w:pPr>
    </w:p>
    <w:p>
      <w:pPr>
        <w:ind w:left="1040" w:right="60" w:hanging="519"/>
        <w:spacing w:after="0" w:line="294" w:lineRule="auto"/>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Licensing and Licensed Personnel. </w:t>
      </w:r>
      <w:r>
        <w:rPr>
          <w:rFonts w:ascii="Arial" w:cs="Arial" w:eastAsia="Arial" w:hAnsi="Arial"/>
          <w:sz w:val="15"/>
          <w:szCs w:val="15"/>
          <w:color w:val="auto"/>
        </w:rPr>
        <w:t>Many states have licensure or registration requirements for entities acting as a third-party administrator, or TPA,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PBMs. The scope of these laws differs from state to state, and the application of such laws to the activities of TPAs and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are otherwise authorized under such laws in those states in which we provide our TPA and PBM services. These licenses require us to comply with the rules and regulations of the governmental bodies that issued such licenses. Our failure to comply with such rules and regulations could result in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1040" w:right="40"/>
        <w:spacing w:after="0" w:line="275" w:lineRule="auto"/>
        <w:rPr>
          <w:sz w:val="20"/>
          <w:szCs w:val="20"/>
          <w:color w:val="auto"/>
        </w:rPr>
      </w:pPr>
      <w:r>
        <w:rPr>
          <w:rFonts w:ascii="Arial" w:cs="Arial" w:eastAsia="Arial" w:hAnsi="Arial"/>
          <w:sz w:val="16"/>
          <w:szCs w:val="16"/>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which could adversely affect our results of operation. Additionally, we may need to cease operations until we are able to obtain appropriate licensure, which may adversely affect our revenue for a period of time that we cannot estimate.</w:t>
      </w:r>
    </w:p>
    <w:p>
      <w:pPr>
        <w:spacing w:after="0" w:line="176" w:lineRule="exact"/>
        <w:rPr>
          <w:sz w:val="20"/>
          <w:szCs w:val="20"/>
          <w:color w:val="auto"/>
        </w:rPr>
      </w:pPr>
    </w:p>
    <w:p>
      <w:pPr>
        <w:ind w:left="1040" w:right="80"/>
        <w:spacing w:after="0" w:line="257" w:lineRule="auto"/>
        <w:rPr>
          <w:sz w:val="20"/>
          <w:szCs w:val="20"/>
          <w:color w:val="auto"/>
        </w:rPr>
      </w:pPr>
      <w:r>
        <w:rPr>
          <w:rFonts w:ascii="Arial" w:cs="Arial" w:eastAsia="Arial" w:hAnsi="Arial"/>
          <w:sz w:val="17"/>
          <w:szCs w:val="17"/>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obtains the necessary licensure, which may adversely affect our relationships with our clients and members and cause us to be in breach of our contracts.</w:t>
      </w:r>
    </w:p>
    <w:p>
      <w:pPr>
        <w:spacing w:after="0" w:line="203" w:lineRule="exact"/>
        <w:rPr>
          <w:sz w:val="20"/>
          <w:szCs w:val="20"/>
          <w:color w:val="auto"/>
        </w:rPr>
      </w:pPr>
    </w:p>
    <w:p>
      <w:pPr>
        <w:ind w:left="1040" w:right="40" w:hanging="519"/>
        <w:spacing w:after="0" w:line="273"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HIPAA Privacy and Security Requirements. </w:t>
      </w:r>
      <w:r>
        <w:rPr>
          <w:rFonts w:ascii="Arial" w:cs="Arial" w:eastAsia="Arial" w:hAnsi="Arial"/>
          <w:sz w:val="16"/>
          <w:szCs w:val="16"/>
          <w:color w:val="auto"/>
        </w:rPr>
        <w:t>There are numerous federal and state laws and regulations related to the privacy and security of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In particular, regulations promulgated pursuant to HIPAA establish privacy and security standards that limit the use and disclosure of certain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81" w:lineRule="exact"/>
        <w:rPr>
          <w:rFonts w:ascii="Arial" w:cs="Arial" w:eastAsia="Arial" w:hAnsi="Arial"/>
          <w:sz w:val="16"/>
          <w:szCs w:val="16"/>
          <w:color w:val="auto"/>
        </w:rPr>
      </w:pPr>
    </w:p>
    <w:p>
      <w:pPr>
        <w:ind w:left="1040"/>
        <w:spacing w:after="0" w:line="257" w:lineRule="auto"/>
        <w:rPr>
          <w:rFonts w:ascii="Arial" w:cs="Arial" w:eastAsia="Arial" w:hAnsi="Arial"/>
          <w:sz w:val="16"/>
          <w:szCs w:val="16"/>
          <w:color w:val="auto"/>
        </w:rPr>
      </w:pPr>
      <w:r>
        <w:rPr>
          <w:rFonts w:ascii="Arial" w:cs="Arial" w:eastAsia="Arial" w:hAnsi="Arial"/>
          <w:sz w:val="17"/>
          <w:szCs w:val="17"/>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the U.S. Department of Health and Human Services, or HHS, Office for Civil Rights,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1040" w:right="80"/>
        <w:spacing w:after="0" w:line="296" w:lineRule="auto"/>
        <w:rPr>
          <w:sz w:val="20"/>
          <w:szCs w:val="20"/>
          <w:color w:val="auto"/>
        </w:rPr>
      </w:pPr>
      <w:r>
        <w:rPr>
          <w:rFonts w:ascii="Arial" w:cs="Arial" w:eastAsia="Arial" w:hAnsi="Arial"/>
          <w:sz w:val="15"/>
          <w:szCs w:val="15"/>
          <w:color w:val="auto"/>
        </w:rPr>
        <w:t>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74" w:lineRule="exact"/>
        <w:rPr>
          <w:sz w:val="20"/>
          <w:szCs w:val="20"/>
          <w:color w:val="auto"/>
        </w:rPr>
      </w:pPr>
    </w:p>
    <w:p>
      <w:pPr>
        <w:ind w:left="1040" w:hanging="519"/>
        <w:spacing w:after="0" w:line="293" w:lineRule="auto"/>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Other Privacy and Security Requirements. </w:t>
      </w:r>
      <w:r>
        <w:rPr>
          <w:rFonts w:ascii="Arial" w:cs="Arial" w:eastAsia="Arial" w:hAnsi="Arial"/>
          <w:sz w:val="15"/>
          <w:szCs w:val="15"/>
          <w:color w:val="auto"/>
        </w:rPr>
        <w:t>In addition to HIPAA, numerous other federal and state laws govern the collection, dissemination, use, access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and confidentiality of personal information.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California Consumer Privacy Act, or CCPA, which goes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67" w:lineRule="exact"/>
        <w:rPr>
          <w:rFonts w:ascii="Arial" w:cs="Arial" w:eastAsia="Arial" w:hAnsi="Arial"/>
          <w:sz w:val="15"/>
          <w:szCs w:val="15"/>
          <w:color w:val="auto"/>
        </w:rPr>
      </w:pPr>
    </w:p>
    <w:p>
      <w:pPr>
        <w:ind w:left="1040"/>
        <w:spacing w:after="0" w:line="292" w:lineRule="auto"/>
        <w:rPr>
          <w:rFonts w:ascii="Arial" w:cs="Arial" w:eastAsia="Arial" w:hAnsi="Arial"/>
          <w:sz w:val="15"/>
          <w:szCs w:val="15"/>
          <w:color w:val="auto"/>
        </w:rPr>
      </w:pPr>
      <w:r>
        <w:rPr>
          <w:rFonts w:ascii="Arial" w:cs="Arial" w:eastAsia="Arial" w:hAnsi="Arial"/>
          <w:sz w:val="15"/>
          <w:szCs w:val="15"/>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we may need to expend resources in order to change our business operations, policies and processes or the manner in which we provide our solutions.</w:t>
      </w:r>
    </w:p>
    <w:p>
      <w:pPr>
        <w:spacing w:after="0" w:line="4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This could adversely affect our business, financial condition and results of operations.</w:t>
      </w:r>
    </w:p>
    <w:p>
      <w:pPr>
        <w:spacing w:after="0" w:line="224" w:lineRule="exact"/>
        <w:rPr>
          <w:sz w:val="20"/>
          <w:szCs w:val="20"/>
          <w:color w:val="auto"/>
        </w:rPr>
      </w:pPr>
    </w:p>
    <w:p>
      <w:pPr>
        <w:ind w:left="1040" w:right="20" w:hanging="519"/>
        <w:spacing w:after="0" w:line="276"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Data Protection and Breaches. </w:t>
      </w:r>
      <w:r>
        <w:rPr>
          <w:rFonts w:ascii="Arial" w:cs="Arial" w:eastAsia="Arial" w:hAnsi="Arial"/>
          <w:sz w:val="16"/>
          <w:szCs w:val="16"/>
          <w:color w:val="auto"/>
        </w:rPr>
        <w:t>In recent years, there have been a number of well-publicized data breaches involving the improper dissemination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74" w:lineRule="exact"/>
        <w:rPr>
          <w:rFonts w:ascii="Arial" w:cs="Arial" w:eastAsia="Arial" w:hAnsi="Arial"/>
          <w:sz w:val="16"/>
          <w:szCs w:val="16"/>
          <w:color w:val="auto"/>
        </w:rPr>
      </w:pPr>
    </w:p>
    <w:p>
      <w:pPr>
        <w:ind w:left="1040"/>
        <w:spacing w:after="0" w:line="277" w:lineRule="auto"/>
        <w:rPr>
          <w:rFonts w:ascii="Arial" w:cs="Arial" w:eastAsia="Arial" w:hAnsi="Arial"/>
          <w:sz w:val="16"/>
          <w:szCs w:val="16"/>
          <w:color w:val="auto"/>
        </w:rPr>
      </w:pPr>
      <w:r>
        <w:rPr>
          <w:rFonts w:ascii="Arial" w:cs="Arial" w:eastAsia="Arial" w:hAnsi="Arial"/>
          <w:sz w:val="16"/>
          <w:szCs w:val="16"/>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74" w:lineRule="exact"/>
        <w:rPr>
          <w:rFonts w:ascii="Arial" w:cs="Arial" w:eastAsia="Arial" w:hAnsi="Arial"/>
          <w:sz w:val="16"/>
          <w:szCs w:val="16"/>
          <w:color w:val="auto"/>
        </w:rPr>
      </w:pPr>
    </w:p>
    <w:p>
      <w:pPr>
        <w:ind w:left="1040"/>
        <w:spacing w:after="0" w:line="293" w:lineRule="auto"/>
        <w:rPr>
          <w:rFonts w:ascii="Arial" w:cs="Arial" w:eastAsia="Arial" w:hAnsi="Arial"/>
          <w:sz w:val="16"/>
          <w:szCs w:val="16"/>
          <w:color w:val="auto"/>
        </w:rPr>
      </w:pPr>
      <w:r>
        <w:rPr>
          <w:rFonts w:ascii="Arial" w:cs="Arial" w:eastAsia="Arial" w:hAnsi="Arial"/>
          <w:sz w:val="15"/>
          <w:szCs w:val="15"/>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63" w:lineRule="exact"/>
        <w:rPr>
          <w:sz w:val="20"/>
          <w:szCs w:val="20"/>
          <w:color w:val="auto"/>
        </w:rPr>
      </w:pPr>
    </w:p>
    <w:p>
      <w:pPr>
        <w:ind w:left="1040"/>
        <w:spacing w:after="0" w:line="316" w:lineRule="auto"/>
        <w:rPr>
          <w:sz w:val="20"/>
          <w:szCs w:val="20"/>
          <w:color w:val="auto"/>
        </w:rPr>
      </w:pPr>
      <w:r>
        <w:rPr>
          <w:rFonts w:ascii="Arial" w:cs="Arial" w:eastAsia="Arial" w:hAnsi="Arial"/>
          <w:sz w:val="15"/>
          <w:szCs w:val="15"/>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1040"/>
        <w:spacing w:after="0" w:line="295" w:lineRule="auto"/>
        <w:rPr>
          <w:sz w:val="20"/>
          <w:szCs w:val="20"/>
          <w:color w:val="auto"/>
        </w:rPr>
      </w:pPr>
      <w:r>
        <w:rPr>
          <w:rFonts w:ascii="Arial" w:cs="Arial" w:eastAsia="Arial" w:hAnsi="Arial"/>
          <w:sz w:val="15"/>
          <w:szCs w:val="15"/>
          <w:color w:val="auto"/>
        </w:rPr>
        <w:t>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74" w:lineRule="exact"/>
        <w:rPr>
          <w:sz w:val="20"/>
          <w:szCs w:val="20"/>
          <w:color w:val="auto"/>
        </w:rPr>
      </w:pPr>
    </w:p>
    <w:p>
      <w:pPr>
        <w:ind w:left="1040" w:right="60" w:hanging="519"/>
        <w:spacing w:after="0" w:line="296" w:lineRule="auto"/>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HIPAA Transaction and Identifier Standards. </w:t>
      </w:r>
      <w:r>
        <w:rPr>
          <w:rFonts w:ascii="Arial" w:cs="Arial" w:eastAsia="Arial" w:hAnsi="Arial"/>
          <w:sz w:val="15"/>
          <w:szCs w:val="15"/>
          <w:color w:val="auto"/>
        </w:rPr>
        <w:t>HIPAA and its implementing regulations mandate format and data content standards and provider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(e.g.,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60" w:lineRule="exact"/>
        <w:rPr>
          <w:rFonts w:ascii="Arial" w:cs="Arial" w:eastAsia="Arial" w:hAnsi="Arial"/>
          <w:sz w:val="15"/>
          <w:szCs w:val="15"/>
          <w:color w:val="auto"/>
        </w:rPr>
      </w:pPr>
    </w:p>
    <w:p>
      <w:pPr>
        <w:ind w:left="1040"/>
        <w:spacing w:after="0" w:line="279" w:lineRule="auto"/>
        <w:rPr>
          <w:rFonts w:ascii="Arial" w:cs="Arial" w:eastAsia="Arial" w:hAnsi="Arial"/>
          <w:sz w:val="15"/>
          <w:szCs w:val="15"/>
          <w:color w:val="auto"/>
        </w:rPr>
      </w:pPr>
      <w:r>
        <w:rPr>
          <w:rFonts w:ascii="Arial" w:cs="Arial" w:eastAsia="Arial" w:hAnsi="Arial"/>
          <w:sz w:val="16"/>
          <w:szCs w:val="16"/>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98" w:lineRule="exact"/>
        <w:rPr>
          <w:rFonts w:ascii="Arial" w:cs="Arial" w:eastAsia="Arial" w:hAnsi="Arial"/>
          <w:sz w:val="15"/>
          <w:szCs w:val="15"/>
          <w:color w:val="auto"/>
        </w:rPr>
      </w:pPr>
    </w:p>
    <w:p>
      <w:pPr>
        <w:ind w:left="1040" w:right="180" w:hanging="519"/>
        <w:spacing w:after="0" w:line="307" w:lineRule="auto"/>
        <w:tabs>
          <w:tab w:leader="none" w:pos="1040" w:val="left"/>
        </w:tabs>
        <w:numPr>
          <w:ilvl w:val="0"/>
          <w:numId w:val="2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Fraud and Abuse Laws. </w:t>
      </w:r>
      <w:r>
        <w:rPr>
          <w:rFonts w:ascii="Arial" w:cs="Arial" w:eastAsia="Arial" w:hAnsi="Arial"/>
          <w:sz w:val="15"/>
          <w:szCs w:val="15"/>
          <w:color w:val="auto"/>
        </w:rPr>
        <w:t>Many of our clients, insurance carriers, and network healthcare providers are impacted directly and indirectly by certain fraud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w:t>
      </w:r>
    </w:p>
    <w:p>
      <w:pPr>
        <w:spacing w:after="0" w:line="152" w:lineRule="exact"/>
        <w:rPr>
          <w:rFonts w:ascii="Arial" w:cs="Arial" w:eastAsia="Arial" w:hAnsi="Arial"/>
          <w:sz w:val="15"/>
          <w:szCs w:val="15"/>
          <w:color w:val="auto"/>
        </w:rPr>
      </w:pPr>
    </w:p>
    <w:p>
      <w:pPr>
        <w:ind w:left="1040"/>
        <w:spacing w:after="0" w:line="277" w:lineRule="auto"/>
        <w:rPr>
          <w:rFonts w:ascii="Arial" w:cs="Arial" w:eastAsia="Arial" w:hAnsi="Arial"/>
          <w:sz w:val="15"/>
          <w:szCs w:val="15"/>
          <w:color w:val="auto"/>
        </w:rPr>
      </w:pPr>
      <w:r>
        <w:rPr>
          <w:rFonts w:ascii="Arial" w:cs="Arial" w:eastAsia="Arial" w:hAnsi="Arial"/>
          <w:sz w:val="16"/>
          <w:szCs w:val="16"/>
          <w:color w:val="auto"/>
        </w:rPr>
        <w:t>The laws, regulations and other requirements in this area are both broad and vague and judicial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healthcare programs. Any determination by a federal or state regulatory authority that any of our activities or those of our clients or vendors violate any of these laws or regulations could subject us to civil or criminal penalties, require us to enter into corporate integrity agreements or similar agreements with ongoing compliance obligations, disqualify us from providing services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to clients that are, or do business with, government programs and/or have an adverse impact on our business, financial condition and results of operations.</w:t>
      </w:r>
    </w:p>
    <w:p>
      <w:pPr>
        <w:spacing w:after="0" w:line="41"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Even an unsuccessful challenge by a regulatory authority of our activities could result in adverse publicity and could require a costly response from us.</w:t>
      </w:r>
    </w:p>
    <w:p>
      <w:pPr>
        <w:spacing w:after="0" w:line="247" w:lineRule="exact"/>
        <w:rPr>
          <w:sz w:val="20"/>
          <w:szCs w:val="20"/>
          <w:color w:val="auto"/>
        </w:rPr>
      </w:pPr>
    </w:p>
    <w:p>
      <w:pPr>
        <w:ind w:left="1040" w:hanging="519"/>
        <w:spacing w:after="0" w:line="292" w:lineRule="auto"/>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ERISA Regulation. </w:t>
      </w:r>
      <w:r>
        <w:rPr>
          <w:rFonts w:ascii="Arial" w:cs="Arial" w:eastAsia="Arial" w:hAnsi="Arial"/>
          <w:sz w:val="15"/>
          <w:szCs w:val="15"/>
          <w:color w:val="auto"/>
        </w:rPr>
        <w:t>The Employee Retirement Income Security Act of 1974, or ERISA, regulates certain aspects of employee pension and health benefits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plans, including self-funded corporate health plans sponsored by our clients, with which we have agreements to provide TPA services. As part of our agreements with a number of these clients, we offer PBM services through Progyny Rx. We believe the conduct of our business vis-à-vis these plans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In addition to its fiduciary provisions, ERISA has broad preemptive effect and has been held to preempt state laws imposing transparency requirements on PBMs.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Employee benefits plans subject to ERISA are subject to certain rules, published by the DOL, including certain reporting requirements for direct and indirect compensation received by plan service providers. However, many self-funded health plans such as the plans that we have contracts with are exempt from these reporting requirements under current law. At this time, we are unable to predict whether the DOL will issue additional regulations or guidance on reporting or which additional regulations, if any, may be proposed in formal rulemaking by the DOL.</w:t>
      </w:r>
    </w:p>
    <w:p>
      <w:pPr>
        <w:spacing w:after="0" w:line="189" w:lineRule="exact"/>
        <w:rPr>
          <w:rFonts w:ascii="Arial" w:cs="Arial" w:eastAsia="Arial" w:hAnsi="Arial"/>
          <w:sz w:val="15"/>
          <w:szCs w:val="15"/>
          <w:color w:val="auto"/>
        </w:rPr>
      </w:pPr>
    </w:p>
    <w:p>
      <w:pPr>
        <w:ind w:left="1040" w:right="40" w:hanging="519"/>
        <w:spacing w:after="0" w:line="274"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Prompt Pay Laws. </w:t>
      </w:r>
      <w:r>
        <w:rPr>
          <w:rFonts w:ascii="Arial" w:cs="Arial" w:eastAsia="Arial" w:hAnsi="Arial"/>
          <w:sz w:val="16"/>
          <w:szCs w:val="16"/>
          <w:color w:val="auto"/>
        </w:rPr>
        <w:t>Certain states have laws regulating the amount of time that may elapse from when a third-party payor receives a claim for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rendered to when those services are paid. These "prompt pay" laws may impact us as well as our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91" w:lineRule="exact"/>
        <w:rPr>
          <w:rFonts w:ascii="Arial" w:cs="Arial" w:eastAsia="Arial" w:hAnsi="Arial"/>
          <w:sz w:val="16"/>
          <w:szCs w:val="16"/>
          <w:color w:val="auto"/>
        </w:rPr>
      </w:pPr>
    </w:p>
    <w:p>
      <w:pPr>
        <w:ind w:left="1040" w:right="100" w:hanging="519"/>
        <w:spacing w:after="0" w:line="259"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Network Adequacy and Access Requirements. </w:t>
      </w:r>
      <w:r>
        <w:rPr>
          <w:rFonts w:ascii="Arial" w:cs="Arial" w:eastAsia="Arial" w:hAnsi="Arial"/>
          <w:sz w:val="17"/>
          <w:szCs w:val="17"/>
          <w:color w:val="auto"/>
        </w:rPr>
        <w:t>Network adequacy and access laws require health plans to maintain a network of healthcare providers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1040" w:right="140"/>
        <w:spacing w:after="0" w:line="295" w:lineRule="auto"/>
        <w:rPr>
          <w:sz w:val="20"/>
          <w:szCs w:val="20"/>
          <w:color w:val="auto"/>
        </w:rPr>
      </w:pPr>
      <w:r>
        <w:rPr>
          <w:rFonts w:ascii="Arial" w:cs="Arial" w:eastAsia="Arial" w:hAnsi="Arial"/>
          <w:sz w:val="15"/>
          <w:szCs w:val="15"/>
          <w:color w:val="auto"/>
        </w:rPr>
        <w:t>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74" w:lineRule="exact"/>
        <w:rPr>
          <w:sz w:val="20"/>
          <w:szCs w:val="20"/>
          <w:color w:val="auto"/>
        </w:rPr>
      </w:pPr>
    </w:p>
    <w:p>
      <w:pPr>
        <w:ind w:left="1040" w:hanging="519"/>
        <w:spacing w:after="0" w:line="275"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Consumer Protection Laws. </w:t>
      </w:r>
      <w:r>
        <w:rPr>
          <w:rFonts w:ascii="Arial" w:cs="Arial" w:eastAsia="Arial" w:hAnsi="Arial"/>
          <w:sz w:val="16"/>
          <w:szCs w:val="16"/>
          <w:color w:val="auto"/>
        </w:rPr>
        <w:t>Federal and state consumer protection laws are being applied increasingly by the Federal Trade Commission, or FTC,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201" w:lineRule="exact"/>
        <w:rPr>
          <w:rFonts w:ascii="Arial" w:cs="Arial" w:eastAsia="Arial" w:hAnsi="Arial"/>
          <w:sz w:val="16"/>
          <w:szCs w:val="16"/>
          <w:color w:val="auto"/>
        </w:rPr>
      </w:pPr>
    </w:p>
    <w:p>
      <w:pPr>
        <w:ind w:left="1040" w:right="20" w:hanging="519"/>
        <w:spacing w:after="0" w:line="279"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Restrictions on Communication. </w:t>
      </w:r>
      <w:r>
        <w:rPr>
          <w:rFonts w:ascii="Arial" w:cs="Arial" w:eastAsia="Arial" w:hAnsi="Arial"/>
          <w:sz w:val="16"/>
          <w:szCs w:val="16"/>
          <w:color w:val="auto"/>
        </w:rPr>
        <w:t>Communications with our members increasingly may be subject to and restricted by laws and regulations governing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2"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71" w:lineRule="exact"/>
        <w:rPr>
          <w:sz w:val="20"/>
          <w:szCs w:val="20"/>
          <w:color w:val="auto"/>
        </w:rPr>
      </w:pPr>
    </w:p>
    <w:p>
      <w:pPr>
        <w:ind w:right="40" w:firstLine="327"/>
        <w:spacing w:after="0" w:line="258" w:lineRule="auto"/>
        <w:rPr>
          <w:sz w:val="20"/>
          <w:szCs w:val="20"/>
          <w:color w:val="auto"/>
        </w:rPr>
      </w:pPr>
      <w:r>
        <w:rPr>
          <w:rFonts w:ascii="Arial" w:cs="Arial" w:eastAsia="Arial" w:hAnsi="Arial"/>
          <w:sz w:val="17"/>
          <w:szCs w:val="17"/>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while ACA does not directly regulate our business as a benefit area, it does affect the coverage and plan designs that are or will be provided by certain insurance carriers and certain of our clients, taxability of such plans, as well as the overall reimbursement and drug pricing environment for healthcare providers. Health reform efforts, including reforms to the ACA, and measures that would expand the role of government-sponsored coverage, including single payer or so-called "Medicare-for-All" proposals, which could have far-reaching implications for the healthcare industry if enacted.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 w:firstLine="333"/>
        <w:spacing w:after="0" w:line="265" w:lineRule="auto"/>
        <w:rPr>
          <w:sz w:val="20"/>
          <w:szCs w:val="20"/>
          <w:color w:val="auto"/>
        </w:rPr>
      </w:pPr>
      <w:r>
        <w:rPr>
          <w:rFonts w:ascii="Arial" w:cs="Arial" w:eastAsia="Arial" w:hAnsi="Arial"/>
          <w:sz w:val="17"/>
          <w:szCs w:val="17"/>
          <w:color w:val="auto"/>
        </w:rPr>
        <w:t>We are unable to predict the full impact of health reform initiatives on our operations in light of the uncertainty regarding whether, when and how the ACA will be further changed, what alternative reforms (including single payer proposals), if any, may be enacted, the timing of enactment and implementation of alternative provisions and the impact of alternative provisions on various healthcare industry participants.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regulation, industry standards and other requirements create risks and challenges with respect to our compliance efforts and our business strategies.</w:t>
      </w:r>
    </w:p>
    <w:p>
      <w:pPr>
        <w:spacing w:after="0" w:line="253" w:lineRule="exact"/>
        <w:rPr>
          <w:sz w:val="20"/>
          <w:szCs w:val="20"/>
          <w:color w:val="auto"/>
        </w:rPr>
      </w:pPr>
    </w:p>
    <w:p>
      <w:pPr>
        <w:ind w:firstLine="333"/>
        <w:spacing w:after="0" w:line="289" w:lineRule="auto"/>
        <w:rPr>
          <w:sz w:val="20"/>
          <w:szCs w:val="20"/>
          <w:color w:val="auto"/>
        </w:rPr>
      </w:pPr>
      <w:r>
        <w:rPr>
          <w:rFonts w:ascii="Arial" w:cs="Arial" w:eastAsia="Arial" w:hAnsi="Arial"/>
          <w:sz w:val="15"/>
          <w:szCs w:val="15"/>
          <w:color w:val="auto"/>
        </w:rPr>
        <w:t>The healthcare industry is highly regulated and subject to frequently changing laws, regulations,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repeal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There have also been a number of reform efforts around</w:t>
      </w:r>
    </w:p>
    <w:p>
      <w:pPr>
        <w:spacing w:after="0" w:line="2" w:lineRule="exact"/>
        <w:rPr>
          <w:sz w:val="20"/>
          <w:szCs w:val="20"/>
          <w:color w:val="auto"/>
        </w:rPr>
      </w:pPr>
    </w:p>
    <w:p>
      <w:pPr>
        <w:jc w:val="both"/>
        <w:ind w:right="280"/>
        <w:spacing w:after="0" w:line="284" w:lineRule="auto"/>
        <w:rPr>
          <w:sz w:val="20"/>
          <w:szCs w:val="20"/>
          <w:color w:val="auto"/>
        </w:rPr>
      </w:pPr>
      <w:r>
        <w:rPr>
          <w:rFonts w:ascii="Arial" w:cs="Arial" w:eastAsia="Arial" w:hAnsi="Arial"/>
          <w:sz w:val="16"/>
          <w:szCs w:val="16"/>
          <w:color w:val="auto"/>
        </w:rPr>
        <w:t>PBMs including pricing and transparency which could affect our business.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68"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1" w:lineRule="exact"/>
        <w:rPr>
          <w:sz w:val="20"/>
          <w:szCs w:val="20"/>
          <w:color w:val="auto"/>
        </w:rPr>
      </w:pPr>
    </w:p>
    <w:p>
      <w:pPr>
        <w:ind w:right="40" w:firstLine="333"/>
        <w:spacing w:after="0" w:line="275" w:lineRule="auto"/>
        <w:rPr>
          <w:sz w:val="20"/>
          <w:szCs w:val="20"/>
          <w:color w:val="auto"/>
        </w:rPr>
      </w:pPr>
      <w:r>
        <w:rPr>
          <w:rFonts w:ascii="Arial" w:cs="Arial" w:eastAsia="Arial" w:hAnsi="Arial"/>
          <w:sz w:val="16"/>
          <w:szCs w:val="16"/>
          <w:color w:val="auto"/>
        </w:rPr>
        <w:t>While we operate only in the United States, we remain subject to the U.S. Foreign Corrupt Practices Act, or FCPA,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6" w:lineRule="exact"/>
        <w:rPr>
          <w:sz w:val="20"/>
          <w:szCs w:val="20"/>
          <w:color w:val="auto"/>
        </w:rPr>
      </w:pPr>
    </w:p>
    <w:p>
      <w:pPr>
        <w:ind w:right="80" w:firstLine="336"/>
        <w:spacing w:after="0" w:line="302" w:lineRule="auto"/>
        <w:rPr>
          <w:sz w:val="20"/>
          <w:szCs w:val="20"/>
          <w:color w:val="auto"/>
        </w:rPr>
      </w:pPr>
      <w:r>
        <w:rPr>
          <w:rFonts w:ascii="Arial" w:cs="Arial" w:eastAsia="Arial" w:hAnsi="Arial"/>
          <w:sz w:val="15"/>
          <w:szCs w:val="15"/>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360"/>
        <w:spacing w:after="0" w:line="308" w:lineRule="auto"/>
        <w:rPr>
          <w:sz w:val="20"/>
          <w:szCs w:val="20"/>
          <w:color w:val="auto"/>
        </w:rPr>
      </w:pPr>
      <w:r>
        <w:rPr>
          <w:rFonts w:ascii="Arial" w:cs="Arial" w:eastAsia="Arial" w:hAnsi="Arial"/>
          <w:sz w:val="16"/>
          <w:szCs w:val="16"/>
          <w:color w:val="auto"/>
        </w:rPr>
        <w:t>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potential sales to government entities are subject to a number of challenges and risks.</w:t>
      </w:r>
    </w:p>
    <w:p>
      <w:pPr>
        <w:spacing w:after="0" w:line="218" w:lineRule="exact"/>
        <w:rPr>
          <w:sz w:val="20"/>
          <w:szCs w:val="20"/>
          <w:color w:val="auto"/>
        </w:rPr>
      </w:pPr>
    </w:p>
    <w:p>
      <w:pPr>
        <w:ind w:right="60" w:firstLine="333"/>
        <w:spacing w:after="0" w:line="258" w:lineRule="auto"/>
        <w:rPr>
          <w:sz w:val="20"/>
          <w:szCs w:val="20"/>
          <w:color w:val="auto"/>
        </w:rPr>
      </w:pPr>
      <w:r>
        <w:rPr>
          <w:rFonts w:ascii="Arial" w:cs="Arial" w:eastAsia="Arial" w:hAnsi="Arial"/>
          <w:sz w:val="17"/>
          <w:szCs w:val="17"/>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88" w:lineRule="exact"/>
        <w:rPr>
          <w:sz w:val="20"/>
          <w:szCs w:val="20"/>
          <w:color w:val="auto"/>
        </w:rPr>
      </w:pPr>
    </w:p>
    <w:p>
      <w:pPr>
        <w:jc w:val="both"/>
        <w:ind w:right="520" w:firstLine="336"/>
        <w:spacing w:after="0" w:line="265" w:lineRule="auto"/>
        <w:rPr>
          <w:sz w:val="20"/>
          <w:szCs w:val="20"/>
          <w:color w:val="auto"/>
        </w:rPr>
      </w:pPr>
      <w:r>
        <w:rPr>
          <w:rFonts w:ascii="Arial" w:cs="Arial" w:eastAsia="Arial" w:hAnsi="Arial"/>
          <w:sz w:val="17"/>
          <w:szCs w:val="17"/>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protect our intellectual property rights could impair our ability to protect our proprietary technology and our brand.</w:t>
      </w:r>
    </w:p>
    <w:p>
      <w:pPr>
        <w:spacing w:after="0" w:line="218" w:lineRule="exact"/>
        <w:rPr>
          <w:sz w:val="20"/>
          <w:szCs w:val="20"/>
          <w:color w:val="auto"/>
        </w:rPr>
      </w:pPr>
    </w:p>
    <w:p>
      <w:pPr>
        <w:ind w:firstLine="336"/>
        <w:spacing w:after="0" w:line="296" w:lineRule="auto"/>
        <w:rPr>
          <w:sz w:val="20"/>
          <w:szCs w:val="20"/>
          <w:color w:val="auto"/>
        </w:rPr>
      </w:pPr>
      <w:r>
        <w:rPr>
          <w:rFonts w:ascii="Arial" w:cs="Arial" w:eastAsia="Arial" w:hAnsi="Arial"/>
          <w:sz w:val="15"/>
          <w:szCs w:val="15"/>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61" w:lineRule="exact"/>
        <w:rPr>
          <w:sz w:val="20"/>
          <w:szCs w:val="20"/>
          <w:color w:val="auto"/>
        </w:rPr>
      </w:pPr>
    </w:p>
    <w:p>
      <w:pPr>
        <w:ind w:right="300" w:firstLine="336"/>
        <w:spacing w:after="0" w:line="276" w:lineRule="auto"/>
        <w:rPr>
          <w:sz w:val="20"/>
          <w:szCs w:val="20"/>
          <w:color w:val="auto"/>
        </w:rPr>
      </w:pPr>
      <w:r>
        <w:rPr>
          <w:rFonts w:ascii="Arial" w:cs="Arial" w:eastAsia="Arial" w:hAnsi="Arial"/>
          <w:sz w:val="17"/>
          <w:szCs w:val="17"/>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71" w:lineRule="exact"/>
        <w:rPr>
          <w:sz w:val="20"/>
          <w:szCs w:val="20"/>
          <w:color w:val="auto"/>
        </w:rPr>
      </w:pPr>
    </w:p>
    <w:p>
      <w:pPr>
        <w:ind w:right="40" w:firstLine="333"/>
        <w:spacing w:after="0" w:line="258" w:lineRule="auto"/>
        <w:rPr>
          <w:sz w:val="20"/>
          <w:szCs w:val="20"/>
          <w:color w:val="auto"/>
        </w:rPr>
      </w:pPr>
      <w:r>
        <w:rPr>
          <w:rFonts w:ascii="Arial" w:cs="Arial" w:eastAsia="Arial" w:hAnsi="Arial"/>
          <w:sz w:val="17"/>
          <w:szCs w:val="17"/>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proceedings relating to intellectual property claims may cause us to incur significant expenses and could distract our employees and management personnel from their normal responsibilities.</w:t>
      </w:r>
    </w:p>
    <w:p>
      <w:pPr>
        <w:spacing w:after="0" w:line="171" w:lineRule="exact"/>
        <w:rPr>
          <w:sz w:val="20"/>
          <w:szCs w:val="20"/>
          <w:color w:val="auto"/>
        </w:rPr>
      </w:pPr>
    </w:p>
    <w:p>
      <w:pPr>
        <w:ind w:right="60" w:firstLine="336"/>
        <w:spacing w:after="0" w:line="307" w:lineRule="auto"/>
        <w:rPr>
          <w:sz w:val="20"/>
          <w:szCs w:val="20"/>
          <w:color w:val="auto"/>
        </w:rPr>
      </w:pPr>
      <w:r>
        <w:rPr>
          <w:rFonts w:ascii="Arial" w:cs="Arial" w:eastAsia="Arial" w:hAnsi="Arial"/>
          <w:sz w:val="15"/>
          <w:szCs w:val="15"/>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52" w:lineRule="exact"/>
        <w:rPr>
          <w:sz w:val="20"/>
          <w:szCs w:val="20"/>
          <w:color w:val="auto"/>
        </w:rPr>
      </w:pPr>
    </w:p>
    <w:p>
      <w:pPr>
        <w:ind w:firstLine="336"/>
        <w:spacing w:after="0" w:line="316" w:lineRule="auto"/>
        <w:rPr>
          <w:sz w:val="20"/>
          <w:szCs w:val="20"/>
          <w:color w:val="auto"/>
        </w:rPr>
      </w:pPr>
      <w:r>
        <w:rPr>
          <w:rFonts w:ascii="Arial" w:cs="Arial" w:eastAsia="Arial" w:hAnsi="Arial"/>
          <w:sz w:val="15"/>
          <w:szCs w:val="15"/>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litigation against us could be costly and time-consuming to defend and could harm our business, financial condition and results of operations.</w:t>
      </w:r>
    </w:p>
    <w:p>
      <w:pPr>
        <w:spacing w:after="0" w:line="230" w:lineRule="exact"/>
        <w:rPr>
          <w:sz w:val="20"/>
          <w:szCs w:val="20"/>
          <w:color w:val="auto"/>
        </w:rPr>
      </w:pPr>
    </w:p>
    <w:p>
      <w:pPr>
        <w:ind w:right="60" w:firstLine="333"/>
        <w:spacing w:after="0" w:line="297" w:lineRule="auto"/>
        <w:rPr>
          <w:sz w:val="20"/>
          <w:szCs w:val="20"/>
          <w:color w:val="auto"/>
        </w:rPr>
      </w:pPr>
      <w:r>
        <w:rPr>
          <w:rFonts w:ascii="Arial" w:cs="Arial" w:eastAsia="Arial" w:hAnsi="Arial"/>
          <w:sz w:val="15"/>
          <w:szCs w:val="15"/>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currently in arbitration with a former vendor who alleges a breach of our contract with such vendor. See "Business—Legal Proceedings." We are unable to predict the outcome of any of these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61"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49" w:lineRule="exact"/>
        <w:rPr>
          <w:sz w:val="20"/>
          <w:szCs w:val="20"/>
          <w:color w:val="auto"/>
        </w:rPr>
      </w:pPr>
    </w:p>
    <w:p>
      <w:pPr>
        <w:ind w:right="60" w:firstLine="333"/>
        <w:spacing w:after="0" w:line="294" w:lineRule="auto"/>
        <w:rPr>
          <w:sz w:val="20"/>
          <w:szCs w:val="20"/>
          <w:color w:val="auto"/>
        </w:rPr>
      </w:pPr>
      <w:r>
        <w:rPr>
          <w:rFonts w:ascii="Arial" w:cs="Arial" w:eastAsia="Arial" w:hAnsi="Arial"/>
          <w:sz w:val="15"/>
          <w:szCs w:val="15"/>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December 2017 U.S. federal tax reform may subject us to potential adverse tax consequences.</w:t>
      </w:r>
    </w:p>
    <w:p>
      <w:pPr>
        <w:spacing w:after="0" w:line="218" w:lineRule="exact"/>
        <w:rPr>
          <w:sz w:val="20"/>
          <w:szCs w:val="20"/>
          <w:color w:val="auto"/>
        </w:rPr>
      </w:pPr>
    </w:p>
    <w:p>
      <w:pPr>
        <w:ind w:firstLine="333"/>
        <w:spacing w:after="0" w:line="279" w:lineRule="auto"/>
        <w:rPr>
          <w:sz w:val="20"/>
          <w:szCs w:val="20"/>
          <w:color w:val="auto"/>
        </w:rPr>
      </w:pPr>
      <w:r>
        <w:rPr>
          <w:rFonts w:ascii="Arial" w:cs="Arial" w:eastAsia="Arial" w:hAnsi="Arial"/>
          <w:sz w:val="16"/>
          <w:szCs w:val="16"/>
          <w:color w:val="auto"/>
        </w:rPr>
        <w:t>The Tax Cuts and Jobs Act, or the Tax Act, enacted in December 2017, among other things, includes changes to U.S. federal tax rates, imposes additional limitations on the deductibility of interest, has both positive and negative changes to the utilization of future net operating loss carryforwards, allows for the expensing of certain capital expenditures, and puts into effect the migration from a "worldwide" system of taxation to a "quasi-territorial system". Our net deferred tax assets and liabilities and valuation allowance have been revalued at the U.S. corporate rate, which the Tax Act reduced to 21%. We continue to examine the impact this tax reform legislation may have on our business. The impact of this tax reform on holders of our common stock is uncertain and could be adverse.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 or tax liability may have an adverse effect on our results of operations.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effective tax rate could increase due to several factors, including, but not limited to:</w:t>
      </w:r>
    </w:p>
    <w:p>
      <w:pPr>
        <w:spacing w:after="0" w:line="231"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255"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tax laws, tax treaties, and regulations or the interpretation of them, including the Tax Act;</w:t>
      </w:r>
    </w:p>
    <w:p>
      <w:pPr>
        <w:spacing w:after="0" w:line="231" w:lineRule="exact"/>
        <w:rPr>
          <w:rFonts w:ascii="Arial" w:cs="Arial" w:eastAsia="Arial" w:hAnsi="Arial"/>
          <w:sz w:val="17"/>
          <w:szCs w:val="17"/>
          <w:color w:val="auto"/>
        </w:rPr>
      </w:pPr>
    </w:p>
    <w:p>
      <w:pPr>
        <w:ind w:left="1040" w:right="60" w:hanging="519"/>
        <w:spacing w:after="0" w:line="276"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4"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outcome of future tax audits, examinations, or administrative appeals; and</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limitations or adverse findings regarding our ability to do business in some jurisdictions.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of these developments could have an adverse effect on our results of operations.</w:t>
      </w:r>
    </w:p>
    <w:p>
      <w:pPr>
        <w:spacing w:after="0" w:line="21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Certain U.S. state tax authorities may assert that we have a state nexus and seek to impose state and local income taxes which could adversely affect our results of operations.</w:t>
      </w:r>
    </w:p>
    <w:p>
      <w:pPr>
        <w:spacing w:after="0" w:line="171" w:lineRule="exact"/>
        <w:rPr>
          <w:sz w:val="20"/>
          <w:szCs w:val="20"/>
          <w:color w:val="auto"/>
        </w:rPr>
      </w:pPr>
    </w:p>
    <w:p>
      <w:pPr>
        <w:ind w:right="100" w:firstLine="333"/>
        <w:spacing w:after="0" w:line="259" w:lineRule="auto"/>
        <w:rPr>
          <w:sz w:val="20"/>
          <w:szCs w:val="20"/>
          <w:color w:val="auto"/>
        </w:rPr>
      </w:pPr>
      <w:r>
        <w:rPr>
          <w:rFonts w:ascii="Arial" w:cs="Arial" w:eastAsia="Arial" w:hAnsi="Arial"/>
          <w:sz w:val="17"/>
          <w:szCs w:val="17"/>
          <w:color w:val="auto"/>
        </w:rPr>
        <w:t>We currently file state income tax returns in certain states. There is a risk that certain state tax authorities where we do not currently file a state income tax return could assert that we are liable for state and local income taxes based upon income or gross receipts allocable to such states. States are becoming increasingly aggressive in asserting a nexus for state income tax purposes. We could be subject to state and local taxation, including penalties and interest attributable to prior periods, if a state tax authority in which we do not currently file a state income tax return successfully asserts that our activities give rise to a taxable nexus. Such tax assessments, penalties and interest may adversely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utilize a significant portion of our net operating loss or research tax credit carryforwards, which could adversely affect our profitability.</w:t>
      </w:r>
    </w:p>
    <w:p>
      <w:pPr>
        <w:spacing w:after="0" w:line="241" w:lineRule="exact"/>
        <w:rPr>
          <w:sz w:val="20"/>
          <w:szCs w:val="20"/>
          <w:color w:val="auto"/>
        </w:rPr>
      </w:pPr>
    </w:p>
    <w:p>
      <w:pPr>
        <w:ind w:right="60" w:firstLine="327"/>
        <w:spacing w:after="0" w:line="265" w:lineRule="auto"/>
        <w:rPr>
          <w:sz w:val="20"/>
          <w:szCs w:val="20"/>
          <w:color w:val="auto"/>
        </w:rPr>
      </w:pPr>
      <w:r>
        <w:rPr>
          <w:rFonts w:ascii="Arial" w:cs="Arial" w:eastAsia="Arial" w:hAnsi="Arial"/>
          <w:sz w:val="17"/>
          <w:szCs w:val="17"/>
          <w:color w:val="auto"/>
        </w:rPr>
        <w:t>As of December 31, 2018, we had federal and state net operating loss carryforwards of approximately $86 million and $68 million, respectively, due to prior period losses, some of which, if not utilized, will begin to expire in 2030 for federal and state purposes. The federal and California research and development tax credits are approximately $756,000 and $830,000, respectively. The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federal research and development tax credits begin to expire in 2030, and the California research and development tax credits have no expiration date. These net operating loss and research tax credit carryforwards could expire unused and be unavailable to offset future income tax liabilities, which could adversely affect our profitability.</w:t>
      </w:r>
    </w:p>
    <w:p>
      <w:pPr>
        <w:spacing w:after="0" w:line="180" w:lineRule="exact"/>
        <w:rPr>
          <w:sz w:val="20"/>
          <w:szCs w:val="20"/>
          <w:color w:val="auto"/>
        </w:rPr>
      </w:pPr>
    </w:p>
    <w:p>
      <w:pPr>
        <w:ind w:firstLine="336"/>
        <w:spacing w:after="0" w:line="258" w:lineRule="auto"/>
        <w:rPr>
          <w:sz w:val="20"/>
          <w:szCs w:val="20"/>
          <w:color w:val="auto"/>
        </w:rPr>
      </w:pPr>
      <w:r>
        <w:rPr>
          <w:rFonts w:ascii="Arial" w:cs="Arial" w:eastAsia="Arial" w:hAnsi="Arial"/>
          <w:sz w:val="17"/>
          <w:szCs w:val="17"/>
          <w:color w:val="auto"/>
        </w:rPr>
        <w:t>In addition, 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This offering or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18" w:lineRule="exact"/>
        <w:rPr>
          <w:sz w:val="20"/>
          <w:szCs w:val="20"/>
          <w:color w:val="auto"/>
        </w:rPr>
      </w:pPr>
    </w:p>
    <w:p>
      <w:pPr>
        <w:ind w:firstLine="327"/>
        <w:spacing w:after="0" w:line="289" w:lineRule="auto"/>
        <w:rPr>
          <w:sz w:val="20"/>
          <w:szCs w:val="20"/>
          <w:color w:val="auto"/>
        </w:rPr>
      </w:pPr>
      <w:r>
        <w:rPr>
          <w:rFonts w:ascii="Arial" w:cs="Arial" w:eastAsia="Arial" w:hAnsi="Arial"/>
          <w:sz w:val="16"/>
          <w:szCs w:val="16"/>
          <w:color w:val="auto"/>
        </w:rPr>
        <w:t>Accounting principles generally accepted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63" w:lineRule="exact"/>
        <w:rPr>
          <w:sz w:val="20"/>
          <w:szCs w:val="20"/>
          <w:color w:val="auto"/>
        </w:rPr>
      </w:pPr>
    </w:p>
    <w:p>
      <w:pPr>
        <w:ind w:right="120" w:firstLine="336"/>
        <w:spacing w:after="0" w:line="276" w:lineRule="auto"/>
        <w:rPr>
          <w:sz w:val="20"/>
          <w:szCs w:val="20"/>
          <w:color w:val="auto"/>
        </w:rPr>
      </w:pPr>
      <w:r>
        <w:rPr>
          <w:rFonts w:ascii="Arial" w:cs="Arial" w:eastAsia="Arial" w:hAnsi="Arial"/>
          <w:sz w:val="16"/>
          <w:szCs w:val="16"/>
          <w:color w:val="auto"/>
        </w:rPr>
        <w:t>For example, in February 2016, the FASB issued ASU No. 2016-02, Leases (Topic 842).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 an "emerging growth company," we are allowed under the JOBS Act to delay adoption of new or revised accounting pronouncements applicable to public companies until such pronouncements are made applicable to private companies.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230" w:lineRule="exact"/>
        <w:rPr>
          <w:sz w:val="20"/>
          <w:szCs w:val="20"/>
          <w:color w:val="auto"/>
        </w:rPr>
      </w:pPr>
    </w:p>
    <w:p>
      <w:pPr>
        <w:ind w:right="60" w:firstLine="333"/>
        <w:spacing w:after="0" w:line="296"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used in preparing our consolidated financial statements include those related to the determination of fair value of our common stock, estimates of accounts receivable relating to member copayments and revenue recognition relating to services rendered but for which no claim has yet been reported, among others. Our results of operations may be adversely affected if our assumptions change or if actual circumstances differ from those in our assumptions, which could cause our results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operations to fall below the expectations of securities analysts and investors, resulting in a decline in the market price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the value of our common stock may decline.</w:t>
      </w:r>
    </w:p>
    <w:p>
      <w:pPr>
        <w:spacing w:after="0" w:line="218" w:lineRule="exact"/>
        <w:rPr>
          <w:sz w:val="20"/>
          <w:szCs w:val="20"/>
          <w:color w:val="auto"/>
        </w:rPr>
      </w:pPr>
    </w:p>
    <w:p>
      <w:pPr>
        <w:ind w:firstLine="333"/>
        <w:spacing w:after="0" w:line="276" w:lineRule="auto"/>
        <w:rPr>
          <w:sz w:val="20"/>
          <w:szCs w:val="20"/>
          <w:color w:val="auto"/>
        </w:rPr>
      </w:pPr>
      <w:r>
        <w:rPr>
          <w:rFonts w:ascii="Arial" w:cs="Arial" w:eastAsia="Arial" w:hAnsi="Arial"/>
          <w:sz w:val="17"/>
          <w:szCs w:val="17"/>
          <w:color w:val="auto"/>
        </w:rPr>
        <w:t>The market price of our common stock may be highly volatile and may fluctuate or decline substantially as a result of a variety of factors, some of which are beyond our control, including, but not limited to:</w:t>
      </w:r>
    </w:p>
    <w:p>
      <w:pPr>
        <w:spacing w:after="0" w:line="184"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or results of operations;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variance in our financial performance from expectations of securities analysts;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the pricing of our solutions and services;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our projected operating and financial results;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products and solutions;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significant data breaches of our company, providers, vendors or pharmacies;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involvement in litigation;</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future sales of our common stock by us or our stockholders, as well as the anticipation of lock-up releases;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senior management or key personnel;</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trading volume of our common stock;</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the anticipated future size and growth rate of our market; and</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218" w:lineRule="exact"/>
        <w:rPr>
          <w:sz w:val="20"/>
          <w:szCs w:val="20"/>
          <w:color w:val="auto"/>
        </w:rPr>
      </w:pPr>
    </w:p>
    <w:p>
      <w:pPr>
        <w:ind w:right="260" w:firstLine="336"/>
        <w:spacing w:after="0" w:line="279"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may also negatively impact the market price of our common stock.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public market for our common stock currently exists, and an active public trading market may not develop or be sustained following this offering.</w:t>
      </w:r>
    </w:p>
    <w:p>
      <w:pPr>
        <w:spacing w:after="0" w:line="230" w:lineRule="exact"/>
        <w:rPr>
          <w:sz w:val="20"/>
          <w:szCs w:val="20"/>
          <w:color w:val="auto"/>
        </w:rPr>
      </w:pPr>
    </w:p>
    <w:p>
      <w:pPr>
        <w:ind w:firstLine="336"/>
        <w:spacing w:after="0" w:line="302" w:lineRule="auto"/>
        <w:rPr>
          <w:sz w:val="20"/>
          <w:szCs w:val="20"/>
          <w:color w:val="auto"/>
        </w:rPr>
      </w:pPr>
      <w:r>
        <w:rPr>
          <w:rFonts w:ascii="Arial" w:cs="Arial" w:eastAsia="Arial" w:hAnsi="Arial"/>
          <w:sz w:val="15"/>
          <w:szCs w:val="15"/>
          <w:color w:val="auto"/>
        </w:rPr>
        <w:t>No public market for our common stock currently exists. An active public trading market for our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 The initial public offering price of shares of our common stock has been determined by negotiation between us and the underwriters and may not be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indicative of prices that will prevail following the completion of this offering. The market price of shares of our common stock may decline below the initial public offering price, and you may not be able to resell your shares of our common stock at or above the initial public offering price.</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71" w:lineRule="exact"/>
        <w:rPr>
          <w:sz w:val="20"/>
          <w:szCs w:val="20"/>
          <w:color w:val="auto"/>
        </w:rPr>
      </w:pPr>
    </w:p>
    <w:p>
      <w:pPr>
        <w:ind w:right="240" w:firstLine="336"/>
        <w:spacing w:after="0" w:line="345" w:lineRule="auto"/>
        <w:rPr>
          <w:sz w:val="20"/>
          <w:szCs w:val="20"/>
          <w:color w:val="auto"/>
        </w:rPr>
      </w:pPr>
      <w:r>
        <w:rPr>
          <w:rFonts w:ascii="Arial" w:cs="Arial" w:eastAsia="Arial" w:hAnsi="Arial"/>
          <w:sz w:val="15"/>
          <w:szCs w:val="15"/>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38"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demand for or pricing of our solutions;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attract new clients;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retain our existing clients;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client expansion rates;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clients' budgets and in the timing of their budget cycles and purchasing decisions;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control costs, including our operating expenses and healthcare costs;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sales and marketing expenses;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amount and timing of costs associated with recruiting, training and integrating new employees and retaining and motivating existing employees;</w:t>
      </w:r>
    </w:p>
    <w:p>
      <w:pPr>
        <w:spacing w:after="0" w:line="254" w:lineRule="exact"/>
        <w:rPr>
          <w:rFonts w:ascii="Arial" w:cs="Arial" w:eastAsia="Arial" w:hAnsi="Arial"/>
          <w:sz w:val="15"/>
          <w:szCs w:val="15"/>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economic conditions, as well as economic conditions specifically affecting industries in which our clients participate;</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new accounting pronouncements;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significant security breaches of, technical difficulties with, or interruptions to, the delivery and use of our solutions and services.</w:t>
      </w:r>
    </w:p>
    <w:p>
      <w:pPr>
        <w:spacing w:after="0" w:line="218" w:lineRule="exact"/>
        <w:rPr>
          <w:sz w:val="20"/>
          <w:szCs w:val="20"/>
          <w:color w:val="auto"/>
        </w:rPr>
      </w:pPr>
    </w:p>
    <w:p>
      <w:pPr>
        <w:jc w:val="both"/>
        <w:ind w:firstLine="327"/>
        <w:spacing w:after="0" w:line="265" w:lineRule="auto"/>
        <w:rPr>
          <w:sz w:val="20"/>
          <w:szCs w:val="20"/>
          <w:color w:val="auto"/>
        </w:rPr>
      </w:pPr>
      <w:r>
        <w:rPr>
          <w:rFonts w:ascii="Arial" w:cs="Arial" w:eastAsia="Arial" w:hAnsi="Arial"/>
          <w:sz w:val="17"/>
          <w:szCs w:val="17"/>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80"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b w:val="1"/>
          <w:bCs w:val="1"/>
          <w:i w:val="1"/>
          <w:iCs w:val="1"/>
          <w:color w:val="auto"/>
        </w:rPr>
        <w:t>In connection with our preparation of our annual financial statements for the year ended December 31, 2018, we and our independent registered public accounting firm identified a material weakness in our internal control over financial reporting. Any failure to maintain effective internal control over financial reporting could harm us.</w:t>
      </w:r>
    </w:p>
    <w:p>
      <w:pPr>
        <w:spacing w:after="0" w:line="180" w:lineRule="exact"/>
        <w:rPr>
          <w:sz w:val="20"/>
          <w:szCs w:val="20"/>
          <w:color w:val="auto"/>
        </w:rPr>
      </w:pPr>
    </w:p>
    <w:p>
      <w:pPr>
        <w:ind w:firstLine="336"/>
        <w:spacing w:after="0" w:line="26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In connection with our audit of the fiscal year 2018 consolidated financial</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statements, we and our independent registered public accounting firm identified one material weakness in our controls related to the lack of review and oversight over financial reporting. We determined that we had insufficient financial statement close processes and procedures relating to the classification and presentation of certain revenue and expenses. Under standards established by the United States Public Company Accounting Oversight Board,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72" w:lineRule="exact"/>
        <w:rPr>
          <w:sz w:val="20"/>
          <w:szCs w:val="20"/>
          <w:color w:val="auto"/>
        </w:rPr>
      </w:pPr>
    </w:p>
    <w:p>
      <w:pPr>
        <w:ind w:right="80" w:firstLine="333"/>
        <w:spacing w:after="0" w:line="261" w:lineRule="auto"/>
        <w:rPr>
          <w:sz w:val="20"/>
          <w:szCs w:val="20"/>
          <w:color w:val="auto"/>
        </w:rPr>
      </w:pPr>
      <w:r>
        <w:rPr>
          <w:rFonts w:ascii="Arial" w:cs="Arial" w:eastAsia="Arial" w:hAnsi="Arial"/>
          <w:sz w:val="17"/>
          <w:szCs w:val="17"/>
          <w:color w:val="auto"/>
        </w:rPr>
        <w:t>We have taken steps to remediate this weakness, including hiring of a senior financial executive in 2019 with a focus on SEC reporting and technical accounting. We have also implemented preventative and detective procedures and controls including analytical reviews designed to improve our annual and quarterly financial close process. However, we cannot assure you that the measures we have taken will remediate this deficiency or that we will not suffer from other material weaknesses in the future.</w:t>
      </w:r>
    </w:p>
    <w:p>
      <w:pPr>
        <w:spacing w:after="0" w:line="184" w:lineRule="exact"/>
        <w:rPr>
          <w:sz w:val="20"/>
          <w:szCs w:val="20"/>
          <w:color w:val="auto"/>
        </w:rPr>
      </w:pPr>
    </w:p>
    <w:p>
      <w:pPr>
        <w:ind w:right="40" w:firstLine="336"/>
        <w:spacing w:after="0" w:line="259" w:lineRule="auto"/>
        <w:rPr>
          <w:sz w:val="20"/>
          <w:szCs w:val="20"/>
          <w:color w:val="auto"/>
        </w:rPr>
      </w:pPr>
      <w:r>
        <w:rPr>
          <w:rFonts w:ascii="Arial" w:cs="Arial" w:eastAsia="Arial" w:hAnsi="Arial"/>
          <w:sz w:val="17"/>
          <w:szCs w:val="17"/>
          <w:color w:val="auto"/>
        </w:rPr>
        <w:t>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187" w:lineRule="exact"/>
        <w:rPr>
          <w:sz w:val="20"/>
          <w:szCs w:val="20"/>
          <w:color w:val="auto"/>
        </w:rPr>
      </w:pPr>
    </w:p>
    <w:p>
      <w:pPr>
        <w:ind w:right="260"/>
        <w:spacing w:after="0" w:line="387"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02" w:lineRule="exact"/>
        <w:rPr>
          <w:sz w:val="20"/>
          <w:szCs w:val="20"/>
          <w:color w:val="auto"/>
        </w:rPr>
      </w:pPr>
    </w:p>
    <w:p>
      <w:pPr>
        <w:ind w:firstLine="333"/>
        <w:spacing w:after="0" w:line="274" w:lineRule="auto"/>
        <w:rPr>
          <w:sz w:val="20"/>
          <w:szCs w:val="20"/>
          <w:color w:val="auto"/>
        </w:rPr>
      </w:pPr>
      <w:r>
        <w:rPr>
          <w:rFonts w:ascii="Arial" w:cs="Arial" w:eastAsia="Arial" w:hAnsi="Arial"/>
          <w:sz w:val="16"/>
          <w:szCs w:val="16"/>
          <w:color w:val="auto"/>
        </w:rPr>
        <w:t>We are required, pursuant to Section 404 of the Sarbanes-Oxley Act, or Section 404, to furnish a report by management on, among other things, the effectiveness of our internal control over financial reporting for the fiscal year ending December 31, 2020, which is the year covered by the second annual report following the completion of our initial public offering.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6" w:lineRule="exact"/>
        <w:rPr>
          <w:sz w:val="20"/>
          <w:szCs w:val="20"/>
          <w:color w:val="auto"/>
        </w:rPr>
      </w:pPr>
    </w:p>
    <w:p>
      <w:pPr>
        <w:ind w:firstLine="336"/>
        <w:spacing w:after="0" w:line="258"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in the use of the net proceeds to us from this offering and may not use them effectively.</w:t>
      </w:r>
    </w:p>
    <w:p>
      <w:pPr>
        <w:spacing w:after="0" w:line="218" w:lineRule="exact"/>
        <w:rPr>
          <w:sz w:val="20"/>
          <w:szCs w:val="20"/>
          <w:color w:val="auto"/>
        </w:rPr>
      </w:pPr>
    </w:p>
    <w:p>
      <w:pPr>
        <w:ind w:firstLine="333"/>
        <w:spacing w:after="0" w:line="297" w:lineRule="auto"/>
        <w:rPr>
          <w:sz w:val="20"/>
          <w:szCs w:val="20"/>
          <w:color w:val="auto"/>
        </w:rPr>
      </w:pPr>
      <w:r>
        <w:rPr>
          <w:rFonts w:ascii="Arial" w:cs="Arial" w:eastAsia="Arial" w:hAnsi="Arial"/>
          <w:sz w:val="15"/>
          <w:szCs w:val="15"/>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United States government that may not generate a high yield for our stockholders. If we do not use the net proceeds that we receive in this offering effectively, our business, financial condition, results of operations and prospects could be harmed, and the market price of our common stock could decline.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in the public market could cause the market price of our common stock to decline.</w:t>
      </w:r>
    </w:p>
    <w:p>
      <w:pPr>
        <w:spacing w:after="0" w:line="218" w:lineRule="exact"/>
        <w:rPr>
          <w:sz w:val="20"/>
          <w:szCs w:val="20"/>
          <w:color w:val="auto"/>
        </w:rPr>
      </w:pPr>
    </w:p>
    <w:p>
      <w:pPr>
        <w:jc w:val="both"/>
        <w:ind w:right="100" w:firstLine="336"/>
        <w:spacing w:after="0" w:line="265" w:lineRule="auto"/>
        <w:rPr>
          <w:sz w:val="20"/>
          <w:szCs w:val="20"/>
          <w:color w:val="auto"/>
        </w:rPr>
      </w:pPr>
      <w:r>
        <w:rPr>
          <w:rFonts w:ascii="Arial" w:cs="Arial" w:eastAsia="Arial" w:hAnsi="Arial"/>
          <w:sz w:val="17"/>
          <w:szCs w:val="17"/>
          <w:color w:val="auto"/>
        </w:rPr>
        <w:t>Sales of a substantial number of shares of our common stock in the public market following the completion of this offering,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0" w:lineRule="exact"/>
        <w:rPr>
          <w:sz w:val="20"/>
          <w:szCs w:val="20"/>
          <w:color w:val="auto"/>
        </w:rPr>
      </w:pPr>
    </w:p>
    <w:p>
      <w:pPr>
        <w:ind w:right="180" w:firstLine="327"/>
        <w:spacing w:after="0" w:line="279" w:lineRule="auto"/>
        <w:rPr>
          <w:sz w:val="20"/>
          <w:szCs w:val="20"/>
          <w:color w:val="auto"/>
        </w:rPr>
      </w:pPr>
      <w:r>
        <w:rPr>
          <w:rFonts w:ascii="Arial" w:cs="Arial" w:eastAsia="Arial" w:hAnsi="Arial"/>
          <w:sz w:val="16"/>
          <w:szCs w:val="16"/>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this prospectus. These lock-up agreements limit the number of shares of capital stock that may be sold immediately following this offering. Subject to certain limitations, substantially all of these shares will become eligible for sale upon expiration of the 180-day lock-up period. J.P. Morgan Securities LLC, Goldman Sachs &amp; Co. LLC and BofA Securities, Inc. may, in their sole discretion, permit our stockholders who are subject to these lock-up agreements to sell shares prior to the expiration of the lock-up agreements.</w:t>
      </w:r>
    </w:p>
    <w:p>
      <w:pPr>
        <w:spacing w:after="0" w:line="172" w:lineRule="exact"/>
        <w:rPr>
          <w:sz w:val="20"/>
          <w:szCs w:val="20"/>
          <w:color w:val="auto"/>
        </w:rPr>
      </w:pPr>
    </w:p>
    <w:p>
      <w:pPr>
        <w:ind w:right="20" w:firstLine="336"/>
        <w:spacing w:after="0" w:line="282" w:lineRule="auto"/>
        <w:rPr>
          <w:sz w:val="20"/>
          <w:szCs w:val="20"/>
          <w:color w:val="auto"/>
        </w:rPr>
      </w:pPr>
      <w:r>
        <w:rPr>
          <w:rFonts w:ascii="Arial" w:cs="Arial" w:eastAsia="Arial" w:hAnsi="Arial"/>
          <w:sz w:val="16"/>
          <w:szCs w:val="16"/>
          <w:color w:val="auto"/>
        </w:rPr>
        <w:t>In addition, there were 17,409,666 shares of common stock issuable upon the exercise of options outstanding as of September 30, 2019. We intend to register all of the shares of common stock issuable upon exercise of outstanding options or other equity incentives we may grant in the future, for public resale under the Securities Act of 1933, as amended, or the Securities Act. The shares of common stock will become eligible for sale in the public market to the extent such options are exercised, subject to the lock-up agreements described above and compliance with applicable securities laws.</w:t>
      </w:r>
    </w:p>
    <w:p>
      <w:pPr>
        <w:spacing w:after="0" w:line="170" w:lineRule="exact"/>
        <w:rPr>
          <w:sz w:val="20"/>
          <w:szCs w:val="20"/>
          <w:color w:val="auto"/>
        </w:rPr>
      </w:pPr>
    </w:p>
    <w:p>
      <w:pPr>
        <w:jc w:val="both"/>
        <w:ind w:right="60" w:firstLine="336"/>
        <w:spacing w:after="0" w:line="265" w:lineRule="auto"/>
        <w:rPr>
          <w:sz w:val="20"/>
          <w:szCs w:val="20"/>
          <w:color w:val="auto"/>
        </w:rPr>
      </w:pPr>
      <w:r>
        <w:rPr>
          <w:rFonts w:ascii="Arial" w:cs="Arial" w:eastAsia="Arial" w:hAnsi="Arial"/>
          <w:sz w:val="17"/>
          <w:szCs w:val="17"/>
          <w:color w:val="auto"/>
        </w:rPr>
        <w:t>Further, based on shares outstanding as of September 30, 2019, holders of approximately 62,034,844 shares, or 76%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600"/>
        <w:spacing w:after="0" w:line="276"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equity incentive plans or otherwise will dilute all other stockholders.</w:t>
      </w:r>
    </w:p>
    <w:p>
      <w:pPr>
        <w:spacing w:after="0" w:line="171" w:lineRule="exact"/>
        <w:rPr>
          <w:sz w:val="20"/>
          <w:szCs w:val="20"/>
          <w:color w:val="auto"/>
        </w:rPr>
      </w:pPr>
    </w:p>
    <w:p>
      <w:pPr>
        <w:ind w:firstLine="333"/>
        <w:spacing w:after="0" w:line="259"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1" w:lineRule="exact"/>
        <w:rPr>
          <w:sz w:val="20"/>
          <w:szCs w:val="20"/>
          <w:color w:val="auto"/>
        </w:rPr>
      </w:pPr>
    </w:p>
    <w:p>
      <w:pPr>
        <w:ind w:firstLine="333"/>
        <w:spacing w:after="0" w:line="258" w:lineRule="auto"/>
        <w:rPr>
          <w:sz w:val="20"/>
          <w:szCs w:val="20"/>
          <w:color w:val="auto"/>
        </w:rPr>
      </w:pPr>
      <w:r>
        <w:rPr>
          <w:rFonts w:ascii="Arial" w:cs="Arial" w:eastAsia="Arial" w:hAnsi="Arial"/>
          <w:sz w:val="17"/>
          <w:szCs w:val="17"/>
          <w:color w:val="auto"/>
        </w:rPr>
        <w:t>The market price and trading volume of our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will experience immediate and substantial dilution in the net tangible book value of the shares of common stock you purchase in this offering.</w:t>
      </w:r>
    </w:p>
    <w:p>
      <w:pPr>
        <w:spacing w:after="0" w:line="230" w:lineRule="exact"/>
        <w:rPr>
          <w:sz w:val="20"/>
          <w:szCs w:val="20"/>
          <w:color w:val="auto"/>
        </w:rPr>
      </w:pPr>
    </w:p>
    <w:p>
      <w:pPr>
        <w:ind w:right="40" w:firstLine="333"/>
        <w:spacing w:after="0" w:line="261" w:lineRule="auto"/>
        <w:rPr>
          <w:sz w:val="20"/>
          <w:szCs w:val="20"/>
          <w:color w:val="auto"/>
        </w:rPr>
      </w:pPr>
      <w:r>
        <w:rPr>
          <w:rFonts w:ascii="Arial" w:cs="Arial" w:eastAsia="Arial" w:hAnsi="Arial"/>
          <w:sz w:val="17"/>
          <w:szCs w:val="17"/>
          <w:color w:val="auto"/>
        </w:rPr>
        <w:t>The initial public offering price of our common stock is substantially higher than the pro forma net tangible book value per share of our common stock immediately after this offering. If you purchase shares of our common stock in this offering, you will suffer immediate dilution of $11.91 per share, representing the difference between our pro forma as adjusted net tangible book value per share after giving effect to the sale of common stock in this offering and the public offering price of $13.00 per share. See the section titled "Dilution."</w:t>
      </w:r>
    </w:p>
    <w:p>
      <w:pPr>
        <w:spacing w:after="0" w:line="18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1" w:lineRule="exact"/>
        <w:rPr>
          <w:sz w:val="20"/>
          <w:szCs w:val="20"/>
          <w:color w:val="auto"/>
        </w:rPr>
      </w:pPr>
    </w:p>
    <w:p>
      <w:pPr>
        <w:ind w:right="320" w:firstLine="333"/>
        <w:spacing w:after="0" w:line="265"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8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71" w:lineRule="exact"/>
        <w:rPr>
          <w:sz w:val="20"/>
          <w:szCs w:val="20"/>
          <w:color w:val="auto"/>
        </w:rPr>
      </w:pPr>
    </w:p>
    <w:p>
      <w:pPr>
        <w:ind w:firstLine="333"/>
        <w:spacing w:after="0" w:line="282"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72" w:lineRule="exact"/>
        <w:rPr>
          <w:sz w:val="20"/>
          <w:szCs w:val="20"/>
          <w:color w:val="auto"/>
        </w:rPr>
      </w:pPr>
    </w:p>
    <w:p>
      <w:pPr>
        <w:ind w:firstLine="333"/>
        <w:spacing w:after="0" w:line="261" w:lineRule="auto"/>
        <w:rPr>
          <w:sz w:val="20"/>
          <w:szCs w:val="20"/>
          <w:color w:val="auto"/>
        </w:rPr>
      </w:pPr>
      <w:r>
        <w:rPr>
          <w:rFonts w:ascii="Arial" w:cs="Arial" w:eastAsia="Arial" w:hAnsi="Arial"/>
          <w:sz w:val="17"/>
          <w:szCs w:val="17"/>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and (4) the last day of the fiscal year in which the market value of our common stock held by non-affiliates exceeded $700 million as of June 30 of such fiscal year.</w:t>
      </w:r>
    </w:p>
    <w:p>
      <w:pPr>
        <w:spacing w:after="0" w:line="184" w:lineRule="exact"/>
        <w:rPr>
          <w:sz w:val="20"/>
          <w:szCs w:val="20"/>
          <w:color w:val="auto"/>
        </w:rPr>
      </w:pPr>
    </w:p>
    <w:p>
      <w:pPr>
        <w:ind w:right="20" w:firstLine="333"/>
        <w:spacing w:after="0" w:line="261" w:lineRule="auto"/>
        <w:rPr>
          <w:sz w:val="20"/>
          <w:szCs w:val="20"/>
          <w:color w:val="auto"/>
        </w:rPr>
      </w:pPr>
      <w:r>
        <w:rPr>
          <w:rFonts w:ascii="Arial" w:cs="Arial" w:eastAsia="Arial" w:hAnsi="Arial"/>
          <w:sz w:val="17"/>
          <w:szCs w:val="17"/>
          <w:color w:val="auto"/>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71" w:lineRule="exact"/>
        <w:rPr>
          <w:sz w:val="20"/>
          <w:szCs w:val="20"/>
          <w:color w:val="auto"/>
        </w:rPr>
      </w:pPr>
    </w:p>
    <w:p>
      <w:pPr>
        <w:ind w:right="40" w:firstLine="327"/>
        <w:spacing w:after="0" w:line="258"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 consuming and costly. We cannot predict or estimate the amount of additional costs we will incur as a public company or the specific timing of such costs.</w:t>
      </w:r>
    </w:p>
    <w:p>
      <w:pPr>
        <w:spacing w:after="0" w:line="188" w:lineRule="exact"/>
        <w:rPr>
          <w:sz w:val="20"/>
          <w:szCs w:val="20"/>
          <w:color w:val="auto"/>
        </w:rPr>
      </w:pPr>
    </w:p>
    <w:p>
      <w:pPr>
        <w:ind w:right="680"/>
        <w:spacing w:after="0" w:line="308"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49" w:lineRule="exact"/>
        <w:rPr>
          <w:sz w:val="20"/>
          <w:szCs w:val="20"/>
          <w:color w:val="auto"/>
        </w:rPr>
      </w:pPr>
    </w:p>
    <w:p>
      <w:pPr>
        <w:ind w:firstLine="336"/>
        <w:spacing w:after="0" w:line="265"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as they will be in effect upon the completion of this offering, may have the effect of delaying or preventing a change of control or changes in our management. Our amended and restated certificate of incorporation and amended and restated bylaws will include provisions that:</w:t>
      </w:r>
    </w:p>
    <w:p>
      <w:pPr>
        <w:spacing w:after="0" w:line="193" w:lineRule="exact"/>
        <w:rPr>
          <w:sz w:val="20"/>
          <w:szCs w:val="20"/>
          <w:color w:val="auto"/>
        </w:rPr>
      </w:pPr>
    </w:p>
    <w:p>
      <w:pPr>
        <w:ind w:left="1040" w:right="580" w:hanging="519"/>
        <w:spacing w:after="0" w:line="276"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97" w:lineRule="exact"/>
        <w:rPr>
          <w:rFonts w:ascii="Arial" w:cs="Arial" w:eastAsia="Arial" w:hAnsi="Arial"/>
          <w:sz w:val="17"/>
          <w:szCs w:val="17"/>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1" w:lineRule="exact"/>
        <w:rPr>
          <w:sz w:val="20"/>
          <w:szCs w:val="20"/>
          <w:color w:val="auto"/>
        </w:rPr>
      </w:pPr>
    </w:p>
    <w:p>
      <w:pPr>
        <w:ind w:left="1040" w:right="460" w:hanging="519"/>
        <w:spacing w:after="0" w:line="276"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the chairperson of our board of directors, or our chief executive officer;</w:t>
      </w:r>
    </w:p>
    <w:p>
      <w:pPr>
        <w:spacing w:after="0" w:line="197" w:lineRule="exact"/>
        <w:rPr>
          <w:rFonts w:ascii="Arial" w:cs="Arial" w:eastAsia="Arial" w:hAnsi="Arial"/>
          <w:sz w:val="17"/>
          <w:szCs w:val="17"/>
          <w:color w:val="auto"/>
        </w:rPr>
      </w:pPr>
    </w:p>
    <w:p>
      <w:pPr>
        <w:ind w:left="1040" w:right="160" w:hanging="519"/>
        <w:spacing w:after="0" w:line="276"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proposals to be brought before an annual meeting, including proposed nominations of persons for election to our board of directors;</w:t>
      </w:r>
    </w:p>
    <w:p>
      <w:pPr>
        <w:spacing w:after="0" w:line="184"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with each class serving three-year staggered terms;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prohibit cumulative voting in the election of directors;</w:t>
      </w:r>
    </w:p>
    <w:p>
      <w:pPr>
        <w:spacing w:after="0" w:line="220"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34"/>
          <w:szCs w:val="34"/>
          <w:color w:val="auto"/>
          <w:vertAlign w:val="superscript"/>
        </w:rPr>
      </w:pPr>
      <w:r>
        <w:rPr>
          <w:rFonts w:ascii="Arial" w:cs="Arial" w:eastAsia="Arial" w:hAnsi="Arial"/>
          <w:sz w:val="17"/>
          <w:szCs w:val="17"/>
          <w:color w:val="auto"/>
        </w:rPr>
        <w:t>provide that our directors may be removed for cause only upon the vote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our outstanding shares of voting stock;</w:t>
      </w:r>
    </w:p>
    <w:p>
      <w:pPr>
        <w:spacing w:after="0" w:line="98" w:lineRule="exact"/>
        <w:rPr>
          <w:rFonts w:ascii="Arial" w:cs="Arial" w:eastAsia="Arial" w:hAnsi="Arial"/>
          <w:sz w:val="34"/>
          <w:szCs w:val="34"/>
          <w:color w:val="auto"/>
          <w:vertAlign w:val="superscript"/>
        </w:rPr>
      </w:pPr>
    </w:p>
    <w:p>
      <w:pPr>
        <w:ind w:left="1040" w:hanging="519"/>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 and</w:t>
      </w:r>
    </w:p>
    <w:p>
      <w:pPr>
        <w:spacing w:after="0" w:line="243" w:lineRule="exact"/>
        <w:rPr>
          <w:rFonts w:ascii="Arial" w:cs="Arial" w:eastAsia="Arial" w:hAnsi="Arial"/>
          <w:sz w:val="16"/>
          <w:szCs w:val="16"/>
          <w:color w:val="auto"/>
        </w:rPr>
      </w:pPr>
    </w:p>
    <w:p>
      <w:pPr>
        <w:ind w:left="1040" w:right="120" w:hanging="519"/>
        <w:spacing w:after="0" w:line="187" w:lineRule="auto"/>
        <w:tabs>
          <w:tab w:leader="none" w:pos="1040" w:val="left"/>
        </w:tabs>
        <w:numPr>
          <w:ilvl w:val="0"/>
          <w:numId w:val="36"/>
        </w:numPr>
        <w:rPr>
          <w:rFonts w:ascii="Arial" w:cs="Arial" w:eastAsia="Arial" w:hAnsi="Arial"/>
          <w:sz w:val="34"/>
          <w:szCs w:val="34"/>
          <w:color w:val="auto"/>
          <w:vertAlign w:val="superscript"/>
        </w:rPr>
      </w:pPr>
      <w:r>
        <w:rPr>
          <w:rFonts w:ascii="Arial" w:cs="Arial" w:eastAsia="Arial" w:hAnsi="Arial"/>
          <w:sz w:val="17"/>
          <w:szCs w:val="17"/>
          <w:color w:val="auto"/>
        </w:rPr>
        <w:t>require the approval of our board of directors or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our outstanding shares of voting stock to amend our bylaws and certain provisions of our certificate of incorporation.</w:t>
      </w:r>
    </w:p>
    <w:p>
      <w:pPr>
        <w:spacing w:after="0" w:line="202" w:lineRule="exact"/>
        <w:rPr>
          <w:sz w:val="20"/>
          <w:szCs w:val="20"/>
          <w:color w:val="auto"/>
        </w:rPr>
      </w:pPr>
    </w:p>
    <w:p>
      <w:pPr>
        <w:ind w:firstLine="333"/>
        <w:spacing w:after="0" w:line="257"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9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Our amended and restated certificate of incorporation that will become effective upon the closing of this offering will designate the state courts in the State of Delaware of,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84" w:lineRule="exact"/>
        <w:rPr>
          <w:sz w:val="20"/>
          <w:szCs w:val="20"/>
          <w:color w:val="auto"/>
        </w:rPr>
      </w:pPr>
    </w:p>
    <w:p>
      <w:pPr>
        <w:ind w:firstLine="336"/>
        <w:spacing w:after="0" w:line="274" w:lineRule="auto"/>
        <w:rPr>
          <w:sz w:val="20"/>
          <w:szCs w:val="20"/>
          <w:color w:val="auto"/>
        </w:rPr>
      </w:pPr>
      <w:r>
        <w:rPr>
          <w:rFonts w:ascii="Arial" w:cs="Arial" w:eastAsia="Arial" w:hAnsi="Arial"/>
          <w:sz w:val="16"/>
          <w:szCs w:val="16"/>
          <w:color w:val="auto"/>
        </w:rPr>
        <w:t>Our amended and restated certificate of incorporation, as will be in effect upon the completion of this offering, will provide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w:t>
      </w:r>
    </w:p>
    <w:p>
      <w:pPr>
        <w:spacing w:after="0" w:line="180" w:lineRule="exact"/>
        <w:rPr>
          <w:sz w:val="20"/>
          <w:szCs w:val="20"/>
          <w:color w:val="auto"/>
        </w:rPr>
      </w:pPr>
    </w:p>
    <w:p>
      <w:pPr>
        <w:ind w:right="120" w:firstLine="333"/>
        <w:spacing w:after="0" w:line="261" w:lineRule="auto"/>
        <w:rPr>
          <w:sz w:val="20"/>
          <w:szCs w:val="20"/>
          <w:color w:val="auto"/>
        </w:rPr>
      </w:pPr>
      <w:r>
        <w:rPr>
          <w:rFonts w:ascii="Arial" w:cs="Arial" w:eastAsia="Arial" w:hAnsi="Arial"/>
          <w:sz w:val="17"/>
          <w:szCs w:val="17"/>
          <w:color w:val="auto"/>
        </w:rPr>
        <w:t>These choice of forum provisions may limit a stockholder's ability to bring a claim in a judicial forum that it finds favorable for disputes with us or our directors, officers, or other employees and may discourage these types of lawsuits.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2" w:lineRule="exact"/>
        <w:rPr>
          <w:sz w:val="20"/>
          <w:szCs w:val="20"/>
          <w:color w:val="auto"/>
        </w:rPr>
      </w:pPr>
    </w:p>
    <w:p>
      <w:pPr>
        <w:ind w:right="40" w:firstLine="333"/>
        <w:spacing w:after="0" w:line="258" w:lineRule="auto"/>
        <w:rPr>
          <w:sz w:val="20"/>
          <w:szCs w:val="20"/>
          <w:color w:val="auto"/>
        </w:rPr>
      </w:pPr>
      <w:r>
        <w:rPr>
          <w:rFonts w:ascii="Arial" w:cs="Arial" w:eastAsia="Arial" w:hAnsi="Arial"/>
          <w:sz w:val="17"/>
          <w:szCs w:val="17"/>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201" w:lineRule="exact"/>
        <w:rPr>
          <w:sz w:val="20"/>
          <w:szCs w:val="20"/>
          <w:color w:val="auto"/>
        </w:rPr>
      </w:pPr>
    </w:p>
    <w:p>
      <w:pPr>
        <w:ind w:left="1040" w:right="920" w:hanging="519"/>
        <w:spacing w:after="0" w:line="276"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expectations regarding our revenue, expenses and other operating results, including our preliminary estimates for the nine months ended September 30, 2019;</w:t>
      </w:r>
    </w:p>
    <w:p>
      <w:pPr>
        <w:spacing w:after="0" w:line="197"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achieve profitability on an annual basis and then sustain such profitability;</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future investments in our business, our anticipated capital expenditures and our estimates regarding our capital requirements;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acquire new clients and successfully engage new and existing clients;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costs and success of our marketing efforts, and our ability to promote our brand;</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reliance on key personnel and our ability to identify, recruit and retain skilled personnel;</w:t>
      </w:r>
    </w:p>
    <w:p>
      <w:pPr>
        <w:spacing w:after="0" w:line="231" w:lineRule="exact"/>
        <w:rPr>
          <w:rFonts w:ascii="Arial" w:cs="Arial" w:eastAsia="Arial" w:hAnsi="Arial"/>
          <w:sz w:val="17"/>
          <w:szCs w:val="17"/>
          <w:color w:val="auto"/>
        </w:rPr>
      </w:pPr>
    </w:p>
    <w:p>
      <w:pPr>
        <w:ind w:left="1040" w:right="20" w:hanging="519"/>
        <w:spacing w:after="0" w:line="276"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effectively manage our growth, including our ability to expand our network of fertility specialists, retain and recruit personnel, and maintain our culture;</w:t>
      </w:r>
    </w:p>
    <w:p>
      <w:pPr>
        <w:spacing w:after="0" w:line="197"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compete effectively with existing competitors and new market entrants; and</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growth rates of the markets in which we compete.</w:t>
      </w:r>
    </w:p>
    <w:p>
      <w:pPr>
        <w:spacing w:after="0" w:line="218" w:lineRule="exact"/>
        <w:rPr>
          <w:sz w:val="20"/>
          <w:szCs w:val="20"/>
          <w:color w:val="auto"/>
        </w:rPr>
      </w:pPr>
    </w:p>
    <w:p>
      <w:pPr>
        <w:ind w:right="100" w:firstLine="330"/>
        <w:spacing w:after="0" w:line="276"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75" w:lineRule="exact"/>
        <w:rPr>
          <w:sz w:val="20"/>
          <w:szCs w:val="20"/>
          <w:color w:val="auto"/>
        </w:rPr>
      </w:pPr>
    </w:p>
    <w:p>
      <w:pPr>
        <w:jc w:val="both"/>
        <w:ind w:right="100" w:firstLine="336"/>
        <w:spacing w:after="0" w:line="28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70" w:lineRule="exact"/>
        <w:rPr>
          <w:sz w:val="20"/>
          <w:szCs w:val="20"/>
          <w:color w:val="auto"/>
        </w:rPr>
      </w:pPr>
    </w:p>
    <w:p>
      <w:pPr>
        <w:ind w:firstLine="333"/>
        <w:spacing w:after="0" w:line="259"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MARKET, INDUSTRY AND OTHER DATA</w:t>
      </w:r>
    </w:p>
    <w:p>
      <w:pPr>
        <w:spacing w:after="0" w:line="222" w:lineRule="exact"/>
        <w:rPr>
          <w:sz w:val="20"/>
          <w:szCs w:val="20"/>
          <w:color w:val="auto"/>
        </w:rPr>
      </w:pPr>
    </w:p>
    <w:p>
      <w:pPr>
        <w:ind w:firstLine="333"/>
        <w:spacing w:after="0" w:line="274" w:lineRule="auto"/>
        <w:rPr>
          <w:sz w:val="20"/>
          <w:szCs w:val="20"/>
          <w:color w:val="auto"/>
        </w:rPr>
      </w:pPr>
      <w:r>
        <w:rPr>
          <w:rFonts w:ascii="Arial" w:cs="Arial" w:eastAsia="Arial" w:hAnsi="Arial"/>
          <w:sz w:val="16"/>
          <w:szCs w:val="16"/>
          <w:color w:val="auto"/>
        </w:rPr>
        <w:t>This prospectus contains statistical data, estimates and forecasts that are based on independent industry publications, such as those published by The Journal of the American Medical Association, the American Society for Reproductive Medicine, the American Journal of Obstetrics &amp; Gynecology, Reproductive Medicine Associates of New Jersey, the Reproductive Medicine Associates of New York, European Society of Human Reproduction and Embryology, RESOLVE: The National Infertility Association, FertilityIQ, the Twin &amp; Multiple Births Association, Family Equality Council, Gallup and other publicly available information, as well as other information based on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Further, while we believe our internal research is reliable, such research has not been verified by any third party. The industry in which we operate is subject to a high degree of uncertainty and risk due to a variety of factors, including those described in the section titled "Risk Factors," that could cause results to differ materially from those expressed in these publications and other publicly available information.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USE OF PROCEEDS</w:t>
      </w:r>
    </w:p>
    <w:p>
      <w:pPr>
        <w:spacing w:after="0" w:line="222" w:lineRule="exact"/>
        <w:rPr>
          <w:sz w:val="20"/>
          <w:szCs w:val="20"/>
          <w:color w:val="auto"/>
        </w:rPr>
      </w:pPr>
    </w:p>
    <w:p>
      <w:pPr>
        <w:ind w:right="20" w:firstLine="333"/>
        <w:spacing w:after="0" w:line="265" w:lineRule="auto"/>
        <w:rPr>
          <w:sz w:val="20"/>
          <w:szCs w:val="20"/>
          <w:color w:val="auto"/>
        </w:rPr>
      </w:pPr>
      <w:r>
        <w:rPr>
          <w:rFonts w:ascii="Arial" w:cs="Arial" w:eastAsia="Arial" w:hAnsi="Arial"/>
          <w:sz w:val="17"/>
          <w:szCs w:val="17"/>
          <w:color w:val="auto"/>
        </w:rPr>
        <w:t>We estimate that we will receive net proceeds from the sale of the common stock that we are offering of approximately $77.7 million based on the initial public offering price of $13.00 per share of common stock, after deducting underwriting discounts and commissions and estimated offering expenses payable by us. We will not receive any proceeds from the sale of our common stock by the selling stockholders.</w:t>
      </w:r>
    </w:p>
    <w:p>
      <w:pPr>
        <w:spacing w:after="0" w:line="180" w:lineRule="exact"/>
        <w:rPr>
          <w:sz w:val="20"/>
          <w:szCs w:val="20"/>
          <w:color w:val="auto"/>
        </w:rPr>
      </w:pPr>
    </w:p>
    <w:p>
      <w:pPr>
        <w:ind w:right="260" w:firstLine="333"/>
        <w:spacing w:after="0" w:line="279" w:lineRule="auto"/>
        <w:rPr>
          <w:sz w:val="20"/>
          <w:szCs w:val="20"/>
          <w:color w:val="auto"/>
        </w:rPr>
      </w:pPr>
      <w:r>
        <w:rPr>
          <w:rFonts w:ascii="Arial" w:cs="Arial" w:eastAsia="Arial" w:hAnsi="Arial"/>
          <w:sz w:val="16"/>
          <w:szCs w:val="16"/>
          <w:color w:val="auto"/>
        </w:rPr>
        <w:t>The principal purposes of this offering are to create a public market for our common stock, facilitate our future access to the capital markets and increase our capitalization and financial flexibility.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services or technologies. However, we do not have agreements or commitments to enter into any acquisitions at this time.</w:t>
      </w:r>
    </w:p>
    <w:p>
      <w:pPr>
        <w:spacing w:after="0" w:line="172" w:lineRule="exact"/>
        <w:rPr>
          <w:sz w:val="20"/>
          <w:szCs w:val="20"/>
          <w:color w:val="auto"/>
        </w:rPr>
      </w:pPr>
    </w:p>
    <w:p>
      <w:pPr>
        <w:ind w:firstLine="333"/>
        <w:spacing w:after="0" w:line="276" w:lineRule="auto"/>
        <w:rPr>
          <w:sz w:val="20"/>
          <w:szCs w:val="20"/>
          <w:color w:val="auto"/>
        </w:rPr>
      </w:pPr>
      <w:r>
        <w:rPr>
          <w:rFonts w:ascii="Arial" w:cs="Arial" w:eastAsia="Arial" w:hAnsi="Arial"/>
          <w:sz w:val="17"/>
          <w:szCs w:val="17"/>
          <w:color w:val="auto"/>
        </w:rPr>
        <w:t>We will have broad discretion over how to use the net proceeds to us from this offering. We intend to invest the net proceeds to us from the offering that are not used as described above in investment-grade, interest-bearing instruments.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DIVIDEND POLICY</w:t>
      </w:r>
    </w:p>
    <w:p>
      <w:pPr>
        <w:spacing w:after="0" w:line="222" w:lineRule="exact"/>
        <w:rPr>
          <w:sz w:val="20"/>
          <w:szCs w:val="20"/>
          <w:color w:val="auto"/>
        </w:rPr>
      </w:pPr>
    </w:p>
    <w:p>
      <w:pPr>
        <w:ind w:firstLine="333"/>
        <w:spacing w:after="0" w:line="307" w:lineRule="auto"/>
        <w:rPr>
          <w:sz w:val="20"/>
          <w:szCs w:val="20"/>
          <w:color w:val="auto"/>
        </w:rPr>
      </w:pPr>
      <w:r>
        <w:rPr>
          <w:rFonts w:ascii="Arial" w:cs="Arial" w:eastAsia="Arial" w:hAnsi="Arial"/>
          <w:sz w:val="15"/>
          <w:szCs w:val="15"/>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5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CAPITALIZATION</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cash and capitalization as of June 30, 2019:</w:t>
      </w:r>
    </w:p>
    <w:p>
      <w:pPr>
        <w:spacing w:after="0" w:line="231"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44" w:lineRule="exact"/>
        <w:rPr>
          <w:rFonts w:ascii="Arial" w:cs="Arial" w:eastAsia="Arial" w:hAnsi="Arial"/>
          <w:sz w:val="17"/>
          <w:szCs w:val="17"/>
          <w:color w:val="auto"/>
        </w:rPr>
      </w:pPr>
    </w:p>
    <w:p>
      <w:pPr>
        <w:ind w:left="1040" w:right="60" w:hanging="519"/>
        <w:spacing w:after="0" w:line="259"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a pro forma basis, giving effect to (1) the automatic conversion of all of our outstanding shares of convertible preferred stock into shares of common stock in connection with this offering, (2) the conversion of outstanding convertible preferred stock warrants to warrants to purchase 2,019,245 shares of our common stock, and the resulting reclassification of the convertible preferred stock warrant liability to additional paid-in capital in connection with this offering; and (3) the filing and effectiveness of our amended and restated certificate of incorporation which will be in effect on the completion of this offering; and</w:t>
      </w:r>
    </w:p>
    <w:p>
      <w:pPr>
        <w:spacing w:after="0" w:line="199" w:lineRule="exact"/>
        <w:rPr>
          <w:rFonts w:ascii="Arial" w:cs="Arial" w:eastAsia="Arial" w:hAnsi="Arial"/>
          <w:sz w:val="17"/>
          <w:szCs w:val="17"/>
          <w:color w:val="auto"/>
        </w:rPr>
      </w:pPr>
    </w:p>
    <w:p>
      <w:pPr>
        <w:ind w:left="1040" w:right="60" w:hanging="519"/>
        <w:spacing w:after="0" w:line="265"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(1) the pro forma adjustments set forth above and (2) our receipt of estimated net proceeds from the sale of shares of common stock that we are offering at the initial public offering price of $13.00 per share, after deducting the underwriting discounts and commissions and estimated offering expenses payable by us.</w:t>
      </w:r>
    </w:p>
    <w:p>
      <w:pPr>
        <w:spacing w:after="0" w:line="180" w:lineRule="exact"/>
        <w:rPr>
          <w:sz w:val="20"/>
          <w:szCs w:val="20"/>
          <w:color w:val="auto"/>
        </w:rPr>
      </w:pPr>
    </w:p>
    <w:p>
      <w:pPr>
        <w:ind w:right="500" w:firstLine="330"/>
        <w:spacing w:after="0" w:line="276" w:lineRule="auto"/>
        <w:rPr>
          <w:sz w:val="20"/>
          <w:szCs w:val="20"/>
          <w:color w:val="auto"/>
        </w:rPr>
      </w:pPr>
      <w:r>
        <w:rPr>
          <w:rFonts w:ascii="Arial" w:cs="Arial" w:eastAsia="Arial" w:hAnsi="Arial"/>
          <w:sz w:val="17"/>
          <w:szCs w:val="17"/>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4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As of June 30, 2019</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38"/>
              <w:spacing w:after="0" w:line="123" w:lineRule="exact"/>
              <w:rPr>
                <w:sz w:val="20"/>
                <w:szCs w:val="20"/>
                <w:color w:val="auto"/>
              </w:rPr>
            </w:pPr>
            <w:r>
              <w:rPr>
                <w:rFonts w:ascii="Arial" w:cs="Arial" w:eastAsia="Arial" w:hAnsi="Arial"/>
                <w:sz w:val="13"/>
                <w:szCs w:val="13"/>
                <w:b w:val="1"/>
                <w:bCs w:val="1"/>
                <w:color w:val="auto"/>
                <w:w w:val="92"/>
              </w:rPr>
              <w:t>Pro Forma</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Actual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Pro Forma</w:t>
            </w:r>
          </w:p>
        </w:tc>
        <w:tc>
          <w:tcPr>
            <w:tcW w:w="160" w:type="dxa"/>
            <w:vAlign w:val="bottom"/>
          </w:tcPr>
          <w:p>
            <w:pPr>
              <w:spacing w:after="0"/>
              <w:rPr>
                <w:sz w:val="13"/>
                <w:szCs w:val="1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As Adjusted</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9"/>
          </w:tcPr>
          <w:p>
            <w:pPr>
              <w:jc w:val="center"/>
              <w:ind w:right="1480"/>
              <w:spacing w:after="0" w:line="123" w:lineRule="exact"/>
              <w:rPr>
                <w:sz w:val="20"/>
                <w:szCs w:val="20"/>
                <w:color w:val="auto"/>
              </w:rPr>
            </w:pPr>
            <w:r>
              <w:rPr>
                <w:rFonts w:ascii="Arial" w:cs="Arial" w:eastAsia="Arial" w:hAnsi="Arial"/>
                <w:sz w:val="13"/>
                <w:szCs w:val="13"/>
                <w:b w:val="1"/>
                <w:bCs w:val="1"/>
                <w:color w:val="auto"/>
                <w:w w:val="87"/>
              </w:rPr>
              <w:t>(in thousands except share and per</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share amounts)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78,019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vMerge w:val="restart"/>
          </w:tcPr>
          <w:p>
            <w:pPr>
              <w:spacing w:after="0"/>
              <w:rPr>
                <w:sz w:val="20"/>
                <w:szCs w:val="20"/>
                <w:color w:val="auto"/>
              </w:rPr>
            </w:pPr>
            <w:r>
              <w:rPr>
                <w:rFonts w:ascii="Arial" w:cs="Arial" w:eastAsia="Arial" w:hAnsi="Arial"/>
                <w:sz w:val="17"/>
                <w:szCs w:val="17"/>
                <w:color w:val="auto"/>
              </w:rPr>
              <w:t>Convertible preferred stock, $0.0001 par value; 314,930,070 shares authorized,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6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6140" w:type="dxa"/>
            <w:vAlign w:val="bottom"/>
          </w:tcPr>
          <w:p>
            <w:pPr>
              <w:ind w:left="180"/>
              <w:spacing w:after="0"/>
              <w:rPr>
                <w:sz w:val="20"/>
                <w:szCs w:val="20"/>
                <w:color w:val="auto"/>
              </w:rPr>
            </w:pPr>
            <w:r>
              <w:rPr>
                <w:rFonts w:ascii="Arial" w:cs="Arial" w:eastAsia="Arial" w:hAnsi="Arial"/>
                <w:sz w:val="17"/>
                <w:szCs w:val="17"/>
                <w:color w:val="auto"/>
                <w:w w:val="93"/>
              </w:rPr>
              <w:t>65,428,088 shares issued and outstanding, actual; and no shares authorized, issued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Arial" w:cs="Arial" w:eastAsia="Arial" w:hAnsi="Arial"/>
                <w:sz w:val="17"/>
                <w:szCs w:val="17"/>
                <w:color w:val="auto"/>
              </w:rPr>
              <w:t>and outstanding, pro forma and pro forma as adjusted</w:t>
            </w:r>
          </w:p>
        </w:tc>
        <w:tc>
          <w:tcPr>
            <w:tcW w:w="180" w:type="dxa"/>
            <w:vAlign w:val="bottom"/>
          </w:tcPr>
          <w:p>
            <w:pPr>
              <w:spacing w:after="0"/>
              <w:rPr>
                <w:sz w:val="18"/>
                <w:szCs w:val="18"/>
                <w:color w:val="auto"/>
              </w:rPr>
            </w:pPr>
          </w:p>
        </w:tc>
        <w:tc>
          <w:tcPr>
            <w:tcW w:w="820" w:type="dxa"/>
            <w:vAlign w:val="bottom"/>
            <w:gridSpan w:val="2"/>
          </w:tcPr>
          <w:p>
            <w:pPr>
              <w:jc w:val="right"/>
              <w:ind w:right="75"/>
              <w:spacing w:after="0"/>
              <w:rPr>
                <w:sz w:val="20"/>
                <w:szCs w:val="20"/>
                <w:color w:val="auto"/>
              </w:rPr>
            </w:pPr>
            <w:r>
              <w:rPr>
                <w:rFonts w:ascii="Arial" w:cs="Arial" w:eastAsia="Arial" w:hAnsi="Arial"/>
                <w:sz w:val="17"/>
                <w:szCs w:val="17"/>
                <w:color w:val="auto"/>
              </w:rPr>
              <w:t>106,237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4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6140" w:type="dxa"/>
            <w:vAlign w:val="bottom"/>
          </w:tcPr>
          <w:p>
            <w:pPr>
              <w:ind w:left="180"/>
              <w:spacing w:after="0"/>
              <w:rPr>
                <w:sz w:val="20"/>
                <w:szCs w:val="20"/>
                <w:color w:val="auto"/>
              </w:rPr>
            </w:pPr>
            <w:r>
              <w:rPr>
                <w:rFonts w:ascii="Arial" w:cs="Arial" w:eastAsia="Arial" w:hAnsi="Arial"/>
                <w:sz w:val="17"/>
                <w:szCs w:val="17"/>
                <w:color w:val="auto"/>
                <w:w w:val="98"/>
              </w:rPr>
              <w:t>Preferred stock, $0.0001 par value; no shares authorized, issued or outstanding,</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6140" w:type="dxa"/>
            <w:vAlign w:val="bottom"/>
          </w:tcPr>
          <w:p>
            <w:pPr>
              <w:ind w:left="360"/>
              <w:spacing w:after="0"/>
              <w:rPr>
                <w:sz w:val="20"/>
                <w:szCs w:val="20"/>
                <w:color w:val="auto"/>
              </w:rPr>
            </w:pPr>
            <w:r>
              <w:rPr>
                <w:rFonts w:ascii="Arial" w:cs="Arial" w:eastAsia="Arial" w:hAnsi="Arial"/>
                <w:sz w:val="17"/>
                <w:szCs w:val="17"/>
                <w:color w:val="auto"/>
                <w:w w:val="95"/>
              </w:rPr>
              <w:t>actual; 100,000,000 shares authorized and no shares issued or outstanding, pro</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7"/>
                <w:szCs w:val="17"/>
                <w:color w:val="auto"/>
              </w:rPr>
              <w:t>forma and pro forma as adjusted</w:t>
            </w:r>
          </w:p>
        </w:tc>
        <w:tc>
          <w:tcPr>
            <w:tcW w:w="180" w:type="dxa"/>
            <w:vAlign w:val="bottom"/>
          </w:tcPr>
          <w:p>
            <w:pPr>
              <w:spacing w:after="0"/>
              <w:rPr>
                <w:sz w:val="18"/>
                <w:szCs w:val="18"/>
                <w:color w:val="auto"/>
              </w:rPr>
            </w:pPr>
          </w:p>
        </w:tc>
        <w:tc>
          <w:tcPr>
            <w:tcW w:w="8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4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Common stock, $0.0001 par value; 441,000,000 authorized, 5,187,474 shares issued,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7"/>
              </w:rPr>
              <w:t>actual; 1,000,000,000 shares authorized, pro forma and pro forma as adjusted;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0"/>
              </w:rPr>
              <w:t>70,615,562 shares issued and outstanding, pro forma; and 77,315,562 shares issued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and outstanding, pro forma as adjusted</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614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7"/>
                <w:szCs w:val="17"/>
                <w:color w:val="auto"/>
              </w:rPr>
            </w:pPr>
          </w:p>
        </w:tc>
        <w:tc>
          <w:tcPr>
            <w:tcW w:w="820" w:type="dxa"/>
            <w:vAlign w:val="bottom"/>
            <w:gridSpan w:val="2"/>
          </w:tcPr>
          <w:p>
            <w:pPr>
              <w:jc w:val="right"/>
              <w:ind w:right="75"/>
              <w:spacing w:after="0"/>
              <w:rPr>
                <w:sz w:val="20"/>
                <w:szCs w:val="20"/>
                <w:color w:val="auto"/>
              </w:rPr>
            </w:pPr>
            <w:r>
              <w:rPr>
                <w:rFonts w:ascii="Arial" w:cs="Arial" w:eastAsia="Arial" w:hAnsi="Arial"/>
                <w:sz w:val="17"/>
                <w:szCs w:val="17"/>
                <w:color w:val="auto"/>
              </w:rPr>
              <w:t>12,182</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124,194</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201,915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Treasury stock, at cost, $0.0001 par value, 589,320 shares outstanding</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(884)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614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7"/>
                <w:szCs w:val="17"/>
                <w:color w:val="auto"/>
              </w:rPr>
            </w:pPr>
          </w:p>
        </w:tc>
        <w:tc>
          <w:tcPr>
            <w:tcW w:w="820" w:type="dxa"/>
            <w:vAlign w:val="bottom"/>
            <w:gridSpan w:val="2"/>
          </w:tcPr>
          <w:p>
            <w:pPr>
              <w:jc w:val="right"/>
              <w:ind w:right="35"/>
              <w:spacing w:after="0"/>
              <w:rPr>
                <w:sz w:val="20"/>
                <w:szCs w:val="20"/>
                <w:color w:val="auto"/>
              </w:rPr>
            </w:pPr>
            <w:r>
              <w:rPr>
                <w:rFonts w:ascii="Arial" w:cs="Arial" w:eastAsia="Arial" w:hAnsi="Arial"/>
                <w:sz w:val="17"/>
                <w:szCs w:val="17"/>
                <w:color w:val="auto"/>
                <w:w w:val="96"/>
              </w:rPr>
              <w:t>(100,813)</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(100,813)</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(100,813)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40" w:type="dxa"/>
            <w:vAlign w:val="bottom"/>
          </w:tcPr>
          <w:p>
            <w:pPr>
              <w:spacing w:after="0"/>
              <w:rPr>
                <w:sz w:val="17"/>
                <w:szCs w:val="17"/>
                <w:color w:val="auto"/>
              </w:rPr>
            </w:pPr>
          </w:p>
        </w:tc>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stockholders' (deficit)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(89,514)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100,226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140" w:type="dxa"/>
            <w:vAlign w:val="bottom"/>
          </w:tcPr>
          <w:p>
            <w:pPr>
              <w:ind w:left="360"/>
              <w:spacing w:after="0"/>
              <w:rPr>
                <w:sz w:val="20"/>
                <w:szCs w:val="20"/>
                <w:color w:val="auto"/>
              </w:rPr>
            </w:pPr>
            <w:r>
              <w:rPr>
                <w:rFonts w:ascii="Arial" w:cs="Arial" w:eastAsia="Arial" w:hAnsi="Arial"/>
                <w:sz w:val="17"/>
                <w:szCs w:val="17"/>
                <w:color w:val="auto"/>
              </w:rPr>
              <w:t>Total capitalization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16,723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22,505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100,226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1396"/>
              <w:spacing w:after="0"/>
              <w:rPr>
                <w:sz w:val="20"/>
                <w:szCs w:val="20"/>
                <w:color w:val="auto"/>
              </w:rPr>
            </w:pPr>
            <w:r>
              <w:rPr>
                <w:rFonts w:ascii="Arial" w:cs="Arial" w:eastAsia="Arial" w:hAnsi="Arial"/>
                <w:sz w:val="17"/>
                <w:szCs w:val="17"/>
                <w:color w:val="auto"/>
              </w:rPr>
              <w:t>55</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40" w:type="dxa"/>
            <w:vAlign w:val="bottom"/>
            <w:tcBorders>
              <w:bottom w:val="single" w:sz="8" w:color="808080"/>
            </w:tcBorders>
          </w:tcPr>
          <w:p>
            <w:pPr>
              <w:spacing w:after="0"/>
              <w:rPr>
                <w:sz w:val="18"/>
                <w:szCs w:val="18"/>
                <w:color w:val="auto"/>
              </w:rPr>
            </w:pPr>
          </w:p>
        </w:tc>
        <w:tc>
          <w:tcPr>
            <w:tcW w:w="61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set forth in the table is based on 70,615,562 shares of common stock outstanding as of June 30, 2019, and excludes:</w:t>
      </w:r>
    </w:p>
    <w:p>
      <w:pPr>
        <w:spacing w:after="0" w:line="231" w:lineRule="exact"/>
        <w:rPr>
          <w:sz w:val="20"/>
          <w:szCs w:val="20"/>
          <w:color w:val="auto"/>
        </w:rPr>
      </w:pPr>
    </w:p>
    <w:p>
      <w:pPr>
        <w:ind w:left="1040" w:right="220" w:hanging="519"/>
        <w:spacing w:after="0" w:line="289"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21,808,981 shares of common stock issuable on the exercise of stock options outstanding as of June 30, 2019 under our 2008 Plan and our 2017 Plan, with a weighted-average exercise price of approximately $1.81 per share (including 1,311,944 shares of common stock to be issued upon exercise of stock options by certain of the selling stockholders in connection with the sale of these shares in the offering);</w:t>
      </w:r>
    </w:p>
    <w:p>
      <w:pPr>
        <w:spacing w:after="0" w:line="189" w:lineRule="exact"/>
        <w:rPr>
          <w:rFonts w:ascii="Arial" w:cs="Arial" w:eastAsia="Arial" w:hAnsi="Arial"/>
          <w:sz w:val="16"/>
          <w:szCs w:val="16"/>
          <w:color w:val="auto"/>
        </w:rPr>
      </w:pPr>
    </w:p>
    <w:p>
      <w:pPr>
        <w:ind w:left="1040" w:right="300" w:hanging="519"/>
        <w:spacing w:after="0" w:line="276"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758,693 shares of common stock issuable upon the exercise of outstanding stock options issued after June 30, 2019 pursuant to our 2017 Plan with a weighted-average exercise price of $5.97 per share;</w:t>
      </w:r>
    </w:p>
    <w:p>
      <w:pPr>
        <w:spacing w:after="0" w:line="184" w:lineRule="exact"/>
        <w:rPr>
          <w:rFonts w:ascii="Arial" w:cs="Arial" w:eastAsia="Arial" w:hAnsi="Arial"/>
          <w:sz w:val="17"/>
          <w:szCs w:val="17"/>
          <w:color w:val="auto"/>
        </w:rPr>
      </w:pPr>
    </w:p>
    <w:p>
      <w:pPr>
        <w:ind w:left="1040" w:right="280" w:hanging="519"/>
        <w:spacing w:after="0" w:line="276"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2,159,639 shares of common stock issuable upon the exercise of warrants outstanding as of June 30, 2019, with a weighted-average exercise price of $1.69 per share;</w:t>
      </w:r>
    </w:p>
    <w:p>
      <w:pPr>
        <w:spacing w:after="0" w:line="184" w:lineRule="exact"/>
        <w:rPr>
          <w:rFonts w:ascii="Arial" w:cs="Arial" w:eastAsia="Arial" w:hAnsi="Arial"/>
          <w:sz w:val="17"/>
          <w:szCs w:val="17"/>
          <w:color w:val="auto"/>
        </w:rPr>
      </w:pPr>
    </w:p>
    <w:p>
      <w:pPr>
        <w:ind w:left="1040" w:hanging="519"/>
        <w:spacing w:after="0" w:line="261"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3,059,708 shares of common stock reserved for future issuance under our 2019 Plan (which number includes the contemplated director nominee grants described under "Management—Non-Employee Director Compensation"), as well as any shares underlying options outstanding under the 2017 Plan that expire or otherwise terminate prior to exercise after the effective date of the 2019 Plan and any future increases in the number of shares of common stock reserved for issuance under our 2019 Plan; and</w:t>
      </w:r>
    </w:p>
    <w:p>
      <w:pPr>
        <w:spacing w:after="0" w:line="210" w:lineRule="exact"/>
        <w:rPr>
          <w:rFonts w:ascii="Arial" w:cs="Arial" w:eastAsia="Arial" w:hAnsi="Arial"/>
          <w:sz w:val="17"/>
          <w:szCs w:val="17"/>
          <w:color w:val="auto"/>
        </w:rPr>
      </w:pPr>
    </w:p>
    <w:p>
      <w:pPr>
        <w:ind w:left="1040" w:right="440" w:hanging="519"/>
        <w:spacing w:after="0" w:line="276"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1,700,000 shares of common stock reserved for issuance under our ESPP, as well as any future increases in the number of shares of common stock reserved for future issuance under our ESPP.</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DILUTION</w:t>
      </w:r>
    </w:p>
    <w:p>
      <w:pPr>
        <w:spacing w:after="0" w:line="222" w:lineRule="exact"/>
        <w:rPr>
          <w:sz w:val="20"/>
          <w:szCs w:val="20"/>
          <w:color w:val="auto"/>
        </w:rPr>
      </w:pPr>
    </w:p>
    <w:p>
      <w:pPr>
        <w:ind w:right="200" w:firstLine="336"/>
        <w:spacing w:after="0" w:line="276"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common stock and the pro forma as adjusted net tangible book value per share immediately after this offering.</w:t>
      </w:r>
    </w:p>
    <w:p>
      <w:pPr>
        <w:spacing w:after="0" w:line="171" w:lineRule="exact"/>
        <w:rPr>
          <w:sz w:val="20"/>
          <w:szCs w:val="20"/>
          <w:color w:val="auto"/>
        </w:rPr>
      </w:pPr>
    </w:p>
    <w:p>
      <w:pPr>
        <w:ind w:firstLine="336"/>
        <w:spacing w:after="0" w:line="257" w:lineRule="auto"/>
        <w:rPr>
          <w:sz w:val="20"/>
          <w:szCs w:val="20"/>
          <w:color w:val="auto"/>
        </w:rPr>
      </w:pPr>
      <w:r>
        <w:rPr>
          <w:rFonts w:ascii="Arial" w:cs="Arial" w:eastAsia="Arial" w:hAnsi="Arial"/>
          <w:sz w:val="17"/>
          <w:szCs w:val="17"/>
          <w:color w:val="auto"/>
        </w:rPr>
        <w:t>Our historical net tangible book value as of June 30, 2019 was $(105.6) million, or $(20.37) per share. Our pro forma net tangible book value as of June 30, 2019 was $6.4 million, or $0.09 per share. Pro forma net tangible book value per share represents the amount of our total tangible assets less our total liabilities, divided by the number of our shares of common stock outstanding as of June 30, 2019, after giving effect to: (1) the automatic conversion of all of our outstanding shares of convertible preferred stock into 65,428,088 shares of common stock in connection with this offering, (2) the conversion of outstanding convertible preferred stock warrants to warrants to purchase 2,019,245 shares of our common stock, and the resulting reclassification of the convertible preferred stock warrant liability to additional paid-in capital in connection with this offering; and (3) the filing and effectiveness of our amended and restated certificate of incorporation that will be in effect on the completion of this offering.</w:t>
      </w:r>
    </w:p>
    <w:p>
      <w:pPr>
        <w:spacing w:after="0" w:line="190" w:lineRule="exact"/>
        <w:rPr>
          <w:sz w:val="20"/>
          <w:szCs w:val="20"/>
          <w:color w:val="auto"/>
        </w:rPr>
      </w:pPr>
    </w:p>
    <w:p>
      <w:pPr>
        <w:ind w:firstLine="327"/>
        <w:spacing w:after="0" w:line="299" w:lineRule="auto"/>
        <w:rPr>
          <w:sz w:val="20"/>
          <w:szCs w:val="20"/>
          <w:color w:val="auto"/>
        </w:rPr>
      </w:pPr>
      <w:r>
        <w:rPr>
          <w:rFonts w:ascii="Arial" w:cs="Arial" w:eastAsia="Arial" w:hAnsi="Arial"/>
          <w:sz w:val="15"/>
          <w:szCs w:val="15"/>
          <w:color w:val="auto"/>
        </w:rPr>
        <w:t>After giving effect to the sale by us and the selling stockholders of 10,000,000 shares of common stock in this offering at the initial public offering price of $13.00 per share, and after deducting underwriting discounts and commissions and estimated offering expenses payable by us, our pro forma as adjusted net tangible book value as of June 30, 2019 would have been $84.1 million, or $1.09 per share. This amount represents an immediate increase in pro forma as adjusted net tangible book value of $1.00 per share to our existing stockholders and an immediate dilution in pro forma as adjusted net tangible book value of $11.91 per share to new investors purchasing common stock in this offering. We determine dilution by subtracting the pro forma as adjusted net tangible book value per share after this offering from the amount of cash that a new investor paid for a share of common stock. The following table illustrates this dilution on a per share basis: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 per share</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13.00</w:t>
            </w:r>
          </w:p>
        </w:tc>
      </w:tr>
      <w:tr>
        <w:trPr>
          <w:trHeight w:val="207"/>
        </w:trPr>
        <w:tc>
          <w:tcPr>
            <w:tcW w:w="7560" w:type="dxa"/>
            <w:vAlign w:val="bottom"/>
          </w:tcPr>
          <w:p>
            <w:pPr>
              <w:ind w:left="180"/>
              <w:spacing w:after="0"/>
              <w:rPr>
                <w:sz w:val="20"/>
                <w:szCs w:val="20"/>
                <w:color w:val="auto"/>
              </w:rPr>
            </w:pPr>
            <w:r>
              <w:rPr>
                <w:rFonts w:ascii="Arial" w:cs="Arial" w:eastAsia="Arial" w:hAnsi="Arial"/>
                <w:sz w:val="17"/>
                <w:szCs w:val="17"/>
                <w:color w:val="auto"/>
              </w:rPr>
              <w:t>Historical net tangible book value per share as of June 30, 2019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(20.37)</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8"/>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2"/>
              </w:rPr>
              <w:t>Increase in historical net tangible book value per share attributable to the pro forma adjustments described</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above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0"/>
        </w:trPr>
        <w:tc>
          <w:tcPr>
            <w:tcW w:w="7560" w:type="dxa"/>
            <w:vAlign w:val="bottom"/>
          </w:tcPr>
          <w:p>
            <w:pPr>
              <w:ind w:left="180"/>
              <w:spacing w:after="0"/>
              <w:rPr>
                <w:sz w:val="20"/>
                <w:szCs w:val="20"/>
                <w:color w:val="auto"/>
              </w:rPr>
            </w:pPr>
            <w:r>
              <w:rPr>
                <w:rFonts w:ascii="Arial" w:cs="Arial" w:eastAsia="Arial" w:hAnsi="Arial"/>
                <w:sz w:val="17"/>
                <w:szCs w:val="17"/>
                <w:color w:val="auto"/>
              </w:rPr>
              <w:t>Pro forma net tangible book value per share as of June 30, 2019</w:t>
            </w: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0.09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8"/>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0"/>
              </w:rPr>
              <w:t>Increase in pro forma as adjusted net tangible book value per share attributable to new investors purchasing</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 in this offering</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9"/>
        </w:trPr>
        <w:tc>
          <w:tcPr>
            <w:tcW w:w="756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1.09</w:t>
            </w:r>
          </w:p>
        </w:tc>
      </w:tr>
      <w:tr>
        <w:trPr>
          <w:trHeight w:val="192"/>
        </w:trPr>
        <w:tc>
          <w:tcPr>
            <w:tcW w:w="75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7"/>
              </w:rPr>
              <w:t>Dilution in pro forma as adjusted net tangible book value per share to new investors participating in this</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offering</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11.91</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333"/>
        <w:spacing w:after="0" w:line="308" w:lineRule="auto"/>
        <w:rPr>
          <w:sz w:val="20"/>
          <w:szCs w:val="20"/>
          <w:color w:val="auto"/>
        </w:rPr>
      </w:pPr>
      <w:r>
        <w:rPr>
          <w:rFonts w:ascii="Arial" w:cs="Arial" w:eastAsia="Arial" w:hAnsi="Arial"/>
          <w:sz w:val="16"/>
          <w:szCs w:val="16"/>
          <w:color w:val="auto"/>
        </w:rPr>
        <w:t>The following table summarizes, as of June 30, 2019, on a pro forma as adjusted basis as described above, the number of shares of our common stock, the total consideration and the average price per share (1) paid to us by existing stockholders, and (2) to be paid by new investors acquiring our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common stock in this offering at the initial public offering price of $13.00 per share, before deducting underwriting discounts and commissions and estimated offering expenses payable by us.</w:t>
      </w: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center"/>
              <w:ind w:left="266"/>
              <w:spacing w:after="0"/>
              <w:rPr>
                <w:sz w:val="20"/>
                <w:szCs w:val="20"/>
                <w:color w:val="auto"/>
              </w:rPr>
            </w:pPr>
            <w:r>
              <w:rPr>
                <w:rFonts w:ascii="Arial" w:cs="Arial" w:eastAsia="Arial" w:hAnsi="Arial"/>
                <w:sz w:val="13"/>
                <w:szCs w:val="13"/>
                <w:b w:val="1"/>
                <w:bCs w:val="1"/>
                <w:color w:val="auto"/>
                <w:w w:val="89"/>
              </w:rPr>
              <w:t>Total</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5"/>
        </w:trPr>
        <w:tc>
          <w:tcPr>
            <w:tcW w:w="4260" w:type="dxa"/>
            <w:vAlign w:val="bottom"/>
          </w:tcPr>
          <w:p>
            <w:pPr>
              <w:spacing w:after="0"/>
              <w:rPr>
                <w:sz w:val="13"/>
                <w:szCs w:val="13"/>
                <w:color w:val="auto"/>
              </w:rPr>
            </w:pPr>
          </w:p>
        </w:tc>
        <w:tc>
          <w:tcPr>
            <w:tcW w:w="184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Shares Purchased</w:t>
            </w:r>
          </w:p>
        </w:tc>
        <w:tc>
          <w:tcPr>
            <w:tcW w:w="140" w:type="dxa"/>
            <w:vAlign w:val="bottom"/>
          </w:tcPr>
          <w:p>
            <w:pPr>
              <w:spacing w:after="0"/>
              <w:rPr>
                <w:sz w:val="13"/>
                <w:szCs w:val="13"/>
                <w:color w:val="auto"/>
              </w:rPr>
            </w:pPr>
          </w:p>
        </w:tc>
        <w:tc>
          <w:tcPr>
            <w:tcW w:w="1140" w:type="dxa"/>
            <w:vAlign w:val="bottom"/>
            <w:gridSpan w:val="3"/>
          </w:tcPr>
          <w:p>
            <w:pPr>
              <w:jc w:val="center"/>
              <w:ind w:left="286"/>
              <w:spacing w:after="0"/>
              <w:rPr>
                <w:sz w:val="20"/>
                <w:szCs w:val="20"/>
                <w:color w:val="auto"/>
              </w:rPr>
            </w:pPr>
            <w:r>
              <w:rPr>
                <w:rFonts w:ascii="Arial" w:cs="Arial" w:eastAsia="Arial" w:hAnsi="Arial"/>
                <w:sz w:val="13"/>
                <w:szCs w:val="13"/>
                <w:b w:val="1"/>
                <w:bCs w:val="1"/>
                <w:color w:val="auto"/>
                <w:w w:val="89"/>
              </w:rPr>
              <w:t>Consideration</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Average Price</w:t>
            </w:r>
          </w:p>
        </w:tc>
      </w:tr>
      <w:tr>
        <w:trPr>
          <w:trHeight w:val="135"/>
        </w:trPr>
        <w:tc>
          <w:tcPr>
            <w:tcW w:w="4260" w:type="dxa"/>
            <w:vAlign w:val="bottom"/>
          </w:tcPr>
          <w:p>
            <w:pPr>
              <w:spacing w:after="0"/>
              <w:rPr>
                <w:sz w:val="11"/>
                <w:szCs w:val="11"/>
                <w:color w:val="auto"/>
              </w:rPr>
            </w:pPr>
          </w:p>
        </w:tc>
        <w:tc>
          <w:tcPr>
            <w:tcW w:w="880" w:type="dxa"/>
            <w:vAlign w:val="bottom"/>
            <w:tcBorders>
              <w:top w:val="single" w:sz="8" w:color="auto"/>
              <w:bottom w:val="single" w:sz="8" w:color="auto"/>
            </w:tcBorders>
          </w:tcPr>
          <w:p>
            <w:pPr>
              <w:ind w:left="220"/>
              <w:spacing w:after="0" w:line="136" w:lineRule="exact"/>
              <w:rPr>
                <w:sz w:val="20"/>
                <w:szCs w:val="20"/>
                <w:color w:val="auto"/>
              </w:rPr>
            </w:pPr>
            <w:r>
              <w:rPr>
                <w:rFonts w:ascii="Arial" w:cs="Arial" w:eastAsia="Arial" w:hAnsi="Arial"/>
                <w:sz w:val="13"/>
                <w:szCs w:val="13"/>
                <w:b w:val="1"/>
                <w:bCs w:val="1"/>
                <w:color w:val="auto"/>
              </w:rPr>
              <w:t>Number</w:t>
            </w: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Percent</w:t>
            </w:r>
          </w:p>
        </w:tc>
        <w:tc>
          <w:tcPr>
            <w:tcW w:w="2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ind w:left="160"/>
              <w:spacing w:after="0" w:line="136"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b w:val="1"/>
                <w:bCs w:val="1"/>
                <w:color w:val="auto"/>
                <w:w w:val="96"/>
              </w:rPr>
              <w:t>Percent</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62"/>
              <w:spacing w:after="0" w:line="136" w:lineRule="exact"/>
              <w:rPr>
                <w:sz w:val="20"/>
                <w:szCs w:val="20"/>
                <w:color w:val="auto"/>
              </w:rPr>
            </w:pPr>
            <w:r>
              <w:rPr>
                <w:rFonts w:ascii="Arial" w:cs="Arial" w:eastAsia="Arial" w:hAnsi="Arial"/>
                <w:sz w:val="13"/>
                <w:szCs w:val="13"/>
                <w:b w:val="1"/>
                <w:bCs w:val="1"/>
                <w:color w:val="auto"/>
                <w:w w:val="92"/>
              </w:rPr>
              <w:t>Per Share</w:t>
            </w:r>
          </w:p>
        </w:tc>
        <w:tc>
          <w:tcPr>
            <w:tcW w:w="160" w:type="dxa"/>
            <w:vAlign w:val="bottom"/>
          </w:tcPr>
          <w:p>
            <w:pPr>
              <w:spacing w:after="0"/>
              <w:rPr>
                <w:sz w:val="11"/>
                <w:szCs w:val="11"/>
                <w:color w:val="auto"/>
              </w:rPr>
            </w:pPr>
          </w:p>
        </w:tc>
      </w:tr>
      <w:tr>
        <w:trPr>
          <w:trHeight w:val="20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70,615,562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99,306,342</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w:t>
            </w:r>
          </w:p>
        </w:tc>
      </w:tr>
      <w:tr>
        <w:trPr>
          <w:trHeight w:val="207"/>
        </w:trPr>
        <w:tc>
          <w:tcPr>
            <w:tcW w:w="4260" w:type="dxa"/>
            <w:vAlign w:val="bottom"/>
          </w:tcPr>
          <w:p>
            <w:pPr>
              <w:spacing w:after="0"/>
              <w:rPr>
                <w:sz w:val="20"/>
                <w:szCs w:val="20"/>
                <w:color w:val="auto"/>
              </w:rPr>
            </w:pPr>
            <w:r>
              <w:rPr>
                <w:rFonts w:ascii="Arial" w:cs="Arial" w:eastAsia="Arial" w:hAnsi="Arial"/>
                <w:sz w:val="17"/>
                <w:szCs w:val="17"/>
                <w:color w:val="auto"/>
              </w:rPr>
              <w:t>New investors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6,700,000</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87,100,000</w:t>
            </w: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46.7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13.00</w:t>
            </w:r>
          </w:p>
        </w:tc>
      </w:tr>
      <w:tr>
        <w:trPr>
          <w:trHeight w:val="20"/>
        </w:trPr>
        <w:tc>
          <w:tcPr>
            <w:tcW w:w="4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77,315,562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186,406,342</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36"/>
        <w:spacing w:after="0" w:line="258" w:lineRule="auto"/>
        <w:rPr>
          <w:sz w:val="20"/>
          <w:szCs w:val="20"/>
          <w:color w:val="auto"/>
        </w:rPr>
      </w:pPr>
      <w:r>
        <w:rPr>
          <w:rFonts w:ascii="Arial" w:cs="Arial" w:eastAsia="Arial" w:hAnsi="Arial"/>
          <w:sz w:val="17"/>
          <w:szCs w:val="17"/>
          <w:color w:val="auto"/>
        </w:rPr>
        <w:t>Sales of our common stock by the selling stockholders in this offering will reduce the number of shares of common stock held by existing stockholders to 67,315,562 shares, or 87.1% (or 65,815,562 shares, or 85.1% if the underwriters' option to purchase additional shares of our common stock from certain selling stockholders is exercised in full) of the total number of shares of our common stock outstanding following the completion of this offering, and will increase the number of shares held by new investors purchasing shares in this offering to 10,000,000 shares, or 12.9% (or 11,500,000 shares, or 14.9% if the underwriters' option to purchase additional shares of our common stock from certain selling stockholders is exercised in full) of the total number of shares of common stock outstanding following the completion of this offering.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information set forth in the table and calculations above is based on 70,615,562 shares of common stock outstanding as of June 30, 2019, and excludes:</w:t>
      </w:r>
    </w:p>
    <w:p>
      <w:pPr>
        <w:spacing w:after="0" w:line="254" w:lineRule="exact"/>
        <w:rPr>
          <w:sz w:val="20"/>
          <w:szCs w:val="20"/>
          <w:color w:val="auto"/>
        </w:rPr>
      </w:pPr>
    </w:p>
    <w:p>
      <w:pPr>
        <w:ind w:left="1040" w:hanging="519"/>
        <w:spacing w:after="0" w:line="265"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21,808,981 shares of common stock issuable on the exercise of stock options outstanding as of June 30, 2019 under the 2008 Plan and the 2017 Plan with a weighted-average exercise price of approximately $1.81 per share (including 1,311,944 shares of common stock to be issued upon exercise of stock options by certain of the selling stockholders in connection with the sale of these shares in the offering);</w:t>
      </w:r>
    </w:p>
    <w:p>
      <w:pPr>
        <w:spacing w:after="0" w:line="206" w:lineRule="exact"/>
        <w:rPr>
          <w:rFonts w:ascii="Arial" w:cs="Arial" w:eastAsia="Arial" w:hAnsi="Arial"/>
          <w:sz w:val="17"/>
          <w:szCs w:val="17"/>
          <w:color w:val="auto"/>
        </w:rPr>
      </w:pPr>
    </w:p>
    <w:p>
      <w:pPr>
        <w:ind w:left="1040" w:right="340" w:hanging="519"/>
        <w:spacing w:after="0" w:line="276"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758,693 shares of common stock issuable upon the exercise of outstanding stock options issued after June 30, 2019 pursuant to our 2017 Plan with a weighted-average exercise price of $5.97 per share;</w:t>
      </w:r>
    </w:p>
    <w:p>
      <w:pPr>
        <w:spacing w:after="0" w:line="184" w:lineRule="exact"/>
        <w:rPr>
          <w:rFonts w:ascii="Arial" w:cs="Arial" w:eastAsia="Arial" w:hAnsi="Arial"/>
          <w:sz w:val="17"/>
          <w:szCs w:val="17"/>
          <w:color w:val="auto"/>
        </w:rPr>
      </w:pPr>
    </w:p>
    <w:p>
      <w:pPr>
        <w:ind w:left="1040" w:right="380" w:hanging="519"/>
        <w:spacing w:after="0" w:line="276"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2,159,639 shares of common stock issuable upon the exercise of warrants outstanding as of June 30, 2019 with a weighted-average exercise price of $1.69 per share;</w:t>
      </w:r>
    </w:p>
    <w:p>
      <w:pPr>
        <w:spacing w:after="0" w:line="184" w:lineRule="exact"/>
        <w:rPr>
          <w:rFonts w:ascii="Arial" w:cs="Arial" w:eastAsia="Arial" w:hAnsi="Arial"/>
          <w:sz w:val="17"/>
          <w:szCs w:val="17"/>
          <w:color w:val="auto"/>
        </w:rPr>
      </w:pPr>
    </w:p>
    <w:p>
      <w:pPr>
        <w:ind w:left="1040" w:right="40" w:hanging="519"/>
        <w:spacing w:after="0" w:line="261"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3,059,708 shares of common stock reserved for future issuance under our 2019 Plan (which number includes the contemplated director nominee grants described under "Management—Non-Employee Director Compensation"), as well as any shares underlying options outstanding under the 2017 Plan that expire or otherwise terminate prior to exercise after the effective date of the 2019 Plan and any future increases in the number of shares of common stock reserved for issuance under our 2019 Plan; and</w:t>
      </w:r>
    </w:p>
    <w:p>
      <w:pPr>
        <w:spacing w:after="0" w:line="210" w:lineRule="exact"/>
        <w:rPr>
          <w:rFonts w:ascii="Arial" w:cs="Arial" w:eastAsia="Arial" w:hAnsi="Arial"/>
          <w:sz w:val="17"/>
          <w:szCs w:val="17"/>
          <w:color w:val="auto"/>
        </w:rPr>
      </w:pPr>
    </w:p>
    <w:p>
      <w:pPr>
        <w:ind w:left="1040" w:right="160" w:hanging="519"/>
        <w:spacing w:after="0" w:line="276"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1,700,000 shares of common stock reserved for issuance under our ESPP, as well as future increases in the number of shares of common stock reserved for future issuance under our ESPP.</w:t>
      </w:r>
    </w:p>
    <w:p>
      <w:pPr>
        <w:spacing w:after="0" w:line="171" w:lineRule="exact"/>
        <w:rPr>
          <w:sz w:val="20"/>
          <w:szCs w:val="20"/>
          <w:color w:val="auto"/>
        </w:rPr>
      </w:pPr>
    </w:p>
    <w:p>
      <w:pPr>
        <w:ind w:right="440" w:firstLine="333"/>
        <w:spacing w:after="0" w:line="276" w:lineRule="auto"/>
        <w:rPr>
          <w:sz w:val="20"/>
          <w:szCs w:val="20"/>
          <w:color w:val="auto"/>
        </w:rPr>
      </w:pPr>
      <w:r>
        <w:rPr>
          <w:rFonts w:ascii="Arial" w:cs="Arial" w:eastAsia="Arial" w:hAnsi="Arial"/>
          <w:sz w:val="17"/>
          <w:szCs w:val="17"/>
          <w:color w:val="auto"/>
        </w:rPr>
        <w:t>To the extent that any outstanding options are exercised or new options are issued under our stock-based compensation plans, or we issue additional shares of common stock in the future, there will be further dilution to investors participating in this offering.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22" w:lineRule="exact"/>
        <w:rPr>
          <w:sz w:val="20"/>
          <w:szCs w:val="20"/>
          <w:color w:val="auto"/>
        </w:rPr>
      </w:pPr>
    </w:p>
    <w:p>
      <w:pPr>
        <w:ind w:firstLine="333"/>
        <w:spacing w:after="0" w:line="293" w:lineRule="auto"/>
        <w:rPr>
          <w:sz w:val="20"/>
          <w:szCs w:val="20"/>
          <w:color w:val="auto"/>
        </w:rPr>
      </w:pPr>
      <w:r>
        <w:rPr>
          <w:rFonts w:ascii="Arial" w:cs="Arial" w:eastAsia="Arial" w:hAnsi="Arial"/>
          <w:sz w:val="15"/>
          <w:szCs w:val="15"/>
          <w:color w:val="auto"/>
        </w:rPr>
        <w:t>The selected consolidated statement of operations data for the years ended December 31, 2017 and 2018 and the selected consolidated balance sheet data as of December 31, 2018 have been derived from our audited consolidated financial statements included elsewhere in this prospectus. In order to provide additional historical financial information, we have included supplemental unaudited selected statement of operations data for the year ended December 31, 2016 and unaudited selected consolidated balance sheet data as of December 31, 2016, which have been derived from our unaudited consolidated financial statements not included elsewhere in this prospectus. The selected statements of operations data for the six months ended June 30, 2018 and 2019 and the selected consolidated balance sheet data as of June 30, 2019 have been derived from our unaudited interim consolidated financial statements included elsewhere in this prospectus. The unaudited consolidated financial statements have been prepared on the same basis as the annual consolidated financial statements, and in the opinion of management, reflect all adjustments, which include only normal recurring adjustments, necessary to present fairly our consolidated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interim and historical results are not necessarily indicative of the results to be expected for the full year or any other period in the future.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20" w:type="dxa"/>
            <w:vAlign w:val="bottom"/>
            <w:gridSpan w:val="6"/>
          </w:tcPr>
          <w:p>
            <w:pPr>
              <w:jc w:val="center"/>
              <w:ind w:right="144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3"/>
                <w:szCs w:val="13"/>
                <w:b w:val="1"/>
                <w:bCs w:val="1"/>
                <w:color w:val="auto"/>
              </w:rPr>
              <w:t>Year Ended December 31,</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3"/>
                <w:szCs w:val="13"/>
                <w:b w:val="1"/>
                <w:bCs w:val="1"/>
                <w:color w:val="auto"/>
                <w:w w:val="88"/>
              </w:rPr>
              <w:t>June 30,</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35"/>
        </w:trPr>
        <w:tc>
          <w:tcPr>
            <w:tcW w:w="11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39"/>
              <w:spacing w:after="0" w:line="136"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8"/>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7"/>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0"/>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7"/>
              <w:spacing w:after="0" w:line="136"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22"/>
        </w:trPr>
        <w:tc>
          <w:tcPr>
            <w:tcW w:w="11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9"/>
              <w:spacing w:after="0" w:line="123"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left="340"/>
              <w:spacing w:after="0" w:line="123" w:lineRule="exact"/>
              <w:rPr>
                <w:sz w:val="20"/>
                <w:szCs w:val="20"/>
                <w:color w:val="auto"/>
              </w:rPr>
            </w:pPr>
            <w:r>
              <w:rPr>
                <w:rFonts w:ascii="Arial" w:cs="Arial" w:eastAsia="Arial" w:hAnsi="Arial"/>
                <w:sz w:val="13"/>
                <w:szCs w:val="13"/>
                <w:b w:val="1"/>
                <w:bCs w:val="1"/>
                <w:color w:val="auto"/>
                <w:w w:val="93"/>
              </w:rPr>
              <w:t>(unaudited)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55"/>
        </w:trPr>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00" w:type="dxa"/>
            <w:vAlign w:val="bottom"/>
            <w:gridSpan w:val="9"/>
          </w:tcPr>
          <w:p>
            <w:pPr>
              <w:jc w:val="right"/>
              <w:ind w:right="56"/>
              <w:spacing w:after="0"/>
              <w:rPr>
                <w:sz w:val="20"/>
                <w:szCs w:val="20"/>
                <w:color w:val="auto"/>
              </w:rPr>
            </w:pPr>
            <w:r>
              <w:rPr>
                <w:rFonts w:ascii="Arial" w:cs="Arial" w:eastAsia="Arial" w:hAnsi="Arial"/>
                <w:sz w:val="13"/>
                <w:szCs w:val="13"/>
                <w:b w:val="1"/>
                <w:bCs w:val="1"/>
                <w:color w:val="auto"/>
              </w:rPr>
              <w:t>(in thousands, except share and per share data)</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7"/>
        </w:trPr>
        <w:tc>
          <w:tcPr>
            <w:tcW w:w="114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114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22,106</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48,584</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105,400</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48,415</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103,365</w:t>
            </w:r>
          </w:p>
        </w:tc>
        <w:tc>
          <w:tcPr>
            <w:tcW w:w="1080" w:type="dxa"/>
            <w:vAlign w:val="bottom"/>
          </w:tcPr>
          <w:p>
            <w:pPr>
              <w:spacing w:after="0"/>
              <w:rPr>
                <w:sz w:val="17"/>
                <w:szCs w:val="17"/>
                <w:color w:val="auto"/>
              </w:rPr>
            </w:pPr>
          </w:p>
        </w:tc>
      </w:tr>
      <w:tr>
        <w:trPr>
          <w:trHeight w:val="246"/>
        </w:trPr>
        <w:tc>
          <w:tcPr>
            <w:tcW w:w="1140" w:type="dxa"/>
            <w:vAlign w:val="bottom"/>
          </w:tcPr>
          <w:p>
            <w:pPr>
              <w:spacing w:after="0"/>
              <w:rPr>
                <w:sz w:val="21"/>
                <w:szCs w:val="21"/>
                <w:color w:val="auto"/>
              </w:rPr>
            </w:pPr>
          </w:p>
        </w:tc>
        <w:tc>
          <w:tcPr>
            <w:tcW w:w="384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Cost of services</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21,368</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41,184</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85,966</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39,443</w:t>
            </w:r>
          </w:p>
        </w:tc>
        <w:tc>
          <w:tcPr>
            <w:tcW w:w="3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81,949</w:t>
            </w:r>
          </w:p>
        </w:tc>
        <w:tc>
          <w:tcPr>
            <w:tcW w:w="1080" w:type="dxa"/>
            <w:vAlign w:val="bottom"/>
          </w:tcPr>
          <w:p>
            <w:pPr>
              <w:spacing w:after="0"/>
              <w:rPr>
                <w:sz w:val="21"/>
                <w:szCs w:val="21"/>
                <w:color w:val="auto"/>
              </w:rPr>
            </w:pPr>
          </w:p>
        </w:tc>
      </w:tr>
      <w:tr>
        <w:trPr>
          <w:trHeight w:val="200"/>
        </w:trPr>
        <w:tc>
          <w:tcPr>
            <w:tcW w:w="1140" w:type="dxa"/>
            <w:vAlign w:val="bottom"/>
          </w:tcPr>
          <w:p>
            <w:pPr>
              <w:spacing w:after="0"/>
              <w:rPr>
                <w:sz w:val="17"/>
                <w:szCs w:val="17"/>
                <w:color w:val="auto"/>
              </w:rPr>
            </w:pPr>
          </w:p>
        </w:tc>
        <w:tc>
          <w:tcPr>
            <w:tcW w:w="3840" w:type="dxa"/>
            <w:vAlign w:val="bottom"/>
          </w:tcPr>
          <w:p>
            <w:pPr>
              <w:ind w:left="180"/>
              <w:spacing w:after="0"/>
              <w:rPr>
                <w:sz w:val="20"/>
                <w:szCs w:val="20"/>
                <w:color w:val="auto"/>
              </w:rPr>
            </w:pPr>
            <w:r>
              <w:rPr>
                <w:rFonts w:ascii="Arial" w:cs="Arial" w:eastAsia="Arial" w:hAnsi="Arial"/>
                <w:sz w:val="17"/>
                <w:szCs w:val="17"/>
                <w:color w:val="auto"/>
              </w:rPr>
              <w:t>Gross profit</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7,400</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19,434</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8,972</w:t>
            </w: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21,416</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114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46"/>
        </w:trPr>
        <w:tc>
          <w:tcPr>
            <w:tcW w:w="1140" w:type="dxa"/>
            <w:vAlign w:val="bottom"/>
          </w:tcPr>
          <w:p>
            <w:pPr>
              <w:spacing w:after="0"/>
              <w:rPr>
                <w:sz w:val="21"/>
                <w:szCs w:val="21"/>
                <w:color w:val="auto"/>
              </w:rPr>
            </w:pPr>
          </w:p>
        </w:tc>
        <w:tc>
          <w:tcPr>
            <w:tcW w:w="3840" w:type="dxa"/>
            <w:vAlign w:val="bottom"/>
          </w:tcPr>
          <w:p>
            <w:pPr>
              <w:ind w:left="180"/>
              <w:spacing w:after="0" w:line="24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8"/>
                <w:szCs w:val="28"/>
                <w:color w:val="auto"/>
                <w:vertAlign w:val="superscript"/>
              </w:rPr>
              <w:t>(1)</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2,407</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4,258</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7,285</w:t>
            </w:r>
          </w:p>
        </w:tc>
        <w:tc>
          <w:tcPr>
            <w:tcW w:w="20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3,494</w:t>
            </w:r>
          </w:p>
        </w:tc>
        <w:tc>
          <w:tcPr>
            <w:tcW w:w="3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5,463</w:t>
            </w:r>
          </w:p>
        </w:tc>
        <w:tc>
          <w:tcPr>
            <w:tcW w:w="1080" w:type="dxa"/>
            <w:vAlign w:val="bottom"/>
          </w:tcPr>
          <w:p>
            <w:pPr>
              <w:spacing w:after="0"/>
              <w:rPr>
                <w:sz w:val="21"/>
                <w:szCs w:val="21"/>
                <w:color w:val="auto"/>
              </w:rPr>
            </w:pPr>
          </w:p>
        </w:tc>
      </w:tr>
      <w:tr>
        <w:trPr>
          <w:trHeight w:val="246"/>
        </w:trPr>
        <w:tc>
          <w:tcPr>
            <w:tcW w:w="1140" w:type="dxa"/>
            <w:vAlign w:val="bottom"/>
          </w:tcPr>
          <w:p>
            <w:pPr>
              <w:spacing w:after="0"/>
              <w:rPr>
                <w:sz w:val="21"/>
                <w:szCs w:val="21"/>
                <w:color w:val="auto"/>
              </w:rPr>
            </w:pPr>
          </w:p>
        </w:tc>
        <w:tc>
          <w:tcPr>
            <w:tcW w:w="3840" w:type="dxa"/>
            <w:vAlign w:val="bottom"/>
            <w:shd w:val="clear" w:color="auto" w:fill="CCEEFF"/>
          </w:tcPr>
          <w:p>
            <w:pPr>
              <w:ind w:left="180"/>
              <w:spacing w:after="0" w:line="24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12,868</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14,147</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15,601</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7,640</w:t>
            </w:r>
          </w:p>
        </w:tc>
        <w:tc>
          <w:tcPr>
            <w:tcW w:w="3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10,489</w:t>
            </w:r>
          </w:p>
        </w:tc>
        <w:tc>
          <w:tcPr>
            <w:tcW w:w="1080" w:type="dxa"/>
            <w:vAlign w:val="bottom"/>
          </w:tcPr>
          <w:p>
            <w:pPr>
              <w:spacing w:after="0"/>
              <w:rPr>
                <w:sz w:val="21"/>
                <w:szCs w:val="21"/>
                <w:color w:val="auto"/>
              </w:rPr>
            </w:pPr>
          </w:p>
        </w:tc>
      </w:tr>
      <w:tr>
        <w:trPr>
          <w:trHeight w:val="200"/>
        </w:trPr>
        <w:tc>
          <w:tcPr>
            <w:tcW w:w="1140" w:type="dxa"/>
            <w:vAlign w:val="bottom"/>
          </w:tcPr>
          <w:p>
            <w:pPr>
              <w:spacing w:after="0"/>
              <w:rPr>
                <w:sz w:val="17"/>
                <w:szCs w:val="17"/>
                <w:color w:val="auto"/>
              </w:rPr>
            </w:pPr>
          </w:p>
        </w:tc>
        <w:tc>
          <w:tcPr>
            <w:tcW w:w="384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15,275</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18,405</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22,886</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11,134</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15,952</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operations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(14,537)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(11,005)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(2,162)</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5,464</w:t>
            </w:r>
          </w:p>
        </w:tc>
        <w:tc>
          <w:tcPr>
            <w:tcW w:w="108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Other expense:</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114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w:t>
            </w:r>
          </w:p>
        </w:tc>
        <w:tc>
          <w:tcPr>
            <w:tcW w:w="1080" w:type="dxa"/>
            <w:vAlign w:val="bottom"/>
          </w:tcPr>
          <w:p>
            <w:pPr>
              <w:spacing w:after="0"/>
              <w:rPr>
                <w:sz w:val="18"/>
                <w:szCs w:val="18"/>
                <w:color w:val="auto"/>
              </w:rPr>
            </w:pPr>
          </w:p>
        </w:tc>
      </w:tr>
      <w:tr>
        <w:trPr>
          <w:trHeight w:val="198"/>
        </w:trPr>
        <w:tc>
          <w:tcPr>
            <w:tcW w:w="1140" w:type="dxa"/>
            <w:vAlign w:val="bottom"/>
          </w:tcPr>
          <w:p>
            <w:pPr>
              <w:spacing w:after="0"/>
              <w:rPr>
                <w:sz w:val="17"/>
                <w:szCs w:val="17"/>
                <w:color w:val="auto"/>
              </w:rPr>
            </w:pPr>
          </w:p>
        </w:tc>
        <w:tc>
          <w:tcPr>
            <w:tcW w:w="3840" w:type="dxa"/>
            <w:vAlign w:val="bottom"/>
          </w:tcPr>
          <w:p>
            <w:pPr>
              <w:ind w:left="360"/>
              <w:spacing w:after="0"/>
              <w:rPr>
                <w:sz w:val="20"/>
                <w:szCs w:val="20"/>
                <w:color w:val="auto"/>
              </w:rPr>
            </w:pPr>
            <w:r>
              <w:rPr>
                <w:rFonts w:ascii="Arial" w:cs="Arial" w:eastAsia="Arial" w:hAnsi="Arial"/>
                <w:sz w:val="17"/>
                <w:szCs w:val="17"/>
                <w:color w:val="auto"/>
              </w:rPr>
              <w:t>Convertible preferred stock warrant valuation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114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7"/>
                <w:szCs w:val="17"/>
                <w:color w:val="auto"/>
              </w:rPr>
              <w:t>adjustment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741</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(714)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(2,944)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(643)</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(1,193)</w:t>
            </w:r>
          </w:p>
        </w:tc>
        <w:tc>
          <w:tcPr>
            <w:tcW w:w="10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1"/>
        </w:trPr>
        <w:tc>
          <w:tcPr>
            <w:tcW w:w="1140" w:type="dxa"/>
            <w:vAlign w:val="bottom"/>
          </w:tcPr>
          <w:p>
            <w:pPr>
              <w:spacing w:after="0"/>
              <w:rPr>
                <w:sz w:val="17"/>
                <w:szCs w:val="17"/>
                <w:color w:val="auto"/>
              </w:rPr>
            </w:pPr>
          </w:p>
        </w:tc>
        <w:tc>
          <w:tcPr>
            <w:tcW w:w="38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other expense, net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(1,075)</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(1,359)</w:t>
            </w:r>
          </w:p>
        </w:tc>
        <w:tc>
          <w:tcPr>
            <w:tcW w:w="10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w w:val="96"/>
              </w:rPr>
              <w:t>(Loss) income from continuing operations, before tax</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(14,861)</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(12,459)</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(6,893)</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(3,237)</w:t>
            </w: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4,105</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114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3,028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1,777</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835</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w:t>
            </w:r>
          </w:p>
        </w:tc>
        <w:tc>
          <w:tcPr>
            <w:tcW w:w="10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Net (loss) income from continuing operations</w:t>
            </w: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(11,833)</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(12,456)</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(5,116)</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(2,402)</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4,041</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2"/>
        </w:trPr>
        <w:tc>
          <w:tcPr>
            <w:tcW w:w="1140" w:type="dxa"/>
            <w:vAlign w:val="bottom"/>
          </w:tcPr>
          <w:p>
            <w:pPr>
              <w:spacing w:after="0"/>
              <w:rPr>
                <w:sz w:val="16"/>
                <w:szCs w:val="16"/>
                <w:color w:val="auto"/>
              </w:rPr>
            </w:pPr>
          </w:p>
        </w:tc>
        <w:tc>
          <w:tcPr>
            <w:tcW w:w="3840" w:type="dxa"/>
            <w:vAlign w:val="bottom"/>
            <w:shd w:val="clear" w:color="auto" w:fill="CCEEFF"/>
          </w:tcPr>
          <w:p>
            <w:pPr>
              <w:ind w:left="180"/>
              <w:spacing w:after="0" w:line="193" w:lineRule="exact"/>
              <w:rPr>
                <w:sz w:val="20"/>
                <w:szCs w:val="20"/>
                <w:color w:val="auto"/>
              </w:rPr>
            </w:pPr>
            <w:r>
              <w:rPr>
                <w:rFonts w:ascii="Arial" w:cs="Arial" w:eastAsia="Arial" w:hAnsi="Arial"/>
                <w:sz w:val="17"/>
                <w:szCs w:val="17"/>
                <w:color w:val="auto"/>
              </w:rPr>
              <w:t>Net income from discontinued operations, net of</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tcPr>
          <w:p>
            <w:pPr>
              <w:spacing w:after="0"/>
              <w:rPr>
                <w:sz w:val="16"/>
                <w:szCs w:val="16"/>
                <w:color w:val="auto"/>
              </w:rPr>
            </w:pPr>
          </w:p>
        </w:tc>
      </w:tr>
      <w:tr>
        <w:trPr>
          <w:trHeight w:val="253"/>
        </w:trPr>
        <w:tc>
          <w:tcPr>
            <w:tcW w:w="1140" w:type="dxa"/>
            <w:vAlign w:val="bottom"/>
          </w:tcPr>
          <w:p>
            <w:pPr>
              <w:spacing w:after="0"/>
              <w:rPr>
                <w:sz w:val="22"/>
                <w:szCs w:val="22"/>
                <w:color w:val="auto"/>
              </w:rPr>
            </w:pPr>
          </w:p>
        </w:tc>
        <w:tc>
          <w:tcPr>
            <w:tcW w:w="3840" w:type="dxa"/>
            <w:vAlign w:val="bottom"/>
            <w:shd w:val="clear" w:color="auto" w:fill="CCEEFF"/>
          </w:tcPr>
          <w:p>
            <w:pPr>
              <w:ind w:left="360"/>
              <w:spacing w:after="0" w:line="253" w:lineRule="exact"/>
              <w:rPr>
                <w:sz w:val="20"/>
                <w:szCs w:val="20"/>
                <w:color w:val="auto"/>
              </w:rPr>
            </w:pPr>
            <w:r>
              <w:rPr>
                <w:rFonts w:ascii="Arial" w:cs="Arial" w:eastAsia="Arial" w:hAnsi="Arial"/>
                <w:sz w:val="17"/>
                <w:szCs w:val="17"/>
                <w:color w:val="auto"/>
              </w:rPr>
              <w:t>taxes</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4,737</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5,777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5,724</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22"/>
                <w:szCs w:val="22"/>
                <w:color w:val="auto"/>
              </w:rPr>
            </w:pPr>
          </w:p>
        </w:tc>
      </w:tr>
      <w:tr>
        <w:trPr>
          <w:trHeight w:val="200"/>
        </w:trPr>
        <w:tc>
          <w:tcPr>
            <w:tcW w:w="114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w w:val="97"/>
              </w:rPr>
              <w:t>Net (loss) income and comprehensive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(7,096)</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(12,452)</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661</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3,322</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4,041</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384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income attributable to common</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tcPr>
          <w:p>
            <w:pPr>
              <w:spacing w:after="0"/>
              <w:rPr>
                <w:sz w:val="15"/>
                <w:szCs w:val="15"/>
                <w:color w:val="auto"/>
              </w:rPr>
            </w:pPr>
          </w:p>
        </w:tc>
      </w:tr>
      <w:tr>
        <w:trPr>
          <w:trHeight w:val="216"/>
        </w:trPr>
        <w:tc>
          <w:tcPr>
            <w:tcW w:w="1140" w:type="dxa"/>
            <w:vAlign w:val="bottom"/>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(11,833)</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(13,468)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(5,541)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(2,826)</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1"/>
        </w:trPr>
        <w:tc>
          <w:tcPr>
            <w:tcW w:w="1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8"/>
        </w:trPr>
        <w:tc>
          <w:tcPr>
            <w:tcW w:w="1140" w:type="dxa"/>
            <w:vAlign w:val="bottom"/>
            <w:tcBorders>
              <w:bottom w:val="single" w:sz="8" w:color="808080"/>
            </w:tcBorders>
          </w:tcPr>
          <w:p>
            <w:pPr>
              <w:spacing w:after="0"/>
              <w:rPr>
                <w:sz w:val="18"/>
                <w:szCs w:val="18"/>
                <w:color w:val="auto"/>
              </w:rPr>
            </w:pPr>
          </w:p>
        </w:tc>
        <w:tc>
          <w:tcPr>
            <w:tcW w:w="38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jc w:val="center"/>
              <w:ind w:left="583"/>
              <w:spacing w:after="0"/>
              <w:rPr>
                <w:sz w:val="20"/>
                <w:szCs w:val="20"/>
                <w:color w:val="auto"/>
              </w:rPr>
            </w:pPr>
            <w:r>
              <w:rPr>
                <w:rFonts w:ascii="Arial" w:cs="Arial" w:eastAsia="Arial" w:hAnsi="Arial"/>
                <w:sz w:val="13"/>
                <w:szCs w:val="13"/>
                <w:b w:val="1"/>
                <w:bCs w:val="1"/>
                <w:color w:val="auto"/>
                <w:w w:val="90"/>
              </w:rPr>
              <w:t>Year Ended December 31,</w:t>
            </w: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left="525"/>
              <w:spacing w:after="0"/>
              <w:rPr>
                <w:sz w:val="20"/>
                <w:szCs w:val="20"/>
                <w:color w:val="auto"/>
              </w:rPr>
            </w:pPr>
            <w:r>
              <w:rPr>
                <w:rFonts w:ascii="Arial" w:cs="Arial" w:eastAsia="Arial" w:hAnsi="Arial"/>
                <w:sz w:val="13"/>
                <w:szCs w:val="13"/>
                <w:b w:val="1"/>
                <w:bCs w:val="1"/>
                <w:color w:val="auto"/>
                <w:w w:val="88"/>
              </w:rPr>
              <w:t>June 30,</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3"/>
              <w:spacing w:after="0" w:line="136"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1"/>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8"/>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5"/>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38"/>
              <w:spacing w:after="0" w:line="136"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
              <w:spacing w:after="0" w:line="123" w:lineRule="exact"/>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80" w:type="dxa"/>
            <w:vAlign w:val="bottom"/>
            <w:gridSpan w:val="5"/>
          </w:tcPr>
          <w:p>
            <w:pPr>
              <w:jc w:val="center"/>
              <w:ind w:right="320"/>
              <w:spacing w:after="0" w:line="123"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gridSpan w:val="9"/>
          </w:tcPr>
          <w:p>
            <w:pPr>
              <w:jc w:val="right"/>
              <w:spacing w:after="0"/>
              <w:rPr>
                <w:sz w:val="20"/>
                <w:szCs w:val="20"/>
                <w:color w:val="auto"/>
              </w:rPr>
            </w:pPr>
            <w:r>
              <w:rPr>
                <w:rFonts w:ascii="Arial" w:cs="Arial" w:eastAsia="Arial" w:hAnsi="Arial"/>
                <w:sz w:val="13"/>
                <w:szCs w:val="13"/>
                <w:b w:val="1"/>
                <w:bCs w:val="1"/>
                <w:color w:val="auto"/>
              </w:rPr>
              <w:t>(in thousands, except share and per share data)</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Net (loss) income per share attributable to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stockholders, basic and 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40" w:type="dxa"/>
            <w:vAlign w:val="bottom"/>
            <w:gridSpan w:val="2"/>
          </w:tcPr>
          <w:p>
            <w:pPr>
              <w:ind w:left="160"/>
              <w:spacing w:after="0"/>
              <w:rPr>
                <w:sz w:val="20"/>
                <w:szCs w:val="20"/>
                <w:color w:val="auto"/>
              </w:rPr>
            </w:pPr>
            <w:r>
              <w:rPr>
                <w:rFonts w:ascii="Arial" w:cs="Arial" w:eastAsia="Arial" w:hAnsi="Arial"/>
                <w:sz w:val="17"/>
                <w:szCs w:val="17"/>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(2.09)</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(0.50)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6"/>
        </w:trPr>
        <w:tc>
          <w:tcPr>
            <w:tcW w:w="3840" w:type="dxa"/>
            <w:vAlign w:val="bottom"/>
            <w:gridSpan w:val="2"/>
            <w:shd w:val="clear" w:color="auto" w:fill="CCEEFF"/>
          </w:tcPr>
          <w:p>
            <w:pPr>
              <w:ind w:left="160"/>
              <w:spacing w:after="0" w:line="246" w:lineRule="exact"/>
              <w:rPr>
                <w:sz w:val="20"/>
                <w:szCs w:val="20"/>
                <w:color w:val="auto"/>
              </w:rPr>
            </w:pPr>
            <w:r>
              <w:rPr>
                <w:rFonts w:ascii="Arial" w:cs="Arial" w:eastAsia="Arial" w:hAnsi="Arial"/>
                <w:sz w:val="17"/>
                <w:szCs w:val="17"/>
                <w:color w:val="auto"/>
              </w:rPr>
              <w:t>Discontinued operations</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0.84</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3840" w:type="dxa"/>
            <w:vAlign w:val="bottom"/>
            <w:gridSpan w:val="2"/>
          </w:tcPr>
          <w:p>
            <w:pPr>
              <w:ind w:left="180"/>
              <w:spacing w:after="0" w:line="191" w:lineRule="exact"/>
              <w:rPr>
                <w:sz w:val="20"/>
                <w:szCs w:val="20"/>
                <w:color w:val="auto"/>
              </w:rPr>
            </w:pPr>
            <w:r>
              <w:rPr>
                <w:rFonts w:ascii="Arial" w:cs="Arial" w:eastAsia="Arial" w:hAnsi="Arial"/>
                <w:sz w:val="17"/>
                <w:szCs w:val="17"/>
                <w:color w:val="auto"/>
              </w:rPr>
              <w:t>Total net (loss) income per share attributable to</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40" w:type="dxa"/>
            <w:vAlign w:val="bottom"/>
            <w:gridSpan w:val="2"/>
          </w:tcPr>
          <w:p>
            <w:pPr>
              <w:ind w:left="360"/>
              <w:spacing w:after="0"/>
              <w:rPr>
                <w:sz w:val="20"/>
                <w:szCs w:val="20"/>
                <w:color w:val="auto"/>
              </w:rPr>
            </w:pPr>
            <w:r>
              <w:rPr>
                <w:rFonts w:ascii="Arial" w:cs="Arial" w:eastAsia="Arial" w:hAnsi="Arial"/>
                <w:sz w:val="17"/>
                <w:szCs w:val="17"/>
                <w:color w:val="auto"/>
              </w:rPr>
              <w:t>common stockholders,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(1.25)</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0.04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0.50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4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color w:val="auto"/>
                <w:w w:val="92"/>
              </w:rPr>
              <w:t>Weighted-average shares used in computing net (loss)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income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840" w:type="dxa"/>
            <w:vAlign w:val="bottom"/>
            <w:gridSpan w:val="2"/>
          </w:tcPr>
          <w:p>
            <w:pPr>
              <w:ind w:left="180"/>
              <w:spacing w:after="0" w:line="246" w:lineRule="exact"/>
              <w:rPr>
                <w:sz w:val="20"/>
                <w:szCs w:val="20"/>
                <w:color w:val="auto"/>
              </w:rPr>
            </w:pPr>
            <w:r>
              <w:rPr>
                <w:rFonts w:ascii="Arial" w:cs="Arial" w:eastAsia="Arial" w:hAnsi="Arial"/>
                <w:sz w:val="17"/>
                <w:szCs w:val="17"/>
                <w:color w:val="auto"/>
              </w:rPr>
              <w:t>Basic</w:t>
            </w:r>
            <w:r>
              <w:rPr>
                <w:rFonts w:ascii="Arial" w:cs="Arial" w:eastAsia="Arial" w:hAnsi="Arial"/>
                <w:sz w:val="28"/>
                <w:szCs w:val="28"/>
                <w:color w:val="auto"/>
                <w:vertAlign w:val="superscript"/>
              </w:rPr>
              <w:t>(3)</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5,564,140</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5,677,860</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5,539,739</w:t>
            </w: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5,691,643</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5,164,564</w:t>
            </w:r>
          </w:p>
        </w:tc>
        <w:tc>
          <w:tcPr>
            <w:tcW w:w="0" w:type="dxa"/>
            <w:vAlign w:val="bottom"/>
          </w:tcPr>
          <w:p>
            <w:pPr>
              <w:spacing w:after="0"/>
              <w:rPr>
                <w:sz w:val="1"/>
                <w:szCs w:val="1"/>
                <w:color w:val="auto"/>
              </w:rPr>
            </w:pPr>
          </w:p>
        </w:tc>
      </w:tr>
      <w:tr>
        <w:trPr>
          <w:trHeight w:val="246"/>
        </w:trPr>
        <w:tc>
          <w:tcPr>
            <w:tcW w:w="3840" w:type="dxa"/>
            <w:vAlign w:val="bottom"/>
            <w:gridSpan w:val="2"/>
            <w:shd w:val="clear" w:color="auto" w:fill="CCEEFF"/>
          </w:tcPr>
          <w:p>
            <w:pPr>
              <w:ind w:left="180"/>
              <w:spacing w:after="0" w:line="246" w:lineRule="exact"/>
              <w:rPr>
                <w:sz w:val="20"/>
                <w:szCs w:val="20"/>
                <w:color w:val="auto"/>
              </w:rPr>
            </w:pPr>
            <w:r>
              <w:rPr>
                <w:rFonts w:ascii="Arial" w:cs="Arial" w:eastAsia="Arial" w:hAnsi="Arial"/>
                <w:sz w:val="17"/>
                <w:szCs w:val="17"/>
                <w:color w:val="auto"/>
              </w:rPr>
              <w:t>Diluted</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5,564,140</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5,677,860</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5,539,739</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5,691,643</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5,164,564</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line="265" w:lineRule="exact"/>
              <w:rPr>
                <w:sz w:val="20"/>
                <w:szCs w:val="20"/>
                <w:color w:val="auto"/>
              </w:rPr>
            </w:pPr>
            <w:r>
              <w:rPr>
                <w:rFonts w:ascii="Arial" w:cs="Arial" w:eastAsia="Arial" w:hAnsi="Arial"/>
                <w:sz w:val="17"/>
                <w:szCs w:val="17"/>
                <w:color w:val="auto"/>
              </w:rPr>
              <w:t>Pro forma (loss) income per share (unaudited)</w:t>
            </w:r>
            <w:r>
              <w:rPr>
                <w:rFonts w:ascii="Arial" w:cs="Arial" w:eastAsia="Arial" w:hAnsi="Arial"/>
                <w:sz w:val="28"/>
                <w:szCs w:val="28"/>
                <w:color w:val="auto"/>
                <w:vertAlign w:val="superscript"/>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7"/>
        </w:trPr>
        <w:tc>
          <w:tcPr>
            <w:tcW w:w="3840" w:type="dxa"/>
            <w:vAlign w:val="bottom"/>
            <w:gridSpan w:val="2"/>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(0.08)</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4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color w:val="auto"/>
              </w:rPr>
              <w:t>Weighted-average shares used in computing pro</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840" w:type="dxa"/>
            <w:vAlign w:val="bottom"/>
            <w:gridSpan w:val="2"/>
            <w:shd w:val="clear" w:color="auto" w:fill="CCEEFF"/>
          </w:tcPr>
          <w:p>
            <w:pPr>
              <w:ind w:left="180"/>
              <w:spacing w:after="0" w:line="253" w:lineRule="exact"/>
              <w:rPr>
                <w:sz w:val="20"/>
                <w:szCs w:val="20"/>
                <w:color w:val="auto"/>
              </w:rPr>
            </w:pPr>
            <w:r>
              <w:rPr>
                <w:rFonts w:ascii="Arial" w:cs="Arial" w:eastAsia="Arial" w:hAnsi="Arial"/>
                <w:sz w:val="17"/>
                <w:szCs w:val="17"/>
                <w:color w:val="auto"/>
                <w:w w:val="93"/>
              </w:rPr>
              <w:t>forma net (loss) income per share (unaudited)</w:t>
            </w:r>
            <w:r>
              <w:rPr>
                <w:rFonts w:ascii="Arial" w:cs="Arial" w:eastAsia="Arial" w:hAnsi="Arial"/>
                <w:sz w:val="28"/>
                <w:szCs w:val="28"/>
                <w:color w:val="auto"/>
                <w:w w:val="93"/>
                <w:vertAlign w:val="superscript"/>
              </w:rPr>
              <w:t>(2)(3)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840" w:type="dxa"/>
            <w:vAlign w:val="bottom"/>
            <w:gridSpan w:val="2"/>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71,499,944</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w w:val="86"/>
              </w:rPr>
              <w:t>70,592,652</w:t>
            </w:r>
          </w:p>
        </w:tc>
        <w:tc>
          <w:tcPr>
            <w:tcW w:w="0" w:type="dxa"/>
            <w:vAlign w:val="bottom"/>
          </w:tcPr>
          <w:p>
            <w:pPr>
              <w:spacing w:after="0"/>
              <w:rPr>
                <w:sz w:val="1"/>
                <w:szCs w:val="1"/>
                <w:color w:val="auto"/>
              </w:rPr>
            </w:pPr>
          </w:p>
        </w:tc>
      </w:tr>
      <w:tr>
        <w:trPr>
          <w:trHeight w:val="207"/>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71,499,944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6"/>
              </w:rPr>
              <w:t>81,561,714</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88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660" w:hanging="514"/>
        <w:spacing w:after="0"/>
        <w:tabs>
          <w:tab w:leader="none" w:pos="16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4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88"/>
              </w:rPr>
              <w:t>Year Ended December 31,</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444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2016</w:t>
            </w:r>
          </w:p>
        </w:tc>
        <w:tc>
          <w:tcPr>
            <w:tcW w:w="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5"/>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5"/>
              <w:spacing w:after="0" w:line="136"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5"/>
              <w:spacing w:after="0" w:line="136"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95"/>
              <w:spacing w:after="0" w:line="136"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1"/>
                <w:szCs w:val="11"/>
                <w:color w:val="auto"/>
              </w:rPr>
            </w:pPr>
          </w:p>
        </w:tc>
      </w:tr>
      <w:tr>
        <w:trPr>
          <w:trHeight w:val="135"/>
        </w:trPr>
        <w:tc>
          <w:tcPr>
            <w:tcW w:w="4440" w:type="dxa"/>
            <w:vAlign w:val="bottom"/>
          </w:tcPr>
          <w:p>
            <w:pPr>
              <w:spacing w:after="0"/>
              <w:rPr>
                <w:sz w:val="11"/>
                <w:szCs w:val="11"/>
                <w:color w:val="auto"/>
              </w:rPr>
            </w:pPr>
          </w:p>
        </w:tc>
        <w:tc>
          <w:tcPr>
            <w:tcW w:w="800" w:type="dxa"/>
            <w:vAlign w:val="bottom"/>
            <w:gridSpan w:val="2"/>
          </w:tcPr>
          <w:p>
            <w:pPr>
              <w:jc w:val="right"/>
              <w:ind w:right="15"/>
              <w:spacing w:after="0" w:line="136" w:lineRule="exact"/>
              <w:rPr>
                <w:sz w:val="20"/>
                <w:szCs w:val="20"/>
                <w:color w:val="auto"/>
              </w:rPr>
            </w:pPr>
            <w:r>
              <w:rPr>
                <w:rFonts w:ascii="Arial" w:cs="Arial" w:eastAsia="Arial" w:hAnsi="Arial"/>
                <w:sz w:val="13"/>
                <w:szCs w:val="13"/>
                <w:b w:val="1"/>
                <w:bCs w:val="1"/>
                <w:color w:val="auto"/>
                <w:w w:val="98"/>
              </w:rPr>
              <w:t>(unaudited)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3"/>
          </w:tcPr>
          <w:p>
            <w:pPr>
              <w:jc w:val="center"/>
              <w:ind w:left="315"/>
              <w:spacing w:after="0" w:line="136" w:lineRule="exact"/>
              <w:rPr>
                <w:sz w:val="20"/>
                <w:szCs w:val="20"/>
                <w:color w:val="auto"/>
              </w:rPr>
            </w:pPr>
            <w:r>
              <w:rPr>
                <w:rFonts w:ascii="Arial" w:cs="Arial" w:eastAsia="Arial" w:hAnsi="Arial"/>
                <w:sz w:val="13"/>
                <w:szCs w:val="13"/>
                <w:b w:val="1"/>
                <w:bCs w:val="1"/>
                <w:color w:val="auto"/>
                <w:w w:val="90"/>
              </w:rPr>
              <w:t>(unaudited)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2"/>
        </w:trPr>
        <w:tc>
          <w:tcPr>
            <w:tcW w:w="444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Cost of services</w:t>
            </w:r>
          </w:p>
        </w:tc>
        <w:tc>
          <w:tcPr>
            <w:tcW w:w="580" w:type="dxa"/>
            <w:vAlign w:val="bottom"/>
            <w:shd w:val="clear" w:color="auto" w:fill="CCEEFF"/>
          </w:tcPr>
          <w:p>
            <w:pPr>
              <w:jc w:val="right"/>
              <w:ind w:right="463"/>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26</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96</w:t>
            </w:r>
          </w:p>
        </w:tc>
        <w:tc>
          <w:tcPr>
            <w:tcW w:w="180" w:type="dxa"/>
            <w:vAlign w:val="bottom"/>
            <w:shd w:val="clear" w:color="auto" w:fill="CCEEFF"/>
          </w:tcPr>
          <w:p>
            <w:pPr>
              <w:jc w:val="right"/>
              <w:ind w:right="35"/>
              <w:spacing w:after="0" w:line="143"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38</w:t>
            </w:r>
          </w:p>
        </w:tc>
        <w:tc>
          <w:tcPr>
            <w:tcW w:w="260" w:type="dxa"/>
            <w:vAlign w:val="bottom"/>
            <w:shd w:val="clear" w:color="auto" w:fill="CCEEFF"/>
          </w:tcPr>
          <w:p>
            <w:pPr>
              <w:jc w:val="right"/>
              <w:ind w:right="115"/>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125</w:t>
            </w:r>
          </w:p>
        </w:tc>
      </w:tr>
      <w:tr>
        <w:trPr>
          <w:trHeight w:val="142"/>
        </w:trPr>
        <w:tc>
          <w:tcPr>
            <w:tcW w:w="4440" w:type="dxa"/>
            <w:vAlign w:val="bottom"/>
          </w:tcPr>
          <w:p>
            <w:pPr>
              <w:ind w:left="260"/>
              <w:spacing w:after="0" w:line="143" w:lineRule="exact"/>
              <w:rPr>
                <w:sz w:val="20"/>
                <w:szCs w:val="20"/>
                <w:color w:val="auto"/>
              </w:rPr>
            </w:pPr>
            <w:r>
              <w:rPr>
                <w:rFonts w:ascii="Arial" w:cs="Arial" w:eastAsia="Arial" w:hAnsi="Arial"/>
                <w:sz w:val="13"/>
                <w:szCs w:val="13"/>
                <w:color w:val="auto"/>
              </w:rPr>
              <w:t>Selling and marketing</w:t>
            </w:r>
          </w:p>
        </w:tc>
        <w:tc>
          <w:tcPr>
            <w:tcW w:w="580" w:type="dxa"/>
            <w:vAlign w:val="bottom"/>
          </w:tcPr>
          <w:p>
            <w:pPr>
              <w:spacing w:after="0"/>
              <w:rPr>
                <w:sz w:val="12"/>
                <w:szCs w:val="12"/>
                <w:color w:val="auto"/>
              </w:rPr>
            </w:pPr>
          </w:p>
        </w:tc>
        <w:tc>
          <w:tcPr>
            <w:tcW w:w="24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w w:val="92"/>
              </w:rPr>
              <w:t>131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309</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366</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177</w:t>
            </w:r>
          </w:p>
        </w:tc>
        <w:tc>
          <w:tcPr>
            <w:tcW w:w="260" w:type="dxa"/>
            <w:vAlign w:val="bottom"/>
          </w:tcPr>
          <w:p>
            <w:pPr>
              <w:spacing w:after="0"/>
              <w:rPr>
                <w:sz w:val="12"/>
                <w:szCs w:val="12"/>
                <w:color w:val="auto"/>
              </w:rPr>
            </w:pP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261</w:t>
            </w:r>
          </w:p>
        </w:tc>
      </w:tr>
      <w:tr>
        <w:trPr>
          <w:trHeight w:val="142"/>
        </w:trPr>
        <w:tc>
          <w:tcPr>
            <w:tcW w:w="444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General and administrative</w:t>
            </w:r>
          </w:p>
        </w:tc>
        <w:tc>
          <w:tcPr>
            <w:tcW w:w="5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w w:val="92"/>
              </w:rPr>
              <w:t>593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1,224</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2,535</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1,293</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1,143</w:t>
            </w:r>
          </w:p>
        </w:tc>
      </w:tr>
      <w:tr>
        <w:trPr>
          <w:trHeight w:val="135"/>
        </w:trPr>
        <w:tc>
          <w:tcPr>
            <w:tcW w:w="4440" w:type="dxa"/>
            <w:vAlign w:val="bottom"/>
          </w:tcPr>
          <w:p>
            <w:pPr>
              <w:ind w:left="260"/>
              <w:spacing w:after="0" w:line="136" w:lineRule="exact"/>
              <w:rPr>
                <w:sz w:val="20"/>
                <w:szCs w:val="20"/>
                <w:color w:val="auto"/>
              </w:rPr>
            </w:pPr>
            <w:r>
              <w:rPr>
                <w:rFonts w:ascii="Arial" w:cs="Arial" w:eastAsia="Arial" w:hAnsi="Arial"/>
                <w:sz w:val="13"/>
                <w:szCs w:val="13"/>
                <w:color w:val="auto"/>
              </w:rPr>
              <w:t>Total stock-based compensation expense</w:t>
            </w:r>
          </w:p>
        </w:tc>
        <w:tc>
          <w:tcPr>
            <w:tcW w:w="5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92"/>
              </w:rPr>
              <w:t>728</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1,559</w:t>
            </w:r>
          </w:p>
        </w:tc>
        <w:tc>
          <w:tcPr>
            <w:tcW w:w="1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2,997</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5"/>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1,508</w:t>
            </w:r>
          </w:p>
        </w:tc>
        <w:tc>
          <w:tcPr>
            <w:tcW w:w="14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15"/>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1,529</w:t>
            </w:r>
          </w:p>
        </w:tc>
        <w:tc>
          <w:tcPr>
            <w:tcW w:w="160" w:type="dxa"/>
            <w:vAlign w:val="bottom"/>
          </w:tcPr>
          <w:p>
            <w:pPr>
              <w:spacing w:after="0"/>
              <w:rPr>
                <w:sz w:val="11"/>
                <w:szCs w:val="11"/>
                <w:color w:val="auto"/>
              </w:rPr>
            </w:pPr>
          </w:p>
        </w:tc>
      </w:tr>
      <w:tr>
        <w:trPr>
          <w:trHeight w:val="20"/>
        </w:trPr>
        <w:tc>
          <w:tcPr>
            <w:tcW w:w="4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60" w:hanging="514"/>
        <w:spacing w:after="0"/>
        <w:tabs>
          <w:tab w:leader="none" w:pos="16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See Note 6 to our consolidated financial statements included elsewhere in this prospectus for further information about a certain divestiture.</w:t>
      </w:r>
    </w:p>
    <w:p>
      <w:pPr>
        <w:spacing w:after="0" w:line="122" w:lineRule="exact"/>
        <w:rPr>
          <w:rFonts w:ascii="Arial" w:cs="Arial" w:eastAsia="Arial" w:hAnsi="Arial"/>
          <w:sz w:val="13"/>
          <w:szCs w:val="13"/>
          <w:color w:val="auto"/>
        </w:rPr>
      </w:pPr>
    </w:p>
    <w:p>
      <w:pPr>
        <w:ind w:left="1660" w:right="140" w:hanging="514"/>
        <w:spacing w:after="0" w:line="339" w:lineRule="auto"/>
        <w:tabs>
          <w:tab w:leader="none" w:pos="16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See Note 15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 average number of shares used in the computation of the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2080" w:type="dxa"/>
            <w:vAlign w:val="bottom"/>
            <w:gridSpan w:val="3"/>
          </w:tcPr>
          <w:p>
            <w:pPr>
              <w:jc w:val="center"/>
              <w:ind w:right="1380"/>
              <w:spacing w:after="0"/>
              <w:rPr>
                <w:sz w:val="20"/>
                <w:szCs w:val="20"/>
                <w:color w:val="auto"/>
              </w:rPr>
            </w:pPr>
            <w:r>
              <w:rPr>
                <w:rFonts w:ascii="Arial" w:cs="Arial" w:eastAsia="Arial" w:hAnsi="Arial"/>
                <w:sz w:val="13"/>
                <w:szCs w:val="13"/>
                <w:b w:val="1"/>
                <w:bCs w:val="1"/>
                <w:color w:val="auto"/>
                <w:w w:val="88"/>
              </w:rPr>
              <w:t>June 30,</w:t>
            </w:r>
          </w:p>
        </w:tc>
      </w:tr>
      <w:tr>
        <w:trPr>
          <w:trHeight w:val="135"/>
        </w:trPr>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1"/>
              <w:spacing w:after="0" w:line="136"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1"/>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3"/>
              <w:spacing w:after="0" w:line="136"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21"/>
              <w:spacing w:after="0" w:line="136"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23"/>
              <w:spacing w:after="0" w:line="136" w:lineRule="exact"/>
              <w:rPr>
                <w:sz w:val="20"/>
                <w:szCs w:val="20"/>
                <w:color w:val="auto"/>
              </w:rPr>
            </w:pPr>
            <w:r>
              <w:rPr>
                <w:rFonts w:ascii="Arial" w:cs="Arial" w:eastAsia="Arial" w:hAnsi="Arial"/>
                <w:sz w:val="13"/>
                <w:szCs w:val="13"/>
                <w:b w:val="1"/>
                <w:bCs w:val="1"/>
                <w:color w:val="auto"/>
                <w:w w:val="90"/>
              </w:rPr>
              <w:t>(unaudited)</w:t>
            </w:r>
          </w:p>
        </w:tc>
        <w:tc>
          <w:tcPr>
            <w:tcW w:w="1300" w:type="dxa"/>
            <w:vAlign w:val="bottom"/>
            <w:gridSpan w:val="2"/>
          </w:tcPr>
          <w:p>
            <w:pPr>
              <w:spacing w:after="0"/>
              <w:rPr>
                <w:sz w:val="11"/>
                <w:szCs w:val="11"/>
                <w:color w:val="auto"/>
              </w:rPr>
            </w:pPr>
          </w:p>
        </w:tc>
      </w:tr>
      <w:tr>
        <w:trPr>
          <w:trHeight w:val="207"/>
        </w:trPr>
        <w:tc>
          <w:tcPr>
            <w:tcW w:w="1140" w:type="dxa"/>
            <w:vAlign w:val="bottom"/>
          </w:tcPr>
          <w:p>
            <w:pPr>
              <w:spacing w:after="0"/>
              <w:rPr>
                <w:sz w:val="17"/>
                <w:szCs w:val="17"/>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1140" w:type="dxa"/>
            <w:vAlign w:val="bottom"/>
          </w:tcPr>
          <w:p>
            <w:pPr>
              <w:spacing w:after="0"/>
              <w:rPr>
                <w:sz w:val="17"/>
                <w:szCs w:val="17"/>
                <w:color w:val="auto"/>
              </w:rPr>
            </w:pPr>
          </w:p>
        </w:tc>
        <w:tc>
          <w:tcPr>
            <w:tcW w:w="422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3,011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4,691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298</w:t>
            </w:r>
          </w:p>
        </w:tc>
        <w:tc>
          <w:tcPr>
            <w:tcW w:w="1140" w:type="dxa"/>
            <w:vAlign w:val="bottom"/>
          </w:tcPr>
          <w:p>
            <w:pPr>
              <w:spacing w:after="0"/>
              <w:rPr>
                <w:sz w:val="17"/>
                <w:szCs w:val="17"/>
                <w:color w:val="auto"/>
              </w:rPr>
            </w:pPr>
          </w:p>
        </w:tc>
      </w:tr>
      <w:tr>
        <w:trPr>
          <w:trHeight w:val="207"/>
        </w:trPr>
        <w:tc>
          <w:tcPr>
            <w:tcW w:w="1140" w:type="dxa"/>
            <w:vAlign w:val="bottom"/>
          </w:tcPr>
          <w:p>
            <w:pPr>
              <w:spacing w:after="0"/>
              <w:rPr>
                <w:sz w:val="17"/>
                <w:szCs w:val="17"/>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32,159</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34,961</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41,324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63,082</w:t>
            </w:r>
          </w:p>
        </w:tc>
        <w:tc>
          <w:tcPr>
            <w:tcW w:w="1140" w:type="dxa"/>
            <w:vAlign w:val="bottom"/>
          </w:tcPr>
          <w:p>
            <w:pPr>
              <w:spacing w:after="0"/>
              <w:rPr>
                <w:sz w:val="17"/>
                <w:szCs w:val="17"/>
                <w:color w:val="auto"/>
              </w:rPr>
            </w:pPr>
          </w:p>
        </w:tc>
      </w:tr>
      <w:tr>
        <w:trPr>
          <w:trHeight w:val="246"/>
        </w:trPr>
        <w:tc>
          <w:tcPr>
            <w:tcW w:w="1140" w:type="dxa"/>
            <w:vAlign w:val="bottom"/>
          </w:tcPr>
          <w:p>
            <w:pPr>
              <w:spacing w:after="0"/>
              <w:rPr>
                <w:sz w:val="21"/>
                <w:szCs w:val="21"/>
                <w:color w:val="auto"/>
              </w:rPr>
            </w:pPr>
          </w:p>
        </w:tc>
        <w:tc>
          <w:tcPr>
            <w:tcW w:w="4220" w:type="dxa"/>
            <w:vAlign w:val="bottom"/>
            <w:gridSpan w:val="3"/>
          </w:tcPr>
          <w:p>
            <w:pPr>
              <w:spacing w:after="0" w:line="246" w:lineRule="exact"/>
              <w:rPr>
                <w:sz w:val="20"/>
                <w:szCs w:val="20"/>
                <w:color w:val="auto"/>
              </w:rPr>
            </w:pPr>
            <w:r>
              <w:rPr>
                <w:rFonts w:ascii="Arial" w:cs="Arial" w:eastAsia="Arial" w:hAnsi="Arial"/>
                <w:sz w:val="17"/>
                <w:szCs w:val="17"/>
                <w:color w:val="auto"/>
              </w:rPr>
              <w:t>Working capital</w:t>
            </w:r>
            <w:r>
              <w:rPr>
                <w:rFonts w:ascii="Arial" w:cs="Arial" w:eastAsia="Arial" w:hAnsi="Arial"/>
                <w:sz w:val="28"/>
                <w:szCs w:val="28"/>
                <w:color w:val="auto"/>
                <w:vertAlign w:val="superscript"/>
              </w:rPr>
              <w:t>(1)</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(2,386)</w:t>
            </w:r>
          </w:p>
        </w:tc>
        <w:tc>
          <w:tcPr>
            <w:tcW w:w="1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(5,665)</w:t>
            </w:r>
          </w:p>
        </w:tc>
        <w:tc>
          <w:tcPr>
            <w:tcW w:w="1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(547)</w:t>
            </w:r>
          </w:p>
        </w:tc>
        <w:tc>
          <w:tcPr>
            <w:tcW w:w="1140" w:type="dxa"/>
            <w:vAlign w:val="bottom"/>
          </w:tcPr>
          <w:p>
            <w:pPr>
              <w:spacing w:after="0"/>
              <w:rPr>
                <w:sz w:val="21"/>
                <w:szCs w:val="21"/>
                <w:color w:val="auto"/>
              </w:rPr>
            </w:pPr>
          </w:p>
        </w:tc>
      </w:tr>
      <w:tr>
        <w:trPr>
          <w:trHeight w:val="207"/>
        </w:trPr>
        <w:tc>
          <w:tcPr>
            <w:tcW w:w="1140" w:type="dxa"/>
            <w:vAlign w:val="bottom"/>
          </w:tcPr>
          <w:p>
            <w:pPr>
              <w:spacing w:after="0"/>
              <w:rPr>
                <w:sz w:val="17"/>
                <w:szCs w:val="17"/>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Convertible preferred stock warrant liability</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931</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1,645</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4,589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5,782</w:t>
            </w:r>
          </w:p>
        </w:tc>
        <w:tc>
          <w:tcPr>
            <w:tcW w:w="1140" w:type="dxa"/>
            <w:vAlign w:val="bottom"/>
          </w:tcPr>
          <w:p>
            <w:pPr>
              <w:spacing w:after="0"/>
              <w:rPr>
                <w:sz w:val="17"/>
                <w:szCs w:val="17"/>
                <w:color w:val="auto"/>
              </w:rPr>
            </w:pPr>
          </w:p>
        </w:tc>
      </w:tr>
      <w:tr>
        <w:trPr>
          <w:trHeight w:val="214"/>
        </w:trPr>
        <w:tc>
          <w:tcPr>
            <w:tcW w:w="114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7"/>
                <w:szCs w:val="17"/>
                <w:color w:val="auto"/>
              </w:rPr>
              <w:t>Total stockholders' deficit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(85,742)</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(97,622)</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(95,115)</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(89,514)</w:t>
            </w:r>
          </w:p>
        </w:tc>
        <w:tc>
          <w:tcPr>
            <w:tcW w:w="1140" w:type="dxa"/>
            <w:vAlign w:val="bottom"/>
          </w:tcPr>
          <w:p>
            <w:pPr>
              <w:spacing w:after="0"/>
              <w:rPr>
                <w:sz w:val="18"/>
                <w:szCs w:val="18"/>
                <w:color w:val="auto"/>
              </w:rPr>
            </w:pPr>
          </w:p>
        </w:tc>
      </w:tr>
      <w:tr>
        <w:trPr>
          <w:trHeight w:val="97"/>
        </w:trPr>
        <w:tc>
          <w:tcPr>
            <w:tcW w:w="11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354"/>
        </w:trPr>
        <w:tc>
          <w:tcPr>
            <w:tcW w:w="1480" w:type="dxa"/>
            <w:vAlign w:val="bottom"/>
            <w:gridSpan w:val="2"/>
          </w:tcPr>
          <w:p>
            <w:pPr>
              <w:ind w:left="1140"/>
              <w:spacing w:after="0"/>
              <w:rPr>
                <w:sz w:val="20"/>
                <w:szCs w:val="20"/>
                <w:color w:val="auto"/>
              </w:rPr>
            </w:pPr>
            <w:r>
              <w:rPr>
                <w:rFonts w:ascii="Arial" w:cs="Arial" w:eastAsia="Arial" w:hAnsi="Arial"/>
                <w:sz w:val="13"/>
                <w:szCs w:val="13"/>
                <w:color w:val="auto"/>
              </w:rPr>
              <w:t>(1)</w:t>
            </w:r>
          </w:p>
        </w:tc>
        <w:tc>
          <w:tcPr>
            <w:tcW w:w="3880" w:type="dxa"/>
            <w:vAlign w:val="bottom"/>
            <w:gridSpan w:val="2"/>
          </w:tcPr>
          <w:p>
            <w:pPr>
              <w:ind w:left="180"/>
              <w:spacing w:after="0"/>
              <w:rPr>
                <w:sz w:val="20"/>
                <w:szCs w:val="20"/>
                <w:color w:val="auto"/>
              </w:rPr>
            </w:pPr>
            <w:r>
              <w:rPr>
                <w:rFonts w:ascii="Arial" w:cs="Arial" w:eastAsia="Arial" w:hAnsi="Arial"/>
                <w:sz w:val="13"/>
                <w:szCs w:val="13"/>
                <w:color w:val="auto"/>
                <w:w w:val="97"/>
              </w:rPr>
              <w:t>Working capital is defined as current assets less current liabilities.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7"/>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jc w:val="right"/>
              <w:ind w:right="476"/>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11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2" w:lineRule="exact"/>
        <w:rPr>
          <w:sz w:val="20"/>
          <w:szCs w:val="20"/>
          <w:color w:val="auto"/>
        </w:rPr>
      </w:pPr>
    </w:p>
    <w:p>
      <w:pPr>
        <w:ind w:right="180" w:firstLine="336"/>
        <w:spacing w:after="0" w:line="25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Consolidated Financial Data" and the consolidated financial statements and related notes included elsewhere in this prospectus. Some of the information contained in this discussion and analysis, including information with respect to our plans and strategy for growing our business,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2" w:lineRule="exact"/>
        <w:rPr>
          <w:sz w:val="20"/>
          <w:szCs w:val="20"/>
          <w:color w:val="auto"/>
        </w:rPr>
      </w:pPr>
    </w:p>
    <w:p>
      <w:pPr>
        <w:ind w:right="360" w:firstLine="333"/>
        <w:spacing w:after="0" w:line="289" w:lineRule="auto"/>
        <w:rPr>
          <w:sz w:val="20"/>
          <w:szCs w:val="20"/>
          <w:color w:val="auto"/>
        </w:rPr>
      </w:pPr>
      <w:r>
        <w:rPr>
          <w:rFonts w:ascii="Arial" w:cs="Arial" w:eastAsia="Arial" w:hAnsi="Arial"/>
          <w:sz w:val="16"/>
          <w:szCs w:val="16"/>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63" w:lineRule="exact"/>
        <w:rPr>
          <w:sz w:val="20"/>
          <w:szCs w:val="20"/>
          <w:color w:val="auto"/>
        </w:rPr>
      </w:pPr>
    </w:p>
    <w:p>
      <w:pPr>
        <w:ind w:right="60" w:firstLine="336"/>
        <w:spacing w:after="0" w:line="276" w:lineRule="auto"/>
        <w:rPr>
          <w:sz w:val="20"/>
          <w:szCs w:val="20"/>
          <w:color w:val="auto"/>
        </w:rPr>
      </w:pPr>
      <w:r>
        <w:rPr>
          <w:rFonts w:ascii="Arial" w:cs="Arial" w:eastAsia="Arial" w:hAnsi="Arial"/>
          <w:sz w:val="16"/>
          <w:szCs w:val="16"/>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 over 80. We currently provide coverage to approximately 1.4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most recent industry-leading Net Promoter Score, or NPS, of +71 for our fertility benefits solution and +86 for our integrated pharmacy benefits solution, Progyny Rx.</w:t>
      </w:r>
    </w:p>
    <w:p>
      <w:pPr>
        <w:spacing w:after="0" w:line="175" w:lineRule="exact"/>
        <w:rPr>
          <w:sz w:val="20"/>
          <w:szCs w:val="20"/>
          <w:color w:val="auto"/>
        </w:rPr>
      </w:pPr>
    </w:p>
    <w:p>
      <w:pPr>
        <w:ind w:firstLine="336"/>
        <w:spacing w:after="0" w:line="256" w:lineRule="auto"/>
        <w:rPr>
          <w:sz w:val="20"/>
          <w:szCs w:val="20"/>
          <w:color w:val="auto"/>
        </w:rPr>
      </w:pPr>
      <w:r>
        <w:rPr>
          <w:rFonts w:ascii="Arial" w:cs="Arial" w:eastAsia="Arial" w:hAnsi="Arial"/>
          <w:sz w:val="17"/>
          <w:szCs w:val="17"/>
          <w:b w:val="1"/>
          <w:bCs w:val="1"/>
          <w:i w:val="1"/>
          <w:iCs w:val="1"/>
          <w:color w:val="auto"/>
        </w:rPr>
        <w:t xml:space="preserve">Fertility Benefits Solution. </w:t>
      </w:r>
      <w:r>
        <w:rPr>
          <w:rFonts w:ascii="Arial" w:cs="Arial" w:eastAsia="Arial" w:hAnsi="Arial"/>
          <w:sz w:val="17"/>
          <w:szCs w:val="17"/>
          <w:color w:val="auto"/>
        </w:rPr>
        <w:t>Our fertility benefits solution includes providing members with access to effective and cost-efficient fertility treatments through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(e.g., in the case of in vitro fertilization, or IVF, preimplantation genetic testing). We currently offer 17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93" w:lineRule="exact"/>
        <w:rPr>
          <w:sz w:val="20"/>
          <w:szCs w:val="20"/>
          <w:color w:val="auto"/>
        </w:rPr>
      </w:pPr>
    </w:p>
    <w:p>
      <w:pPr>
        <w:ind w:right="200" w:firstLine="336"/>
        <w:spacing w:after="0" w:line="261"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00" w:firstLine="336"/>
        <w:spacing w:after="0" w:line="282" w:lineRule="auto"/>
        <w:rPr>
          <w:sz w:val="20"/>
          <w:szCs w:val="20"/>
          <w:color w:val="auto"/>
        </w:rPr>
      </w:pPr>
      <w:r>
        <w:rPr>
          <w:rFonts w:ascii="Arial" w:cs="Arial" w:eastAsia="Arial" w:hAnsi="Arial"/>
          <w:sz w:val="16"/>
          <w:szCs w:val="16"/>
          <w:b w:val="1"/>
          <w:bCs w:val="1"/>
          <w:i w:val="1"/>
          <w:iCs w:val="1"/>
          <w:color w:val="auto"/>
        </w:rPr>
        <w:t xml:space="preserve">Progyny Rx. </w:t>
      </w:r>
      <w:r>
        <w:rPr>
          <w:rFonts w:ascii="Arial" w:cs="Arial" w:eastAsia="Arial" w:hAnsi="Arial"/>
          <w:sz w:val="16"/>
          <w:szCs w:val="16"/>
          <w:color w:val="auto"/>
        </w:rPr>
        <w:t>We went live with our integrated pharmacy benefits solution in 2018. Progyny Rx can only be purchased by clients that purchase our fertility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0" w:lineRule="exact"/>
        <w:rPr>
          <w:sz w:val="20"/>
          <w:szCs w:val="20"/>
          <w:color w:val="auto"/>
        </w:rPr>
      </w:pPr>
    </w:p>
    <w:p>
      <w:pPr>
        <w:jc w:val="both"/>
        <w:ind w:right="220" w:firstLine="333"/>
        <w:spacing w:after="0" w:line="265" w:lineRule="auto"/>
        <w:rPr>
          <w:sz w:val="20"/>
          <w:szCs w:val="20"/>
          <w:color w:val="auto"/>
        </w:rPr>
      </w:pPr>
      <w:r>
        <w:rPr>
          <w:rFonts w:ascii="Arial" w:cs="Arial" w:eastAsia="Arial" w:hAnsi="Arial"/>
          <w:sz w:val="17"/>
          <w:szCs w:val="17"/>
          <w:color w:val="auto"/>
        </w:rPr>
        <w:t>We currently serve over 80 self-insured employers in the United States across more than 20 industries, including three of the top ten Fortune 500 companies. Our current clients, who are industry leaders across both high-growth and mature industries and who range in size from 1,000 to 250,000 employees, represent 1.4 million covered lives.</w:t>
      </w:r>
    </w:p>
    <w:p>
      <w:pPr>
        <w:spacing w:after="0" w:line="180" w:lineRule="exact"/>
        <w:rPr>
          <w:sz w:val="20"/>
          <w:szCs w:val="20"/>
          <w:color w:val="auto"/>
        </w:rPr>
      </w:pPr>
    </w:p>
    <w:p>
      <w:pPr>
        <w:ind w:right="60" w:firstLine="333"/>
        <w:spacing w:after="0" w:line="302" w:lineRule="auto"/>
        <w:rPr>
          <w:sz w:val="20"/>
          <w:szCs w:val="20"/>
          <w:color w:val="auto"/>
        </w:rPr>
      </w:pPr>
      <w:r>
        <w:rPr>
          <w:rFonts w:ascii="Arial" w:cs="Arial" w:eastAsia="Arial" w:hAnsi="Arial"/>
          <w:sz w:val="15"/>
          <w:szCs w:val="15"/>
          <w:color w:val="auto"/>
        </w:rPr>
        <w:t>We sell our solutions through our in-house sales organization and, in many cases, we leverage our relationships with top benefits consultants to establish relationships with potential clients. Our sales team has broad experience in health benefits management and extensive long-term relationships with industry participants and benefits executives at large employers. Our sales team is organized principally by geography and account size and is responsible for identifying potential clients and managing the overall sales process. The success and effectiveness of our sales team is evidenced by the over 50 new clients that added our fertility benefits solution in 2019, and the fact that approximately 65% of our current clients terminated their existing fertility coverage with their conventional carrier to switch to Progyny.</w:t>
      </w:r>
    </w:p>
    <w:p>
      <w:pPr>
        <w:spacing w:after="0" w:line="156" w:lineRule="exact"/>
        <w:rPr>
          <w:sz w:val="20"/>
          <w:szCs w:val="20"/>
          <w:color w:val="auto"/>
        </w:rPr>
      </w:pPr>
    </w:p>
    <w:p>
      <w:pPr>
        <w:ind w:right="80" w:firstLine="336"/>
        <w:spacing w:after="0" w:line="259" w:lineRule="auto"/>
        <w:rPr>
          <w:sz w:val="20"/>
          <w:szCs w:val="20"/>
          <w:color w:val="auto"/>
        </w:rPr>
      </w:pPr>
      <w:r>
        <w:rPr>
          <w:rFonts w:ascii="Arial" w:cs="Arial" w:eastAsia="Arial" w:hAnsi="Arial"/>
          <w:sz w:val="17"/>
          <w:szCs w:val="17"/>
          <w:color w:val="auto"/>
        </w:rPr>
        <w:t>In addition to bringing on new clients, we have been able to grow our revenue by increasing services bought by existing clients. We are able to expand our services to existing clients in several ways, including by adding our Progyny Rx solution or by increasing the number of Smart Cycles provided to members. As part of our fertility benefits solution, we provide a dedicated account management team to each of our clients to support their day-to-day needs, resolve issues as they arise and review with them the detailed quarterly and annual reporting that we provide. Through these teams we are able to understand and anticipate our clients' needs and drive awareness of our solutions within our existing clients.</w:t>
      </w:r>
    </w:p>
    <w:p>
      <w:pPr>
        <w:spacing w:after="0" w:line="187" w:lineRule="exact"/>
        <w:rPr>
          <w:sz w:val="20"/>
          <w:szCs w:val="20"/>
          <w:color w:val="auto"/>
        </w:rPr>
      </w:pPr>
    </w:p>
    <w:p>
      <w:pPr>
        <w:ind w:firstLine="336"/>
        <w:spacing w:after="0" w:line="294" w:lineRule="auto"/>
        <w:rPr>
          <w:sz w:val="20"/>
          <w:szCs w:val="20"/>
          <w:color w:val="auto"/>
        </w:rPr>
      </w:pPr>
      <w:r>
        <w:rPr>
          <w:rFonts w:ascii="Arial" w:cs="Arial" w:eastAsia="Arial" w:hAnsi="Arial"/>
          <w:sz w:val="15"/>
          <w:szCs w:val="15"/>
          <w:color w:val="auto"/>
        </w:rPr>
        <w:t>Our revenue was $48.6 million and $105.4 million for the years ended December 31, 2017 and 2018, respectively, representing year-over-year growth of 117%. Our revenue was $48.4 million and $103.4 million for the six months ended June 30, 2018 and 2019, respectively, representing period-over-period growth of 113%. Our net loss from continuing operations was $(12.5) million and $(5.1) million for the years ended December 31, 2017 and 2018, respectively. Our net (loss) income from continuing operations was $(2.4) million and $4.0 million for the six months ended June 30, 2018 and 2019, respectively. Our Adjusted EBITDA was $(7.9) million and $1.4 million for the years ended December 31, 2017 and 2018, respectively. Our Adjusted EBITDA was $0.3 million and $8.9 million for the six months ended June 30, 2018 and 2019, respectively. See the section titled "Prospectus Summary—Summary Consolidated Financial Data—Non-GAAP Financial Measure—Adjusted EBITDA" for the definition of Adjusted EBITDA as well as a reconciliation of Adjusted EBITDA to net (loss) income from continuing operations. Our fertility benefits solution represented 100% and 95% of our total revenue for the years ended December 31, 2017 and 2018, respectively, and 94% and 83% of total revenue for the six months ended June 30, 2018 and 2019, respectively. Our Progyny Rx solution, which went live in 2018, represented 5% of our total revenue for the year ended December 31, 2018 and 6% and 17% of total revenue for the six months ended June 30, 2018 and 2019,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Visibility and Revenue Model</w:t>
      </w:r>
    </w:p>
    <w:p>
      <w:pPr>
        <w:spacing w:after="0" w:line="222" w:lineRule="exact"/>
        <w:rPr>
          <w:sz w:val="20"/>
          <w:szCs w:val="20"/>
          <w:color w:val="auto"/>
        </w:rPr>
      </w:pPr>
    </w:p>
    <w:p>
      <w:pPr>
        <w:ind w:right="400" w:firstLine="333"/>
        <w:spacing w:after="0" w:line="276" w:lineRule="auto"/>
        <w:rPr>
          <w:sz w:val="20"/>
          <w:szCs w:val="20"/>
          <w:color w:val="auto"/>
        </w:rPr>
      </w:pPr>
      <w:r>
        <w:rPr>
          <w:rFonts w:ascii="Arial" w:cs="Arial" w:eastAsia="Arial" w:hAnsi="Arial"/>
          <w:sz w:val="17"/>
          <w:szCs w:val="17"/>
          <w:color w:val="auto"/>
        </w:rPr>
        <w:t>We believe we have an attractive investment profile given the visibility and predictability of our revenue model and our ability to retain substantially all of our clients since we launched our fertility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benefits solution in 2016. Our clients primarily contract with us to provide our fertility benefits solution and, where added on by our clients, our Progyny Rx solution.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Our revenue has both a utilization-based component and a population-based component, as follows:</w:t>
      </w:r>
    </w:p>
    <w:p>
      <w:pPr>
        <w:spacing w:after="0" w:line="224" w:lineRule="exact"/>
        <w:rPr>
          <w:sz w:val="20"/>
          <w:szCs w:val="20"/>
          <w:color w:val="auto"/>
        </w:rPr>
      </w:pPr>
    </w:p>
    <w:p>
      <w:pPr>
        <w:ind w:left="1040" w:hanging="519"/>
        <w:spacing w:after="0" w:line="25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Utilization Component. </w:t>
      </w:r>
      <w:r>
        <w:rPr>
          <w:rFonts w:ascii="Arial" w:cs="Arial" w:eastAsia="Arial" w:hAnsi="Arial"/>
          <w:sz w:val="17"/>
          <w:szCs w:val="17"/>
          <w:color w:val="auto"/>
        </w:rPr>
        <w:t>Clients pay us for the fertility benefits and Progyny Rx solutions utilized by their employees. With respect to the fertility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213" w:lineRule="exact"/>
        <w:rPr>
          <w:rFonts w:ascii="Arial" w:cs="Arial" w:eastAsia="Arial" w:hAnsi="Arial"/>
          <w:sz w:val="17"/>
          <w:szCs w:val="17"/>
          <w:color w:val="auto"/>
        </w:rPr>
      </w:pPr>
    </w:p>
    <w:p>
      <w:pPr>
        <w:ind w:left="1040" w:right="20" w:hanging="519"/>
        <w:spacing w:after="0" w:line="282" w:lineRule="auto"/>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Population-Based Component. </w:t>
      </w:r>
      <w:r>
        <w:rPr>
          <w:rFonts w:ascii="Arial" w:cs="Arial" w:eastAsia="Arial" w:hAnsi="Arial"/>
          <w:sz w:val="16"/>
          <w:szCs w:val="16"/>
          <w:color w:val="auto"/>
        </w:rPr>
        <w:t>Clients who purchase our fertility benefits solution also typically pay us a per employee per month fee, or PEPM fee,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is population-based. This allows us to provide access to our PCAs for fertility and family building education and guidance and other digital tools to all of our members, regardless of whether they ultimately pursue fertility treatment. PEPM fees represented 0% and 1% of our total revenue for the years ended December 31, 2017 and 2018 and 1% for each of the six months ended June 30, 2018 and 2019.</w:t>
      </w:r>
    </w:p>
    <w:p>
      <w:pPr>
        <w:spacing w:after="0" w:line="170" w:lineRule="exact"/>
        <w:rPr>
          <w:sz w:val="20"/>
          <w:szCs w:val="20"/>
          <w:color w:val="auto"/>
        </w:rPr>
      </w:pPr>
    </w:p>
    <w:p>
      <w:pPr>
        <w:ind w:right="20" w:firstLine="336"/>
        <w:spacing w:after="0" w:line="299" w:lineRule="auto"/>
        <w:rPr>
          <w:sz w:val="20"/>
          <w:szCs w:val="20"/>
          <w:color w:val="auto"/>
        </w:rPr>
      </w:pPr>
      <w:r>
        <w:rPr>
          <w:rFonts w:ascii="Arial" w:cs="Arial" w:eastAsia="Arial" w:hAnsi="Arial"/>
          <w:sz w:val="15"/>
          <w:szCs w:val="15"/>
          <w:color w:val="auto"/>
        </w:rPr>
        <w:t>Our revenue in a given year is determined by both the utilization of our fertility benefits and Progyny Rx solutions by our members and the number of members enrolled in our clients' benefits plans. Each year, we contract directly with new clients for our fertility benefits solution and, where added by the client, our Progyny Rx solution. Given that the majority of our clients contract with us for a January 1st benefits plan start date, our sales cycle follows the conventional healthcare benefits cycle, which concludes by the end of October of the prior year to allow for benefits education and annual open enrollment to occur in November. As a result, our revenue model provides visibility into our financial performance for the following year once contracts are agreed upon. Revenue forecasting for the next year is determined by the number of members enrolled and the estimated utilization, based on our historical experience, of fertility treatments and fertility medications.</w:t>
      </w:r>
    </w:p>
    <w:p>
      <w:pPr>
        <w:spacing w:after="0" w:line="159" w:lineRule="exact"/>
        <w:rPr>
          <w:sz w:val="20"/>
          <w:szCs w:val="20"/>
          <w:color w:val="auto"/>
        </w:rPr>
      </w:pPr>
    </w:p>
    <w:p>
      <w:pPr>
        <w:ind w:right="340" w:firstLine="336"/>
        <w:spacing w:after="0" w:line="261" w:lineRule="auto"/>
        <w:rPr>
          <w:sz w:val="20"/>
          <w:szCs w:val="20"/>
          <w:color w:val="auto"/>
        </w:rPr>
      </w:pPr>
      <w:r>
        <w:rPr>
          <w:rFonts w:ascii="Arial" w:cs="Arial" w:eastAsia="Arial" w:hAnsi="Arial"/>
          <w:sz w:val="17"/>
          <w:szCs w:val="17"/>
          <w:color w:val="auto"/>
        </w:rPr>
        <w:t>Similarly, for existing clients, any changes in plan designs are typically elected by the end of October so that clients can inform their employees of the benefits during the open enrollment period ahead of a January 1st plan year start. This timeline, together with existing hiring trends and information provided by any client regarding their employee hiring plans, provides us visibility into the level of benefits to be provided for the upcoming plan year and an estimated number of enrolled members.</w:t>
      </w:r>
    </w:p>
    <w:p>
      <w:pPr>
        <w:spacing w:after="0" w:line="184" w:lineRule="exact"/>
        <w:rPr>
          <w:sz w:val="20"/>
          <w:szCs w:val="20"/>
          <w:color w:val="auto"/>
        </w:rPr>
      </w:pPr>
    </w:p>
    <w:p>
      <w:pPr>
        <w:ind w:right="80" w:firstLine="336"/>
        <w:spacing w:after="0" w:line="282" w:lineRule="auto"/>
        <w:rPr>
          <w:sz w:val="20"/>
          <w:szCs w:val="20"/>
          <w:color w:val="auto"/>
        </w:rPr>
      </w:pPr>
      <w:r>
        <w:rPr>
          <w:rFonts w:ascii="Arial" w:cs="Arial" w:eastAsia="Arial" w:hAnsi="Arial"/>
          <w:sz w:val="16"/>
          <w:szCs w:val="16"/>
          <w:color w:val="auto"/>
        </w:rPr>
        <w:t>Given the scale and geographical distribution of our members and the historical utilization of our services by those members, the utilization of our fertility benefits and Progyny Rx solutions has become relatively predictable for our existing clients. Likewise, the utilization rate for new clients as a whole has become relatively predictable based on the historical utilization of our members across our broader existing client base. Finally, it has been our experience that utilization patterns from the early months of the plan year are a reliable indicator of utilization for the remainder of the year on a client-by-client basis.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222" w:lineRule="exact"/>
        <w:rPr>
          <w:sz w:val="20"/>
          <w:szCs w:val="20"/>
          <w:color w:val="auto"/>
        </w:rPr>
      </w:pPr>
    </w:p>
    <w:p>
      <w:pPr>
        <w:ind w:right="60" w:firstLine="336"/>
        <w:spacing w:after="0" w:line="259" w:lineRule="auto"/>
        <w:rPr>
          <w:sz w:val="20"/>
          <w:szCs w:val="20"/>
          <w:color w:val="auto"/>
        </w:rPr>
      </w:pPr>
      <w:r>
        <w:rPr>
          <w:rFonts w:ascii="Arial" w:cs="Arial" w:eastAsia="Arial" w:hAnsi="Arial"/>
          <w:sz w:val="17"/>
          <w:szCs w:val="17"/>
          <w:b w:val="1"/>
          <w:bCs w:val="1"/>
          <w:i w:val="1"/>
          <w:iCs w:val="1"/>
          <w:color w:val="auto"/>
        </w:rPr>
        <w:t xml:space="preserve">Expanding Our Client Base. </w:t>
      </w:r>
      <w:r>
        <w:rPr>
          <w:rFonts w:ascii="Arial" w:cs="Arial" w:eastAsia="Arial" w:hAnsi="Arial"/>
          <w:sz w:val="17"/>
          <w:szCs w:val="17"/>
          <w:color w:val="auto"/>
        </w:rPr>
        <w:t>We believe there is substantial opportunity to continue to grow our revenue through sales to new clients. Our addressable market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 self-insured employers. There are approximately 8,000 self-insured employers in the United States (excluding quasi-governmental entities, such as universities and school systems, and labor unions) who have a minimum of 1,000 employees, representing approximately 69 million potential covered lives in total. Our current member base of 1.4 million represents only 2% of our total market opportunity. We intend to continue to drive new client acquisition by investing significantly in sales and marketing to engage, educate and drive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awareness of the unmet need around fertility solutions among benefits executives. We also increase brand awareness and adoption with self-insured employers by leveraging our strong relationships with benefits consultants. In particular, we are focused on expanding the number of clients with more than 2,500 covered lives. The following table highlights the number of active clients and covered lives as of the end of the respective periods.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3"/>
                <w:szCs w:val="13"/>
                <w:b w:val="1"/>
                <w:bCs w:val="1"/>
                <w:color w:val="auto"/>
              </w:rPr>
              <w:t>As of June 30,</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vMerge w:val="restart"/>
          </w:tcPr>
          <w:p>
            <w:pPr>
              <w:spacing w:after="0"/>
              <w:rPr>
                <w:sz w:val="20"/>
                <w:szCs w:val="20"/>
                <w:color w:val="auto"/>
              </w:rPr>
            </w:pPr>
            <w:r>
              <w:rPr>
                <w:rFonts w:ascii="Arial" w:cs="Arial" w:eastAsia="Arial" w:hAnsi="Arial"/>
                <w:sz w:val="13"/>
                <w:szCs w:val="13"/>
                <w:b w:val="1"/>
                <w:bCs w:val="1"/>
                <w:color w:val="auto"/>
                <w:w w:val="93"/>
              </w:rPr>
              <w:t>Client Tier (Members)</w:t>
            </w:r>
          </w:p>
        </w:tc>
        <w:tc>
          <w:tcPr>
            <w:tcW w:w="1500" w:type="dxa"/>
            <w:vAlign w:val="bottom"/>
            <w:vMerge w:val="restart"/>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475"/>
              <w:spacing w:after="0" w:line="136" w:lineRule="exact"/>
              <w:rPr>
                <w:sz w:val="20"/>
                <w:szCs w:val="20"/>
                <w:color w:val="auto"/>
              </w:rPr>
            </w:pPr>
            <w:r>
              <w:rPr>
                <w:rFonts w:ascii="Arial" w:cs="Arial" w:eastAsia="Arial" w:hAnsi="Arial"/>
                <w:sz w:val="13"/>
                <w:szCs w:val="13"/>
                <w:b w:val="1"/>
                <w:bCs w:val="1"/>
                <w:color w:val="auto"/>
                <w:w w:val="82"/>
              </w:rPr>
              <w:t>2017</w:t>
            </w:r>
          </w:p>
        </w:tc>
        <w:tc>
          <w:tcPr>
            <w:tcW w:w="1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495"/>
              <w:spacing w:after="0" w:line="136" w:lineRule="exact"/>
              <w:rPr>
                <w:sz w:val="20"/>
                <w:szCs w:val="20"/>
                <w:color w:val="auto"/>
              </w:rPr>
            </w:pPr>
            <w:r>
              <w:rPr>
                <w:rFonts w:ascii="Arial" w:cs="Arial" w:eastAsia="Arial" w:hAnsi="Arial"/>
                <w:sz w:val="13"/>
                <w:szCs w:val="13"/>
                <w:b w:val="1"/>
                <w:bCs w:val="1"/>
                <w:color w:val="auto"/>
                <w:w w:val="82"/>
              </w:rPr>
              <w:t>2018</w:t>
            </w:r>
          </w:p>
        </w:tc>
        <w:tc>
          <w:tcPr>
            <w:tcW w:w="140" w:type="dxa"/>
            <w:vAlign w:val="bottom"/>
          </w:tcPr>
          <w:p>
            <w:pPr>
              <w:spacing w:after="0"/>
              <w:rPr>
                <w:sz w:val="11"/>
                <w:szCs w:val="11"/>
                <w:color w:val="auto"/>
              </w:rPr>
            </w:pPr>
          </w:p>
        </w:tc>
        <w:tc>
          <w:tcPr>
            <w:tcW w:w="90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615"/>
              <w:spacing w:after="0" w:line="136" w:lineRule="exact"/>
              <w:rPr>
                <w:sz w:val="20"/>
                <w:szCs w:val="20"/>
                <w:color w:val="auto"/>
              </w:rPr>
            </w:pPr>
            <w:r>
              <w:rPr>
                <w:rFonts w:ascii="Arial" w:cs="Arial" w:eastAsia="Arial" w:hAnsi="Arial"/>
                <w:sz w:val="13"/>
                <w:szCs w:val="13"/>
                <w:b w:val="1"/>
                <w:bCs w:val="1"/>
                <w:color w:val="auto"/>
                <w:w w:val="89"/>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Borders>
              <w:bottom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540" w:type="dxa"/>
            <w:vAlign w:val="bottom"/>
            <w:tcBorders>
              <w:bottom w:val="single" w:sz="8" w:color="auto"/>
            </w:tcBorders>
          </w:tcPr>
          <w:p>
            <w:pPr>
              <w:ind w:left="80"/>
              <w:spacing w:after="0" w:line="136" w:lineRule="exact"/>
              <w:rPr>
                <w:sz w:val="20"/>
                <w:szCs w:val="20"/>
                <w:color w:val="auto"/>
              </w:rPr>
            </w:pPr>
            <w:r>
              <w:rPr>
                <w:rFonts w:ascii="Arial" w:cs="Arial" w:eastAsia="Arial" w:hAnsi="Arial"/>
                <w:sz w:val="13"/>
                <w:szCs w:val="13"/>
                <w:b w:val="1"/>
                <w:bCs w:val="1"/>
                <w:color w:val="auto"/>
              </w:rPr>
              <w:t>Clients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Members</w:t>
            </w:r>
          </w:p>
        </w:tc>
        <w:tc>
          <w:tcPr>
            <w:tcW w:w="160" w:type="dxa"/>
            <w:vAlign w:val="bottom"/>
          </w:tcPr>
          <w:p>
            <w:pPr>
              <w:spacing w:after="0"/>
              <w:rPr>
                <w:sz w:val="11"/>
                <w:szCs w:val="11"/>
                <w:color w:val="auto"/>
              </w:rPr>
            </w:pPr>
          </w:p>
        </w:tc>
        <w:tc>
          <w:tcPr>
            <w:tcW w:w="5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Clients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ind w:right="15"/>
              <w:spacing w:after="0" w:line="136" w:lineRule="exact"/>
              <w:rPr>
                <w:sz w:val="20"/>
                <w:szCs w:val="20"/>
                <w:color w:val="auto"/>
              </w:rPr>
            </w:pPr>
            <w:r>
              <w:rPr>
                <w:rFonts w:ascii="Arial" w:cs="Arial" w:eastAsia="Arial" w:hAnsi="Arial"/>
                <w:sz w:val="13"/>
                <w:szCs w:val="13"/>
                <w:b w:val="1"/>
                <w:bCs w:val="1"/>
                <w:color w:val="auto"/>
              </w:rPr>
              <w:t>Members</w:t>
            </w:r>
          </w:p>
        </w:tc>
        <w:tc>
          <w:tcPr>
            <w:tcW w:w="140" w:type="dxa"/>
            <w:vAlign w:val="bottom"/>
          </w:tcPr>
          <w:p>
            <w:pPr>
              <w:spacing w:after="0"/>
              <w:rPr>
                <w:sz w:val="11"/>
                <w:szCs w:val="11"/>
                <w:color w:val="auto"/>
              </w:rPr>
            </w:pPr>
          </w:p>
        </w:tc>
        <w:tc>
          <w:tcPr>
            <w:tcW w:w="68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b w:val="1"/>
                <w:bCs w:val="1"/>
                <w:color w:val="auto"/>
              </w:rPr>
              <w:t>Clients</w:t>
            </w:r>
          </w:p>
        </w:tc>
        <w:tc>
          <w:tcPr>
            <w:tcW w:w="220" w:type="dxa"/>
            <w:vAlign w:val="bottom"/>
          </w:tcPr>
          <w:p>
            <w:pPr>
              <w:spacing w:after="0"/>
              <w:rPr>
                <w:sz w:val="11"/>
                <w:szCs w:val="11"/>
                <w:color w:val="auto"/>
              </w:rPr>
            </w:pPr>
          </w:p>
        </w:tc>
        <w:tc>
          <w:tcPr>
            <w:tcW w:w="600" w:type="dxa"/>
            <w:vAlign w:val="bottom"/>
            <w:tcBorders>
              <w:bottom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w w:val="98"/>
              </w:rPr>
              <w:t>Members</w:t>
            </w:r>
          </w:p>
        </w:tc>
        <w:tc>
          <w:tcPr>
            <w:tcW w:w="160" w:type="dxa"/>
            <w:vAlign w:val="bottom"/>
          </w:tcPr>
          <w:p>
            <w:pPr>
              <w:spacing w:after="0"/>
              <w:rPr>
                <w:sz w:val="11"/>
                <w:szCs w:val="11"/>
                <w:color w:val="auto"/>
              </w:rPr>
            </w:pPr>
          </w:p>
        </w:tc>
        <w:tc>
          <w:tcPr>
            <w:tcW w:w="680" w:type="dxa"/>
            <w:vAlign w:val="bottom"/>
            <w:tcBorders>
              <w:bottom w:val="single" w:sz="8" w:color="auto"/>
            </w:tcBorders>
          </w:tcPr>
          <w:p>
            <w:pPr>
              <w:jc w:val="right"/>
              <w:ind w:right="59"/>
              <w:spacing w:after="0" w:line="136" w:lineRule="exact"/>
              <w:rPr>
                <w:sz w:val="20"/>
                <w:szCs w:val="20"/>
                <w:color w:val="auto"/>
              </w:rPr>
            </w:pPr>
            <w:r>
              <w:rPr>
                <w:rFonts w:ascii="Arial" w:cs="Arial" w:eastAsia="Arial" w:hAnsi="Arial"/>
                <w:sz w:val="13"/>
                <w:szCs w:val="13"/>
                <w:b w:val="1"/>
                <w:bCs w:val="1"/>
                <w:color w:val="auto"/>
              </w:rPr>
              <w:t>Clients</w:t>
            </w:r>
          </w:p>
        </w:tc>
        <w:tc>
          <w:tcPr>
            <w:tcW w:w="160" w:type="dxa"/>
            <w:vAlign w:val="bottom"/>
          </w:tcPr>
          <w:p>
            <w:pPr>
              <w:spacing w:after="0"/>
              <w:rPr>
                <w:sz w:val="11"/>
                <w:szCs w:val="11"/>
                <w:color w:val="auto"/>
              </w:rPr>
            </w:pPr>
          </w:p>
        </w:tc>
        <w:tc>
          <w:tcPr>
            <w:tcW w:w="800" w:type="dxa"/>
            <w:vAlign w:val="bottom"/>
            <w:tcBorders>
              <w:bottom w:val="single" w:sz="8" w:color="auto"/>
            </w:tcBorders>
          </w:tcPr>
          <w:p>
            <w:pPr>
              <w:jc w:val="right"/>
              <w:ind w:right="75"/>
              <w:spacing w:after="0" w:line="136" w:lineRule="exact"/>
              <w:rPr>
                <w:sz w:val="20"/>
                <w:szCs w:val="20"/>
                <w:color w:val="auto"/>
              </w:rPr>
            </w:pPr>
            <w:r>
              <w:rPr>
                <w:rFonts w:ascii="Arial" w:cs="Arial" w:eastAsia="Arial" w:hAnsi="Arial"/>
                <w:sz w:val="13"/>
                <w:szCs w:val="13"/>
                <w:b w:val="1"/>
                <w:bCs w:val="1"/>
                <w:color w:val="auto"/>
              </w:rPr>
              <w:t>Members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Up to 2,500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7,400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10,800</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28,400</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20"/>
                <w:szCs w:val="20"/>
                <w:color w:val="auto"/>
              </w:rPr>
            </w:pPr>
            <w:r>
              <w:rPr>
                <w:rFonts w:ascii="Arial" w:cs="Arial" w:eastAsia="Arial" w:hAnsi="Arial"/>
                <w:sz w:val="17"/>
                <w:szCs w:val="17"/>
                <w:color w:val="auto"/>
              </w:rPr>
              <w:t>2,501 - 10,000</w:t>
            </w:r>
          </w:p>
        </w:tc>
        <w:tc>
          <w:tcPr>
            <w:tcW w:w="150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58,300</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98,300</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101,300</w:t>
            </w:r>
          </w:p>
        </w:tc>
        <w:tc>
          <w:tcPr>
            <w:tcW w:w="680" w:type="dxa"/>
            <w:vAlign w:val="bottom"/>
          </w:tcPr>
          <w:p>
            <w:pPr>
              <w:jc w:val="right"/>
              <w:spacing w:after="0"/>
              <w:rPr>
                <w:sz w:val="20"/>
                <w:szCs w:val="20"/>
                <w:color w:val="auto"/>
              </w:rPr>
            </w:pPr>
            <w:r>
              <w:rPr>
                <w:rFonts w:ascii="Arial" w:cs="Arial" w:eastAsia="Arial" w:hAnsi="Arial"/>
                <w:sz w:val="17"/>
                <w:szCs w:val="17"/>
                <w:color w:val="auto"/>
              </w:rPr>
              <w:t>42</w:t>
            </w:r>
          </w:p>
        </w:tc>
        <w:tc>
          <w:tcPr>
            <w:tcW w:w="1100" w:type="dxa"/>
            <w:vAlign w:val="bottom"/>
            <w:gridSpan w:val="3"/>
          </w:tcPr>
          <w:p>
            <w:pPr>
              <w:jc w:val="right"/>
              <w:ind w:right="140"/>
              <w:spacing w:after="0"/>
              <w:rPr>
                <w:sz w:val="20"/>
                <w:szCs w:val="20"/>
                <w:color w:val="auto"/>
              </w:rPr>
            </w:pPr>
            <w:r>
              <w:rPr>
                <w:rFonts w:ascii="Arial" w:cs="Arial" w:eastAsia="Arial" w:hAnsi="Arial"/>
                <w:sz w:val="17"/>
                <w:szCs w:val="17"/>
                <w:color w:val="auto"/>
              </w:rPr>
              <w:t>215,100</w:t>
            </w:r>
          </w:p>
        </w:tc>
        <w:tc>
          <w:tcPr>
            <w:tcW w:w="0" w:type="dxa"/>
            <w:vAlign w:val="bottom"/>
          </w:tcPr>
          <w:p>
            <w:pPr>
              <w:spacing w:after="0"/>
              <w:rPr>
                <w:sz w:val="1"/>
                <w:szCs w:val="1"/>
                <w:color w:val="auto"/>
              </w:rPr>
            </w:pPr>
          </w:p>
        </w:tc>
      </w:tr>
      <w:tr>
        <w:trPr>
          <w:trHeight w:val="207"/>
        </w:trPr>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10,001 - 50,000</w:t>
            </w:r>
          </w:p>
        </w:tc>
        <w:tc>
          <w:tcPr>
            <w:tcW w:w="15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92,800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180,700</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181,200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367,500</w:t>
            </w:r>
          </w:p>
        </w:tc>
        <w:tc>
          <w:tcPr>
            <w:tcW w:w="0" w:type="dxa"/>
            <w:vAlign w:val="bottom"/>
          </w:tcPr>
          <w:p>
            <w:pPr>
              <w:spacing w:after="0"/>
              <w:rPr>
                <w:sz w:val="1"/>
                <w:szCs w:val="1"/>
                <w:color w:val="auto"/>
              </w:rPr>
            </w:pPr>
          </w:p>
        </w:tc>
      </w:tr>
      <w:tr>
        <w:trPr>
          <w:trHeight w:val="207"/>
        </w:trPr>
        <w:tc>
          <w:tcPr>
            <w:tcW w:w="2760" w:type="dxa"/>
            <w:vAlign w:val="bottom"/>
            <w:gridSpan w:val="2"/>
          </w:tcPr>
          <w:p>
            <w:pPr>
              <w:spacing w:after="0"/>
              <w:rPr>
                <w:sz w:val="20"/>
                <w:szCs w:val="20"/>
                <w:color w:val="auto"/>
              </w:rPr>
            </w:pPr>
            <w:r>
              <w:rPr>
                <w:rFonts w:ascii="Arial" w:cs="Arial" w:eastAsia="Arial" w:hAnsi="Arial"/>
                <w:sz w:val="17"/>
                <w:szCs w:val="17"/>
                <w:color w:val="auto"/>
              </w:rPr>
              <w:t>Greater than 50,000</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75,500</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430,400</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419,600</w:t>
            </w:r>
          </w:p>
        </w:tc>
        <w:tc>
          <w:tcPr>
            <w:tcW w:w="680" w:type="dxa"/>
            <w:vAlign w:val="bottom"/>
          </w:tcPr>
          <w:p>
            <w:pPr>
              <w:jc w:val="right"/>
              <w:spacing w:after="0"/>
              <w:rPr>
                <w:sz w:val="20"/>
                <w:szCs w:val="20"/>
                <w:color w:val="auto"/>
              </w:rPr>
            </w:pPr>
            <w:r>
              <w:rPr>
                <w:rFonts w:ascii="Arial" w:cs="Arial" w:eastAsia="Arial" w:hAnsi="Arial"/>
                <w:sz w:val="17"/>
                <w:szCs w:val="17"/>
                <w:color w:val="auto"/>
              </w:rPr>
              <w:t>5</w:t>
            </w:r>
          </w:p>
        </w:tc>
        <w:tc>
          <w:tcPr>
            <w:tcW w:w="1100" w:type="dxa"/>
            <w:vAlign w:val="bottom"/>
            <w:gridSpan w:val="3"/>
          </w:tcPr>
          <w:p>
            <w:pPr>
              <w:jc w:val="right"/>
              <w:ind w:right="140"/>
              <w:spacing w:after="0"/>
              <w:rPr>
                <w:sz w:val="20"/>
                <w:szCs w:val="20"/>
                <w:color w:val="auto"/>
              </w:rPr>
            </w:pPr>
            <w:r>
              <w:rPr>
                <w:rFonts w:ascii="Arial" w:cs="Arial" w:eastAsia="Arial" w:hAnsi="Arial"/>
                <w:sz w:val="17"/>
                <w:szCs w:val="17"/>
                <w:color w:val="auto"/>
              </w:rPr>
              <w:t>710,600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18</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234,000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33</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720,200</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7"/>
              </w:rPr>
              <w:t>710,500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1,321,600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36"/>
        <w:spacing w:after="0" w:line="294" w:lineRule="auto"/>
        <w:rPr>
          <w:sz w:val="20"/>
          <w:szCs w:val="20"/>
          <w:color w:val="auto"/>
        </w:rPr>
      </w:pPr>
      <w:r>
        <w:rPr>
          <w:rFonts w:ascii="Arial" w:cs="Arial" w:eastAsia="Arial" w:hAnsi="Arial"/>
          <w:sz w:val="15"/>
          <w:szCs w:val="15"/>
          <w:color w:val="auto"/>
        </w:rPr>
        <w:t>Importantly, as we have continued to grow, we have meaningfully diversified our client base across more than 20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64" w:lineRule="exact"/>
        <w:rPr>
          <w:sz w:val="20"/>
          <w:szCs w:val="20"/>
          <w:color w:val="auto"/>
        </w:rPr>
      </w:pPr>
    </w:p>
    <w:p>
      <w:pPr>
        <w:jc w:val="both"/>
        <w:ind w:right="300" w:firstLine="336"/>
        <w:spacing w:after="0" w:line="265" w:lineRule="auto"/>
        <w:rPr>
          <w:sz w:val="20"/>
          <w:szCs w:val="20"/>
          <w:color w:val="auto"/>
        </w:rPr>
      </w:pPr>
      <w:r>
        <w:rPr>
          <w:rFonts w:ascii="Arial" w:cs="Arial" w:eastAsia="Arial" w:hAnsi="Arial"/>
          <w:sz w:val="17"/>
          <w:szCs w:val="17"/>
          <w:b w:val="1"/>
          <w:bCs w:val="1"/>
          <w:i w:val="1"/>
          <w:iCs w:val="1"/>
          <w:color w:val="auto"/>
        </w:rPr>
        <w:t>Membership Growth and Benefits Utilization</w:t>
      </w:r>
      <w:r>
        <w:rPr>
          <w:rFonts w:ascii="Arial" w:cs="Arial" w:eastAsia="Arial" w:hAnsi="Arial"/>
          <w:sz w:val="17"/>
          <w:szCs w:val="17"/>
          <w:color w:val="auto"/>
        </w:rPr>
        <w:t>. A key driver of our revenue is the number of members we serve and the rate at which they utilize their fertility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As our client base has grown, our membership has grown from approximately 110,000 members in 2016 when we launched our fertility benefits solution to 1.4 million members currently.</w:t>
      </w:r>
    </w:p>
    <w:p>
      <w:pPr>
        <w:spacing w:after="0" w:line="180" w:lineRule="exact"/>
        <w:rPr>
          <w:sz w:val="20"/>
          <w:szCs w:val="20"/>
          <w:color w:val="auto"/>
        </w:rPr>
      </w:pPr>
    </w:p>
    <w:p>
      <w:pPr>
        <w:ind w:right="120" w:firstLine="333"/>
        <w:spacing w:after="0" w:line="276" w:lineRule="auto"/>
        <w:rPr>
          <w:sz w:val="20"/>
          <w:szCs w:val="20"/>
          <w:color w:val="auto"/>
        </w:rPr>
      </w:pPr>
      <w:r>
        <w:rPr>
          <w:rFonts w:ascii="Arial" w:cs="Arial" w:eastAsia="Arial" w:hAnsi="Arial"/>
          <w:sz w:val="17"/>
          <w:szCs w:val="17"/>
          <w:color w:val="auto"/>
        </w:rPr>
        <w:t>The following table highlights the number of assisted reproductive treatment, or ART, cycles performed for Progyny members and the member utilization rates for each of the periods presented.</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4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14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24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4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920" w:type="dxa"/>
            <w:vAlign w:val="bottom"/>
            <w:gridSpan w:val="3"/>
          </w:tcPr>
          <w:p>
            <w:pPr>
              <w:jc w:val="center"/>
              <w:ind w:left="346"/>
              <w:spacing w:after="0"/>
              <w:rPr>
                <w:sz w:val="20"/>
                <w:szCs w:val="20"/>
                <w:color w:val="auto"/>
              </w:rPr>
            </w:pPr>
            <w:r>
              <w:rPr>
                <w:rFonts w:ascii="Arial" w:cs="Arial" w:eastAsia="Arial" w:hAnsi="Arial"/>
                <w:sz w:val="13"/>
                <w:szCs w:val="13"/>
                <w:b w:val="1"/>
                <w:bCs w:val="1"/>
                <w:color w:val="auto"/>
                <w:w w:val="88"/>
              </w:rPr>
              <w:t>June 30,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24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46"/>
              <w:spacing w:after="0" w:line="136" w:lineRule="exact"/>
              <w:rPr>
                <w:sz w:val="20"/>
                <w:szCs w:val="20"/>
                <w:color w:val="auto"/>
              </w:rPr>
            </w:pPr>
            <w:r>
              <w:rPr>
                <w:rFonts w:ascii="Arial" w:cs="Arial" w:eastAsia="Arial" w:hAnsi="Arial"/>
                <w:sz w:val="13"/>
                <w:szCs w:val="13"/>
                <w:b w:val="1"/>
                <w:bCs w:val="1"/>
                <w:color w:val="auto"/>
              </w:rPr>
              <w:t>2017</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21"/>
              <w:spacing w:after="0" w:line="136" w:lineRule="exact"/>
              <w:rPr>
                <w:sz w:val="20"/>
                <w:szCs w:val="20"/>
                <w:color w:val="auto"/>
              </w:rPr>
            </w:pPr>
            <w:r>
              <w:rPr>
                <w:rFonts w:ascii="Arial" w:cs="Arial" w:eastAsia="Arial" w:hAnsi="Arial"/>
                <w:sz w:val="13"/>
                <w:szCs w:val="13"/>
                <w:b w:val="1"/>
                <w:bCs w:val="1"/>
                <w:color w:val="auto"/>
              </w:rPr>
              <w:t>2018</w:t>
            </w:r>
          </w:p>
        </w:tc>
        <w:tc>
          <w:tcPr>
            <w:tcW w:w="3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46"/>
              <w:spacing w:after="0" w:line="136" w:lineRule="exact"/>
              <w:rPr>
                <w:sz w:val="20"/>
                <w:szCs w:val="20"/>
                <w:color w:val="auto"/>
              </w:rPr>
            </w:pPr>
            <w:r>
              <w:rPr>
                <w:rFonts w:ascii="Arial" w:cs="Arial" w:eastAsia="Arial" w:hAnsi="Arial"/>
                <w:sz w:val="13"/>
                <w:szCs w:val="13"/>
                <w:b w:val="1"/>
                <w:bCs w:val="1"/>
                <w:color w:val="auto"/>
              </w:rPr>
              <w:t>2018</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1"/>
              <w:spacing w:after="0" w:line="136"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1"/>
                <w:szCs w:val="11"/>
                <w:color w:val="auto"/>
              </w:rPr>
            </w:pPr>
          </w:p>
        </w:tc>
      </w:tr>
      <w:tr>
        <w:trPr>
          <w:trHeight w:val="239"/>
        </w:trPr>
        <w:tc>
          <w:tcPr>
            <w:tcW w:w="6020" w:type="dxa"/>
            <w:vAlign w:val="bottom"/>
            <w:gridSpan w:val="2"/>
            <w:shd w:val="clear" w:color="auto" w:fill="CCEEFF"/>
          </w:tcPr>
          <w:p>
            <w:pPr>
              <w:spacing w:after="0" w:line="239" w:lineRule="exact"/>
              <w:rPr>
                <w:sz w:val="20"/>
                <w:szCs w:val="20"/>
                <w:color w:val="auto"/>
              </w:rPr>
            </w:pPr>
            <w:r>
              <w:rPr>
                <w:rFonts w:ascii="Arial" w:cs="Arial" w:eastAsia="Arial" w:hAnsi="Arial"/>
                <w:sz w:val="16"/>
                <w:szCs w:val="16"/>
                <w:color w:val="auto"/>
              </w:rPr>
              <w:t>Assisted Reproductive Treatment (ART) Cycles</w:t>
            </w:r>
            <w:r>
              <w:rPr>
                <w:rFonts w:ascii="Arial" w:cs="Arial" w:eastAsia="Arial" w:hAnsi="Arial"/>
                <w:sz w:val="27"/>
                <w:szCs w:val="27"/>
                <w:color w:val="auto"/>
                <w:vertAlign w:val="superscript"/>
              </w:rPr>
              <w:t>(1)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3,517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7,099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3,209</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6,005</w:t>
            </w:r>
          </w:p>
        </w:tc>
      </w:tr>
      <w:tr>
        <w:trPr>
          <w:trHeight w:val="246"/>
        </w:trPr>
        <w:tc>
          <w:tcPr>
            <w:tcW w:w="6020" w:type="dxa"/>
            <w:vAlign w:val="bottom"/>
            <w:gridSpan w:val="2"/>
          </w:tcPr>
          <w:p>
            <w:pPr>
              <w:spacing w:after="0" w:line="246" w:lineRule="exact"/>
              <w:rPr>
                <w:sz w:val="20"/>
                <w:szCs w:val="20"/>
                <w:color w:val="auto"/>
              </w:rPr>
            </w:pPr>
            <w:r>
              <w:rPr>
                <w:rFonts w:ascii="Arial" w:cs="Arial" w:eastAsia="Arial" w:hAnsi="Arial"/>
                <w:sz w:val="17"/>
                <w:szCs w:val="17"/>
                <w:color w:val="auto"/>
              </w:rPr>
              <w:t>Utilization - All Members</w:t>
            </w:r>
            <w:r>
              <w:rPr>
                <w:rFonts w:ascii="Arial" w:cs="Arial" w:eastAsia="Arial" w:hAnsi="Arial"/>
                <w:sz w:val="28"/>
                <w:szCs w:val="28"/>
                <w:color w:val="auto"/>
                <w:vertAlign w:val="superscript"/>
              </w:rPr>
              <w:t>(2)</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1.69%</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0.77%</w:t>
            </w:r>
          </w:p>
        </w:tc>
        <w:tc>
          <w:tcPr>
            <w:tcW w:w="10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0.86%</w:t>
            </w:r>
          </w:p>
        </w:tc>
      </w:tr>
      <w:tr>
        <w:trPr>
          <w:trHeight w:val="246"/>
        </w:trPr>
        <w:tc>
          <w:tcPr>
            <w:tcW w:w="6020" w:type="dxa"/>
            <w:vAlign w:val="bottom"/>
            <w:gridSpan w:val="2"/>
            <w:shd w:val="clear" w:color="auto" w:fill="CCEEFF"/>
          </w:tcPr>
          <w:p>
            <w:pPr>
              <w:spacing w:after="0" w:line="246" w:lineRule="exact"/>
              <w:rPr>
                <w:sz w:val="20"/>
                <w:szCs w:val="20"/>
                <w:color w:val="auto"/>
              </w:rPr>
            </w:pPr>
            <w:r>
              <w:rPr>
                <w:rFonts w:ascii="Arial" w:cs="Arial" w:eastAsia="Arial" w:hAnsi="Arial"/>
                <w:sz w:val="17"/>
                <w:szCs w:val="17"/>
                <w:color w:val="auto"/>
              </w:rPr>
              <w:t>Utilization - Female Only</w:t>
            </w:r>
            <w:r>
              <w:rPr>
                <w:rFonts w:ascii="Arial" w:cs="Arial" w:eastAsia="Arial" w:hAnsi="Arial"/>
                <w:sz w:val="28"/>
                <w:szCs w:val="28"/>
                <w:color w:val="auto"/>
                <w:vertAlign w:val="superscript"/>
              </w:rPr>
              <w:t>(2)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0.64%</w:t>
            </w:r>
          </w:p>
        </w:tc>
        <w:tc>
          <w:tcPr>
            <w:tcW w:w="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0.73%</w:t>
            </w:r>
          </w:p>
        </w:tc>
      </w:tr>
      <w:tr>
        <w:trPr>
          <w:trHeight w:val="103"/>
        </w:trPr>
        <w:tc>
          <w:tcPr>
            <w:tcW w:w="240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5" w:lineRule="exact"/>
        <w:rPr>
          <w:sz w:val="20"/>
          <w:szCs w:val="20"/>
          <w:color w:val="auto"/>
        </w:rPr>
      </w:pPr>
    </w:p>
    <w:p>
      <w:pPr>
        <w:ind w:left="1660" w:hanging="514"/>
        <w:spacing w:after="0"/>
        <w:tabs>
          <w:tab w:leader="none" w:pos="16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the number of ART cycles performed, including IVF with a fresh embryo transfer, IVF freeze all cycles/embryo banking, frozen embryo transfers and egg freezing.</w:t>
      </w:r>
    </w:p>
    <w:p>
      <w:pPr>
        <w:spacing w:after="0" w:line="133" w:lineRule="exact"/>
        <w:rPr>
          <w:rFonts w:ascii="Arial" w:cs="Arial" w:eastAsia="Arial" w:hAnsi="Arial"/>
          <w:sz w:val="12"/>
          <w:szCs w:val="12"/>
          <w:color w:val="auto"/>
        </w:rPr>
      </w:pPr>
    </w:p>
    <w:p>
      <w:pPr>
        <w:ind w:left="1660" w:right="60" w:hanging="514"/>
        <w:spacing w:after="0" w:line="236" w:lineRule="auto"/>
        <w:tabs>
          <w:tab w:leader="none" w:pos="16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20" w:firstLine="333"/>
        <w:spacing w:after="0" w:line="277" w:lineRule="auto"/>
        <w:rPr>
          <w:sz w:val="20"/>
          <w:szCs w:val="20"/>
          <w:color w:val="auto"/>
        </w:rPr>
      </w:pPr>
      <w:r>
        <w:rPr>
          <w:rFonts w:ascii="Arial" w:cs="Arial" w:eastAsia="Arial" w:hAnsi="Arial"/>
          <w:sz w:val="16"/>
          <w:szCs w:val="16"/>
          <w:color w:val="auto"/>
        </w:rPr>
        <w:t>We believe we are well positioned to realize organic revenue growth from our existing clients as our clients and their respective employee bases grow, thereby providing an opportunity for more employees to utilize their fertility benefits. In addition, based on historical experience, the rate at which members of our existing clients choose to begin their fertility journey and utilize our services has grown as the trend of individuals choosing to start a family later in life continues and more employees become aware of their existing benefits and the experience of their co-workers who have used them. We believe the combination of these factors results in a meaningful opportunity for revenue expansion with our existing client base. Our ability to grow our revenue from our existing client base will depend on our performance and the growth of the employee bases as well as the awareness of the benefits within our clients.</w:t>
      </w:r>
    </w:p>
    <w:p>
      <w:pPr>
        <w:spacing w:after="0" w:line="175" w:lineRule="exact"/>
        <w:rPr>
          <w:sz w:val="20"/>
          <w:szCs w:val="20"/>
          <w:color w:val="auto"/>
        </w:rPr>
      </w:pPr>
    </w:p>
    <w:p>
      <w:pPr>
        <w:ind w:right="60" w:firstLine="336"/>
        <w:spacing w:after="0" w:line="275" w:lineRule="auto"/>
        <w:rPr>
          <w:sz w:val="20"/>
          <w:szCs w:val="20"/>
          <w:color w:val="auto"/>
        </w:rPr>
      </w:pPr>
      <w:r>
        <w:rPr>
          <w:rFonts w:ascii="Arial" w:cs="Arial" w:eastAsia="Arial" w:hAnsi="Arial"/>
          <w:sz w:val="16"/>
          <w:szCs w:val="16"/>
          <w:b w:val="1"/>
          <w:bCs w:val="1"/>
          <w:i w:val="1"/>
          <w:iCs w:val="1"/>
          <w:color w:val="auto"/>
        </w:rPr>
        <w:t xml:space="preserve">Increasing Adoption of Our Offerings within Our Client Base. </w:t>
      </w:r>
      <w:r>
        <w:rPr>
          <w:rFonts w:ascii="Arial" w:cs="Arial" w:eastAsia="Arial" w:hAnsi="Arial"/>
          <w:sz w:val="16"/>
          <w:szCs w:val="16"/>
          <w:color w:val="auto"/>
        </w:rPr>
        <w:t>We believe there is a significant opportunity to grow our revenue by selling enhanced levels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services and add-on solutions to our existing client base. For example, a client can expand the fertility benefits they offer to their employees by increasing the number of Smart Cycle units under their benefits plan (i.e., from two to three Smart Cycles per household). For example, 9% of our existing 2018 clients increased their Smart Cycle benefit for their 2019 benefits plan year. In addition, our fertility benefits solution clients can purchase our add-on Progyny Rx solution. We introduced Progyny Rx in the third quarter of 2017 and went live with a select number of clients in January 2018. Currently, 60% of our clients are utilizing this solution, including 68% of the clients that went live in 2019. We believe our sales and marketing capabilities play an important role in informing and educating clients about the additional value and impact we can provide to them and their members by enhancing their benefits program with us. Our ability to sell more of our services to our existing client base will depend on our performance and our ability to demonstrate the value of our solutions.</w:t>
      </w:r>
    </w:p>
    <w:p>
      <w:pPr>
        <w:spacing w:after="0" w:line="176" w:lineRule="exact"/>
        <w:rPr>
          <w:sz w:val="20"/>
          <w:szCs w:val="20"/>
          <w:color w:val="auto"/>
        </w:rPr>
      </w:pPr>
    </w:p>
    <w:p>
      <w:pPr>
        <w:ind w:right="80" w:firstLine="336"/>
        <w:spacing w:after="0" w:line="274" w:lineRule="auto"/>
        <w:rPr>
          <w:sz w:val="20"/>
          <w:szCs w:val="20"/>
          <w:color w:val="auto"/>
        </w:rPr>
      </w:pPr>
      <w:r>
        <w:rPr>
          <w:rFonts w:ascii="Arial" w:cs="Arial" w:eastAsia="Arial" w:hAnsi="Arial"/>
          <w:sz w:val="16"/>
          <w:szCs w:val="16"/>
          <w:b w:val="1"/>
          <w:bCs w:val="1"/>
          <w:i w:val="1"/>
          <w:iCs w:val="1"/>
          <w:color w:val="auto"/>
        </w:rPr>
        <w:t xml:space="preserve">Enhancing the Depth and Breadth of Our Fertility Benefits Offering. </w:t>
      </w:r>
      <w:r>
        <w:rPr>
          <w:rFonts w:ascii="Arial" w:cs="Arial" w:eastAsia="Arial" w:hAnsi="Arial"/>
          <w:sz w:val="16"/>
          <w:szCs w:val="16"/>
          <w:color w:val="auto"/>
        </w:rPr>
        <w:t>Our ability to stay at the forefront of the fertility benefits market and continue to achieve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superior outcomes as it continues to evolve is a key determinant of our success. We believe the combination of our Medical Advisory Board, consisting of 10 nationally recognized fertility clinicians (i.e., reproductive endocrinologists or embryologists), our relationships with our selective network of high-quality fertility specialists and our ability to collect, track and report our proprietary fertility outcomes data to each and every client provides us with differentiated insights into fertility care delivery and support. In addition, we believe we have positive and collaborative relationships with our clients that offer us additional insights into their needs. To date, we have identified multiple ways we believe we can potentially expand our services including vertical integration of services we currently outsource, such as laboratory and pharmacy services. In addition to new solutions, we believe our platform is well positioned to expand our client base beyond self-insured employers to support quasi-governmental entities, such as universities and school systems, and labor unions. We will continue to evaluate all of these opportunities as our business continues to expand.</w:t>
      </w:r>
    </w:p>
    <w:p>
      <w:pPr>
        <w:spacing w:after="0" w:line="179" w:lineRule="exact"/>
        <w:rPr>
          <w:sz w:val="20"/>
          <w:szCs w:val="20"/>
          <w:color w:val="auto"/>
        </w:rPr>
      </w:pPr>
    </w:p>
    <w:p>
      <w:pPr>
        <w:ind w:firstLine="336"/>
        <w:spacing w:after="0" w:line="296" w:lineRule="auto"/>
        <w:rPr>
          <w:sz w:val="20"/>
          <w:szCs w:val="20"/>
          <w:color w:val="auto"/>
        </w:rPr>
      </w:pPr>
      <w:r>
        <w:rPr>
          <w:rFonts w:ascii="Arial" w:cs="Arial" w:eastAsia="Arial" w:hAnsi="Arial"/>
          <w:sz w:val="15"/>
          <w:szCs w:val="15"/>
          <w:b w:val="1"/>
          <w:bCs w:val="1"/>
          <w:i w:val="1"/>
          <w:iCs w:val="1"/>
          <w:color w:val="auto"/>
        </w:rPr>
        <w:t xml:space="preserve">Purpose-Built Platform Designed for Scale. </w:t>
      </w:r>
      <w:r>
        <w:rPr>
          <w:rFonts w:ascii="Arial" w:cs="Arial" w:eastAsia="Arial" w:hAnsi="Arial"/>
          <w:sz w:val="15"/>
          <w:szCs w:val="15"/>
          <w:color w:val="auto"/>
        </w:rPr>
        <w:t>As part of our strategic plan prior to and in conjunction with launching our fertility benefits solution, we designed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purpose-built platform with the intent of sustaining significant growth and supporting a much larger client base over time. One of our main objectives in designing our platform was to ensure that we could achieve this growth without any dilution to or decrease in the level and quality of services we provide, which we believe we have demonstrated to date through the annual growth in our client base. We believe this is further supported by our NPS score and our retention rate, as we have been able to retain substantially all of our clients since we launched our fertility benefits solution in 2016. We regularly evaluate and measure our performance relative to our internal benchmarks and historical outcomes to ensure our standards are maintained and reinvest in our platform where needed. We believe we are capable of continuing to rapidly acquire more clients and members without significant infrastructure enhancements or capital expenditures, including with regard to our relatively newer offering, Progyny Rx. If we were to further expand our solutions into new adjacencies, it is possible that we would have to make additional investments in our platform.</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Revenue</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Fertility Benefits Solution Revenue</w:t>
      </w:r>
    </w:p>
    <w:p>
      <w:pPr>
        <w:spacing w:after="0" w:line="218" w:lineRule="exact"/>
        <w:rPr>
          <w:sz w:val="20"/>
          <w:szCs w:val="20"/>
          <w:color w:val="auto"/>
        </w:rPr>
      </w:pPr>
    </w:p>
    <w:p>
      <w:pPr>
        <w:ind w:firstLine="336"/>
        <w:spacing w:after="0" w:line="257" w:lineRule="auto"/>
        <w:rPr>
          <w:sz w:val="20"/>
          <w:szCs w:val="20"/>
          <w:color w:val="auto"/>
        </w:rPr>
      </w:pPr>
      <w:r>
        <w:rPr>
          <w:rFonts w:ascii="Arial" w:cs="Arial" w:eastAsia="Arial" w:hAnsi="Arial"/>
          <w:sz w:val="17"/>
          <w:szCs w:val="17"/>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the Smart Cycle is completed for a member. Revenue is also accrued for authorized Smart Cycles rendered based on member appointments scheduled with a fertility specialist in our network but for which no claim has yet been reported, net of an allowance for appointment cancellations.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Pharmacy Benefits Solution Revenue</w:t>
      </w:r>
    </w:p>
    <w:p>
      <w:pPr>
        <w:spacing w:after="0" w:line="218" w:lineRule="exact"/>
        <w:rPr>
          <w:sz w:val="20"/>
          <w:szCs w:val="20"/>
          <w:color w:val="auto"/>
        </w:rPr>
      </w:pPr>
    </w:p>
    <w:p>
      <w:pPr>
        <w:ind w:right="20" w:firstLine="336"/>
        <w:spacing w:after="0" w:line="274" w:lineRule="auto"/>
        <w:rPr>
          <w:sz w:val="20"/>
          <w:szCs w:val="20"/>
          <w:color w:val="auto"/>
        </w:rPr>
      </w:pPr>
      <w:r>
        <w:rPr>
          <w:rFonts w:ascii="Arial" w:cs="Arial" w:eastAsia="Arial" w:hAnsi="Arial"/>
          <w:sz w:val="16"/>
          <w:szCs w:val="16"/>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are recognized when the drugs are dispensed. This solution was introduced in the marketplace in the third quarter of 2017 and went live with a select number of clients in January 1, 2018.</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Per employee per month (PEPM) fee</w:t>
      </w:r>
    </w:p>
    <w:p>
      <w:pPr>
        <w:spacing w:after="0" w:line="218" w:lineRule="exact"/>
        <w:rPr>
          <w:sz w:val="20"/>
          <w:szCs w:val="20"/>
          <w:color w:val="auto"/>
        </w:rPr>
      </w:pPr>
    </w:p>
    <w:p>
      <w:pPr>
        <w:ind w:right="200" w:firstLine="336"/>
        <w:spacing w:after="0" w:line="261" w:lineRule="auto"/>
        <w:rPr>
          <w:sz w:val="20"/>
          <w:szCs w:val="20"/>
          <w:color w:val="auto"/>
        </w:rPr>
      </w:pPr>
      <w:r>
        <w:rPr>
          <w:rFonts w:ascii="Arial" w:cs="Arial" w:eastAsia="Arial" w:hAnsi="Arial"/>
          <w:sz w:val="17"/>
          <w:szCs w:val="17"/>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Cost of Services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cost of services has three primary components: (1) fertility benefits services; (2) pharmacy benefits services; and (3) vendor rebates.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Fertility Benefits Services</w:t>
      </w:r>
    </w:p>
    <w:p>
      <w:pPr>
        <w:spacing w:after="0" w:line="218" w:lineRule="exact"/>
        <w:rPr>
          <w:sz w:val="20"/>
          <w:szCs w:val="20"/>
          <w:color w:val="auto"/>
        </w:rPr>
      </w:pPr>
    </w:p>
    <w:p>
      <w:pPr>
        <w:ind w:right="60" w:firstLine="336"/>
        <w:spacing w:after="0" w:line="261" w:lineRule="auto"/>
        <w:rPr>
          <w:sz w:val="20"/>
          <w:szCs w:val="20"/>
          <w:color w:val="auto"/>
        </w:rPr>
      </w:pPr>
      <w:r>
        <w:rPr>
          <w:rFonts w:ascii="Arial" w:cs="Arial" w:eastAsia="Arial" w:hAnsi="Arial"/>
          <w:sz w:val="17"/>
          <w:szCs w:val="17"/>
          <w:color w:val="auto"/>
        </w:rPr>
        <w:t>Fertility benefits services costs include: (1) fees paid to provider clinics within our network, labs and anesthesiologists; (2) costs incurred in connection with our care management service functions, which include employee-related expenses (e.g. salaries and benefits) for teams such as the Provider Account Management, PCA and Provider Relations teams; and (3) associated overhead costs, including related information technology support costs and depreciation and amortization. Our contracts with provider clinics are typically for a term of one to two years.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Pharmacy Benefits Services</w:t>
      </w:r>
    </w:p>
    <w:p>
      <w:pPr>
        <w:spacing w:after="0" w:line="218" w:lineRule="exact"/>
        <w:rPr>
          <w:sz w:val="20"/>
          <w:szCs w:val="20"/>
          <w:color w:val="auto"/>
        </w:rPr>
      </w:pPr>
    </w:p>
    <w:p>
      <w:pPr>
        <w:ind w:right="60" w:firstLine="336"/>
        <w:spacing w:after="0" w:line="261" w:lineRule="auto"/>
        <w:rPr>
          <w:sz w:val="20"/>
          <w:szCs w:val="20"/>
          <w:color w:val="auto"/>
        </w:rPr>
      </w:pPr>
      <w:r>
        <w:rPr>
          <w:rFonts w:ascii="Arial" w:cs="Arial" w:eastAsia="Arial" w:hAnsi="Arial"/>
          <w:sz w:val="17"/>
          <w:szCs w:val="17"/>
          <w:color w:val="auto"/>
        </w:rPr>
        <w:t>Pharmacy benefits services costs include: (1) the fees for prescription drugs dispensed and clinical services provided during the reporting period by our specialty pharmacy partners; (2) costs incurred in connection with our care management service functions, which include employee-related expenses (e.g., salaries and benefits) for teams such as the PCA and Provider Relations teams; and (3) associated overhead costs, including related information technology support costs and depreciation and amortization. Contracts with the specialty pharmacies are typically for a term of one year.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Vendor Rebates</w:t>
      </w:r>
    </w:p>
    <w:p>
      <w:pPr>
        <w:spacing w:after="0" w:line="218" w:lineRule="exact"/>
        <w:rPr>
          <w:sz w:val="20"/>
          <w:szCs w:val="20"/>
          <w:color w:val="auto"/>
        </w:rPr>
      </w:pPr>
    </w:p>
    <w:p>
      <w:pPr>
        <w:ind w:right="80" w:firstLine="333"/>
        <w:spacing w:after="0" w:line="265" w:lineRule="auto"/>
        <w:rPr>
          <w:sz w:val="20"/>
          <w:szCs w:val="20"/>
          <w:color w:val="auto"/>
        </w:rPr>
      </w:pPr>
      <w:r>
        <w:rPr>
          <w:rFonts w:ascii="Arial" w:cs="Arial" w:eastAsia="Arial" w:hAnsi="Arial"/>
          <w:sz w:val="17"/>
          <w:szCs w:val="17"/>
          <w:color w:val="auto"/>
        </w:rPr>
        <w:t>We receive a rebate on certain medications purchased by our specialty pharmacies. Our contractual arrangements with pharmaceutical manufacturers provide for us to receive a rebate from established list prices, which is paid subsequent to dispensing. These rebates are recorded as a reduction to cost of services when prescriptions are dispensed.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218" w:lineRule="exact"/>
        <w:rPr>
          <w:sz w:val="20"/>
          <w:szCs w:val="20"/>
          <w:color w:val="auto"/>
        </w:rPr>
      </w:pPr>
    </w:p>
    <w:p>
      <w:pPr>
        <w:ind w:right="80" w:firstLine="336"/>
        <w:spacing w:after="0" w:line="259" w:lineRule="auto"/>
        <w:rPr>
          <w:sz w:val="20"/>
          <w:szCs w:val="20"/>
          <w:color w:val="auto"/>
        </w:rPr>
      </w:pPr>
      <w:r>
        <w:rPr>
          <w:rFonts w:ascii="Arial" w:cs="Arial" w:eastAsia="Arial" w:hAnsi="Arial"/>
          <w:sz w:val="17"/>
          <w:szCs w:val="17"/>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operating expenses consist of sales and marketing and general and administrative expenses.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Sales and Marketing Expense</w:t>
      </w:r>
    </w:p>
    <w:p>
      <w:pPr>
        <w:spacing w:after="0" w:line="218" w:lineRule="exact"/>
        <w:rPr>
          <w:sz w:val="20"/>
          <w:szCs w:val="20"/>
          <w:color w:val="auto"/>
        </w:rPr>
      </w:pPr>
    </w:p>
    <w:p>
      <w:pPr>
        <w:ind w:firstLine="336"/>
        <w:spacing w:after="0" w:line="261" w:lineRule="auto"/>
        <w:rPr>
          <w:sz w:val="20"/>
          <w:szCs w:val="20"/>
          <w:color w:val="auto"/>
        </w:rPr>
      </w:pPr>
      <w:r>
        <w:rPr>
          <w:rFonts w:ascii="Arial" w:cs="Arial" w:eastAsia="Arial" w:hAnsi="Arial"/>
          <w:sz w:val="17"/>
          <w:szCs w:val="17"/>
          <w:color w:val="auto"/>
        </w:rPr>
        <w:t>Sales and marketing expense consists primarily of employee related costs, including salaries, bonuses, commissions, benefits, stock-based compensation, other related costs, and an allocation of our general overhead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General and Administrative Expense</w:t>
      </w:r>
    </w:p>
    <w:p>
      <w:pPr>
        <w:spacing w:after="0" w:line="218" w:lineRule="exact"/>
        <w:rPr>
          <w:sz w:val="20"/>
          <w:szCs w:val="20"/>
          <w:color w:val="auto"/>
        </w:rPr>
      </w:pPr>
    </w:p>
    <w:p>
      <w:pPr>
        <w:jc w:val="both"/>
        <w:ind w:right="380" w:firstLine="336"/>
        <w:spacing w:after="0" w:line="265" w:lineRule="auto"/>
        <w:rPr>
          <w:sz w:val="20"/>
          <w:szCs w:val="20"/>
          <w:color w:val="auto"/>
        </w:rPr>
      </w:pPr>
      <w:r>
        <w:rPr>
          <w:rFonts w:ascii="Arial" w:cs="Arial" w:eastAsia="Arial" w:hAnsi="Arial"/>
          <w:sz w:val="17"/>
          <w:szCs w:val="17"/>
          <w:color w:val="auto"/>
        </w:rPr>
        <w:t>General and administrative expense consists primarily of employee related costs, including salaries, bonuses, benefits, stock-based compensation, other related costs, and an allocation of our general overhead for those employees associated with general and administrative services such as executive, legal, human resources, information technology, accounting, and finance. These expenses also include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third-party consulting services and facilities costs. We anticipate that we will incur additional costs for employees and professional fees and insurance and related third-party consulting services in anticipation of readiness to become and operate on an ongoing basis as a public company.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expense includes interest expense and stock warrant valuation adjustment.</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Benefit (Provision) for Income Taxes</w:t>
      </w:r>
    </w:p>
    <w:p>
      <w:pPr>
        <w:spacing w:after="0" w:line="218" w:lineRule="exact"/>
        <w:rPr>
          <w:sz w:val="20"/>
          <w:szCs w:val="20"/>
          <w:color w:val="auto"/>
        </w:rPr>
      </w:pPr>
    </w:p>
    <w:p>
      <w:pPr>
        <w:ind w:firstLine="333"/>
        <w:spacing w:after="0" w:line="265" w:lineRule="auto"/>
        <w:rPr>
          <w:sz w:val="20"/>
          <w:szCs w:val="20"/>
          <w:color w:val="auto"/>
        </w:rPr>
      </w:pPr>
      <w:r>
        <w:rPr>
          <w:rFonts w:ascii="Arial" w:cs="Arial" w:eastAsia="Arial" w:hAnsi="Arial"/>
          <w:sz w:val="17"/>
          <w:szCs w:val="17"/>
          <w:color w:val="auto"/>
        </w:rPr>
        <w:t>We are subject to income taxes in the United States. As of December 31, 2018, and 2017, we recorded a full valuation allowance for our deferred tax assets based on our historical loss and the uncertainty regarding our ability to project future taxable income. In future periods, if we are able to generate income, we may reduce or eliminate the valuation allowance.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our results of operations for the periods presented and as a percentage of revenue for those periods: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158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24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880" w:type="dxa"/>
            <w:vAlign w:val="bottom"/>
            <w:gridSpan w:val="3"/>
          </w:tcPr>
          <w:p>
            <w:pPr>
              <w:jc w:val="center"/>
              <w:ind w:left="301"/>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24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0"/>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9"/>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6"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58"/>
              <w:spacing w:after="0" w:line="136"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1"/>
                <w:szCs w:val="11"/>
                <w:color w:val="auto"/>
              </w:rPr>
            </w:pPr>
          </w:p>
        </w:tc>
      </w:tr>
      <w:tr>
        <w:trPr>
          <w:trHeight w:val="122"/>
        </w:trPr>
        <w:tc>
          <w:tcPr>
            <w:tcW w:w="24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5"/>
          </w:tcPr>
          <w:p>
            <w:pPr>
              <w:jc w:val="center"/>
              <w:ind w:right="300"/>
              <w:spacing w:after="0" w:line="123" w:lineRule="exact"/>
              <w:rPr>
                <w:sz w:val="20"/>
                <w:szCs w:val="20"/>
                <w:color w:val="auto"/>
              </w:rPr>
            </w:pPr>
            <w:r>
              <w:rPr>
                <w:rFonts w:ascii="Arial" w:cs="Arial" w:eastAsia="Arial" w:hAnsi="Arial"/>
                <w:sz w:val="13"/>
                <w:szCs w:val="13"/>
                <w:b w:val="1"/>
                <w:bCs w:val="1"/>
                <w:color w:val="auto"/>
                <w:w w:val="90"/>
              </w:rPr>
              <w:t>(unaudited)</w:t>
            </w:r>
          </w:p>
        </w:tc>
      </w:tr>
      <w:tr>
        <w:trPr>
          <w:trHeight w:val="155"/>
        </w:trPr>
        <w:tc>
          <w:tcPr>
            <w:tcW w:w="24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7"/>
        </w:trPr>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48,584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105,400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48,415</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103,365</w:t>
            </w:r>
          </w:p>
        </w:tc>
      </w:tr>
      <w:tr>
        <w:trPr>
          <w:trHeight w:val="246"/>
        </w:trPr>
        <w:tc>
          <w:tcPr>
            <w:tcW w:w="5600" w:type="dxa"/>
            <w:vAlign w:val="bottom"/>
            <w:gridSpan w:val="2"/>
            <w:shd w:val="clear" w:color="auto" w:fill="CCEEFF"/>
          </w:tcPr>
          <w:p>
            <w:pPr>
              <w:spacing w:after="0" w:line="246" w:lineRule="exact"/>
              <w:rPr>
                <w:sz w:val="20"/>
                <w:szCs w:val="20"/>
                <w:color w:val="auto"/>
              </w:rPr>
            </w:pPr>
            <w:r>
              <w:rPr>
                <w:rFonts w:ascii="Arial" w:cs="Arial" w:eastAsia="Arial" w:hAnsi="Arial"/>
                <w:sz w:val="17"/>
                <w:szCs w:val="17"/>
                <w:color w:val="auto"/>
              </w:rPr>
              <w:t>Cost of services</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41,184</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85,966</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39,443</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81,949</w:t>
            </w:r>
          </w:p>
        </w:tc>
      </w:tr>
      <w:tr>
        <w:trPr>
          <w:trHeight w:val="200"/>
        </w:trPr>
        <w:tc>
          <w:tcPr>
            <w:tcW w:w="560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7,400</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19,434</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8,972</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21,416</w:t>
            </w:r>
          </w:p>
        </w:tc>
        <w:tc>
          <w:tcPr>
            <w:tcW w:w="160" w:type="dxa"/>
            <w:vAlign w:val="bottom"/>
          </w:tcPr>
          <w:p>
            <w:pPr>
              <w:spacing w:after="0"/>
              <w:rPr>
                <w:sz w:val="17"/>
                <w:szCs w:val="17"/>
                <w:color w:val="auto"/>
              </w:rPr>
            </w:pPr>
          </w:p>
        </w:tc>
      </w:tr>
      <w:tr>
        <w:trPr>
          <w:trHeight w:val="207"/>
        </w:trPr>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6"/>
        </w:trPr>
        <w:tc>
          <w:tcPr>
            <w:tcW w:w="5600" w:type="dxa"/>
            <w:vAlign w:val="bottom"/>
            <w:gridSpan w:val="2"/>
          </w:tcPr>
          <w:p>
            <w:pPr>
              <w:ind w:left="180"/>
              <w:spacing w:after="0" w:line="24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8"/>
                <w:szCs w:val="28"/>
                <w:color w:val="auto"/>
                <w:vertAlign w:val="superscript"/>
              </w:rPr>
              <w:t>(1)</w:t>
            </w:r>
          </w:p>
        </w:tc>
        <w:tc>
          <w:tcPr>
            <w:tcW w:w="1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4,258</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7,285</w:t>
            </w:r>
          </w:p>
        </w:tc>
        <w:tc>
          <w:tcPr>
            <w:tcW w:w="16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3,494</w:t>
            </w:r>
          </w:p>
        </w:tc>
        <w:tc>
          <w:tcPr>
            <w:tcW w:w="2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5,463</w:t>
            </w:r>
          </w:p>
        </w:tc>
      </w:tr>
      <w:tr>
        <w:trPr>
          <w:trHeight w:val="246"/>
        </w:trPr>
        <w:tc>
          <w:tcPr>
            <w:tcW w:w="5600" w:type="dxa"/>
            <w:vAlign w:val="bottom"/>
            <w:gridSpan w:val="2"/>
            <w:shd w:val="clear" w:color="auto" w:fill="CCEEFF"/>
          </w:tcPr>
          <w:p>
            <w:pPr>
              <w:ind w:left="180"/>
              <w:spacing w:after="0" w:line="24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14,147</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15,601</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7,640</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10,489</w:t>
            </w:r>
          </w:p>
        </w:tc>
      </w:tr>
      <w:tr>
        <w:trPr>
          <w:trHeight w:val="200"/>
        </w:trPr>
        <w:tc>
          <w:tcPr>
            <w:tcW w:w="5600" w:type="dxa"/>
            <w:vAlign w:val="bottom"/>
            <w:gridSpan w:val="2"/>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18,405</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22,886</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11,134</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15,952</w:t>
            </w:r>
          </w:p>
        </w:tc>
        <w:tc>
          <w:tcPr>
            <w:tcW w:w="160" w:type="dxa"/>
            <w:vAlign w:val="bottom"/>
          </w:tcPr>
          <w:p>
            <w:pPr>
              <w:spacing w:after="0"/>
              <w:rPr>
                <w:sz w:val="17"/>
                <w:szCs w:val="17"/>
                <w:color w:val="auto"/>
              </w:rPr>
            </w:pPr>
          </w:p>
        </w:tc>
      </w:tr>
      <w:tr>
        <w:trPr>
          <w:trHeight w:val="200"/>
        </w:trPr>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income from operations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(11,005)</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(2,162)</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5,464</w:t>
            </w:r>
          </w:p>
        </w:tc>
      </w:tr>
      <w:tr>
        <w:trPr>
          <w:trHeight w:val="207"/>
        </w:trPr>
        <w:tc>
          <w:tcPr>
            <w:tcW w:w="5600" w:type="dxa"/>
            <w:vAlign w:val="bottom"/>
            <w:gridSpan w:val="2"/>
          </w:tcPr>
          <w:p>
            <w:pPr>
              <w:spacing w:after="0"/>
              <w:rPr>
                <w:sz w:val="20"/>
                <w:szCs w:val="20"/>
                <w:color w:val="auto"/>
              </w:rPr>
            </w:pPr>
            <w:r>
              <w:rPr>
                <w:rFonts w:ascii="Arial" w:cs="Arial" w:eastAsia="Arial" w:hAnsi="Arial"/>
                <w:sz w:val="17"/>
                <w:szCs w:val="17"/>
                <w:color w:val="auto"/>
              </w:rPr>
              <w:t>Other expense, net</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1,454</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3,441</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1,075</w:t>
            </w:r>
          </w:p>
        </w:tc>
        <w:tc>
          <w:tcPr>
            <w:tcW w:w="2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1,359</w:t>
            </w:r>
          </w:p>
        </w:tc>
      </w:tr>
      <w:tr>
        <w:trPr>
          <w:trHeight w:val="20"/>
        </w:trPr>
        <w:tc>
          <w:tcPr>
            <w:tcW w:w="2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income before income taxes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(12,459)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(6,893)</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(3,237)</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4,105</w:t>
            </w:r>
          </w:p>
        </w:tc>
      </w:tr>
      <w:tr>
        <w:trPr>
          <w:trHeight w:val="207"/>
        </w:trPr>
        <w:tc>
          <w:tcPr>
            <w:tcW w:w="5600" w:type="dxa"/>
            <w:vAlign w:val="bottom"/>
            <w:gridSpan w:val="2"/>
          </w:tcPr>
          <w:p>
            <w:pPr>
              <w:spacing w:after="0"/>
              <w:rPr>
                <w:sz w:val="20"/>
                <w:szCs w:val="20"/>
                <w:color w:val="auto"/>
              </w:rPr>
            </w:pPr>
            <w:r>
              <w:rPr>
                <w:rFonts w:ascii="Arial" w:cs="Arial" w:eastAsia="Arial" w:hAnsi="Arial"/>
                <w:sz w:val="17"/>
                <w:szCs w:val="17"/>
                <w:color w:val="auto"/>
              </w:rPr>
              <w:t>Benefit (provision) for income taxes</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1,777</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835</w:t>
            </w: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(64)</w:t>
            </w:r>
          </w:p>
        </w:tc>
      </w:tr>
      <w:tr>
        <w:trPr>
          <w:trHeight w:val="20"/>
        </w:trPr>
        <w:tc>
          <w:tcPr>
            <w:tcW w:w="2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income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(12,456)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(2,402)</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4,041</w:t>
            </w:r>
          </w:p>
        </w:tc>
      </w:tr>
      <w:tr>
        <w:trPr>
          <w:trHeight w:val="20"/>
        </w:trPr>
        <w:tc>
          <w:tcPr>
            <w:tcW w:w="2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2"/>
        </w:trPr>
        <w:tc>
          <w:tcPr>
            <w:tcW w:w="240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85" w:lineRule="exact"/>
        <w:rPr>
          <w:sz w:val="20"/>
          <w:szCs w:val="20"/>
          <w:color w:val="auto"/>
        </w:rPr>
      </w:pPr>
    </w:p>
    <w:p>
      <w:pPr>
        <w:ind w:left="1660" w:hanging="514"/>
        <w:spacing w:after="0"/>
        <w:tabs>
          <w:tab w:leader="none" w:pos="16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15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860" w:type="dxa"/>
            <w:vAlign w:val="bottom"/>
            <w:gridSpan w:val="3"/>
          </w:tcPr>
          <w:p>
            <w:pPr>
              <w:jc w:val="center"/>
              <w:ind w:left="295"/>
              <w:spacing w:after="0"/>
              <w:rPr>
                <w:sz w:val="20"/>
                <w:szCs w:val="20"/>
                <w:color w:val="auto"/>
              </w:rPr>
            </w:pPr>
            <w:r>
              <w:rPr>
                <w:rFonts w:ascii="Arial" w:cs="Arial" w:eastAsia="Arial" w:hAnsi="Arial"/>
                <w:sz w:val="13"/>
                <w:szCs w:val="13"/>
                <w:b w:val="1"/>
                <w:bCs w:val="1"/>
                <w:color w:val="auto"/>
                <w:w w:val="88"/>
              </w:rPr>
              <w:t>June 30,</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58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rPr>
              <w:t>2017</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5"/>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1"/>
                <w:szCs w:val="11"/>
                <w:color w:val="auto"/>
              </w:rPr>
            </w:pPr>
          </w:p>
        </w:tc>
      </w:tr>
      <w:tr>
        <w:trPr>
          <w:trHeight w:val="135"/>
        </w:trPr>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5"/>
          </w:tcPr>
          <w:p>
            <w:pPr>
              <w:jc w:val="center"/>
              <w:ind w:right="280"/>
              <w:spacing w:after="0" w:line="136" w:lineRule="exact"/>
              <w:rPr>
                <w:sz w:val="20"/>
                <w:szCs w:val="20"/>
                <w:color w:val="auto"/>
              </w:rPr>
            </w:pPr>
            <w:r>
              <w:rPr>
                <w:rFonts w:ascii="Arial" w:cs="Arial" w:eastAsia="Arial" w:hAnsi="Arial"/>
                <w:sz w:val="13"/>
                <w:szCs w:val="13"/>
                <w:b w:val="1"/>
                <w:bCs w:val="1"/>
                <w:color w:val="auto"/>
                <w:w w:val="93"/>
              </w:rPr>
              <w:t>(unaudited)</w:t>
            </w:r>
          </w:p>
        </w:tc>
      </w:tr>
      <w:tr>
        <w:trPr>
          <w:trHeight w:val="142"/>
        </w:trPr>
        <w:tc>
          <w:tcPr>
            <w:tcW w:w="580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Cost of services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96</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38</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125</w:t>
            </w:r>
          </w:p>
        </w:tc>
      </w:tr>
      <w:tr>
        <w:trPr>
          <w:trHeight w:val="142"/>
        </w:trPr>
        <w:tc>
          <w:tcPr>
            <w:tcW w:w="5800" w:type="dxa"/>
            <w:vAlign w:val="bottom"/>
          </w:tcPr>
          <w:p>
            <w:pPr>
              <w:ind w:left="260"/>
              <w:spacing w:after="0" w:line="143" w:lineRule="exact"/>
              <w:rPr>
                <w:sz w:val="20"/>
                <w:szCs w:val="20"/>
                <w:color w:val="auto"/>
              </w:rPr>
            </w:pPr>
            <w:r>
              <w:rPr>
                <w:rFonts w:ascii="Arial" w:cs="Arial" w:eastAsia="Arial" w:hAnsi="Arial"/>
                <w:sz w:val="13"/>
                <w:szCs w:val="13"/>
                <w:color w:val="auto"/>
              </w:rPr>
              <w:t>Sales and marketing</w:t>
            </w: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309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366</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177</w:t>
            </w: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261</w:t>
            </w:r>
          </w:p>
        </w:tc>
      </w:tr>
      <w:tr>
        <w:trPr>
          <w:trHeight w:val="142"/>
        </w:trPr>
        <w:tc>
          <w:tcPr>
            <w:tcW w:w="580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1,224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2,535</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1,293</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1,143</w:t>
            </w:r>
          </w:p>
        </w:tc>
      </w:tr>
      <w:tr>
        <w:trPr>
          <w:trHeight w:val="135"/>
        </w:trPr>
        <w:tc>
          <w:tcPr>
            <w:tcW w:w="5800" w:type="dxa"/>
            <w:vAlign w:val="bottom"/>
          </w:tcPr>
          <w:p>
            <w:pPr>
              <w:ind w:left="260"/>
              <w:spacing w:after="0" w:line="136" w:lineRule="exact"/>
              <w:rPr>
                <w:sz w:val="20"/>
                <w:szCs w:val="20"/>
                <w:color w:val="auto"/>
              </w:rPr>
            </w:pPr>
            <w:r>
              <w:rPr>
                <w:rFonts w:ascii="Arial" w:cs="Arial" w:eastAsia="Arial" w:hAnsi="Arial"/>
                <w:sz w:val="13"/>
                <w:szCs w:val="13"/>
                <w:color w:val="auto"/>
              </w:rPr>
              <w:t>Total stock-based compensation expense</w:t>
            </w: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1,559</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2,997</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1,508</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1,529</w:t>
            </w:r>
          </w:p>
        </w:tc>
        <w:tc>
          <w:tcPr>
            <w:tcW w:w="160" w:type="dxa"/>
            <w:vAlign w:val="bottom"/>
          </w:tcPr>
          <w:p>
            <w:pPr>
              <w:spacing w:after="0"/>
              <w:rPr>
                <w:sz w:val="11"/>
                <w:szCs w:val="1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7"/>
          </w:tcPr>
          <w:p>
            <w:pPr>
              <w:jc w:val="center"/>
              <w:ind w:right="40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gridSpan w:val="9"/>
          </w:tcPr>
          <w:p>
            <w:pPr>
              <w:jc w:val="center"/>
              <w:ind w:right="840"/>
              <w:spacing w:after="0"/>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3"/>
                <w:szCs w:val="13"/>
                <w:color w:val="auto"/>
              </w:rPr>
            </w:pPr>
          </w:p>
        </w:tc>
        <w:tc>
          <w:tcPr>
            <w:tcW w:w="800" w:type="dxa"/>
            <w:vAlign w:val="bottom"/>
            <w:gridSpan w:val="4"/>
          </w:tcPr>
          <w:p>
            <w:pPr>
              <w:jc w:val="center"/>
              <w:ind w:left="195"/>
              <w:spacing w:after="0"/>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171"/>
              <w:spacing w:after="0" w:line="136" w:lineRule="exact"/>
              <w:rPr>
                <w:sz w:val="20"/>
                <w:szCs w:val="20"/>
                <w:color w:val="auto"/>
              </w:rPr>
            </w:pPr>
            <w:r>
              <w:rPr>
                <w:rFonts w:ascii="Arial" w:cs="Arial" w:eastAsia="Arial" w:hAnsi="Arial"/>
                <w:sz w:val="13"/>
                <w:szCs w:val="13"/>
                <w:b w:val="1"/>
                <w:bCs w:val="1"/>
                <w:color w:val="auto"/>
              </w:rPr>
              <w:t>2017</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ind w:right="175"/>
              <w:spacing w:after="0" w:line="136" w:lineRule="exact"/>
              <w:rPr>
                <w:sz w:val="20"/>
                <w:szCs w:val="20"/>
                <w:color w:val="auto"/>
              </w:rPr>
            </w:pPr>
            <w:r>
              <w:rPr>
                <w:rFonts w:ascii="Arial" w:cs="Arial" w:eastAsia="Arial" w:hAnsi="Arial"/>
                <w:sz w:val="13"/>
                <w:szCs w:val="13"/>
                <w:b w:val="1"/>
                <w:bCs w:val="1"/>
                <w:color w:val="auto"/>
                <w:w w:val="89"/>
              </w:rPr>
              <w:t>2018</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ind w:right="135"/>
              <w:spacing w:after="0" w:line="136" w:lineRule="exact"/>
              <w:rPr>
                <w:sz w:val="20"/>
                <w:szCs w:val="20"/>
                <w:color w:val="auto"/>
              </w:rPr>
            </w:pPr>
            <w:r>
              <w:rPr>
                <w:rFonts w:ascii="Arial" w:cs="Arial" w:eastAsia="Arial" w:hAnsi="Arial"/>
                <w:sz w:val="13"/>
                <w:szCs w:val="13"/>
                <w:b w:val="1"/>
                <w:bCs w:val="1"/>
                <w:color w:val="auto"/>
                <w:w w:val="96"/>
              </w:rPr>
              <w:t>2018</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ind w:right="116"/>
              <w:spacing w:after="0" w:line="136"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7"/>
          </w:tcPr>
          <w:p>
            <w:pPr>
              <w:jc w:val="center"/>
              <w:ind w:right="420"/>
              <w:spacing w:after="0" w:line="136" w:lineRule="exact"/>
              <w:rPr>
                <w:sz w:val="20"/>
                <w:szCs w:val="20"/>
                <w:color w:val="auto"/>
              </w:rPr>
            </w:pPr>
            <w:r>
              <w:rPr>
                <w:rFonts w:ascii="Arial" w:cs="Arial" w:eastAsia="Arial" w:hAnsi="Arial"/>
                <w:sz w:val="13"/>
                <w:szCs w:val="13"/>
                <w:b w:val="1"/>
                <w:bCs w:val="1"/>
                <w:color w:val="auto"/>
                <w:w w:val="90"/>
              </w:rPr>
              <w:t>(unaudited)</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2"/>
              </w:rPr>
              <w:t>Consolidated Statements of Operations Data, as a percentage of revenue:</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services</w:t>
            </w:r>
          </w:p>
        </w:tc>
        <w:tc>
          <w:tcPr>
            <w:tcW w:w="94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85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500" w:type="dxa"/>
            <w:vAlign w:val="bottom"/>
            <w:gridSpan w:val="2"/>
          </w:tcPr>
          <w:p>
            <w:pPr>
              <w:ind w:left="180"/>
              <w:spacing w:after="0"/>
              <w:rPr>
                <w:sz w:val="20"/>
                <w:szCs w:val="20"/>
                <w:color w:val="auto"/>
              </w:rPr>
            </w:pPr>
            <w:r>
              <w:rPr>
                <w:rFonts w:ascii="Arial" w:cs="Arial" w:eastAsia="Arial" w:hAnsi="Arial"/>
                <w:sz w:val="17"/>
                <w:szCs w:val="17"/>
                <w:color w:val="auto"/>
              </w:rPr>
              <w:t>Sales and marketing</w:t>
            </w:r>
          </w:p>
        </w:tc>
        <w:tc>
          <w:tcPr>
            <w:tcW w:w="940" w:type="dxa"/>
            <w:vAlign w:val="bottom"/>
            <w:gridSpan w:val="3"/>
          </w:tcPr>
          <w:p>
            <w:pPr>
              <w:jc w:val="right"/>
              <w:ind w:right="135"/>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94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30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00" w:type="dxa"/>
            <w:vAlign w:val="bottom"/>
            <w:gridSpan w:val="2"/>
          </w:tcPr>
          <w:p>
            <w:pPr>
              <w:ind w:left="360"/>
              <w:spacing w:after="0"/>
              <w:rPr>
                <w:sz w:val="20"/>
                <w:szCs w:val="20"/>
                <w:color w:val="auto"/>
              </w:rPr>
            </w:pPr>
            <w:r>
              <w:rPr>
                <w:rFonts w:ascii="Arial" w:cs="Arial" w:eastAsia="Arial" w:hAnsi="Arial"/>
                <w:sz w:val="17"/>
                <w:szCs w:val="17"/>
                <w:color w:val="auto"/>
              </w:rPr>
              <w:t>Total operating expenses</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income from operations</w:t>
            </w:r>
          </w:p>
        </w:tc>
        <w:tc>
          <w:tcPr>
            <w:tcW w:w="94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Other expense, net</w:t>
            </w:r>
          </w:p>
        </w:tc>
        <w:tc>
          <w:tcPr>
            <w:tcW w:w="940" w:type="dxa"/>
            <w:vAlign w:val="bottom"/>
            <w:gridSpan w:val="3"/>
          </w:tcPr>
          <w:p>
            <w:pPr>
              <w:jc w:val="right"/>
              <w:ind w:right="135"/>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40" w:type="dxa"/>
            <w:vAlign w:val="bottom"/>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income before income taxes</w:t>
            </w:r>
          </w:p>
        </w:tc>
        <w:tc>
          <w:tcPr>
            <w:tcW w:w="94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rPr>
              <w:t>(26)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Benefit (provision) for income taxes</w:t>
            </w:r>
          </w:p>
        </w:tc>
        <w:tc>
          <w:tcPr>
            <w:tcW w:w="460" w:type="dxa"/>
            <w:vAlign w:val="bottom"/>
          </w:tcPr>
          <w:p>
            <w:pPr>
              <w:spacing w:after="0"/>
              <w:rPr>
                <w:sz w:val="17"/>
                <w:szCs w:val="17"/>
                <w:color w:val="auto"/>
              </w:rPr>
            </w:pPr>
          </w:p>
        </w:tc>
        <w:tc>
          <w:tcPr>
            <w:tcW w:w="720" w:type="dxa"/>
            <w:vAlign w:val="bottom"/>
            <w:gridSpan w:val="4"/>
          </w:tcPr>
          <w:p>
            <w:pPr>
              <w:jc w:val="right"/>
              <w:ind w:right="44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40" w:type="dxa"/>
            <w:vAlign w:val="bottom"/>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income from continuing operations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Comparison of Six Months Ended June 30, 2018 and 2019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66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Revenue</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8"/>
          </w:tcPr>
          <w:p>
            <w:pPr>
              <w:jc w:val="center"/>
              <w:ind w:right="320"/>
              <w:spacing w:after="0"/>
              <w:rPr>
                <w:sz w:val="20"/>
                <w:szCs w:val="20"/>
                <w:color w:val="auto"/>
              </w:rPr>
            </w:pPr>
            <w:r>
              <w:rPr>
                <w:rFonts w:ascii="Arial" w:cs="Arial" w:eastAsia="Arial" w:hAnsi="Arial"/>
                <w:sz w:val="13"/>
                <w:szCs w:val="13"/>
                <w:b w:val="1"/>
                <w:bCs w:val="1"/>
                <w:color w:val="auto"/>
                <w:w w:val="89"/>
              </w:rPr>
              <w:t>Six Months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8"/>
          </w:tcPr>
          <w:p>
            <w:pPr>
              <w:jc w:val="center"/>
              <w:ind w:right="320"/>
              <w:spacing w:after="0"/>
              <w:rPr>
                <w:sz w:val="20"/>
                <w:szCs w:val="20"/>
                <w:color w:val="auto"/>
              </w:rPr>
            </w:pPr>
            <w:r>
              <w:rPr>
                <w:rFonts w:ascii="Arial" w:cs="Arial" w:eastAsia="Arial" w:hAnsi="Arial"/>
                <w:sz w:val="13"/>
                <w:szCs w:val="13"/>
                <w:b w:val="1"/>
                <w:bCs w:val="1"/>
                <w:color w:val="auto"/>
                <w:w w:val="90"/>
              </w:rPr>
              <w:t>Ended June 30,</w:t>
            </w:r>
          </w:p>
        </w:tc>
        <w:tc>
          <w:tcPr>
            <w:tcW w:w="100" w:type="dxa"/>
            <w:vAlign w:val="bottom"/>
          </w:tcPr>
          <w:p>
            <w:pPr>
              <w:spacing w:after="0"/>
              <w:rPr>
                <w:sz w:val="13"/>
                <w:szCs w:val="13"/>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120"/>
              <w:spacing w:after="0" w:line="136"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8"/>
          </w:tcPr>
          <w:p>
            <w:pPr>
              <w:jc w:val="center"/>
              <w:ind w:right="320"/>
              <w:spacing w:after="0" w:line="123" w:lineRule="exact"/>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gridSpan w:val="9"/>
          </w:tcPr>
          <w:p>
            <w:pPr>
              <w:jc w:val="center"/>
              <w:ind w:right="60"/>
              <w:spacing w:after="0"/>
              <w:rPr>
                <w:sz w:val="20"/>
                <w:szCs w:val="20"/>
                <w:color w:val="auto"/>
              </w:rPr>
            </w:pPr>
            <w:r>
              <w:rPr>
                <w:rFonts w:ascii="Arial" w:cs="Arial" w:eastAsia="Arial" w:hAnsi="Arial"/>
                <w:sz w:val="13"/>
                <w:szCs w:val="13"/>
                <w:b w:val="1"/>
                <w:bCs w:val="1"/>
                <w:color w:val="auto"/>
                <w:w w:val="88"/>
              </w:rPr>
              <w:t>(dollars in thousands)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18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  48,415</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  103,365</w:t>
            </w:r>
          </w:p>
        </w:tc>
        <w:tc>
          <w:tcPr>
            <w:tcW w:w="98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36"/>
        <w:spacing w:after="0" w:line="279" w:lineRule="auto"/>
        <w:rPr>
          <w:sz w:val="20"/>
          <w:szCs w:val="20"/>
          <w:color w:val="auto"/>
        </w:rPr>
      </w:pPr>
      <w:r>
        <w:rPr>
          <w:rFonts w:ascii="Arial" w:cs="Arial" w:eastAsia="Arial" w:hAnsi="Arial"/>
          <w:sz w:val="16"/>
          <w:szCs w:val="16"/>
          <w:color w:val="auto"/>
        </w:rPr>
        <w:t>Revenue increased by $55.0 million, or 113%, for the six months ended June 30, 2019 compared to the six months ended June 30, 2018. This increase is primarily due to a $40.5 million or 89% increase in revenue from our fertility benefits solution and a $14.5 million or 515% increase from sales of our Progyny Rx solution. The increase in revenue from our fertility benefits solution was primarily due to an increase in the number of clients. Our Progyny Rx solution was introduced in the marketplace in the third quarter of 2017 and went live with a select number of clients in January 1, 2018. Our revenue growth for the six months ended 2019 benefited from having Progyny Rx available for the full selling season to both new and existing clients.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Services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Six Months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Ended June 30,</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2"/>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6"/>
              <w:spacing w:after="0" w:line="136"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420" w:type="dxa"/>
            <w:vAlign w:val="bottom"/>
          </w:tcPr>
          <w:p>
            <w:pPr>
              <w:spacing w:after="0"/>
              <w:rPr>
                <w:sz w:val="10"/>
                <w:szCs w:val="10"/>
                <w:color w:val="auto"/>
              </w:rPr>
            </w:pPr>
          </w:p>
        </w:tc>
        <w:tc>
          <w:tcPr>
            <w:tcW w:w="1680" w:type="dxa"/>
            <w:vAlign w:val="bottom"/>
            <w:gridSpan w:val="4"/>
          </w:tcPr>
          <w:p>
            <w:pPr>
              <w:jc w:val="center"/>
              <w:ind w:right="140"/>
              <w:spacing w:after="0" w:line="123" w:lineRule="exact"/>
              <w:rPr>
                <w:sz w:val="20"/>
                <w:szCs w:val="20"/>
                <w:color w:val="auto"/>
              </w:rPr>
            </w:pPr>
            <w:r>
              <w:rPr>
                <w:rFonts w:ascii="Arial" w:cs="Arial" w:eastAsia="Arial" w:hAnsi="Arial"/>
                <w:sz w:val="13"/>
                <w:szCs w:val="13"/>
                <w:b w:val="1"/>
                <w:bCs w:val="1"/>
                <w:color w:val="auto"/>
                <w:w w:val="93"/>
              </w:rPr>
              <w:t>(unaudited)</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  39,443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  81,949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36"/>
        <w:spacing w:after="0" w:line="289" w:lineRule="auto"/>
        <w:rPr>
          <w:sz w:val="20"/>
          <w:szCs w:val="20"/>
          <w:color w:val="auto"/>
        </w:rPr>
      </w:pPr>
      <w:r>
        <w:rPr>
          <w:rFonts w:ascii="Arial" w:cs="Arial" w:eastAsia="Arial" w:hAnsi="Arial"/>
          <w:sz w:val="16"/>
          <w:szCs w:val="16"/>
          <w:color w:val="auto"/>
        </w:rPr>
        <w:t>Cost of services increased by $42.5 million, or 108%, for the six months ended June 30, 2019 compared to the six months ended June 30, 2018. This increase is primarily due to an $40.6 million increase in medical treatment and pharmacy prescription costs associated with the fertility treatments delivered, a $1.9 million increase in personnel and overhead cost for our care management services teams and an increase in costs of adjudicating claims.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Six Months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Ended June 30,</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0"/>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2"/>
              <w:spacing w:after="0" w:line="136"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420" w:type="dxa"/>
            <w:vAlign w:val="bottom"/>
          </w:tcPr>
          <w:p>
            <w:pPr>
              <w:spacing w:after="0"/>
              <w:rPr>
                <w:sz w:val="10"/>
                <w:szCs w:val="10"/>
                <w:color w:val="auto"/>
              </w:rPr>
            </w:pPr>
          </w:p>
        </w:tc>
        <w:tc>
          <w:tcPr>
            <w:tcW w:w="1680" w:type="dxa"/>
            <w:vAlign w:val="bottom"/>
            <w:gridSpan w:val="4"/>
          </w:tcPr>
          <w:p>
            <w:pPr>
              <w:jc w:val="center"/>
              <w:ind w:right="140"/>
              <w:spacing w:after="0" w:line="123" w:lineRule="exact"/>
              <w:rPr>
                <w:sz w:val="20"/>
                <w:szCs w:val="20"/>
                <w:color w:val="auto"/>
              </w:rPr>
            </w:pPr>
            <w:r>
              <w:rPr>
                <w:rFonts w:ascii="Arial" w:cs="Arial" w:eastAsia="Arial" w:hAnsi="Arial"/>
                <w:sz w:val="13"/>
                <w:szCs w:val="13"/>
                <w:b w:val="1"/>
                <w:bCs w:val="1"/>
                <w:color w:val="auto"/>
                <w:w w:val="93"/>
              </w:rPr>
              <w:t>(unaudited)</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8,972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  21,416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20"/>
                <w:szCs w:val="20"/>
                <w:color w:val="auto"/>
              </w:rPr>
            </w:pPr>
            <w:r>
              <w:rPr>
                <w:rFonts w:ascii="Arial" w:cs="Arial" w:eastAsia="Arial" w:hAnsi="Arial"/>
                <w:sz w:val="17"/>
                <w:szCs w:val="17"/>
                <w:color w:val="auto"/>
              </w:rPr>
              <w:t>Gross margin</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Gross profit increased by $12.4 million, or 139%, for the six months ended June 30, 2019 compared to the six months ended June 30, 2018.</w:t>
      </w:r>
    </w:p>
    <w:p>
      <w:pPr>
        <w:spacing w:after="0" w:line="218" w:lineRule="exact"/>
        <w:rPr>
          <w:sz w:val="20"/>
          <w:szCs w:val="20"/>
          <w:color w:val="auto"/>
        </w:rPr>
      </w:pPr>
    </w:p>
    <w:p>
      <w:pPr>
        <w:ind w:right="160" w:firstLine="336"/>
        <w:spacing w:after="0" w:line="276" w:lineRule="auto"/>
        <w:rPr>
          <w:sz w:val="20"/>
          <w:szCs w:val="20"/>
          <w:color w:val="auto"/>
        </w:rPr>
      </w:pPr>
      <w:r>
        <w:rPr>
          <w:rFonts w:ascii="Arial" w:cs="Arial" w:eastAsia="Arial" w:hAnsi="Arial"/>
          <w:sz w:val="17"/>
          <w:szCs w:val="17"/>
          <w:color w:val="auto"/>
        </w:rPr>
        <w:t>Gross margin increased two percentage points for the six months ended June 30, 2019 compared to the six months ended June 30, 2018 primarily due to increased operating efficiencies and the mix of geographies and fertility specialists at which treatments were performed.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9"/>
              </w:rPr>
              <w:t>Six Months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Ended June 30,</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2"/>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6"/>
              <w:spacing w:after="0" w:line="136"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420" w:type="dxa"/>
            <w:vAlign w:val="bottom"/>
          </w:tcPr>
          <w:p>
            <w:pPr>
              <w:spacing w:after="0"/>
              <w:rPr>
                <w:sz w:val="10"/>
                <w:szCs w:val="10"/>
                <w:color w:val="auto"/>
              </w:rPr>
            </w:pPr>
          </w:p>
        </w:tc>
        <w:tc>
          <w:tcPr>
            <w:tcW w:w="1680" w:type="dxa"/>
            <w:vAlign w:val="bottom"/>
            <w:gridSpan w:val="5"/>
          </w:tcPr>
          <w:p>
            <w:pPr>
              <w:jc w:val="center"/>
              <w:ind w:right="140"/>
              <w:spacing w:after="0" w:line="123" w:lineRule="exact"/>
              <w:rPr>
                <w:sz w:val="20"/>
                <w:szCs w:val="20"/>
                <w:color w:val="auto"/>
              </w:rPr>
            </w:pPr>
            <w:r>
              <w:rPr>
                <w:rFonts w:ascii="Arial" w:cs="Arial" w:eastAsia="Arial" w:hAnsi="Arial"/>
                <w:sz w:val="13"/>
                <w:szCs w:val="13"/>
                <w:b w:val="1"/>
                <w:bCs w:val="1"/>
                <w:color w:val="auto"/>
                <w:w w:val="93"/>
              </w:rPr>
              <w:t>(unaudited)</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3,494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firstLine="336"/>
        <w:spacing w:after="0" w:line="345" w:lineRule="auto"/>
        <w:rPr>
          <w:sz w:val="20"/>
          <w:szCs w:val="20"/>
          <w:color w:val="auto"/>
        </w:rPr>
      </w:pPr>
      <w:r>
        <w:rPr>
          <w:rFonts w:ascii="Arial" w:cs="Arial" w:eastAsia="Arial" w:hAnsi="Arial"/>
          <w:sz w:val="15"/>
          <w:szCs w:val="15"/>
          <w:color w:val="auto"/>
        </w:rPr>
        <w:t>Sales and marketing expense increased by $2.0 million, or 56%, for the six months ended June 30, 2019 compared to the six months ended June 30, 2018. This increase was primarily due to a $1.7 million increase in personnel-related costs due to additional headcount and commission for sales and marketing functions.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Six Months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Ended June 30,</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2"/>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6"/>
              <w:spacing w:after="0" w:line="136"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420" w:type="dxa"/>
            <w:vAlign w:val="bottom"/>
          </w:tcPr>
          <w:p>
            <w:pPr>
              <w:spacing w:after="0"/>
              <w:rPr>
                <w:sz w:val="10"/>
                <w:szCs w:val="10"/>
                <w:color w:val="auto"/>
              </w:rPr>
            </w:pPr>
          </w:p>
        </w:tc>
        <w:tc>
          <w:tcPr>
            <w:tcW w:w="1680" w:type="dxa"/>
            <w:vAlign w:val="bottom"/>
            <w:gridSpan w:val="4"/>
          </w:tcPr>
          <w:p>
            <w:pPr>
              <w:jc w:val="center"/>
              <w:ind w:right="140"/>
              <w:spacing w:after="0" w:line="123" w:lineRule="exact"/>
              <w:rPr>
                <w:sz w:val="20"/>
                <w:szCs w:val="20"/>
                <w:color w:val="auto"/>
              </w:rPr>
            </w:pPr>
            <w:r>
              <w:rPr>
                <w:rFonts w:ascii="Arial" w:cs="Arial" w:eastAsia="Arial" w:hAnsi="Arial"/>
                <w:sz w:val="13"/>
                <w:szCs w:val="13"/>
                <w:b w:val="1"/>
                <w:bCs w:val="1"/>
                <w:color w:val="auto"/>
                <w:w w:val="93"/>
              </w:rPr>
              <w:t>(unaudited)</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7,640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  10,489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36"/>
        <w:spacing w:after="0" w:line="261" w:lineRule="auto"/>
        <w:rPr>
          <w:sz w:val="20"/>
          <w:szCs w:val="20"/>
          <w:color w:val="auto"/>
        </w:rPr>
      </w:pPr>
      <w:r>
        <w:rPr>
          <w:rFonts w:ascii="Arial" w:cs="Arial" w:eastAsia="Arial" w:hAnsi="Arial"/>
          <w:sz w:val="17"/>
          <w:szCs w:val="17"/>
          <w:color w:val="auto"/>
        </w:rPr>
        <w:t>General and administrative expense increased by $2.8 million, or 37%, for the six months ended June 30, 2019 compared to the six months ended June 30, 2018. This increase was primarily due to a $0.7 million increase in legal fees, $0.6 million increase in personnel-related costs due to additional headcount for general and administrative functions, $0.6 million increase in bad debt expense, $0.2 million costs related to this offering, and $0.7 million in other related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9"/>
              </w:rPr>
              <w:t>Six Months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Ended June 30,</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8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5"/>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6"/>
              <w:spacing w:after="0" w:line="136"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80" w:type="dxa"/>
            <w:vAlign w:val="bottom"/>
            <w:gridSpan w:val="5"/>
          </w:tcPr>
          <w:p>
            <w:pPr>
              <w:jc w:val="center"/>
              <w:ind w:right="140"/>
              <w:spacing w:after="0" w:line="123" w:lineRule="exact"/>
              <w:rPr>
                <w:sz w:val="20"/>
                <w:szCs w:val="20"/>
                <w:color w:val="auto"/>
              </w:rPr>
            </w:pPr>
            <w:r>
              <w:rPr>
                <w:rFonts w:ascii="Arial" w:cs="Arial" w:eastAsia="Arial" w:hAnsi="Arial"/>
                <w:sz w:val="13"/>
                <w:szCs w:val="13"/>
                <w:b w:val="1"/>
                <w:bCs w:val="1"/>
                <w:color w:val="auto"/>
                <w:w w:val="93"/>
              </w:rPr>
              <w:t>(unaudited)</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3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1,075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40" w:type="dxa"/>
            <w:vAlign w:val="bottom"/>
          </w:tcPr>
          <w:p>
            <w:pPr>
              <w:jc w:val="right"/>
              <w:ind w:right="1256"/>
              <w:spacing w:after="0"/>
              <w:rPr>
                <w:sz w:val="20"/>
                <w:szCs w:val="20"/>
                <w:color w:val="auto"/>
              </w:rPr>
            </w:pPr>
            <w:r>
              <w:rPr>
                <w:rFonts w:ascii="Arial" w:cs="Arial" w:eastAsia="Arial" w:hAnsi="Arial"/>
                <w:sz w:val="17"/>
                <w:szCs w:val="17"/>
                <w:color w:val="auto"/>
              </w:rPr>
              <w:t>70</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Borders>
              <w:bottom w:val="single" w:sz="8" w:color="808080"/>
            </w:tcBorders>
          </w:tcPr>
          <w:p>
            <w:pPr>
              <w:spacing w:after="0"/>
              <w:rPr>
                <w:sz w:val="18"/>
                <w:szCs w:val="18"/>
                <w:color w:val="auto"/>
              </w:rPr>
            </w:pPr>
          </w:p>
        </w:tc>
        <w:tc>
          <w:tcPr>
            <w:tcW w:w="2580" w:type="dxa"/>
            <w:vAlign w:val="bottom"/>
            <w:tcBorders>
              <w:bottom w:val="single" w:sz="8" w:color="808080"/>
            </w:tcBorders>
          </w:tcPr>
          <w:p>
            <w:pPr>
              <w:spacing w:after="0"/>
              <w:rPr>
                <w:sz w:val="18"/>
                <w:szCs w:val="18"/>
                <w:color w:val="auto"/>
              </w:rPr>
            </w:pPr>
          </w:p>
        </w:tc>
        <w:tc>
          <w:tcPr>
            <w:tcW w:w="28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00" w:firstLine="336"/>
        <w:spacing w:after="0" w:line="276" w:lineRule="auto"/>
        <w:rPr>
          <w:sz w:val="20"/>
          <w:szCs w:val="20"/>
          <w:color w:val="auto"/>
        </w:rPr>
      </w:pPr>
      <w:r>
        <w:rPr>
          <w:rFonts w:ascii="Arial" w:cs="Arial" w:eastAsia="Arial" w:hAnsi="Arial"/>
          <w:sz w:val="17"/>
          <w:szCs w:val="17"/>
          <w:color w:val="auto"/>
        </w:rPr>
        <w:t>Other expense, net increased by $0.3 million for the six months ended June 30, 2019 compared to the six months ended June 30, 2018. This increase was primarily due to a $0.6 million stock warrant valuation mark-to-market adjustment, offset by $0.3 million in lower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(Provision) for Income Taxes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9"/>
              </w:rPr>
              <w:t>Six Months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0"/>
              </w:rPr>
              <w:t>Ended June 30,</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2"/>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6"/>
              <w:spacing w:after="0" w:line="136"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5"/>
          </w:tcPr>
          <w:p>
            <w:pPr>
              <w:jc w:val="center"/>
              <w:ind w:right="280"/>
              <w:spacing w:after="0" w:line="123" w:lineRule="exact"/>
              <w:rPr>
                <w:sz w:val="20"/>
                <w:szCs w:val="20"/>
                <w:color w:val="auto"/>
              </w:rPr>
            </w:pPr>
            <w:r>
              <w:rPr>
                <w:rFonts w:ascii="Arial" w:cs="Arial" w:eastAsia="Arial" w:hAnsi="Arial"/>
                <w:sz w:val="13"/>
                <w:szCs w:val="13"/>
                <w:b w:val="1"/>
                <w:bCs w:val="1"/>
                <w:color w:val="auto"/>
                <w:w w:val="93"/>
              </w:rPr>
              <w:t>(unaudited)</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36"/>
        <w:spacing w:after="0" w:line="261" w:lineRule="auto"/>
        <w:rPr>
          <w:sz w:val="20"/>
          <w:szCs w:val="20"/>
          <w:color w:val="auto"/>
        </w:rPr>
      </w:pPr>
      <w:r>
        <w:rPr>
          <w:rFonts w:ascii="Arial" w:cs="Arial" w:eastAsia="Arial" w:hAnsi="Arial"/>
          <w:sz w:val="17"/>
          <w:szCs w:val="17"/>
          <w:color w:val="auto"/>
        </w:rPr>
        <w:t>For the six months ended June 30, 2018 we recorded a benefit for income taxes of $835,000, primarily related to the interperiod tax allocation rules. There is no provision or benefit for federal income taxes recorded for the six months ended June 30, 2019 as we did not have any income from discontinued operations and therefore there was no allocation of tax expense or benefit recorded between continuing operations and discontinued operations. We recorded a provision for state taxes of $64,000 in the six months ended June 30, 2019.</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Years Ended December 31, 2017 and 2018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7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Year Ended</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7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December 31,</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3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1"/>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4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60" w:type="dxa"/>
            <w:vAlign w:val="bottom"/>
          </w:tcPr>
          <w:p>
            <w:pPr>
              <w:spacing w:after="0"/>
              <w:rPr>
                <w:sz w:val="11"/>
                <w:szCs w:val="11"/>
                <w:color w:val="auto"/>
              </w:rPr>
            </w:pPr>
          </w:p>
        </w:tc>
        <w:tc>
          <w:tcPr>
            <w:tcW w:w="1740" w:type="dxa"/>
            <w:vAlign w:val="bottom"/>
            <w:gridSpan w:val="4"/>
          </w:tcPr>
          <w:p>
            <w:pPr>
              <w:jc w:val="center"/>
              <w:ind w:right="140"/>
              <w:spacing w:after="0" w:line="136" w:lineRule="exact"/>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  48,584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2"/>
              </w:rPr>
              <w:t>$  105,400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firstLine="336"/>
        <w:spacing w:after="0" w:line="265" w:lineRule="auto"/>
        <w:rPr>
          <w:sz w:val="20"/>
          <w:szCs w:val="20"/>
          <w:color w:val="auto"/>
        </w:rPr>
      </w:pPr>
      <w:r>
        <w:rPr>
          <w:rFonts w:ascii="Arial" w:cs="Arial" w:eastAsia="Arial" w:hAnsi="Arial"/>
          <w:sz w:val="17"/>
          <w:szCs w:val="17"/>
          <w:color w:val="auto"/>
        </w:rPr>
        <w:t>Revenue increased by $56.8 million, or 117%, for 2018 compared to 2017. This increase is primarily due to a $51.2 million, or 105%, increase in revenue from our fertility benefits solution due to an increase in the number of clients and a $5.6 million increase in revenue from the adoption of Progyny Rx that went live on January 1, 2018 with a select number of clients.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Services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December 31,</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1"/>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680" w:type="dxa"/>
            <w:vAlign w:val="bottom"/>
            <w:gridSpan w:val="4"/>
          </w:tcPr>
          <w:p>
            <w:pPr>
              <w:jc w:val="center"/>
              <w:ind w:right="120"/>
              <w:spacing w:after="0" w:line="136" w:lineRule="exact"/>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  41,184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  85,966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336"/>
        <w:spacing w:after="0" w:line="265" w:lineRule="auto"/>
        <w:rPr>
          <w:sz w:val="20"/>
          <w:szCs w:val="20"/>
          <w:color w:val="auto"/>
        </w:rPr>
      </w:pPr>
      <w:r>
        <w:rPr>
          <w:rFonts w:ascii="Arial" w:cs="Arial" w:eastAsia="Arial" w:hAnsi="Arial"/>
          <w:sz w:val="17"/>
          <w:szCs w:val="17"/>
          <w:color w:val="auto"/>
        </w:rPr>
        <w:t>Cost of services increased by $44.8 million, or 109%, for 2018 compared to 2017. This increase is primarily due to a $40.4 million increase in medical treatment and pharmacy prescription costs associated with the fertility treatments delivered and a $4.4 million increase in personnel costs and overhead costs for our care management services teams and costs of adjudicating claims.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December 31,</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29"/>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2"/>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680" w:type="dxa"/>
            <w:vAlign w:val="bottom"/>
            <w:gridSpan w:val="4"/>
          </w:tcPr>
          <w:p>
            <w:pPr>
              <w:jc w:val="center"/>
              <w:ind w:right="120"/>
              <w:spacing w:after="0" w:line="136" w:lineRule="exact"/>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7,400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  19,434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20"/>
                <w:szCs w:val="20"/>
                <w:color w:val="auto"/>
              </w:rPr>
            </w:pPr>
            <w:r>
              <w:rPr>
                <w:rFonts w:ascii="Arial" w:cs="Arial" w:eastAsia="Arial" w:hAnsi="Arial"/>
                <w:sz w:val="17"/>
                <w:szCs w:val="17"/>
                <w:color w:val="auto"/>
              </w:rPr>
              <w:t>Gross margin</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Gross profit increased by $12.0 million, or 163%, in 2018 compared to 2017.</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jc w:val="both"/>
        <w:ind w:right="40" w:firstLine="336"/>
        <w:spacing w:after="0" w:line="261" w:lineRule="auto"/>
        <w:rPr>
          <w:sz w:val="20"/>
          <w:szCs w:val="20"/>
          <w:color w:val="auto"/>
        </w:rPr>
      </w:pPr>
      <w:r>
        <w:rPr>
          <w:rFonts w:ascii="Arial" w:cs="Arial" w:eastAsia="Arial" w:hAnsi="Arial"/>
          <w:sz w:val="17"/>
          <w:szCs w:val="17"/>
          <w:color w:val="auto"/>
        </w:rPr>
        <w:t>Gross margin increased by four percentage points for 2018 compared to 2017 primarily due to higher PEPM revenue. A larger proportion of clients paid a PEPM fee in 2018 compared to 2017 due to a one-time promotion to waive the PEPM fee for all clients that committed to our fertility benefits solution prior to December 31, 2016. Increased operating efficiencies and the mix of geographies and fertility specialists at which treatments were performed also contributed to the increase in gross margin.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7"/>
              </w:rPr>
              <w:t>December 31,</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1"/>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680" w:type="dxa"/>
            <w:vAlign w:val="bottom"/>
            <w:gridSpan w:val="5"/>
          </w:tcPr>
          <w:p>
            <w:pPr>
              <w:jc w:val="center"/>
              <w:ind w:right="120"/>
              <w:spacing w:after="0" w:line="136" w:lineRule="exact"/>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4,258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336"/>
        <w:spacing w:after="0" w:line="276" w:lineRule="auto"/>
        <w:rPr>
          <w:sz w:val="20"/>
          <w:szCs w:val="20"/>
          <w:color w:val="auto"/>
        </w:rPr>
      </w:pPr>
      <w:r>
        <w:rPr>
          <w:rFonts w:ascii="Arial" w:cs="Arial" w:eastAsia="Arial" w:hAnsi="Arial"/>
          <w:sz w:val="17"/>
          <w:szCs w:val="17"/>
          <w:color w:val="auto"/>
        </w:rPr>
        <w:t>Sales and marketing expense increased by $3.0 million, or 71%, for 2018 compared to 2017. This increase was primarily due to an increase in personnel-related costs due to additional headcount and commission for sales and marketing functions.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December 31,</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1"/>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680" w:type="dxa"/>
            <w:vAlign w:val="bottom"/>
            <w:gridSpan w:val="4"/>
          </w:tcPr>
          <w:p>
            <w:pPr>
              <w:jc w:val="center"/>
              <w:ind w:right="120"/>
              <w:spacing w:after="0" w:line="136" w:lineRule="exact"/>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  14,147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  15,601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336"/>
        <w:spacing w:after="0" w:line="265" w:lineRule="auto"/>
        <w:rPr>
          <w:sz w:val="20"/>
          <w:szCs w:val="20"/>
          <w:color w:val="auto"/>
        </w:rPr>
      </w:pPr>
      <w:r>
        <w:rPr>
          <w:rFonts w:ascii="Arial" w:cs="Arial" w:eastAsia="Arial" w:hAnsi="Arial"/>
          <w:sz w:val="17"/>
          <w:szCs w:val="17"/>
          <w:color w:val="auto"/>
        </w:rPr>
        <w:t>General and administrative expense increased by $1.5 million, or 10%, for 2018 compared to 2017. This increase was primarily due to a $1.3 million increase in stock-based compensation expense, a $0.4 million increase in personnel-related costs due to additional headcount for general and administrative functions, and a $0.4 million increase in bad debt expense, and offset by a $0.6 million decrease in legal fees.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7"/>
              </w:rPr>
              <w:t>December 31,</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31"/>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680" w:type="dxa"/>
            <w:vAlign w:val="bottom"/>
            <w:gridSpan w:val="5"/>
          </w:tcPr>
          <w:p>
            <w:pPr>
              <w:jc w:val="center"/>
              <w:ind w:right="120"/>
              <w:spacing w:after="0" w:line="136" w:lineRule="exact"/>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1,454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336"/>
        <w:spacing w:after="0" w:line="276" w:lineRule="auto"/>
        <w:rPr>
          <w:sz w:val="20"/>
          <w:szCs w:val="20"/>
          <w:color w:val="auto"/>
        </w:rPr>
      </w:pPr>
      <w:r>
        <w:rPr>
          <w:rFonts w:ascii="Arial" w:cs="Arial" w:eastAsia="Arial" w:hAnsi="Arial"/>
          <w:sz w:val="17"/>
          <w:szCs w:val="17"/>
          <w:color w:val="auto"/>
        </w:rPr>
        <w:t>Other expense, net increased by $2.0 million, or 137%, for 2018 compared to 2017. This increase was primarily due to a change of $2.2 million stock warrant valuation adjustment, offset by a $0.2 million in lower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for Income Taxes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88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7"/>
              </w:rPr>
              <w:t>December 31,</w:t>
            </w: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2017</w:t>
            </w:r>
          </w:p>
        </w:tc>
        <w:tc>
          <w:tcPr>
            <w:tcW w:w="2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66"/>
              <w:spacing w:after="0" w:line="136"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1880" w:type="dxa"/>
            <w:vAlign w:val="bottom"/>
            <w:gridSpan w:val="6"/>
          </w:tcPr>
          <w:p>
            <w:pPr>
              <w:jc w:val="center"/>
              <w:ind w:right="160"/>
              <w:spacing w:after="0" w:line="136" w:lineRule="exact"/>
              <w:rPr>
                <w:sz w:val="20"/>
                <w:szCs w:val="20"/>
                <w:color w:val="auto"/>
              </w:rPr>
            </w:pPr>
            <w:r>
              <w:rPr>
                <w:rFonts w:ascii="Arial" w:cs="Arial" w:eastAsia="Arial" w:hAnsi="Arial"/>
                <w:sz w:val="13"/>
                <w:szCs w:val="13"/>
                <w:b w:val="1"/>
                <w:bCs w:val="1"/>
                <w:color w:val="auto"/>
                <w:w w:val="88"/>
              </w:rPr>
              <w:t>(dollars in thousands)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Benefit for income taxes</w:t>
            </w:r>
          </w:p>
        </w:tc>
        <w:tc>
          <w:tcPr>
            <w:tcW w:w="540" w:type="dxa"/>
            <w:vAlign w:val="bottom"/>
            <w:shd w:val="clear" w:color="auto" w:fill="CCEEFF"/>
          </w:tcPr>
          <w:p>
            <w:pPr>
              <w:jc w:val="right"/>
              <w:ind w:right="393"/>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36"/>
        <w:spacing w:after="0" w:line="276" w:lineRule="auto"/>
        <w:rPr>
          <w:sz w:val="20"/>
          <w:szCs w:val="20"/>
          <w:color w:val="auto"/>
        </w:rPr>
      </w:pPr>
      <w:r>
        <w:rPr>
          <w:rFonts w:ascii="Arial" w:cs="Arial" w:eastAsia="Arial" w:hAnsi="Arial"/>
          <w:sz w:val="17"/>
          <w:szCs w:val="17"/>
          <w:color w:val="auto"/>
        </w:rPr>
        <w:t>For the years ended December 31, 2017 and December 31, 2018 we recorded a benefit for income taxes of $3,000 and $1.8 million, respectively, primarily related to the interperiod tax allocation rules.</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Quarterly Results of Operations Data</w:t>
      </w:r>
    </w:p>
    <w:p>
      <w:pPr>
        <w:spacing w:after="0" w:line="222" w:lineRule="exact"/>
        <w:rPr>
          <w:sz w:val="20"/>
          <w:szCs w:val="20"/>
          <w:color w:val="auto"/>
        </w:rPr>
      </w:pPr>
    </w:p>
    <w:p>
      <w:pPr>
        <w:ind w:firstLine="333"/>
        <w:spacing w:after="0" w:line="307" w:lineRule="auto"/>
        <w:rPr>
          <w:sz w:val="20"/>
          <w:szCs w:val="20"/>
          <w:color w:val="auto"/>
        </w:rPr>
      </w:pPr>
      <w:r>
        <w:rPr>
          <w:rFonts w:ascii="Arial" w:cs="Arial" w:eastAsia="Arial" w:hAnsi="Arial"/>
          <w:sz w:val="15"/>
          <w:szCs w:val="15"/>
          <w:color w:val="auto"/>
        </w:rPr>
        <w:t>The following table sets forth our unaudited quarterly consolidated results of operations for each of the six quarterly periods in the period ended June 30, 2019. Our unaudited quarterly results of operations have been prepared on the same basis as our audited consolidated financial statements, and we believe they reflect all normal recurring adjustments necessary for the fair statement of our results of operations for these periods. This information should be read in conjunction with our consolidated financial statements and related notes included elsewhere in this prospectus. Our historical operating data may not be indicative of our future performance.</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2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right"/>
              <w:ind w:right="241"/>
              <w:spacing w:after="0"/>
              <w:rPr>
                <w:sz w:val="20"/>
                <w:szCs w:val="20"/>
                <w:color w:val="auto"/>
              </w:rPr>
            </w:pPr>
            <w:r>
              <w:rPr>
                <w:rFonts w:ascii="Arial" w:cs="Arial" w:eastAsia="Arial" w:hAnsi="Arial"/>
                <w:sz w:val="13"/>
                <w:szCs w:val="13"/>
                <w:b w:val="1"/>
                <w:bCs w:val="1"/>
                <w:color w:val="auto"/>
                <w:w w:val="94"/>
              </w:rPr>
              <w:t>Three Months Ended</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2"/>
        </w:trPr>
        <w:tc>
          <w:tcPr>
            <w:tcW w:w="20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60"/>
              <w:spacing w:after="0" w:line="123" w:lineRule="exact"/>
              <w:rPr>
                <w:sz w:val="20"/>
                <w:szCs w:val="20"/>
                <w:color w:val="auto"/>
              </w:rPr>
            </w:pPr>
            <w:r>
              <w:rPr>
                <w:rFonts w:ascii="Arial" w:cs="Arial" w:eastAsia="Arial" w:hAnsi="Arial"/>
                <w:sz w:val="13"/>
                <w:szCs w:val="13"/>
                <w:b w:val="1"/>
                <w:bCs w:val="1"/>
                <w:color w:val="auto"/>
                <w:w w:val="94"/>
              </w:rPr>
              <w:t>Mar. 31,</w:t>
            </w:r>
          </w:p>
        </w:tc>
        <w:tc>
          <w:tcPr>
            <w:tcW w:w="100" w:type="dxa"/>
            <w:vAlign w:val="bottom"/>
          </w:tcPr>
          <w:p>
            <w:pPr>
              <w:spacing w:after="0"/>
              <w:rPr>
                <w:sz w:val="10"/>
                <w:szCs w:val="10"/>
                <w:color w:val="auto"/>
              </w:rPr>
            </w:pPr>
          </w:p>
        </w:tc>
        <w:tc>
          <w:tcPr>
            <w:tcW w:w="720" w:type="dxa"/>
            <w:vAlign w:val="bottom"/>
            <w:gridSpan w:val="2"/>
          </w:tcPr>
          <w:p>
            <w:pPr>
              <w:jc w:val="right"/>
              <w:ind w:right="181"/>
              <w:spacing w:after="0" w:line="123" w:lineRule="exact"/>
              <w:rPr>
                <w:sz w:val="20"/>
                <w:szCs w:val="20"/>
                <w:color w:val="auto"/>
              </w:rPr>
            </w:pPr>
            <w:r>
              <w:rPr>
                <w:rFonts w:ascii="Arial" w:cs="Arial" w:eastAsia="Arial" w:hAnsi="Arial"/>
                <w:sz w:val="13"/>
                <w:szCs w:val="13"/>
                <w:b w:val="1"/>
                <w:bCs w:val="1"/>
                <w:color w:val="auto"/>
                <w:w w:val="90"/>
              </w:rPr>
              <w:t>Jun. 30,</w:t>
            </w:r>
          </w:p>
        </w:tc>
        <w:tc>
          <w:tcPr>
            <w:tcW w:w="100" w:type="dxa"/>
            <w:vAlign w:val="bottom"/>
          </w:tcPr>
          <w:p>
            <w:pPr>
              <w:spacing w:after="0"/>
              <w:rPr>
                <w:sz w:val="10"/>
                <w:szCs w:val="10"/>
                <w:color w:val="auto"/>
              </w:rPr>
            </w:pPr>
          </w:p>
        </w:tc>
        <w:tc>
          <w:tcPr>
            <w:tcW w:w="720" w:type="dxa"/>
            <w:vAlign w:val="bottom"/>
            <w:gridSpan w:val="2"/>
          </w:tcPr>
          <w:p>
            <w:pPr>
              <w:jc w:val="right"/>
              <w:ind w:right="186"/>
              <w:spacing w:after="0" w:line="123" w:lineRule="exact"/>
              <w:rPr>
                <w:sz w:val="20"/>
                <w:szCs w:val="20"/>
                <w:color w:val="auto"/>
              </w:rPr>
            </w:pPr>
            <w:r>
              <w:rPr>
                <w:rFonts w:ascii="Arial" w:cs="Arial" w:eastAsia="Arial" w:hAnsi="Arial"/>
                <w:sz w:val="13"/>
                <w:szCs w:val="13"/>
                <w:b w:val="1"/>
                <w:bCs w:val="1"/>
                <w:color w:val="auto"/>
                <w:w w:val="89"/>
              </w:rPr>
              <w:t>Sep. 30,</w:t>
            </w:r>
          </w:p>
        </w:tc>
        <w:tc>
          <w:tcPr>
            <w:tcW w:w="120" w:type="dxa"/>
            <w:vAlign w:val="bottom"/>
          </w:tcPr>
          <w:p>
            <w:pPr>
              <w:spacing w:after="0"/>
              <w:rPr>
                <w:sz w:val="10"/>
                <w:szCs w:val="10"/>
                <w:color w:val="auto"/>
              </w:rPr>
            </w:pPr>
          </w:p>
        </w:tc>
        <w:tc>
          <w:tcPr>
            <w:tcW w:w="720" w:type="dxa"/>
            <w:vAlign w:val="bottom"/>
            <w:gridSpan w:val="2"/>
          </w:tcPr>
          <w:p>
            <w:pPr>
              <w:jc w:val="right"/>
              <w:ind w:right="201"/>
              <w:spacing w:after="0" w:line="123" w:lineRule="exact"/>
              <w:rPr>
                <w:sz w:val="20"/>
                <w:szCs w:val="20"/>
                <w:color w:val="auto"/>
              </w:rPr>
            </w:pPr>
            <w:r>
              <w:rPr>
                <w:rFonts w:ascii="Arial" w:cs="Arial" w:eastAsia="Arial" w:hAnsi="Arial"/>
                <w:sz w:val="13"/>
                <w:szCs w:val="13"/>
                <w:b w:val="1"/>
                <w:bCs w:val="1"/>
                <w:color w:val="auto"/>
                <w:w w:val="85"/>
              </w:rPr>
              <w:t>Dec. 31,</w:t>
            </w: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23" w:lineRule="exact"/>
              <w:rPr>
                <w:sz w:val="20"/>
                <w:szCs w:val="20"/>
                <w:color w:val="auto"/>
              </w:rPr>
            </w:pPr>
            <w:r>
              <w:rPr>
                <w:rFonts w:ascii="Arial" w:cs="Arial" w:eastAsia="Arial" w:hAnsi="Arial"/>
                <w:sz w:val="13"/>
                <w:szCs w:val="13"/>
                <w:b w:val="1"/>
                <w:bCs w:val="1"/>
                <w:color w:val="auto"/>
                <w:w w:val="90"/>
              </w:rPr>
              <w:t>Mar. 31,</w:t>
            </w:r>
          </w:p>
        </w:tc>
        <w:tc>
          <w:tcPr>
            <w:tcW w:w="100" w:type="dxa"/>
            <w:vAlign w:val="bottom"/>
          </w:tcPr>
          <w:p>
            <w:pPr>
              <w:spacing w:after="0"/>
              <w:rPr>
                <w:sz w:val="10"/>
                <w:szCs w:val="10"/>
                <w:color w:val="auto"/>
              </w:rPr>
            </w:pPr>
          </w:p>
        </w:tc>
        <w:tc>
          <w:tcPr>
            <w:tcW w:w="580" w:type="dxa"/>
            <w:vAlign w:val="bottom"/>
          </w:tcPr>
          <w:p>
            <w:pPr>
              <w:jc w:val="right"/>
              <w:ind w:right="38"/>
              <w:spacing w:after="0" w:line="123" w:lineRule="exact"/>
              <w:rPr>
                <w:sz w:val="20"/>
                <w:szCs w:val="20"/>
                <w:color w:val="auto"/>
              </w:rPr>
            </w:pPr>
            <w:r>
              <w:rPr>
                <w:rFonts w:ascii="Arial" w:cs="Arial" w:eastAsia="Arial" w:hAnsi="Arial"/>
                <w:sz w:val="13"/>
                <w:szCs w:val="13"/>
                <w:b w:val="1"/>
                <w:bCs w:val="1"/>
                <w:color w:val="auto"/>
                <w:w w:val="90"/>
              </w:rPr>
              <w:t>Jun. 30,</w:t>
            </w:r>
          </w:p>
        </w:tc>
        <w:tc>
          <w:tcPr>
            <w:tcW w:w="160" w:type="dxa"/>
            <w:vAlign w:val="bottom"/>
          </w:tcPr>
          <w:p>
            <w:pPr>
              <w:spacing w:after="0"/>
              <w:rPr>
                <w:sz w:val="10"/>
                <w:szCs w:val="10"/>
                <w:color w:val="auto"/>
              </w:rPr>
            </w:pPr>
          </w:p>
        </w:tc>
      </w:tr>
      <w:tr>
        <w:trPr>
          <w:trHeight w:val="155"/>
        </w:trPr>
        <w:tc>
          <w:tcPr>
            <w:tcW w:w="2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r>
      <w:tr>
        <w:trPr>
          <w:trHeight w:val="135"/>
        </w:trPr>
        <w:tc>
          <w:tcPr>
            <w:tcW w:w="20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80"/>
              <w:spacing w:after="0" w:line="136" w:lineRule="exact"/>
              <w:rPr>
                <w:sz w:val="20"/>
                <w:szCs w:val="20"/>
                <w:color w:val="auto"/>
              </w:rPr>
            </w:pPr>
            <w:r>
              <w:rPr>
                <w:rFonts w:ascii="Arial" w:cs="Arial" w:eastAsia="Arial" w:hAnsi="Arial"/>
                <w:sz w:val="13"/>
                <w:szCs w:val="13"/>
                <w:b w:val="1"/>
                <w:bCs w:val="1"/>
                <w:color w:val="auto"/>
              </w:rPr>
              <w:t>(in</w:t>
            </w:r>
          </w:p>
        </w:tc>
        <w:tc>
          <w:tcPr>
            <w:tcW w:w="820" w:type="dxa"/>
            <w:vAlign w:val="bottom"/>
            <w:gridSpan w:val="3"/>
          </w:tcPr>
          <w:p>
            <w:pPr>
              <w:spacing w:after="0" w:line="136" w:lineRule="exact"/>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7"/>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26,157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27,798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29,187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47,197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56,168</w:t>
            </w:r>
          </w:p>
        </w:tc>
      </w:tr>
      <w:tr>
        <w:trPr>
          <w:trHeight w:val="246"/>
        </w:trPr>
        <w:tc>
          <w:tcPr>
            <w:tcW w:w="4200" w:type="dxa"/>
            <w:vAlign w:val="bottom"/>
            <w:gridSpan w:val="2"/>
          </w:tcPr>
          <w:p>
            <w:pPr>
              <w:spacing w:after="0" w:line="246" w:lineRule="exact"/>
              <w:rPr>
                <w:sz w:val="20"/>
                <w:szCs w:val="20"/>
                <w:color w:val="auto"/>
              </w:rPr>
            </w:pPr>
            <w:r>
              <w:rPr>
                <w:rFonts w:ascii="Arial" w:cs="Arial" w:eastAsia="Arial" w:hAnsi="Arial"/>
                <w:sz w:val="17"/>
                <w:szCs w:val="17"/>
                <w:color w:val="auto"/>
              </w:rPr>
              <w:t>Cost of services</w:t>
            </w:r>
            <w:r>
              <w:rPr>
                <w:rFonts w:ascii="Arial" w:cs="Arial" w:eastAsia="Arial" w:hAnsi="Arial"/>
                <w:sz w:val="28"/>
                <w:szCs w:val="28"/>
                <w:color w:val="auto"/>
                <w:vertAlign w:val="superscript"/>
              </w:rPr>
              <w:t>(1)</w:t>
            </w:r>
          </w:p>
        </w:tc>
        <w:tc>
          <w:tcPr>
            <w:tcW w:w="1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18,324</w:t>
            </w:r>
          </w:p>
        </w:tc>
        <w:tc>
          <w:tcPr>
            <w:tcW w:w="100" w:type="dxa"/>
            <w:vAlign w:val="bottom"/>
          </w:tcPr>
          <w:p>
            <w:pPr>
              <w:spacing w:after="0"/>
              <w:rPr>
                <w:sz w:val="21"/>
                <w:szCs w:val="21"/>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7"/>
                <w:szCs w:val="17"/>
                <w:color w:val="auto"/>
              </w:rPr>
              <w:t>21,119</w:t>
            </w:r>
          </w:p>
        </w:tc>
        <w:tc>
          <w:tcPr>
            <w:tcW w:w="100" w:type="dxa"/>
            <w:vAlign w:val="bottom"/>
          </w:tcPr>
          <w:p>
            <w:pPr>
              <w:spacing w:after="0"/>
              <w:rPr>
                <w:sz w:val="21"/>
                <w:szCs w:val="21"/>
                <w:color w:val="auto"/>
              </w:rPr>
            </w:pPr>
          </w:p>
        </w:tc>
        <w:tc>
          <w:tcPr>
            <w:tcW w:w="720" w:type="dxa"/>
            <w:vAlign w:val="bottom"/>
            <w:gridSpan w:val="2"/>
          </w:tcPr>
          <w:p>
            <w:pPr>
              <w:jc w:val="right"/>
              <w:ind w:right="66"/>
              <w:spacing w:after="0"/>
              <w:rPr>
                <w:sz w:val="20"/>
                <w:szCs w:val="20"/>
                <w:color w:val="auto"/>
              </w:rPr>
            </w:pPr>
            <w:r>
              <w:rPr>
                <w:rFonts w:ascii="Arial" w:cs="Arial" w:eastAsia="Arial" w:hAnsi="Arial"/>
                <w:sz w:val="17"/>
                <w:szCs w:val="17"/>
                <w:color w:val="auto"/>
              </w:rPr>
              <w:t>22,751</w:t>
            </w:r>
          </w:p>
        </w:tc>
        <w:tc>
          <w:tcPr>
            <w:tcW w:w="120" w:type="dxa"/>
            <w:vAlign w:val="bottom"/>
          </w:tcPr>
          <w:p>
            <w:pPr>
              <w:spacing w:after="0"/>
              <w:rPr>
                <w:sz w:val="21"/>
                <w:szCs w:val="21"/>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7"/>
                <w:szCs w:val="17"/>
                <w:color w:val="auto"/>
              </w:rPr>
              <w:t>23,772</w:t>
            </w: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37,233</w:t>
            </w:r>
          </w:p>
        </w:tc>
        <w:tc>
          <w:tcPr>
            <w:tcW w:w="1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44,716</w:t>
            </w:r>
          </w:p>
        </w:tc>
      </w:tr>
      <w:tr>
        <w:trPr>
          <w:trHeight w:val="20"/>
        </w:trPr>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3,934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5,038</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5,047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5,415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9,964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11,452</w:t>
            </w:r>
          </w:p>
        </w:tc>
      </w:tr>
      <w:tr>
        <w:trPr>
          <w:trHeight w:val="207"/>
        </w:trPr>
        <w:tc>
          <w:tcPr>
            <w:tcW w:w="420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6"/>
        </w:trPr>
        <w:tc>
          <w:tcPr>
            <w:tcW w:w="4200" w:type="dxa"/>
            <w:vAlign w:val="bottom"/>
            <w:gridSpan w:val="2"/>
            <w:shd w:val="clear" w:color="auto" w:fill="CCEEFF"/>
          </w:tcPr>
          <w:p>
            <w:pPr>
              <w:ind w:left="180"/>
              <w:spacing w:after="0" w:line="24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1,763</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1,731</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1,648</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2,143</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2,346</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3,117</w:t>
            </w:r>
          </w:p>
        </w:tc>
      </w:tr>
      <w:tr>
        <w:trPr>
          <w:trHeight w:val="246"/>
        </w:trPr>
        <w:tc>
          <w:tcPr>
            <w:tcW w:w="4200" w:type="dxa"/>
            <w:vAlign w:val="bottom"/>
            <w:gridSpan w:val="2"/>
          </w:tcPr>
          <w:p>
            <w:pPr>
              <w:ind w:left="180"/>
              <w:spacing w:after="0" w:line="24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4,016</w:t>
            </w:r>
          </w:p>
        </w:tc>
        <w:tc>
          <w:tcPr>
            <w:tcW w:w="100" w:type="dxa"/>
            <w:vAlign w:val="bottom"/>
          </w:tcPr>
          <w:p>
            <w:pPr>
              <w:spacing w:after="0"/>
              <w:rPr>
                <w:sz w:val="21"/>
                <w:szCs w:val="21"/>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7"/>
                <w:szCs w:val="17"/>
                <w:color w:val="auto"/>
              </w:rPr>
              <w:t>3,624</w:t>
            </w:r>
          </w:p>
        </w:tc>
        <w:tc>
          <w:tcPr>
            <w:tcW w:w="100" w:type="dxa"/>
            <w:vAlign w:val="bottom"/>
          </w:tcPr>
          <w:p>
            <w:pPr>
              <w:spacing w:after="0"/>
              <w:rPr>
                <w:sz w:val="21"/>
                <w:szCs w:val="21"/>
                <w:color w:val="auto"/>
              </w:rPr>
            </w:pPr>
          </w:p>
        </w:tc>
        <w:tc>
          <w:tcPr>
            <w:tcW w:w="720" w:type="dxa"/>
            <w:vAlign w:val="bottom"/>
            <w:gridSpan w:val="2"/>
          </w:tcPr>
          <w:p>
            <w:pPr>
              <w:jc w:val="right"/>
              <w:ind w:right="66"/>
              <w:spacing w:after="0"/>
              <w:rPr>
                <w:sz w:val="20"/>
                <w:szCs w:val="20"/>
                <w:color w:val="auto"/>
              </w:rPr>
            </w:pPr>
            <w:r>
              <w:rPr>
                <w:rFonts w:ascii="Arial" w:cs="Arial" w:eastAsia="Arial" w:hAnsi="Arial"/>
                <w:sz w:val="17"/>
                <w:szCs w:val="17"/>
                <w:color w:val="auto"/>
              </w:rPr>
              <w:t>3,986</w:t>
            </w:r>
          </w:p>
        </w:tc>
        <w:tc>
          <w:tcPr>
            <w:tcW w:w="120" w:type="dxa"/>
            <w:vAlign w:val="bottom"/>
          </w:tcPr>
          <w:p>
            <w:pPr>
              <w:spacing w:after="0"/>
              <w:rPr>
                <w:sz w:val="21"/>
                <w:szCs w:val="21"/>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7"/>
                <w:szCs w:val="17"/>
                <w:color w:val="auto"/>
              </w:rPr>
              <w:t>3,975</w:t>
            </w: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4,508</w:t>
            </w:r>
          </w:p>
        </w:tc>
        <w:tc>
          <w:tcPr>
            <w:tcW w:w="1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5,981</w:t>
            </w:r>
          </w:p>
        </w:tc>
      </w:tr>
      <w:tr>
        <w:trPr>
          <w:trHeight w:val="20"/>
        </w:trPr>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5,779</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5,355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5,634</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6,118</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6,854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9,098</w:t>
            </w:r>
          </w:p>
        </w:tc>
      </w:tr>
      <w:tr>
        <w:trPr>
          <w:trHeight w:val="200"/>
        </w:trPr>
        <w:tc>
          <w:tcPr>
            <w:tcW w:w="4200" w:type="dxa"/>
            <w:vAlign w:val="bottom"/>
            <w:gridSpan w:val="2"/>
          </w:tcPr>
          <w:p>
            <w:pPr>
              <w:spacing w:after="0"/>
              <w:rPr>
                <w:sz w:val="20"/>
                <w:szCs w:val="20"/>
                <w:color w:val="auto"/>
              </w:rPr>
            </w:pPr>
            <w:r>
              <w:rPr>
                <w:rFonts w:ascii="Arial" w:cs="Arial" w:eastAsia="Arial" w:hAnsi="Arial"/>
                <w:sz w:val="17"/>
                <w:szCs w:val="17"/>
                <w:color w:val="auto"/>
              </w:rPr>
              <w:t>(Loss) income from operations</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(587)</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3,110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2,354</w:t>
            </w:r>
          </w:p>
        </w:tc>
        <w:tc>
          <w:tcPr>
            <w:tcW w:w="160" w:type="dxa"/>
            <w:vAlign w:val="bottom"/>
          </w:tcPr>
          <w:p>
            <w:pPr>
              <w:spacing w:after="0"/>
              <w:rPr>
                <w:sz w:val="17"/>
                <w:szCs w:val="17"/>
                <w:color w:val="auto"/>
              </w:rPr>
            </w:pPr>
          </w:p>
        </w:tc>
      </w:tr>
      <w:tr>
        <w:trPr>
          <w:trHeight w:val="20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w:t>
            </w:r>
          </w:p>
        </w:tc>
      </w:tr>
      <w:tr>
        <w:trPr>
          <w:trHeight w:val="207"/>
        </w:trPr>
        <w:tc>
          <w:tcPr>
            <w:tcW w:w="4200" w:type="dxa"/>
            <w:vAlign w:val="bottom"/>
            <w:gridSpan w:val="2"/>
          </w:tcPr>
          <w:p>
            <w:pPr>
              <w:ind w:left="180"/>
              <w:spacing w:after="0"/>
              <w:rPr>
                <w:sz w:val="20"/>
                <w:szCs w:val="20"/>
                <w:color w:val="auto"/>
              </w:rPr>
            </w:pPr>
            <w:r>
              <w:rPr>
                <w:rFonts w:ascii="Arial" w:cs="Arial" w:eastAsia="Arial" w:hAnsi="Arial"/>
                <w:sz w:val="17"/>
                <w:szCs w:val="17"/>
                <w:color w:val="auto"/>
                <w:w w:val="93"/>
              </w:rPr>
              <w:t>Convertible preferred stock warrant valuation adjustment</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7"/>
                <w:szCs w:val="17"/>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7"/>
                <w:szCs w:val="17"/>
                <w:color w:val="auto"/>
              </w:rPr>
            </w:pPr>
          </w:p>
        </w:tc>
        <w:tc>
          <w:tcPr>
            <w:tcW w:w="720" w:type="dxa"/>
            <w:vAlign w:val="bottom"/>
            <w:gridSpan w:val="2"/>
          </w:tcPr>
          <w:p>
            <w:pPr>
              <w:jc w:val="right"/>
              <w:ind w:right="6"/>
              <w:spacing w:after="0"/>
              <w:rPr>
                <w:sz w:val="20"/>
                <w:szCs w:val="20"/>
                <w:color w:val="auto"/>
              </w:rPr>
            </w:pPr>
            <w:r>
              <w:rPr>
                <w:rFonts w:ascii="Arial" w:cs="Arial" w:eastAsia="Arial" w:hAnsi="Arial"/>
                <w:sz w:val="17"/>
                <w:szCs w:val="17"/>
                <w:color w:val="auto"/>
              </w:rPr>
              <w:t>(918)</w:t>
            </w:r>
          </w:p>
        </w:tc>
        <w:tc>
          <w:tcPr>
            <w:tcW w:w="120" w:type="dxa"/>
            <w:vAlign w:val="bottom"/>
          </w:tcPr>
          <w:p>
            <w:pPr>
              <w:spacing w:after="0"/>
              <w:rPr>
                <w:sz w:val="17"/>
                <w:szCs w:val="17"/>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7"/>
                <w:szCs w:val="17"/>
                <w:color w:val="auto"/>
              </w:rPr>
              <w:t>(1,383)</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(551)</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(642)</w:t>
            </w:r>
          </w:p>
        </w:tc>
      </w:tr>
      <w:tr>
        <w:trPr>
          <w:trHeight w:val="20"/>
        </w:trPr>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 other expense, net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(803)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(945)</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(1,421)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(770)</w:t>
            </w:r>
          </w:p>
        </w:tc>
      </w:tr>
      <w:tr>
        <w:trPr>
          <w:trHeight w:val="200"/>
        </w:trPr>
        <w:tc>
          <w:tcPr>
            <w:tcW w:w="4200" w:type="dxa"/>
            <w:vAlign w:val="bottom"/>
            <w:gridSpan w:val="2"/>
          </w:tcPr>
          <w:p>
            <w:pPr>
              <w:spacing w:after="0"/>
              <w:rPr>
                <w:sz w:val="20"/>
                <w:szCs w:val="20"/>
                <w:color w:val="auto"/>
              </w:rPr>
            </w:pPr>
            <w:r>
              <w:rPr>
                <w:rFonts w:ascii="Arial" w:cs="Arial" w:eastAsia="Arial" w:hAnsi="Arial"/>
                <w:sz w:val="17"/>
                <w:szCs w:val="17"/>
                <w:color w:val="auto"/>
              </w:rPr>
              <w:t>(Loss) income from continuing operations, before tax</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(2,117)</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(1,532)</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(2,124)</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2,521</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1,584</w:t>
            </w:r>
          </w:p>
        </w:tc>
        <w:tc>
          <w:tcPr>
            <w:tcW w:w="160" w:type="dxa"/>
            <w:vAlign w:val="bottom"/>
          </w:tcPr>
          <w:p>
            <w:pPr>
              <w:spacing w:after="0"/>
              <w:rPr>
                <w:sz w:val="17"/>
                <w:szCs w:val="17"/>
                <w:color w:val="auto"/>
              </w:rPr>
            </w:pPr>
          </w:p>
        </w:tc>
      </w:tr>
      <w:tr>
        <w:trPr>
          <w:trHeight w:val="207"/>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289</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395</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547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w:t>
            </w:r>
          </w:p>
        </w:tc>
      </w:tr>
      <w:tr>
        <w:trPr>
          <w:trHeight w:val="200"/>
        </w:trPr>
        <w:tc>
          <w:tcPr>
            <w:tcW w:w="4200" w:type="dxa"/>
            <w:vAlign w:val="bottom"/>
            <w:gridSpan w:val="2"/>
          </w:tcPr>
          <w:p>
            <w:pPr>
              <w:spacing w:after="0"/>
              <w:rPr>
                <w:sz w:val="20"/>
                <w:szCs w:val="20"/>
                <w:color w:val="auto"/>
              </w:rPr>
            </w:pPr>
            <w:r>
              <w:rPr>
                <w:rFonts w:ascii="Arial" w:cs="Arial" w:eastAsia="Arial" w:hAnsi="Arial"/>
                <w:sz w:val="17"/>
                <w:szCs w:val="17"/>
                <w:color w:val="auto"/>
              </w:rPr>
              <w:t>Net (loss) income from continuing operations</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(1,137)</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2,521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1,520</w:t>
            </w:r>
          </w:p>
        </w:tc>
        <w:tc>
          <w:tcPr>
            <w:tcW w:w="160" w:type="dxa"/>
            <w:vAlign w:val="bottom"/>
          </w:tcPr>
          <w:p>
            <w:pPr>
              <w:spacing w:after="0"/>
              <w:rPr>
                <w:sz w:val="17"/>
                <w:szCs w:val="17"/>
                <w:color w:val="auto"/>
              </w:rPr>
            </w:pPr>
          </w:p>
        </w:tc>
      </w:tr>
      <w:tr>
        <w:trPr>
          <w:trHeight w:val="200"/>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from discontinued operations, net of taxes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5,724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0"/>
        </w:trPr>
        <w:tc>
          <w:tcPr>
            <w:tcW w:w="420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4,153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(831</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(1,525</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2,521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1,520</w:t>
            </w:r>
          </w:p>
        </w:tc>
        <w:tc>
          <w:tcPr>
            <w:tcW w:w="160" w:type="dxa"/>
            <w:vAlign w:val="bottom"/>
          </w:tcPr>
          <w:p>
            <w:pPr>
              <w:spacing w:after="0"/>
              <w:rPr>
                <w:sz w:val="17"/>
                <w:szCs w:val="17"/>
                <w:color w:val="auto"/>
              </w:rPr>
            </w:pPr>
          </w:p>
        </w:tc>
      </w:tr>
      <w:tr>
        <w:trPr>
          <w:trHeight w:val="20"/>
        </w:trPr>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5"/>
        </w:trPr>
        <w:tc>
          <w:tcPr>
            <w:tcW w:w="4200" w:type="dxa"/>
            <w:vAlign w:val="bottom"/>
            <w:gridSpan w:val="2"/>
            <w:shd w:val="clear" w:color="auto" w:fill="CCEEFF"/>
          </w:tcPr>
          <w:p>
            <w:pPr>
              <w:spacing w:after="0" w:line="225"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683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479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4,354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4,575</w:t>
            </w:r>
          </w:p>
        </w:tc>
      </w:tr>
      <w:tr>
        <w:trPr>
          <w:trHeight w:val="20"/>
        </w:trPr>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2"/>
        </w:trPr>
        <w:tc>
          <w:tcPr>
            <w:tcW w:w="202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85" w:lineRule="exact"/>
        <w:rPr>
          <w:sz w:val="20"/>
          <w:szCs w:val="20"/>
          <w:color w:val="auto"/>
        </w:rPr>
      </w:pPr>
    </w:p>
    <w:p>
      <w:pPr>
        <w:ind w:left="1660" w:hanging="514"/>
        <w:spacing w:after="0"/>
        <w:tabs>
          <w:tab w:leader="none" w:pos="16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55"/>
        </w:trPr>
        <w:tc>
          <w:tcPr>
            <w:tcW w:w="4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2"/>
        </w:trPr>
        <w:tc>
          <w:tcPr>
            <w:tcW w:w="4000" w:type="dxa"/>
            <w:vAlign w:val="bottom"/>
          </w:tcPr>
          <w:p>
            <w:pPr>
              <w:spacing w:after="0"/>
              <w:rPr>
                <w:sz w:val="10"/>
                <w:szCs w:val="10"/>
                <w:color w:val="auto"/>
              </w:rPr>
            </w:pPr>
          </w:p>
        </w:tc>
        <w:tc>
          <w:tcPr>
            <w:tcW w:w="780" w:type="dxa"/>
            <w:vAlign w:val="bottom"/>
            <w:gridSpan w:val="4"/>
          </w:tcPr>
          <w:p>
            <w:pPr>
              <w:ind w:left="80"/>
              <w:spacing w:after="0" w:line="123" w:lineRule="exact"/>
              <w:rPr>
                <w:sz w:val="20"/>
                <w:szCs w:val="20"/>
                <w:color w:val="auto"/>
              </w:rPr>
            </w:pPr>
            <w:r>
              <w:rPr>
                <w:rFonts w:ascii="Arial" w:cs="Arial" w:eastAsia="Arial" w:hAnsi="Arial"/>
                <w:sz w:val="13"/>
                <w:szCs w:val="13"/>
                <w:b w:val="1"/>
                <w:bCs w:val="1"/>
                <w:color w:val="auto"/>
              </w:rPr>
              <w:t>Mar. 31,</w:t>
            </w:r>
          </w:p>
        </w:tc>
        <w:tc>
          <w:tcPr>
            <w:tcW w:w="760" w:type="dxa"/>
            <w:vAlign w:val="bottom"/>
            <w:gridSpan w:val="3"/>
          </w:tcPr>
          <w:p>
            <w:pPr>
              <w:ind w:left="80"/>
              <w:spacing w:after="0" w:line="123"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66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rPr>
              <w:t>Sep. 30,</w:t>
            </w:r>
          </w:p>
        </w:tc>
        <w:tc>
          <w:tcPr>
            <w:tcW w:w="760" w:type="dxa"/>
            <w:vAlign w:val="bottom"/>
            <w:gridSpan w:val="3"/>
          </w:tcPr>
          <w:p>
            <w:pPr>
              <w:ind w:left="80"/>
              <w:spacing w:after="0" w:line="123" w:lineRule="exact"/>
              <w:rPr>
                <w:sz w:val="20"/>
                <w:szCs w:val="20"/>
                <w:color w:val="auto"/>
              </w:rPr>
            </w:pPr>
            <w:r>
              <w:rPr>
                <w:rFonts w:ascii="Arial" w:cs="Arial" w:eastAsia="Arial" w:hAnsi="Arial"/>
                <w:sz w:val="13"/>
                <w:szCs w:val="13"/>
                <w:b w:val="1"/>
                <w:bCs w:val="1"/>
                <w:color w:val="auto"/>
              </w:rPr>
              <w:t>Dec. 31,</w:t>
            </w:r>
          </w:p>
        </w:tc>
        <w:tc>
          <w:tcPr>
            <w:tcW w:w="760" w:type="dxa"/>
            <w:vAlign w:val="bottom"/>
            <w:gridSpan w:val="3"/>
          </w:tcPr>
          <w:p>
            <w:pPr>
              <w:ind w:left="80"/>
              <w:spacing w:after="0" w:line="123" w:lineRule="exact"/>
              <w:rPr>
                <w:sz w:val="20"/>
                <w:szCs w:val="20"/>
                <w:color w:val="auto"/>
              </w:rPr>
            </w:pPr>
            <w:r>
              <w:rPr>
                <w:rFonts w:ascii="Arial" w:cs="Arial" w:eastAsia="Arial" w:hAnsi="Arial"/>
                <w:sz w:val="13"/>
                <w:szCs w:val="13"/>
                <w:b w:val="1"/>
                <w:bCs w:val="1"/>
                <w:color w:val="auto"/>
              </w:rPr>
              <w:t>Mar. 31,</w:t>
            </w:r>
          </w:p>
        </w:tc>
        <w:tc>
          <w:tcPr>
            <w:tcW w:w="600" w:type="dxa"/>
            <w:vAlign w:val="bottom"/>
            <w:gridSpan w:val="2"/>
          </w:tcPr>
          <w:p>
            <w:pPr>
              <w:jc w:val="right"/>
              <w:spacing w:after="0" w:line="123" w:lineRule="exact"/>
              <w:rPr>
                <w:sz w:val="20"/>
                <w:szCs w:val="20"/>
                <w:color w:val="auto"/>
              </w:rPr>
            </w:pPr>
            <w:r>
              <w:rPr>
                <w:rFonts w:ascii="Arial" w:cs="Arial" w:eastAsia="Arial" w:hAnsi="Arial"/>
                <w:sz w:val="13"/>
                <w:szCs w:val="13"/>
                <w:b w:val="1"/>
                <w:bCs w:val="1"/>
                <w:color w:val="auto"/>
              </w:rPr>
              <w:t>Jun. 30,</w:t>
            </w:r>
          </w:p>
        </w:tc>
        <w:tc>
          <w:tcPr>
            <w:tcW w:w="160" w:type="dxa"/>
            <w:vAlign w:val="bottom"/>
          </w:tcPr>
          <w:p>
            <w:pPr>
              <w:spacing w:after="0"/>
              <w:rPr>
                <w:sz w:val="10"/>
                <w:szCs w:val="10"/>
                <w:color w:val="auto"/>
              </w:rPr>
            </w:pPr>
          </w:p>
        </w:tc>
      </w:tr>
      <w:tr>
        <w:trPr>
          <w:trHeight w:val="155"/>
        </w:trPr>
        <w:tc>
          <w:tcPr>
            <w:tcW w:w="4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2018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3"/>
                <w:szCs w:val="13"/>
                <w:color w:val="auto"/>
              </w:rPr>
            </w:pP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86"/>
              <w:spacing w:after="0" w:line="136" w:lineRule="exact"/>
              <w:rPr>
                <w:sz w:val="20"/>
                <w:szCs w:val="20"/>
                <w:color w:val="auto"/>
              </w:rPr>
            </w:pPr>
            <w:r>
              <w:rPr>
                <w:rFonts w:ascii="Arial" w:cs="Arial" w:eastAsia="Arial" w:hAnsi="Arial"/>
                <w:sz w:val="13"/>
                <w:szCs w:val="13"/>
                <w:b w:val="1"/>
                <w:bCs w:val="1"/>
                <w:color w:val="auto"/>
              </w:rPr>
              <w:t>(in</w:t>
            </w:r>
          </w:p>
        </w:tc>
        <w:tc>
          <w:tcPr>
            <w:tcW w:w="760" w:type="dxa"/>
            <w:vAlign w:val="bottom"/>
            <w:gridSpan w:val="3"/>
          </w:tcPr>
          <w:p>
            <w:pPr>
              <w:jc w:val="right"/>
              <w:ind w:right="200"/>
              <w:spacing w:after="0" w:line="136" w:lineRule="exact"/>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w:t>
            </w:r>
          </w:p>
        </w:tc>
      </w:tr>
      <w:tr>
        <w:trPr>
          <w:trHeight w:val="207"/>
        </w:trPr>
        <w:tc>
          <w:tcPr>
            <w:tcW w:w="4000" w:type="dxa"/>
            <w:vAlign w:val="bottom"/>
          </w:tcPr>
          <w:p>
            <w:pPr>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7"/>
                <w:szCs w:val="17"/>
                <w:color w:val="auto"/>
              </w:rPr>
            </w:pPr>
          </w:p>
        </w:tc>
        <w:tc>
          <w:tcPr>
            <w:tcW w:w="660" w:type="dxa"/>
            <w:vAlign w:val="bottom"/>
            <w:gridSpan w:val="2"/>
          </w:tcPr>
          <w:p>
            <w:pPr>
              <w:jc w:val="right"/>
              <w:ind w:right="101"/>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115</w:t>
            </w: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146</w:t>
            </w:r>
          </w:p>
        </w:tc>
      </w:t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485</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684</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558</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357</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786</w:t>
            </w:r>
          </w:p>
        </w:tc>
      </w:tr>
      <w:tr>
        <w:trPr>
          <w:trHeight w:val="200"/>
        </w:trPr>
        <w:tc>
          <w:tcPr>
            <w:tcW w:w="4000" w:type="dxa"/>
            <w:vAlign w:val="bottom"/>
          </w:tcPr>
          <w:p>
            <w:pPr>
              <w:spacing w:after="0"/>
              <w:rPr>
                <w:sz w:val="20"/>
                <w:szCs w:val="20"/>
                <w:color w:val="auto"/>
              </w:rPr>
            </w:pPr>
            <w:r>
              <w:rPr>
                <w:rFonts w:ascii="Arial" w:cs="Arial" w:eastAsia="Arial" w:hAnsi="Arial"/>
                <w:sz w:val="17"/>
                <w:szCs w:val="17"/>
                <w:color w:val="auto"/>
              </w:rPr>
              <w:t>Total stock-based compensation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923</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585</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796</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693</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517</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1,012</w:t>
            </w:r>
          </w:p>
        </w:tc>
        <w:tc>
          <w:tcPr>
            <w:tcW w:w="160" w:type="dxa"/>
            <w:vAlign w:val="bottom"/>
          </w:tcPr>
          <w:p>
            <w:pPr>
              <w:spacing w:after="0"/>
              <w:rPr>
                <w:sz w:val="17"/>
                <w:szCs w:val="17"/>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1660" w:right="140" w:hanging="514"/>
        <w:spacing w:after="0" w:line="239" w:lineRule="auto"/>
        <w:tabs>
          <w:tab w:leader="none" w:pos="16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Adjusted EBITDA is a non-GAAP financial measure. See the section titled "Prospectus Summary—Summary Consolidated Financial Data—Non-GAAP Financial Measure— Adjusted EBITDA" for the definition of Adjusted EBITDA. The following table presents a reconciliation of Adjusted EBITDA to net (loss) income from continuing operations, the most directly comparable financial measure stated in accordance with GAAP for each of the periods presented: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4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11"/>
          </w:tcPr>
          <w:p>
            <w:pPr>
              <w:jc w:val="right"/>
              <w:ind w:right="120"/>
              <w:spacing w:after="0"/>
              <w:rPr>
                <w:sz w:val="20"/>
                <w:szCs w:val="20"/>
                <w:color w:val="auto"/>
              </w:rPr>
            </w:pPr>
            <w:r>
              <w:rPr>
                <w:rFonts w:ascii="Arial" w:cs="Arial" w:eastAsia="Arial" w:hAnsi="Arial"/>
                <w:sz w:val="13"/>
                <w:szCs w:val="13"/>
                <w:b w:val="1"/>
                <w:bCs w:val="1"/>
                <w:color w:val="auto"/>
                <w:w w:val="90"/>
              </w:rPr>
              <w:t>Three Months Ended</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center"/>
              <w:ind w:right="120"/>
              <w:spacing w:after="0" w:line="123" w:lineRule="exact"/>
              <w:rPr>
                <w:sz w:val="20"/>
                <w:szCs w:val="20"/>
                <w:color w:val="auto"/>
              </w:rPr>
            </w:pPr>
            <w:r>
              <w:rPr>
                <w:rFonts w:ascii="Arial" w:cs="Arial" w:eastAsia="Arial" w:hAnsi="Arial"/>
                <w:sz w:val="13"/>
                <w:szCs w:val="13"/>
                <w:b w:val="1"/>
                <w:bCs w:val="1"/>
                <w:color w:val="auto"/>
                <w:w w:val="94"/>
              </w:rPr>
              <w:t>Mar.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right"/>
              <w:ind w:right="120"/>
              <w:spacing w:after="0" w:line="123" w:lineRule="exact"/>
              <w:rPr>
                <w:sz w:val="20"/>
                <w:szCs w:val="20"/>
                <w:color w:val="auto"/>
              </w:rPr>
            </w:pPr>
            <w:r>
              <w:rPr>
                <w:rFonts w:ascii="Arial" w:cs="Arial" w:eastAsia="Arial" w:hAnsi="Arial"/>
                <w:sz w:val="13"/>
                <w:szCs w:val="13"/>
                <w:b w:val="1"/>
                <w:bCs w:val="1"/>
                <w:color w:val="auto"/>
                <w:w w:val="86"/>
              </w:rPr>
              <w:t>Jun.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5"/>
          </w:tcPr>
          <w:p>
            <w:pPr>
              <w:jc w:val="right"/>
              <w:ind w:right="101"/>
              <w:spacing w:after="0" w:line="123" w:lineRule="exact"/>
              <w:rPr>
                <w:sz w:val="20"/>
                <w:szCs w:val="20"/>
                <w:color w:val="auto"/>
              </w:rPr>
            </w:pPr>
            <w:r>
              <w:rPr>
                <w:rFonts w:ascii="Arial" w:cs="Arial" w:eastAsia="Arial" w:hAnsi="Arial"/>
                <w:sz w:val="13"/>
                <w:szCs w:val="13"/>
                <w:b w:val="1"/>
                <w:bCs w:val="1"/>
                <w:color w:val="auto"/>
                <w:w w:val="81"/>
              </w:rPr>
              <w:t>Sep. 30,</w:t>
            </w:r>
          </w:p>
        </w:tc>
        <w:tc>
          <w:tcPr>
            <w:tcW w:w="80" w:type="dxa"/>
            <w:vAlign w:val="bottom"/>
          </w:tcPr>
          <w:p>
            <w:pPr>
              <w:spacing w:after="0"/>
              <w:rPr>
                <w:sz w:val="10"/>
                <w:szCs w:val="10"/>
                <w:color w:val="auto"/>
              </w:rPr>
            </w:pPr>
          </w:p>
        </w:tc>
        <w:tc>
          <w:tcPr>
            <w:tcW w:w="640" w:type="dxa"/>
            <w:vAlign w:val="bottom"/>
            <w:gridSpan w:val="5"/>
          </w:tcPr>
          <w:p>
            <w:pPr>
              <w:jc w:val="right"/>
              <w:ind w:right="120"/>
              <w:spacing w:after="0" w:line="123"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tcPr>
          <w:p>
            <w:pPr>
              <w:jc w:val="center"/>
              <w:ind w:right="80"/>
              <w:spacing w:after="0" w:line="123" w:lineRule="exact"/>
              <w:rPr>
                <w:sz w:val="20"/>
                <w:szCs w:val="20"/>
                <w:color w:val="auto"/>
              </w:rPr>
            </w:pPr>
            <w:r>
              <w:rPr>
                <w:rFonts w:ascii="Arial" w:cs="Arial" w:eastAsia="Arial" w:hAnsi="Arial"/>
                <w:sz w:val="13"/>
                <w:szCs w:val="13"/>
                <w:b w:val="1"/>
                <w:bCs w:val="1"/>
                <w:color w:val="auto"/>
                <w:w w:val="94"/>
              </w:rPr>
              <w:t>Mar. 31,</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right"/>
              <w:ind w:right="26"/>
              <w:spacing w:after="0" w:line="123" w:lineRule="exact"/>
              <w:rPr>
                <w:sz w:val="20"/>
                <w:szCs w:val="20"/>
                <w:color w:val="auto"/>
              </w:rPr>
            </w:pPr>
            <w:r>
              <w:rPr>
                <w:rFonts w:ascii="Arial" w:cs="Arial" w:eastAsia="Arial" w:hAnsi="Arial"/>
                <w:sz w:val="13"/>
                <w:szCs w:val="13"/>
                <w:b w:val="1"/>
                <w:bCs w:val="1"/>
                <w:color w:val="auto"/>
                <w:w w:val="94"/>
              </w:rPr>
              <w:t>Jun. 30,</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3"/>
          </w:tcPr>
          <w:p>
            <w:pPr>
              <w:jc w:val="right"/>
              <w:ind w:right="95"/>
              <w:spacing w:after="0" w:line="136" w:lineRule="exact"/>
              <w:rPr>
                <w:sz w:val="20"/>
                <w:szCs w:val="20"/>
                <w:color w:val="auto"/>
              </w:rPr>
            </w:pPr>
            <w:r>
              <w:rPr>
                <w:rFonts w:ascii="Arial" w:cs="Arial" w:eastAsia="Arial" w:hAnsi="Arial"/>
                <w:sz w:val="13"/>
                <w:szCs w:val="13"/>
                <w:b w:val="1"/>
                <w:bCs w:val="1"/>
                <w:color w:val="auto"/>
              </w:rPr>
              <w:t>(in</w:t>
            </w:r>
          </w:p>
        </w:tc>
        <w:tc>
          <w:tcPr>
            <w:tcW w:w="480" w:type="dxa"/>
            <w:vAlign w:val="bottom"/>
            <w:gridSpan w:val="5"/>
          </w:tcPr>
          <w:p>
            <w:pPr>
              <w:jc w:val="right"/>
              <w:spacing w:after="0" w:line="136" w:lineRule="exact"/>
              <w:rPr>
                <w:sz w:val="20"/>
                <w:szCs w:val="20"/>
                <w:color w:val="auto"/>
              </w:rPr>
            </w:pPr>
            <w:r>
              <w:rPr>
                <w:rFonts w:ascii="Arial" w:cs="Arial" w:eastAsia="Arial" w:hAnsi="Arial"/>
                <w:sz w:val="12"/>
                <w:szCs w:val="12"/>
                <w:b w:val="1"/>
                <w:bCs w:val="1"/>
                <w:color w:val="auto"/>
                <w:w w:val="71"/>
              </w:rPr>
              <w:t>thousands)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Net (loss) 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gridSpan w:val="3"/>
            <w:shd w:val="clear" w:color="auto" w:fill="CCEEFF"/>
          </w:tcPr>
          <w:p>
            <w:pPr>
              <w:jc w:val="right"/>
              <w:spacing w:after="0" w:line="143" w:lineRule="exact"/>
              <w:rPr>
                <w:sz w:val="20"/>
                <w:szCs w:val="20"/>
                <w:color w:val="auto"/>
              </w:rPr>
            </w:pPr>
            <w:r>
              <w:rPr>
                <w:rFonts w:ascii="Arial" w:cs="Arial" w:eastAsia="Arial" w:hAnsi="Arial"/>
                <w:sz w:val="13"/>
                <w:szCs w:val="13"/>
                <w:color w:val="auto"/>
              </w:rPr>
              <w:t>(1,571)</w:t>
            </w:r>
          </w:p>
        </w:tc>
        <w:tc>
          <w:tcPr>
            <w:tcW w:w="1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3"/>
                <w:szCs w:val="13"/>
                <w:color w:val="auto"/>
                <w:w w:val="82"/>
              </w:rPr>
              <w:t>$</w:t>
            </w:r>
          </w:p>
        </w:tc>
        <w:tc>
          <w:tcPr>
            <w:tcW w:w="560" w:type="dxa"/>
            <w:vAlign w:val="bottom"/>
            <w:tcBorders>
              <w:right w:val="single" w:sz="8" w:color="CCEEFF"/>
            </w:tcBorders>
            <w:gridSpan w:val="3"/>
            <w:shd w:val="clear" w:color="auto" w:fill="CCEEFF"/>
          </w:tcPr>
          <w:p>
            <w:pPr>
              <w:jc w:val="right"/>
              <w:spacing w:after="0" w:line="143" w:lineRule="exact"/>
              <w:rPr>
                <w:sz w:val="20"/>
                <w:szCs w:val="20"/>
                <w:color w:val="auto"/>
              </w:rPr>
            </w:pPr>
            <w:r>
              <w:rPr>
                <w:rFonts w:ascii="Arial" w:cs="Arial" w:eastAsia="Arial" w:hAnsi="Arial"/>
                <w:sz w:val="13"/>
                <w:szCs w:val="13"/>
                <w:color w:val="auto"/>
              </w:rPr>
              <w:t>(831)</w:t>
            </w:r>
          </w:p>
        </w:tc>
        <w:tc>
          <w:tcPr>
            <w:tcW w:w="180" w:type="dxa"/>
            <w:vAlign w:val="bottom"/>
            <w:gridSpan w:val="2"/>
            <w:shd w:val="clear" w:color="auto" w:fill="CCEEFF"/>
          </w:tcPr>
          <w:p>
            <w:pPr>
              <w:jc w:val="center"/>
              <w:ind w:left="11"/>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gridSpan w:val="5"/>
            <w:shd w:val="clear" w:color="auto" w:fill="CCEEFF"/>
          </w:tcPr>
          <w:p>
            <w:pPr>
              <w:jc w:val="right"/>
              <w:spacing w:after="0" w:line="143" w:lineRule="exact"/>
              <w:rPr>
                <w:sz w:val="20"/>
                <w:szCs w:val="20"/>
                <w:color w:val="auto"/>
              </w:rPr>
            </w:pPr>
            <w:r>
              <w:rPr>
                <w:rFonts w:ascii="Arial" w:cs="Arial" w:eastAsia="Arial" w:hAnsi="Arial"/>
                <w:sz w:val="13"/>
                <w:szCs w:val="13"/>
                <w:color w:val="auto"/>
              </w:rPr>
              <w:t>(1,137)</w:t>
            </w:r>
          </w:p>
        </w:tc>
        <w:tc>
          <w:tcPr>
            <w:tcW w:w="200" w:type="dxa"/>
            <w:vAlign w:val="bottom"/>
            <w:gridSpan w:val="2"/>
            <w:shd w:val="clear" w:color="auto" w:fill="CCEEFF"/>
          </w:tcPr>
          <w:p>
            <w:pPr>
              <w:jc w:val="right"/>
              <w:ind w:right="1"/>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w w:val="92"/>
              </w:rPr>
              <w:t>(1,577)</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w w:val="92"/>
              </w:rPr>
              <w:t>2,521</w:t>
            </w:r>
          </w:p>
        </w:tc>
        <w:tc>
          <w:tcPr>
            <w:tcW w:w="340" w:type="dxa"/>
            <w:vAlign w:val="bottom"/>
            <w:gridSpan w:val="3"/>
            <w:shd w:val="clear" w:color="auto" w:fill="CCEEFF"/>
          </w:tcPr>
          <w:p>
            <w:pPr>
              <w:jc w:val="right"/>
              <w:ind w:right="75"/>
              <w:spacing w:after="0" w:line="143" w:lineRule="exact"/>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1,520</w:t>
            </w:r>
          </w:p>
        </w:tc>
        <w:tc>
          <w:tcPr>
            <w:tcW w:w="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line="143" w:lineRule="exact"/>
              <w:rPr>
                <w:sz w:val="20"/>
                <w:szCs w:val="20"/>
                <w:color w:val="auto"/>
              </w:rPr>
            </w:pPr>
            <w:r>
              <w:rPr>
                <w:rFonts w:ascii="Arial" w:cs="Arial" w:eastAsia="Arial" w:hAnsi="Arial"/>
                <w:sz w:val="13"/>
                <w:szCs w:val="13"/>
                <w:color w:val="auto"/>
              </w:rPr>
              <w:t>Add: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448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21"/>
              <w:spacing w:after="0" w:line="143" w:lineRule="exact"/>
              <w:rPr>
                <w:sz w:val="20"/>
                <w:szCs w:val="20"/>
                <w:color w:val="auto"/>
              </w:rPr>
            </w:pPr>
            <w:r>
              <w:rPr>
                <w:rFonts w:ascii="Arial" w:cs="Arial" w:eastAsia="Arial" w:hAnsi="Arial"/>
                <w:sz w:val="13"/>
                <w:szCs w:val="13"/>
                <w:color w:val="auto"/>
                <w:w w:val="73"/>
              </w:rPr>
              <w:t>474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488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510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550</w:t>
            </w:r>
          </w:p>
        </w:tc>
        <w:tc>
          <w:tcPr>
            <w:tcW w:w="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2"/>
                <w:szCs w:val="12"/>
                <w:color w:val="auto"/>
              </w:rPr>
            </w:pPr>
          </w:p>
        </w:tc>
        <w:tc>
          <w:tcPr>
            <w:tcW w:w="580" w:type="dxa"/>
            <w:vAlign w:val="bottom"/>
            <w:gridSpan w:val="3"/>
          </w:tcPr>
          <w:p>
            <w:pPr>
              <w:jc w:val="right"/>
              <w:ind w:right="40"/>
              <w:spacing w:after="0" w:line="143" w:lineRule="exact"/>
              <w:rPr>
                <w:sz w:val="20"/>
                <w:szCs w:val="20"/>
                <w:color w:val="auto"/>
              </w:rPr>
            </w:pPr>
            <w:r>
              <w:rPr>
                <w:rFonts w:ascii="Arial" w:cs="Arial" w:eastAsia="Arial" w:hAnsi="Arial"/>
                <w:sz w:val="13"/>
                <w:szCs w:val="13"/>
                <w:color w:val="auto"/>
              </w:rPr>
              <w:t>923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585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3"/>
          </w:tcPr>
          <w:p>
            <w:pPr>
              <w:jc w:val="right"/>
              <w:ind w:right="21"/>
              <w:spacing w:after="0" w:line="143" w:lineRule="exact"/>
              <w:rPr>
                <w:sz w:val="20"/>
                <w:szCs w:val="20"/>
                <w:color w:val="auto"/>
              </w:rPr>
            </w:pPr>
            <w:r>
              <w:rPr>
                <w:rFonts w:ascii="Arial" w:cs="Arial" w:eastAsia="Arial" w:hAnsi="Arial"/>
                <w:sz w:val="13"/>
                <w:szCs w:val="13"/>
                <w:color w:val="auto"/>
                <w:w w:val="73"/>
              </w:rPr>
              <w:t>796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694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517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1,012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Interest expense, net</w:t>
            </w: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21"/>
              <w:spacing w:after="0" w:line="143" w:lineRule="exact"/>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ind w:left="140"/>
              <w:spacing w:after="0" w:line="143" w:lineRule="exact"/>
              <w:rPr>
                <w:sz w:val="20"/>
                <w:szCs w:val="20"/>
                <w:color w:val="auto"/>
              </w:rPr>
            </w:pPr>
            <w:r>
              <w:rPr>
                <w:rFonts w:ascii="Arial" w:cs="Arial" w:eastAsia="Arial" w:hAnsi="Arial"/>
                <w:sz w:val="13"/>
                <w:szCs w:val="13"/>
                <w:color w:val="auto"/>
              </w:rPr>
              <w:t>Convertible preferred stock warrant valuation adjustment</w:t>
            </w:r>
          </w:p>
        </w:tc>
        <w:tc>
          <w:tcPr>
            <w:tcW w:w="80" w:type="dxa"/>
            <w:vAlign w:val="bottom"/>
          </w:tcPr>
          <w:p>
            <w:pPr>
              <w:spacing w:after="0"/>
              <w:rPr>
                <w:sz w:val="12"/>
                <w:szCs w:val="12"/>
                <w:color w:val="auto"/>
              </w:rPr>
            </w:pPr>
          </w:p>
        </w:tc>
        <w:tc>
          <w:tcPr>
            <w:tcW w:w="580" w:type="dxa"/>
            <w:vAlign w:val="bottom"/>
            <w:gridSpan w:val="3"/>
          </w:tcPr>
          <w:p>
            <w:pPr>
              <w:jc w:val="right"/>
              <w:ind w:right="40"/>
              <w:spacing w:after="0" w:line="143" w:lineRule="exact"/>
              <w:rPr>
                <w:sz w:val="20"/>
                <w:szCs w:val="20"/>
                <w:color w:val="auto"/>
              </w:rPr>
            </w:pPr>
            <w:r>
              <w:rPr>
                <w:rFonts w:ascii="Arial" w:cs="Arial" w:eastAsia="Arial" w:hAnsi="Arial"/>
                <w:sz w:val="13"/>
                <w:szCs w:val="13"/>
                <w:color w:val="auto"/>
              </w:rPr>
              <w:t>184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459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3"/>
          </w:tcPr>
          <w:p>
            <w:pPr>
              <w:jc w:val="right"/>
              <w:ind w:right="21"/>
              <w:spacing w:after="0" w:line="143" w:lineRule="exact"/>
              <w:rPr>
                <w:sz w:val="20"/>
                <w:szCs w:val="20"/>
                <w:color w:val="auto"/>
              </w:rPr>
            </w:pPr>
            <w:r>
              <w:rPr>
                <w:rFonts w:ascii="Arial" w:cs="Arial" w:eastAsia="Arial" w:hAnsi="Arial"/>
                <w:sz w:val="13"/>
                <w:szCs w:val="13"/>
                <w:color w:val="auto"/>
                <w:w w:val="73"/>
              </w:rPr>
              <w:t>918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1,383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551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642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Provision (benefit) for income taxes</w:t>
            </w: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shd w:val="clear" w:color="auto" w:fill="CCEEFF"/>
          </w:tcPr>
          <w:p>
            <w:pPr>
              <w:jc w:val="right"/>
              <w:spacing w:after="0" w:line="143" w:lineRule="exact"/>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jc w:val="right"/>
              <w:spacing w:after="0" w:line="143" w:lineRule="exact"/>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5"/>
            <w:shd w:val="clear" w:color="auto" w:fill="CCEEFF"/>
          </w:tcPr>
          <w:p>
            <w:pPr>
              <w:jc w:val="right"/>
              <w:spacing w:after="0" w:line="143" w:lineRule="exact"/>
              <w:rPr>
                <w:sz w:val="20"/>
                <w:szCs w:val="20"/>
                <w:color w:val="auto"/>
              </w:rPr>
            </w:pPr>
            <w:r>
              <w:rPr>
                <w:rFonts w:ascii="Arial" w:cs="Arial" w:eastAsia="Arial" w:hAnsi="Arial"/>
                <w:sz w:val="13"/>
                <w:szCs w:val="13"/>
                <w:color w:val="auto"/>
              </w:rPr>
              <w:t>(395)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w w:val="92"/>
              </w:rPr>
              <w:t>(547)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ind w:left="140"/>
              <w:spacing w:after="0" w:line="143" w:lineRule="exact"/>
              <w:rPr>
                <w:sz w:val="20"/>
                <w:szCs w:val="20"/>
                <w:color w:val="auto"/>
              </w:rPr>
            </w:pPr>
            <w:r>
              <w:rPr>
                <w:rFonts w:ascii="Arial" w:cs="Arial" w:eastAsia="Arial" w:hAnsi="Arial"/>
                <w:sz w:val="13"/>
                <w:szCs w:val="13"/>
                <w:color w:val="auto"/>
              </w:rPr>
              <w:t>Legal fees associated with vendor arbitration</w:t>
            </w:r>
          </w:p>
        </w:tc>
        <w:tc>
          <w:tcPr>
            <w:tcW w:w="80" w:type="dxa"/>
            <w:vAlign w:val="bottom"/>
          </w:tcPr>
          <w:p>
            <w:pPr>
              <w:spacing w:after="0"/>
              <w:rPr>
                <w:sz w:val="12"/>
                <w:szCs w:val="12"/>
                <w:color w:val="auto"/>
              </w:rPr>
            </w:pPr>
          </w:p>
        </w:tc>
        <w:tc>
          <w:tcPr>
            <w:tcW w:w="580" w:type="dxa"/>
            <w:vAlign w:val="bottom"/>
            <w:gridSpan w:val="3"/>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2"/>
          </w:tcPr>
          <w:p>
            <w:pPr>
              <w:jc w:val="right"/>
              <w:ind w:right="21"/>
              <w:spacing w:after="0" w:line="143" w:lineRule="exact"/>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217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509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IPO costs</w:t>
            </w: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tcBorders>
              <w:right w:val="single" w:sz="8" w:color="CCEEFF"/>
            </w:tcBorders>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1"/>
              <w:spacing w:after="0" w:line="143" w:lineRule="exact"/>
              <w:rPr>
                <w:sz w:val="20"/>
                <w:szCs w:val="20"/>
                <w:color w:val="auto"/>
              </w:rPr>
            </w:pPr>
            <w:r>
              <w:rPr>
                <w:rFonts w:ascii="Arial" w:cs="Arial" w:eastAsia="Arial" w:hAnsi="Arial"/>
                <w:sz w:val="13"/>
                <w:szCs w:val="13"/>
                <w:color w:val="auto"/>
                <w:w w:val="76"/>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line="136" w:lineRule="exact"/>
              <w:rPr>
                <w:sz w:val="20"/>
                <w:szCs w:val="20"/>
                <w:color w:val="auto"/>
              </w:rPr>
            </w:pPr>
            <w:r>
              <w:rPr>
                <w:rFonts w:ascii="Arial" w:cs="Arial" w:eastAsia="Arial" w:hAnsi="Arial"/>
                <w:sz w:val="13"/>
                <w:szCs w:val="13"/>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3"/>
                <w:szCs w:val="13"/>
                <w:color w:val="auto"/>
              </w:rPr>
              <w:t>(474)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3"/>
                <w:szCs w:val="13"/>
                <w:color w:val="auto"/>
              </w:rPr>
              <w:t>741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3"/>
                <w:szCs w:val="13"/>
                <w:color w:val="auto"/>
                <w:w w:val="73"/>
              </w:rPr>
              <w:t>683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479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ind w:left="40"/>
              <w:spacing w:after="0" w:line="136" w:lineRule="exact"/>
              <w:rPr>
                <w:sz w:val="20"/>
                <w:szCs w:val="20"/>
                <w:color w:val="auto"/>
              </w:rPr>
            </w:pPr>
            <w:r>
              <w:rPr>
                <w:rFonts w:ascii="Arial" w:cs="Arial" w:eastAsia="Arial" w:hAnsi="Arial"/>
                <w:sz w:val="13"/>
                <w:szCs w:val="13"/>
                <w:color w:val="auto"/>
                <w:w w:val="79"/>
              </w:rPr>
              <w:t>4,354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bottom w:val="single" w:sz="8" w:color="auto"/>
            </w:tcBorders>
            <w:gridSpan w:val="2"/>
          </w:tcPr>
          <w:p>
            <w:pPr>
              <w:jc w:val="right"/>
              <w:ind w:right="75"/>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4,575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12"/>
          </w:tcPr>
          <w:p>
            <w:pPr>
              <w:jc w:val="right"/>
              <w:ind w:right="115"/>
              <w:spacing w:after="0"/>
              <w:rPr>
                <w:sz w:val="20"/>
                <w:szCs w:val="20"/>
                <w:color w:val="auto"/>
              </w:rPr>
            </w:pPr>
            <w:r>
              <w:rPr>
                <w:rFonts w:ascii="Arial" w:cs="Arial" w:eastAsia="Arial" w:hAnsi="Arial"/>
                <w:sz w:val="13"/>
                <w:szCs w:val="13"/>
                <w:b w:val="1"/>
                <w:bCs w:val="1"/>
                <w:color w:val="auto"/>
                <w:w w:val="90"/>
              </w:rPr>
              <w:t>Three Months Ended</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4"/>
          </w:tcPr>
          <w:p>
            <w:pPr>
              <w:jc w:val="center"/>
              <w:ind w:right="115"/>
              <w:spacing w:after="0" w:line="123" w:lineRule="exact"/>
              <w:rPr>
                <w:sz w:val="20"/>
                <w:szCs w:val="20"/>
                <w:color w:val="auto"/>
              </w:rPr>
            </w:pPr>
            <w:r>
              <w:rPr>
                <w:rFonts w:ascii="Arial" w:cs="Arial" w:eastAsia="Arial" w:hAnsi="Arial"/>
                <w:sz w:val="13"/>
                <w:szCs w:val="13"/>
                <w:b w:val="1"/>
                <w:bCs w:val="1"/>
                <w:color w:val="auto"/>
                <w:w w:val="89"/>
              </w:rPr>
              <w:t>Jun.</w:t>
            </w:r>
          </w:p>
        </w:tc>
        <w:tc>
          <w:tcPr>
            <w:tcW w:w="60" w:type="dxa"/>
            <w:vAlign w:val="bottom"/>
          </w:tcPr>
          <w:p>
            <w:pPr>
              <w:spacing w:after="0"/>
              <w:rPr>
                <w:sz w:val="10"/>
                <w:szCs w:val="10"/>
                <w:color w:val="auto"/>
              </w:rPr>
            </w:pPr>
          </w:p>
        </w:tc>
        <w:tc>
          <w:tcPr>
            <w:tcW w:w="500" w:type="dxa"/>
            <w:vAlign w:val="bottom"/>
            <w:gridSpan w:val="5"/>
          </w:tcPr>
          <w:p>
            <w:pPr>
              <w:jc w:val="right"/>
              <w:ind w:right="180"/>
              <w:spacing w:after="0" w:line="123" w:lineRule="exact"/>
              <w:rPr>
                <w:sz w:val="20"/>
                <w:szCs w:val="20"/>
                <w:color w:val="auto"/>
              </w:rPr>
            </w:pPr>
            <w:r>
              <w:rPr>
                <w:rFonts w:ascii="Arial" w:cs="Arial" w:eastAsia="Arial" w:hAnsi="Arial"/>
                <w:sz w:val="13"/>
                <w:szCs w:val="13"/>
                <w:b w:val="1"/>
                <w:bCs w:val="1"/>
                <w:color w:val="auto"/>
              </w:rPr>
              <w:t>Sep.</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jc w:val="right"/>
              <w:ind w:right="6"/>
              <w:spacing w:after="0" w:line="123" w:lineRule="exact"/>
              <w:rPr>
                <w:sz w:val="20"/>
                <w:szCs w:val="20"/>
                <w:color w:val="auto"/>
              </w:rPr>
            </w:pPr>
            <w:r>
              <w:rPr>
                <w:rFonts w:ascii="Arial" w:cs="Arial" w:eastAsia="Arial" w:hAnsi="Arial"/>
                <w:sz w:val="13"/>
                <w:szCs w:val="13"/>
                <w:b w:val="1"/>
                <w:bCs w:val="1"/>
                <w:color w:val="auto"/>
              </w:rPr>
              <w:t>Jun.</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320" w:type="dxa"/>
            <w:vAlign w:val="bottom"/>
            <w:gridSpan w:val="5"/>
            <w:vMerge w:val="restart"/>
          </w:tcPr>
          <w:p>
            <w:pPr>
              <w:spacing w:after="0"/>
              <w:rPr>
                <w:sz w:val="20"/>
                <w:szCs w:val="20"/>
                <w:color w:val="auto"/>
              </w:rPr>
            </w:pPr>
            <w:r>
              <w:rPr>
                <w:rFonts w:ascii="Arial" w:cs="Arial" w:eastAsia="Arial" w:hAnsi="Arial"/>
                <w:sz w:val="17"/>
                <w:szCs w:val="17"/>
                <w:b w:val="1"/>
                <w:bCs w:val="1"/>
                <w:color w:val="auto"/>
                <w:w w:val="88"/>
              </w:rPr>
              <w:t>Consolidated Statements of Operations Data, as a percentage of revenue:</w:t>
            </w:r>
          </w:p>
        </w:tc>
        <w:tc>
          <w:tcPr>
            <w:tcW w:w="740" w:type="dxa"/>
            <w:vAlign w:val="bottom"/>
            <w:gridSpan w:val="5"/>
          </w:tcPr>
          <w:p>
            <w:pPr>
              <w:jc w:val="right"/>
              <w:ind w:right="280"/>
              <w:spacing w:after="0" w:line="143" w:lineRule="exact"/>
              <w:rPr>
                <w:sz w:val="20"/>
                <w:szCs w:val="20"/>
                <w:color w:val="auto"/>
              </w:rPr>
            </w:pPr>
            <w:r>
              <w:rPr>
                <w:rFonts w:ascii="Arial" w:cs="Arial" w:eastAsia="Arial" w:hAnsi="Arial"/>
                <w:sz w:val="13"/>
                <w:szCs w:val="13"/>
                <w:b w:val="1"/>
                <w:bCs w:val="1"/>
                <w:color w:val="auto"/>
                <w:w w:val="90"/>
              </w:rPr>
              <w:t>Mar. 31,</w:t>
            </w:r>
          </w:p>
        </w:tc>
        <w:tc>
          <w:tcPr>
            <w:tcW w:w="340" w:type="dxa"/>
            <w:vAlign w:val="bottom"/>
            <w:gridSpan w:val="3"/>
          </w:tcPr>
          <w:p>
            <w:pPr>
              <w:jc w:val="right"/>
              <w:ind w:right="22"/>
              <w:spacing w:after="0" w:line="143" w:lineRule="exact"/>
              <w:rPr>
                <w:sz w:val="20"/>
                <w:szCs w:val="20"/>
                <w:color w:val="auto"/>
              </w:rPr>
            </w:pPr>
            <w:r>
              <w:rPr>
                <w:rFonts w:ascii="Arial" w:cs="Arial" w:eastAsia="Arial" w:hAnsi="Arial"/>
                <w:sz w:val="13"/>
                <w:szCs w:val="13"/>
                <w:b w:val="1"/>
                <w:bCs w:val="1"/>
                <w:color w:val="auto"/>
              </w:rPr>
              <w:t>30,</w:t>
            </w:r>
          </w:p>
        </w:tc>
        <w:tc>
          <w:tcPr>
            <w:tcW w:w="160" w:type="dxa"/>
            <w:vAlign w:val="bottom"/>
          </w:tcPr>
          <w:p>
            <w:pPr>
              <w:spacing w:after="0"/>
              <w:rPr>
                <w:sz w:val="12"/>
                <w:szCs w:val="12"/>
                <w:color w:val="auto"/>
              </w:rPr>
            </w:pPr>
          </w:p>
        </w:tc>
        <w:tc>
          <w:tcPr>
            <w:tcW w:w="460" w:type="dxa"/>
            <w:vAlign w:val="bottom"/>
            <w:gridSpan w:val="5"/>
          </w:tcPr>
          <w:p>
            <w:pPr>
              <w:jc w:val="right"/>
              <w:ind w:right="61"/>
              <w:spacing w:after="0" w:line="143" w:lineRule="exact"/>
              <w:rPr>
                <w:sz w:val="20"/>
                <w:szCs w:val="20"/>
                <w:color w:val="auto"/>
              </w:rPr>
            </w:pPr>
            <w:r>
              <w:rPr>
                <w:rFonts w:ascii="Arial" w:cs="Arial" w:eastAsia="Arial" w:hAnsi="Arial"/>
                <w:sz w:val="13"/>
                <w:szCs w:val="13"/>
                <w:b w:val="1"/>
                <w:bCs w:val="1"/>
                <w:color w:val="auto"/>
              </w:rPr>
              <w:t>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5"/>
          </w:tcPr>
          <w:p>
            <w:pPr>
              <w:jc w:val="center"/>
              <w:ind w:right="135"/>
              <w:spacing w:after="0" w:line="143" w:lineRule="exact"/>
              <w:rPr>
                <w:sz w:val="20"/>
                <w:szCs w:val="20"/>
                <w:color w:val="auto"/>
              </w:rPr>
            </w:pPr>
            <w:r>
              <w:rPr>
                <w:rFonts w:ascii="Arial" w:cs="Arial" w:eastAsia="Arial" w:hAnsi="Arial"/>
                <w:sz w:val="13"/>
                <w:szCs w:val="13"/>
                <w:b w:val="1"/>
                <w:bCs w:val="1"/>
                <w:color w:val="auto"/>
                <w:w w:val="85"/>
              </w:rPr>
              <w:t>Dec. 31,</w:t>
            </w:r>
          </w:p>
        </w:tc>
        <w:tc>
          <w:tcPr>
            <w:tcW w:w="680" w:type="dxa"/>
            <w:vAlign w:val="bottom"/>
            <w:gridSpan w:val="5"/>
          </w:tcPr>
          <w:p>
            <w:pPr>
              <w:ind w:left="40"/>
              <w:spacing w:after="0" w:line="143" w:lineRule="exact"/>
              <w:rPr>
                <w:sz w:val="20"/>
                <w:szCs w:val="20"/>
                <w:color w:val="auto"/>
              </w:rPr>
            </w:pPr>
            <w:r>
              <w:rPr>
                <w:rFonts w:ascii="Arial" w:cs="Arial" w:eastAsia="Arial" w:hAnsi="Arial"/>
                <w:sz w:val="13"/>
                <w:szCs w:val="13"/>
                <w:b w:val="1"/>
                <w:bCs w:val="1"/>
                <w:color w:val="auto"/>
              </w:rPr>
              <w:t>Mar. 31,</w:t>
            </w:r>
          </w:p>
        </w:tc>
        <w:tc>
          <w:tcPr>
            <w:tcW w:w="420" w:type="dxa"/>
            <w:vAlign w:val="bottom"/>
          </w:tcPr>
          <w:p>
            <w:pPr>
              <w:jc w:val="right"/>
              <w:ind w:right="46"/>
              <w:spacing w:after="0" w:line="143" w:lineRule="exact"/>
              <w:rPr>
                <w:sz w:val="20"/>
                <w:szCs w:val="20"/>
                <w:color w:val="auto"/>
              </w:rPr>
            </w:pPr>
            <w:r>
              <w:rPr>
                <w:rFonts w:ascii="Arial" w:cs="Arial" w:eastAsia="Arial" w:hAnsi="Arial"/>
                <w:sz w:val="13"/>
                <w:szCs w:val="13"/>
                <w:b w:val="1"/>
                <w:bCs w:val="1"/>
                <w:color w:val="auto"/>
              </w:rPr>
              <w:t>30,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20" w:type="dxa"/>
            <w:vAlign w:val="bottom"/>
            <w:gridSpan w:val="5"/>
            <w:vMerge w:val="continue"/>
          </w:tcPr>
          <w:p>
            <w:pPr>
              <w:spacing w:after="0"/>
              <w:rPr>
                <w:sz w:val="13"/>
                <w:szCs w:val="13"/>
                <w:color w:val="auto"/>
              </w:rPr>
            </w:pPr>
          </w:p>
        </w:tc>
        <w:tc>
          <w:tcPr>
            <w:tcW w:w="480" w:type="dxa"/>
            <w:vAlign w:val="bottom"/>
            <w:gridSpan w:val="3"/>
          </w:tcPr>
          <w:p>
            <w:pPr>
              <w:ind w:left="100"/>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3"/>
                <w:szCs w:val="13"/>
                <w:color w:val="auto"/>
              </w:rPr>
            </w:pPr>
          </w:p>
        </w:tc>
        <w:tc>
          <w:tcPr>
            <w:tcW w:w="460" w:type="dxa"/>
            <w:vAlign w:val="bottom"/>
            <w:gridSpan w:val="5"/>
          </w:tcPr>
          <w:p>
            <w:pPr>
              <w:jc w:val="right"/>
              <w:ind w:right="2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6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Arial" w:cs="Arial" w:eastAsia="Arial" w:hAnsi="Arial"/>
                <w:sz w:val="17"/>
                <w:szCs w:val="17"/>
                <w:color w:val="auto"/>
              </w:rPr>
              <w:t>Cost of services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15"/>
              <w:spacing w:after="0"/>
              <w:rPr>
                <w:sz w:val="20"/>
                <w:szCs w:val="20"/>
                <w:color w:val="auto"/>
              </w:rPr>
            </w:pPr>
            <w:r>
              <w:rPr>
                <w:rFonts w:ascii="Arial" w:cs="Arial" w:eastAsia="Arial" w:hAnsi="Arial"/>
                <w:sz w:val="17"/>
                <w:szCs w:val="17"/>
                <w:color w:val="auto"/>
              </w:rPr>
              <w:t>82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95"/>
              <w:spacing w:after="0"/>
              <w:rPr>
                <w:sz w:val="20"/>
                <w:szCs w:val="20"/>
                <w:color w:val="auto"/>
              </w:rPr>
            </w:pPr>
            <w:r>
              <w:rPr>
                <w:rFonts w:ascii="Arial" w:cs="Arial" w:eastAsia="Arial" w:hAnsi="Arial"/>
                <w:sz w:val="17"/>
                <w:szCs w:val="17"/>
                <w:color w:val="auto"/>
                <w:w w:val="73"/>
              </w:rPr>
              <w:t>81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7"/>
                <w:szCs w:val="17"/>
                <w:color w:val="auto"/>
                <w:w w:val="94"/>
              </w:rPr>
              <w:t>82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3"/>
          </w:tcPr>
          <w:p>
            <w:pPr>
              <w:jc w:val="right"/>
              <w:ind w:right="135"/>
              <w:spacing w:after="0"/>
              <w:rPr>
                <w:sz w:val="20"/>
                <w:szCs w:val="20"/>
                <w:color w:val="auto"/>
              </w:rPr>
            </w:pPr>
            <w:r>
              <w:rPr>
                <w:rFonts w:ascii="Arial" w:cs="Arial" w:eastAsia="Arial" w:hAnsi="Arial"/>
                <w:sz w:val="17"/>
                <w:szCs w:val="17"/>
                <w:color w:val="auto"/>
                <w:w w:val="84"/>
              </w:rPr>
              <w:t>81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3"/>
          </w:tcPr>
          <w:p>
            <w:pPr>
              <w:jc w:val="right"/>
              <w:ind w:right="75"/>
              <w:spacing w:after="0"/>
              <w:rPr>
                <w:sz w:val="20"/>
                <w:szCs w:val="20"/>
                <w:color w:val="auto"/>
              </w:rPr>
            </w:pPr>
            <w:r>
              <w:rPr>
                <w:rFonts w:ascii="Arial" w:cs="Arial" w:eastAsia="Arial" w:hAnsi="Arial"/>
                <w:sz w:val="17"/>
                <w:szCs w:val="17"/>
                <w:color w:val="auto"/>
                <w:w w:val="94"/>
              </w:rPr>
              <w:t>79</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18</w:t>
            </w: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73"/>
              </w:rPr>
              <w:t>19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4"/>
              </w:rPr>
              <w:t>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w w:val="84"/>
              </w:rPr>
              <w:t>19</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w w:val="94"/>
              </w:rPr>
              <w:t>21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8</w:t>
            </w: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7</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rPr>
              <w:t>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15"/>
              <w:spacing w:after="0"/>
              <w:rPr>
                <w:sz w:val="20"/>
                <w:szCs w:val="20"/>
                <w:color w:val="auto"/>
              </w:rPr>
            </w:pPr>
            <w:r>
              <w:rPr>
                <w:rFonts w:ascii="Arial" w:cs="Arial" w:eastAsia="Arial" w:hAnsi="Arial"/>
                <w:sz w:val="17"/>
                <w:szCs w:val="17"/>
                <w:color w:val="auto"/>
              </w:rPr>
              <w:t>18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95"/>
              <w:spacing w:after="0"/>
              <w:rPr>
                <w:sz w:val="20"/>
                <w:szCs w:val="20"/>
                <w:color w:val="auto"/>
              </w:rPr>
            </w:pPr>
            <w:r>
              <w:rPr>
                <w:rFonts w:ascii="Arial" w:cs="Arial" w:eastAsia="Arial" w:hAnsi="Arial"/>
                <w:sz w:val="17"/>
                <w:szCs w:val="17"/>
                <w:color w:val="auto"/>
                <w:w w:val="73"/>
              </w:rPr>
              <w:t>14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7"/>
                <w:szCs w:val="17"/>
                <w:color w:val="auto"/>
                <w:w w:val="94"/>
              </w:rPr>
              <w:t>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3"/>
          </w:tcPr>
          <w:p>
            <w:pPr>
              <w:jc w:val="right"/>
              <w:ind w:right="135"/>
              <w:spacing w:after="0"/>
              <w:rPr>
                <w:sz w:val="20"/>
                <w:szCs w:val="20"/>
                <w:color w:val="auto"/>
              </w:rPr>
            </w:pPr>
            <w:r>
              <w:rPr>
                <w:rFonts w:ascii="Arial" w:cs="Arial" w:eastAsia="Arial" w:hAnsi="Arial"/>
                <w:sz w:val="17"/>
                <w:szCs w:val="17"/>
                <w:color w:val="auto"/>
                <w:w w:val="84"/>
              </w:rPr>
              <w:t>14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3"/>
          </w:tcPr>
          <w:p>
            <w:pPr>
              <w:jc w:val="right"/>
              <w:ind w:right="75"/>
              <w:spacing w:after="0"/>
              <w:rPr>
                <w:sz w:val="20"/>
                <w:szCs w:val="20"/>
                <w:color w:val="auto"/>
              </w:rPr>
            </w:pPr>
            <w:r>
              <w:rPr>
                <w:rFonts w:ascii="Arial" w:cs="Arial" w:eastAsia="Arial" w:hAnsi="Arial"/>
                <w:sz w:val="17"/>
                <w:szCs w:val="17"/>
                <w:color w:val="auto"/>
                <w:w w:val="94"/>
              </w:rPr>
              <w:t>10</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26</w:t>
            </w: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73"/>
              </w:rPr>
              <w:t>21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4"/>
              </w:rPr>
              <w:t>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w w:val="84"/>
              </w:rPr>
              <w:t>21</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w w:val="94"/>
              </w:rPr>
              <w:t>15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7"/>
                <w:szCs w:val="17"/>
                <w:color w:val="auto"/>
              </w:rPr>
              <w:t>(Loss) income from operations</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75"/>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35"/>
              <w:spacing w:after="0"/>
              <w:rPr>
                <w:sz w:val="20"/>
                <w:szCs w:val="20"/>
                <w:color w:val="auto"/>
              </w:rPr>
            </w:pPr>
            <w:r>
              <w:rPr>
                <w:rFonts w:ascii="Arial" w:cs="Arial" w:eastAsia="Arial" w:hAnsi="Arial"/>
                <w:sz w:val="17"/>
                <w:szCs w:val="17"/>
                <w:color w:val="auto"/>
                <w:w w:val="96"/>
              </w:rPr>
              <w:t>(2)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3"/>
          </w:tcPr>
          <w:p>
            <w:pPr>
              <w:jc w:val="right"/>
              <w:ind w:right="75"/>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160" w:type="dxa"/>
            <w:vAlign w:val="bottom"/>
            <w:vMerge w:val="continue"/>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other expense, net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7"/>
                <w:szCs w:val="17"/>
                <w:color w:val="auto"/>
              </w:rPr>
              <w:t>(Loss) income from continuing operations, before tax</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35"/>
              <w:spacing w:after="0"/>
              <w:rPr>
                <w:sz w:val="20"/>
                <w:szCs w:val="20"/>
                <w:color w:val="auto"/>
              </w:rPr>
            </w:pPr>
            <w:r>
              <w:rPr>
                <w:rFonts w:ascii="Arial" w:cs="Arial" w:eastAsia="Arial" w:hAnsi="Arial"/>
                <w:sz w:val="17"/>
                <w:szCs w:val="17"/>
                <w:color w:val="auto"/>
                <w:w w:val="96"/>
              </w:rPr>
              <w:t>(5)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3"/>
          </w:tcPr>
          <w:p>
            <w:pPr>
              <w:jc w:val="right"/>
              <w:ind w:right="75"/>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160" w:type="dxa"/>
            <w:vAlign w:val="bottom"/>
            <w:vMerge w:val="continue"/>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Benefit for income taxes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2</w:t>
            </w: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7"/>
                <w:szCs w:val="17"/>
                <w:color w:val="auto"/>
              </w:rPr>
              <w:t>Net (loss) income from continuing operations</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w w:val="94"/>
              </w:rPr>
              <w:t>(4)%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5%</w:t>
            </w: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6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Adjusted EBITDA</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gridSpan w:val="4"/>
            <w:shd w:val="clear" w:color="auto" w:fill="CCEEFF"/>
          </w:tcPr>
          <w:p>
            <w:pPr>
              <w:jc w:val="right"/>
              <w:spacing w:after="0" w:line="186" w:lineRule="exact"/>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9%</w:t>
            </w:r>
          </w:p>
        </w:tc>
        <w:tc>
          <w:tcPr>
            <w:tcW w:w="580" w:type="dxa"/>
            <w:vAlign w:val="bottom"/>
            <w:gridSpan w:val="3"/>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Revenue Trends</w:t>
      </w:r>
    </w:p>
    <w:p>
      <w:pPr>
        <w:spacing w:after="0" w:line="222" w:lineRule="exact"/>
        <w:rPr>
          <w:sz w:val="20"/>
          <w:szCs w:val="20"/>
          <w:color w:val="auto"/>
        </w:rPr>
      </w:pPr>
    </w:p>
    <w:p>
      <w:pPr>
        <w:ind w:firstLine="336"/>
        <w:spacing w:after="0" w:line="259" w:lineRule="auto"/>
        <w:rPr>
          <w:sz w:val="20"/>
          <w:szCs w:val="20"/>
          <w:color w:val="auto"/>
        </w:rPr>
      </w:pPr>
      <w:r>
        <w:rPr>
          <w:rFonts w:ascii="Arial" w:cs="Arial" w:eastAsia="Arial" w:hAnsi="Arial"/>
          <w:sz w:val="17"/>
          <w:szCs w:val="17"/>
          <w:color w:val="auto"/>
        </w:rPr>
        <w:t>Our quarterly revenue increased sequentially for all periods presented primarily due to sales of our solutions to new clients as well as an increase in the adoption and utilization of our fertility benefits and pharmacy benefits solutions by our clients and their members. Given that the majority of our clients contract with us for a January 1st benefits plan start date, the first quarter has historically been the strongest in terms of sequential quarterly growth. We have in the past and expect in the future to experience seasonal fluctuations in our revenue as more members choose to start their fertility journey while also seeking to minimize their out of pocket costs as the calendar year progresses.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Cost of Services, Gross Profit and Gross Margin Trends</w:t>
      </w:r>
    </w:p>
    <w:p>
      <w:pPr>
        <w:spacing w:after="0" w:line="222" w:lineRule="exact"/>
        <w:rPr>
          <w:sz w:val="20"/>
          <w:szCs w:val="20"/>
          <w:color w:val="auto"/>
        </w:rPr>
      </w:pPr>
    </w:p>
    <w:p>
      <w:pPr>
        <w:ind w:right="300" w:firstLine="336"/>
        <w:spacing w:after="0" w:line="316" w:lineRule="auto"/>
        <w:rPr>
          <w:sz w:val="20"/>
          <w:szCs w:val="20"/>
          <w:color w:val="auto"/>
        </w:rPr>
      </w:pPr>
      <w:r>
        <w:rPr>
          <w:rFonts w:ascii="Arial" w:cs="Arial" w:eastAsia="Arial" w:hAnsi="Arial"/>
          <w:sz w:val="15"/>
          <w:szCs w:val="15"/>
          <w:color w:val="auto"/>
        </w:rPr>
        <w:t>Cost of services has generally increased sequentially as a result of the increase in our revenue. Gross profit in absolute dollar terms increased sequentially for all periods presented, primarily due to growth in revenue. Gross margin increased from 18%-19% throughout the four quarters of 2018 to 20-21% during the first two quarters of 2019 primarily due to increased operating efficiencies and the mix of geographies and fertility specialists at which treatments were performed.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Expense Trends</w:t>
      </w:r>
    </w:p>
    <w:p>
      <w:pPr>
        <w:spacing w:after="0" w:line="222" w:lineRule="exact"/>
        <w:rPr>
          <w:sz w:val="20"/>
          <w:szCs w:val="20"/>
          <w:color w:val="auto"/>
        </w:rPr>
      </w:pPr>
    </w:p>
    <w:p>
      <w:pPr>
        <w:ind w:right="100" w:firstLine="336"/>
        <w:spacing w:after="0" w:line="276" w:lineRule="auto"/>
        <w:rPr>
          <w:sz w:val="20"/>
          <w:szCs w:val="20"/>
          <w:color w:val="auto"/>
        </w:rPr>
      </w:pPr>
      <w:r>
        <w:rPr>
          <w:rFonts w:ascii="Arial" w:cs="Arial" w:eastAsia="Arial" w:hAnsi="Arial"/>
          <w:sz w:val="17"/>
          <w:szCs w:val="17"/>
          <w:color w:val="auto"/>
        </w:rPr>
        <w:t>Sales and Marketing expenses increased sequentially as a result of the increase in personnel related costs due to additional headcount and commission for sales and marketing functions. General and Administrative expenses increased sequentially as a result of additional headcount.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2" w:lineRule="exact"/>
        <w:rPr>
          <w:sz w:val="20"/>
          <w:szCs w:val="20"/>
          <w:color w:val="auto"/>
        </w:rPr>
      </w:pPr>
    </w:p>
    <w:p>
      <w:pPr>
        <w:ind w:firstLine="327"/>
        <w:spacing w:after="0" w:line="289" w:lineRule="auto"/>
        <w:rPr>
          <w:sz w:val="20"/>
          <w:szCs w:val="20"/>
          <w:color w:val="auto"/>
        </w:rPr>
      </w:pPr>
      <w:r>
        <w:rPr>
          <w:rFonts w:ascii="Arial" w:cs="Arial" w:eastAsia="Arial" w:hAnsi="Arial"/>
          <w:sz w:val="15"/>
          <w:szCs w:val="15"/>
          <w:color w:val="auto"/>
        </w:rPr>
        <w:t>As of June 30, 2019, we had $0.3 million of cash and cash equivalents and $11.9 million of cash available on the revolving line of credit with Silicon Valley Bank. Since inception, we have financed our operations primarily through sales of our solutions and the net proceeds we have received from sales of equity securities as further detailed below. As of December 31, 2018, our principal sources of liquidity were cash and cash equivalents totaling $0.1 million and $6.9 million of cash available on the revolving line of credit.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w:t>
      </w:r>
    </w:p>
    <w:p>
      <w:pPr>
        <w:spacing w:after="0" w:line="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January 1</w:t>
      </w:r>
      <w:r>
        <w:rPr>
          <w:rFonts w:ascii="Arial" w:cs="Arial" w:eastAsia="Arial" w:hAnsi="Arial"/>
          <w:sz w:val="28"/>
          <w:szCs w:val="28"/>
          <w:color w:val="auto"/>
          <w:vertAlign w:val="superscript"/>
        </w:rPr>
        <w:t>st</w:t>
      </w:r>
      <w:r>
        <w:rPr>
          <w:rFonts w:ascii="Arial" w:cs="Arial" w:eastAsia="Arial" w:hAnsi="Arial"/>
          <w:sz w:val="17"/>
          <w:szCs w:val="17"/>
          <w:color w:val="auto"/>
        </w:rPr>
        <w:t>, our accounts receivable has historically increased more than our accounts payable, accrued expenses and other current liabilities. Those factors have contributed to negative cash flows from operations for the six months ended June 30, 2018 and 2019. Historically, these timing impacts have reversed throughout the remainder of the calendar year. Accordingly, our working capital, and its impact on cash flow from operations, can fluctuate materially from period to period. We believe that our existing cash and cash equivalents, cash flow from operations and the cash available on the revolving line of credit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205" w:lineRule="exact"/>
        <w:rPr>
          <w:sz w:val="20"/>
          <w:szCs w:val="20"/>
          <w:color w:val="auto"/>
        </w:rPr>
      </w:pPr>
    </w:p>
    <w:p>
      <w:pPr>
        <w:ind w:right="60" w:firstLine="333"/>
        <w:spacing w:after="0" w:line="261"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84" w:lineRule="exact"/>
        <w:rPr>
          <w:sz w:val="20"/>
          <w:szCs w:val="20"/>
          <w:color w:val="auto"/>
        </w:rPr>
      </w:pPr>
    </w:p>
    <w:p>
      <w:pPr>
        <w:ind w:right="60" w:firstLine="336"/>
        <w:spacing w:after="0" w:line="302" w:lineRule="auto"/>
        <w:rPr>
          <w:sz w:val="20"/>
          <w:szCs w:val="20"/>
          <w:color w:val="auto"/>
        </w:rPr>
      </w:pPr>
      <w:r>
        <w:rPr>
          <w:rFonts w:ascii="Arial" w:cs="Arial" w:eastAsia="Arial" w:hAnsi="Arial"/>
          <w:sz w:val="15"/>
          <w:szCs w:val="15"/>
          <w:color w:val="auto"/>
        </w:rPr>
        <w:t>In June 2018, we entered into an agreement with Silicon Valley Bank to replace our outstanding term loan with a revolving line of credit of up to $15.0 million that will mature on June 8, 2021. The available revolving line of credit is based upon an advance rate of 80% of "eligible" accounts receivable and may be used to fund our working capital and other general corporate needs. Eligible accounts receivable includes accounts billed with aging 90 days or less and excludes accounts receivable due for member copayments, coinsurance, and deductibles. The principal amount outstanding will accrue at a floating per annum rate of the greater of (1) the prime rate (as defined in the agreement) or 0.5% above the prime rate depending on whether certain conditions have been met and (2) 4.75%.</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flows from continuing operations for the periods presented:</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5"/>
          </w:tcPr>
          <w:p>
            <w:pPr>
              <w:jc w:val="right"/>
              <w:ind w:right="495"/>
              <w:spacing w:after="0"/>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3"/>
                <w:szCs w:val="13"/>
                <w:color w:val="auto"/>
              </w:rPr>
            </w:pPr>
          </w:p>
        </w:tc>
        <w:tc>
          <w:tcPr>
            <w:tcW w:w="16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5"/>
          </w:tcPr>
          <w:p>
            <w:pPr>
              <w:jc w:val="right"/>
              <w:ind w:right="435"/>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3"/>
                <w:szCs w:val="13"/>
                <w:color w:val="auto"/>
              </w:rPr>
            </w:pPr>
          </w:p>
        </w:tc>
        <w:tc>
          <w:tcPr>
            <w:tcW w:w="920" w:type="dxa"/>
            <w:vAlign w:val="bottom"/>
            <w:gridSpan w:val="3"/>
          </w:tcPr>
          <w:p>
            <w:pPr>
              <w:jc w:val="center"/>
              <w:ind w:left="306"/>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57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4"/>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2"/>
              <w:spacing w:after="0" w:line="136"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60"/>
              <w:spacing w:after="0" w:line="136"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1"/>
                <w:szCs w:val="11"/>
                <w:color w:val="auto"/>
              </w:rPr>
            </w:pPr>
          </w:p>
        </w:tc>
      </w:tr>
      <w:tr>
        <w:trPr>
          <w:trHeight w:val="122"/>
        </w:trPr>
        <w:tc>
          <w:tcPr>
            <w:tcW w:w="5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22"/>
              <w:spacing w:after="0" w:line="123" w:lineRule="exact"/>
              <w:rPr>
                <w:sz w:val="20"/>
                <w:szCs w:val="20"/>
                <w:color w:val="auto"/>
              </w:rPr>
            </w:pPr>
            <w:r>
              <w:rPr>
                <w:rFonts w:ascii="Arial" w:cs="Arial" w:eastAsia="Arial" w:hAnsi="Arial"/>
                <w:sz w:val="13"/>
                <w:szCs w:val="13"/>
                <w:b w:val="1"/>
                <w:bCs w:val="1"/>
                <w:color w:val="auto"/>
              </w:rPr>
              <w:t>(in</w:t>
            </w:r>
          </w:p>
        </w:tc>
        <w:tc>
          <w:tcPr>
            <w:tcW w:w="880" w:type="dxa"/>
            <w:vAlign w:val="bottom"/>
            <w:gridSpan w:val="3"/>
          </w:tcPr>
          <w:p>
            <w:pPr>
              <w:jc w:val="right"/>
              <w:ind w:right="266"/>
              <w:spacing w:after="0" w:line="123" w:lineRule="exact"/>
              <w:rPr>
                <w:sz w:val="20"/>
                <w:szCs w:val="20"/>
                <w:color w:val="auto"/>
              </w:rPr>
            </w:pPr>
            <w:r>
              <w:rPr>
                <w:rFonts w:ascii="Arial" w:cs="Arial" w:eastAsia="Arial" w:hAnsi="Arial"/>
                <w:sz w:val="13"/>
                <w:szCs w:val="13"/>
                <w:b w:val="1"/>
                <w:bCs w:val="1"/>
                <w:color w:val="auto"/>
                <w:w w:val="74"/>
              </w:rPr>
              <w:t>thousands)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5"/>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3"/>
              </w:rPr>
              <w:t>(unaudited)</w:t>
            </w:r>
          </w:p>
        </w:tc>
      </w:tr>
      <w:tr>
        <w:trPr>
          <w:trHeight w:val="207"/>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Cash (used in)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2,272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(1,924)</w:t>
            </w:r>
          </w:p>
        </w:tc>
      </w:tr>
      <w:tr>
        <w:trPr>
          <w:trHeight w:val="207"/>
        </w:trPr>
        <w:tc>
          <w:tcPr>
            <w:tcW w:w="5700" w:type="dxa"/>
            <w:vAlign w:val="bottom"/>
          </w:tcPr>
          <w:p>
            <w:pPr>
              <w:spacing w:after="0"/>
              <w:rPr>
                <w:sz w:val="20"/>
                <w:szCs w:val="20"/>
                <w:color w:val="auto"/>
              </w:rPr>
            </w:pPr>
            <w:r>
              <w:rPr>
                <w:rFonts w:ascii="Arial" w:cs="Arial" w:eastAsia="Arial" w:hAnsi="Arial"/>
                <w:sz w:val="17"/>
                <w:szCs w:val="17"/>
                <w:color w:val="auto"/>
              </w:rPr>
              <w:t>Cash (used in) investing activities</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(612)</w:t>
            </w:r>
          </w:p>
        </w:tc>
        <w:tc>
          <w:tcPr>
            <w:tcW w:w="14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Arial" w:cs="Arial" w:eastAsia="Arial" w:hAnsi="Arial"/>
                <w:sz w:val="17"/>
                <w:szCs w:val="17"/>
                <w:color w:val="auto"/>
              </w:rPr>
              <w:t>(579)</w:t>
            </w: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(365)</w:t>
            </w: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(258)</w:t>
            </w:r>
          </w:p>
        </w:tc>
      </w:tr>
      <w:tr>
        <w:trPr>
          <w:trHeight w:val="207"/>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(used in) financing activities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11,766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(8,738)</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(5,124)</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2,153</w:t>
            </w:r>
          </w:p>
        </w:tc>
      </w:tr>
      <w:tr>
        <w:trPr>
          <w:trHeight w:val="191"/>
        </w:trPr>
        <w:tc>
          <w:tcPr>
            <w:tcW w:w="5700" w:type="dxa"/>
            <w:vAlign w:val="bottom"/>
          </w:tcPr>
          <w:p>
            <w:pPr>
              <w:ind w:left="180"/>
              <w:spacing w:after="0" w:line="191" w:lineRule="exact"/>
              <w:rPr>
                <w:sz w:val="20"/>
                <w:szCs w:val="20"/>
                <w:color w:val="auto"/>
              </w:rPr>
            </w:pPr>
            <w:r>
              <w:rPr>
                <w:rFonts w:ascii="Arial" w:cs="Arial" w:eastAsia="Arial" w:hAnsi="Arial"/>
                <w:sz w:val="17"/>
                <w:szCs w:val="17"/>
                <w:color w:val="auto"/>
              </w:rPr>
              <w:t>Net increase (decrease) in cash and cash equivalents from continuing</w:t>
            </w: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5"/>
        </w:trPr>
        <w:tc>
          <w:tcPr>
            <w:tcW w:w="5700" w:type="dxa"/>
            <w:vAlign w:val="bottom"/>
          </w:tcPr>
          <w:p>
            <w:pPr>
              <w:ind w:left="360"/>
              <w:spacing w:after="0"/>
              <w:rPr>
                <w:sz w:val="20"/>
                <w:szCs w:val="20"/>
                <w:color w:val="auto"/>
              </w:rPr>
            </w:pPr>
            <w:r>
              <w:rPr>
                <w:rFonts w:ascii="Arial" w:cs="Arial" w:eastAsia="Arial" w:hAnsi="Arial"/>
                <w:sz w:val="17"/>
                <w:szCs w:val="17"/>
                <w:color w:val="auto"/>
              </w:rPr>
              <w:t>operations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1,735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5"/>
              <w:spacing w:after="0"/>
              <w:rPr>
                <w:sz w:val="20"/>
                <w:szCs w:val="20"/>
                <w:color w:val="auto"/>
              </w:rPr>
            </w:pPr>
            <w:r>
              <w:rPr>
                <w:rFonts w:ascii="Arial" w:cs="Arial" w:eastAsia="Arial" w:hAnsi="Arial"/>
                <w:sz w:val="17"/>
                <w:szCs w:val="17"/>
                <w:color w:val="auto"/>
              </w:rPr>
              <w:t>(7,045)</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(6,765)</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18" w:lineRule="exact"/>
        <w:rPr>
          <w:sz w:val="20"/>
          <w:szCs w:val="20"/>
          <w:color w:val="auto"/>
        </w:rPr>
      </w:pPr>
    </w:p>
    <w:p>
      <w:pPr>
        <w:ind w:right="120" w:firstLine="336"/>
        <w:spacing w:after="0" w:line="299" w:lineRule="auto"/>
        <w:rPr>
          <w:sz w:val="20"/>
          <w:szCs w:val="20"/>
          <w:color w:val="auto"/>
        </w:rPr>
      </w:pPr>
      <w:r>
        <w:rPr>
          <w:rFonts w:ascii="Arial" w:cs="Arial" w:eastAsia="Arial" w:hAnsi="Arial"/>
          <w:sz w:val="15"/>
          <w:szCs w:val="15"/>
          <w:color w:val="auto"/>
        </w:rPr>
        <w:t>Net cash provided by operating activities was $2.3 million for the year ended December 31, 2018, primarily consisting of $0.7 million net income, adjusted for certain non-cash items, which include $3.0 million of stock-based compensation, $2.9 million change in fair value of warrant liabilities, $1.9 million depreciation and amortization, and $0.8 million from bad debt expense and impacted by a loss from discontinued operations of $5.8 million. The non-cash adjustments were partially offset by a $1.8 million increase in deferred tax benefits resulting from the sale of a discontinued business. Changes in operating assets and liabilities included increases in accounts receivable of $12.8 million, accounts payable of $10.4 million and accrued expenses and other current liabilities of $2.8 million reflecting the impact of revenue growth combined with the timing of payments to third party providers and collections from clients on net working capital.</w:t>
      </w:r>
    </w:p>
    <w:p>
      <w:pPr>
        <w:spacing w:after="0" w:line="159" w:lineRule="exact"/>
        <w:rPr>
          <w:sz w:val="20"/>
          <w:szCs w:val="20"/>
          <w:color w:val="auto"/>
        </w:rPr>
      </w:pPr>
    </w:p>
    <w:p>
      <w:pPr>
        <w:ind w:firstLine="336"/>
        <w:spacing w:after="0" w:line="258" w:lineRule="auto"/>
        <w:rPr>
          <w:sz w:val="20"/>
          <w:szCs w:val="20"/>
          <w:color w:val="auto"/>
        </w:rPr>
      </w:pPr>
      <w:r>
        <w:rPr>
          <w:rFonts w:ascii="Arial" w:cs="Arial" w:eastAsia="Arial" w:hAnsi="Arial"/>
          <w:sz w:val="17"/>
          <w:szCs w:val="17"/>
          <w:color w:val="auto"/>
        </w:rPr>
        <w:t>Net cash used in operating activities was $9.4 million for the year ended December 31, 2017, primarily consisting of $12.5 million net loss from continuing operations, adjusted for certain non-cash items, which include $1.6 million of stock-based compensation, $1.6 million depreciation and amortization, $0.7 million change in fair value of warrant liabilities, $0.4 million from bad debt expense and $0.2 million accretion of debt discount and debt issuance costs. Changes in operating assets and liabilities included increases in accounts receivable of $2.0 million and accrued expenses and other current liabilities of $2.0 million, partially offset by a decrease accounts payable of $0.9 million reflecting the impact of revenue growth combined with the timing of payments to third party providers and collections from clients on net working capital.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$11.7 million increase in cash provided by operating activities for the year ended December 31, 2018 compared to the prior year was primarily due to a</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$7.3 million decrease in our net loss from continuing operations. We also recognized an increase in non-cash expenses associated with warrants of $2.2 million, stock-</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based compensation of $1.4 million and $0.8 million of other expenses, offset by an increase in non-cash income tax benefit of $1.8 million. In addition, there was an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increase in cash provided by changes in working capital of $1.8 million due to timing of vendor payments and client payments.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in operating activities was $1.9 million for the six months ended June 30, 2019, primarily consisting of $4.0 million net income from continuing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operations adjusted for certain non-cash items, which include $1.5 million stock-based compensation expense, $1.2 million change in fair value of warrant liabilities,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$1.1 million depreciation and amortization, and $1.1 million from bad debt expense. Changes in operating assets and liabilities included increases in accounts receivable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of $22.0 million reflecting the impact of revenue growth combined with the timing of payments to third party providers and collections from clients on net working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capital.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500" w:firstLine="336"/>
        <w:spacing w:after="0" w:line="292" w:lineRule="auto"/>
        <w:rPr>
          <w:sz w:val="20"/>
          <w:szCs w:val="20"/>
          <w:color w:val="auto"/>
        </w:rPr>
      </w:pPr>
      <w:r>
        <w:rPr>
          <w:rFonts w:ascii="Arial" w:cs="Arial" w:eastAsia="Arial" w:hAnsi="Arial"/>
          <w:sz w:val="15"/>
          <w:szCs w:val="15"/>
          <w:color w:val="auto"/>
        </w:rPr>
        <w:t>Net cash used in operating activities was $1.3 million for the six months ended June 30, 2018, primarily consisting of $2.4 million net loss from continuing operations adjusted for certain non-cash items, which include $1.5 million from stock-based compensation, $0.6 million change in fair value of warrant liabilities,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$1.5 million depreciation and amortization, $0.5 million from bad debt expense, $0.1 million loss on debt extinguishment, and $0.1 million accretion on debt. These non-cash adjustments were partially offset by a $0.8 million increase in deferred tax benefits. Changes in operating assets and liabilities included increases in accounts receivable of $1.8 million reflecting the impact of revenue growth combined with the timing of payments to third party providers and collections from clients on net working capital.</w:t>
      </w:r>
    </w:p>
    <w:p>
      <w:pPr>
        <w:spacing w:after="0" w:line="187" w:lineRule="exact"/>
        <w:rPr>
          <w:sz w:val="20"/>
          <w:szCs w:val="20"/>
          <w:color w:val="auto"/>
        </w:rPr>
      </w:pPr>
    </w:p>
    <w:p>
      <w:pPr>
        <w:ind w:firstLine="333"/>
        <w:spacing w:after="0" w:line="307" w:lineRule="auto"/>
        <w:rPr>
          <w:sz w:val="20"/>
          <w:szCs w:val="20"/>
          <w:color w:val="auto"/>
        </w:rPr>
      </w:pPr>
      <w:r>
        <w:rPr>
          <w:rFonts w:ascii="Arial" w:cs="Arial" w:eastAsia="Arial" w:hAnsi="Arial"/>
          <w:sz w:val="15"/>
          <w:szCs w:val="15"/>
          <w:color w:val="auto"/>
        </w:rPr>
        <w:t>The $0.6 million increase in cash used in operating activities for the six months ended June 30, 2019 compared to the same period in prior year was primarily due to $9.1 million decrease in cash flows from working capital resulting from the impact of revenue growth combined with the timing of payments to third party providers and collections from clients. The decrease in cash flow from working capital as compared to prior year were partially offset by $6.4 million increase to net income from continuing operations and an increase in non-cash expense of $2.1 million related to warrants, bad debt expenses, stock-based compensation and deferred tax benefits.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18" w:lineRule="exact"/>
        <w:rPr>
          <w:sz w:val="20"/>
          <w:szCs w:val="20"/>
          <w:color w:val="auto"/>
        </w:rPr>
      </w:pPr>
    </w:p>
    <w:p>
      <w:pPr>
        <w:ind w:right="300" w:firstLine="336"/>
        <w:spacing w:after="0" w:line="276" w:lineRule="auto"/>
        <w:rPr>
          <w:sz w:val="20"/>
          <w:szCs w:val="20"/>
          <w:color w:val="auto"/>
        </w:rPr>
      </w:pPr>
      <w:r>
        <w:rPr>
          <w:rFonts w:ascii="Arial" w:cs="Arial" w:eastAsia="Arial" w:hAnsi="Arial"/>
          <w:sz w:val="17"/>
          <w:szCs w:val="17"/>
          <w:color w:val="auto"/>
        </w:rPr>
        <w:t>Net cash used in investing activities from continuing operations was $0.6 million for the year ended December 31, 2018 primarily consisting of $0.4 million for purchase of computers and software and the remaining $0.2 million related to leasehold improvements and furniture.</w:t>
      </w:r>
    </w:p>
    <w:p>
      <w:pPr>
        <w:spacing w:after="0" w:line="171" w:lineRule="exact"/>
        <w:rPr>
          <w:sz w:val="20"/>
          <w:szCs w:val="20"/>
          <w:color w:val="auto"/>
        </w:rPr>
      </w:pPr>
    </w:p>
    <w:p>
      <w:pPr>
        <w:ind w:right="40" w:firstLine="336"/>
        <w:spacing w:after="0" w:line="276" w:lineRule="auto"/>
        <w:rPr>
          <w:sz w:val="20"/>
          <w:szCs w:val="20"/>
          <w:color w:val="auto"/>
        </w:rPr>
      </w:pPr>
      <w:r>
        <w:rPr>
          <w:rFonts w:ascii="Arial" w:cs="Arial" w:eastAsia="Arial" w:hAnsi="Arial"/>
          <w:sz w:val="17"/>
          <w:szCs w:val="17"/>
          <w:color w:val="auto"/>
        </w:rPr>
        <w:t>Net cash used for investing activities from continuing operations was $0.6 million for the year ended December 31, 2017, consisting of $0.3 million for purchase of computers and software and $0.3 million related to leasehold improvements and furniture.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in investing activities was $0.3 million for the six months ended June 30, 2019 primarily consisting of purchases of computers and software.</w:t>
      </w:r>
    </w:p>
    <w:p>
      <w:pPr>
        <w:spacing w:after="0" w:line="230" w:lineRule="exact"/>
        <w:rPr>
          <w:sz w:val="20"/>
          <w:szCs w:val="20"/>
          <w:color w:val="auto"/>
        </w:rPr>
      </w:pPr>
    </w:p>
    <w:p>
      <w:pPr>
        <w:ind w:right="200" w:firstLine="336"/>
        <w:spacing w:after="0" w:line="276" w:lineRule="auto"/>
        <w:rPr>
          <w:sz w:val="20"/>
          <w:szCs w:val="20"/>
          <w:color w:val="auto"/>
        </w:rPr>
      </w:pPr>
      <w:r>
        <w:rPr>
          <w:rFonts w:ascii="Arial" w:cs="Arial" w:eastAsia="Arial" w:hAnsi="Arial"/>
          <w:sz w:val="17"/>
          <w:szCs w:val="17"/>
          <w:color w:val="auto"/>
        </w:rPr>
        <w:t>Net cash used in investing activities was $0.4 million for the six months ended June 30, 2018 primarily consisting of purchases of computers, software, leasehold improvements and furniture.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18" w:lineRule="exact"/>
        <w:rPr>
          <w:sz w:val="20"/>
          <w:szCs w:val="20"/>
          <w:color w:val="auto"/>
        </w:rPr>
      </w:pPr>
    </w:p>
    <w:p>
      <w:pPr>
        <w:ind w:right="140" w:firstLine="336"/>
        <w:spacing w:after="0" w:line="289" w:lineRule="auto"/>
        <w:rPr>
          <w:sz w:val="20"/>
          <w:szCs w:val="20"/>
          <w:color w:val="auto"/>
        </w:rPr>
      </w:pPr>
      <w:r>
        <w:rPr>
          <w:rFonts w:ascii="Arial" w:cs="Arial" w:eastAsia="Arial" w:hAnsi="Arial"/>
          <w:sz w:val="16"/>
          <w:szCs w:val="16"/>
          <w:color w:val="auto"/>
        </w:rPr>
        <w:t>Net cash used for financing activities was $8.7 million for the year ended December 31, 2018, primarily due to our entering into a loan agreement with Silicon Valley Bank for a new revolving line of credit in June 2018 and, upon execution thereof, repaying and terminating the then-outstanding term loan that had been entered into in November 2015 and $3.7 million of treasury stock purchases of common and preferred stock from existing shareholders.</w:t>
      </w:r>
    </w:p>
    <w:p>
      <w:pPr>
        <w:spacing w:after="0" w:line="163" w:lineRule="exact"/>
        <w:rPr>
          <w:sz w:val="20"/>
          <w:szCs w:val="20"/>
          <w:color w:val="auto"/>
        </w:rPr>
      </w:pPr>
    </w:p>
    <w:p>
      <w:pPr>
        <w:ind w:right="640" w:firstLine="336"/>
        <w:spacing w:after="0" w:line="308" w:lineRule="auto"/>
        <w:rPr>
          <w:sz w:val="20"/>
          <w:szCs w:val="20"/>
          <w:color w:val="auto"/>
        </w:rPr>
      </w:pPr>
      <w:r>
        <w:rPr>
          <w:rFonts w:ascii="Arial" w:cs="Arial" w:eastAsia="Arial" w:hAnsi="Arial"/>
          <w:sz w:val="16"/>
          <w:szCs w:val="16"/>
          <w:color w:val="auto"/>
        </w:rPr>
        <w:t>Net cash provided by financing activities was $11.8 million for the year ended December 31, 2017 primarily consisting of $15.0 million proceeds from our convertible preferred stock and warrants issuance in 2017, offset by a $3.3 million repayment of the then-outstanding term loan.</w:t>
      </w:r>
    </w:p>
    <w:p>
      <w:pPr>
        <w:spacing w:after="0" w:line="149" w:lineRule="exact"/>
        <w:rPr>
          <w:sz w:val="20"/>
          <w:szCs w:val="20"/>
          <w:color w:val="auto"/>
        </w:rPr>
      </w:pPr>
    </w:p>
    <w:p>
      <w:pPr>
        <w:ind w:right="120" w:firstLine="336"/>
        <w:spacing w:after="0" w:line="276" w:lineRule="auto"/>
        <w:rPr>
          <w:sz w:val="20"/>
          <w:szCs w:val="20"/>
          <w:color w:val="auto"/>
        </w:rPr>
      </w:pPr>
      <w:r>
        <w:rPr>
          <w:rFonts w:ascii="Arial" w:cs="Arial" w:eastAsia="Arial" w:hAnsi="Arial"/>
          <w:sz w:val="17"/>
          <w:szCs w:val="17"/>
          <w:color w:val="auto"/>
        </w:rPr>
        <w:t>Net cash provided by financing activities was $2.2 million for the six months ended June 30, 2019, primarily consisting of $2.9 million net draws on our revolving line of credit with Silicon Valley Bank.</w:t>
      </w:r>
    </w:p>
    <w:p>
      <w:pPr>
        <w:spacing w:after="0" w:line="171" w:lineRule="exact"/>
        <w:rPr>
          <w:sz w:val="20"/>
          <w:szCs w:val="20"/>
          <w:color w:val="auto"/>
        </w:rPr>
      </w:pPr>
    </w:p>
    <w:p>
      <w:pPr>
        <w:ind w:right="20" w:firstLine="336"/>
        <w:spacing w:after="0" w:line="265" w:lineRule="auto"/>
        <w:rPr>
          <w:sz w:val="20"/>
          <w:szCs w:val="20"/>
          <w:color w:val="auto"/>
        </w:rPr>
      </w:pPr>
      <w:r>
        <w:rPr>
          <w:rFonts w:ascii="Arial" w:cs="Arial" w:eastAsia="Arial" w:hAnsi="Arial"/>
          <w:sz w:val="17"/>
          <w:szCs w:val="17"/>
          <w:color w:val="auto"/>
        </w:rPr>
        <w:t>Net cash used by financing activities was $5.1 million for the six months ended June 30, 2018 related to the $5.3 million repayment of the term loan held by Silicon Valley Bank, $2.5 million repurchase of convertible preferred stock, offset by $2.7 million cash provided from net draws on our revolving line of credit with Silicon Valley Bank.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contractual obligations as of December 31, 2018:</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4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9"/>
          </w:tcPr>
          <w:p>
            <w:pPr>
              <w:ind w:left="500"/>
              <w:spacing w:after="0"/>
              <w:rPr>
                <w:sz w:val="20"/>
                <w:szCs w:val="20"/>
                <w:color w:val="auto"/>
              </w:rPr>
            </w:pPr>
            <w:r>
              <w:rPr>
                <w:rFonts w:ascii="Arial" w:cs="Arial" w:eastAsia="Arial" w:hAnsi="Arial"/>
                <w:sz w:val="13"/>
                <w:szCs w:val="13"/>
                <w:b w:val="1"/>
                <w:bCs w:val="1"/>
                <w:color w:val="auto"/>
              </w:rPr>
              <w:t>Payments Due By Period</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2"/>
        </w:trPr>
        <w:tc>
          <w:tcPr>
            <w:tcW w:w="4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80"/>
              <w:spacing w:after="0" w:line="123" w:lineRule="exact"/>
              <w:rPr>
                <w:sz w:val="20"/>
                <w:szCs w:val="20"/>
                <w:color w:val="auto"/>
              </w:rPr>
            </w:pPr>
            <w:r>
              <w:rPr>
                <w:rFonts w:ascii="Arial" w:cs="Arial" w:eastAsia="Arial" w:hAnsi="Arial"/>
                <w:sz w:val="13"/>
                <w:szCs w:val="13"/>
                <w:b w:val="1"/>
                <w:bCs w:val="1"/>
                <w:color w:val="auto"/>
                <w:w w:val="85"/>
              </w:rPr>
              <w:t>Less than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4"/>
              <w:spacing w:after="0" w:line="123" w:lineRule="exact"/>
              <w:rPr>
                <w:sz w:val="20"/>
                <w:szCs w:val="20"/>
                <w:color w:val="auto"/>
              </w:rPr>
            </w:pPr>
            <w:r>
              <w:rPr>
                <w:rFonts w:ascii="Arial" w:cs="Arial" w:eastAsia="Arial" w:hAnsi="Arial"/>
                <w:sz w:val="13"/>
                <w:szCs w:val="13"/>
                <w:b w:val="1"/>
                <w:bCs w:val="1"/>
                <w:color w:val="auto"/>
                <w:w w:val="93"/>
              </w:rPr>
              <w:t>More than</w:t>
            </w:r>
          </w:p>
        </w:tc>
        <w:tc>
          <w:tcPr>
            <w:tcW w:w="160" w:type="dxa"/>
            <w:vAlign w:val="bottom"/>
          </w:tcPr>
          <w:p>
            <w:pPr>
              <w:spacing w:after="0"/>
              <w:rPr>
                <w:sz w:val="10"/>
                <w:szCs w:val="10"/>
                <w:color w:val="auto"/>
              </w:rPr>
            </w:pPr>
          </w:p>
        </w:tc>
      </w:tr>
      <w:tr>
        <w:trPr>
          <w:trHeight w:val="155"/>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1 Year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6"/>
              </w:rPr>
              <w:t>1 - 3 Years</w:t>
            </w: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3 - 5 Years</w:t>
            </w:r>
          </w:p>
        </w:tc>
        <w:tc>
          <w:tcPr>
            <w:tcW w:w="10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5 Years</w:t>
            </w:r>
          </w:p>
        </w:tc>
      </w:tr>
      <w:tr>
        <w:trPr>
          <w:trHeight w:val="135"/>
        </w:trPr>
        <w:tc>
          <w:tcPr>
            <w:tcW w:w="4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3"/>
                <w:szCs w:val="13"/>
                <w:b w:val="1"/>
                <w:bCs w:val="1"/>
                <w:color w:val="auto"/>
                <w:w w:val="80"/>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7"/>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commitments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828</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07"/>
        </w:trPr>
        <w:tc>
          <w:tcPr>
            <w:tcW w:w="4600" w:type="dxa"/>
            <w:vAlign w:val="bottom"/>
          </w:tcPr>
          <w:p>
            <w:pPr>
              <w:spacing w:after="0"/>
              <w:rPr>
                <w:sz w:val="20"/>
                <w:szCs w:val="20"/>
                <w:color w:val="auto"/>
              </w:rPr>
            </w:pPr>
            <w:r>
              <w:rPr>
                <w:rFonts w:ascii="Arial" w:cs="Arial" w:eastAsia="Arial" w:hAnsi="Arial"/>
                <w:sz w:val="17"/>
                <w:szCs w:val="17"/>
                <w:color w:val="auto"/>
              </w:rPr>
              <w:t>Purchase obligations</w:t>
            </w:r>
          </w:p>
        </w:tc>
        <w:tc>
          <w:tcPr>
            <w:tcW w:w="1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r>
      <w:tr>
        <w:trPr>
          <w:trHeight w:val="20"/>
        </w:trPr>
        <w:tc>
          <w:tcPr>
            <w:tcW w:w="4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828</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0"/>
        </w:trPr>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333"/>
        <w:spacing w:after="0" w:line="265" w:lineRule="auto"/>
        <w:rPr>
          <w:sz w:val="20"/>
          <w:szCs w:val="20"/>
          <w:color w:val="auto"/>
        </w:rPr>
      </w:pPr>
      <w:r>
        <w:rPr>
          <w:rFonts w:ascii="Arial" w:cs="Arial" w:eastAsia="Arial" w:hAnsi="Arial"/>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2" w:lineRule="exact"/>
        <w:rPr>
          <w:sz w:val="20"/>
          <w:szCs w:val="20"/>
          <w:color w:val="auto"/>
        </w:rPr>
      </w:pPr>
    </w:p>
    <w:p>
      <w:pPr>
        <w:ind w:right="20" w:firstLine="333"/>
        <w:spacing w:after="0" w:line="265" w:lineRule="auto"/>
        <w:rPr>
          <w:sz w:val="20"/>
          <w:szCs w:val="20"/>
          <w:color w:val="auto"/>
        </w:rPr>
      </w:pPr>
      <w:r>
        <w:rPr>
          <w:rFonts w:ascii="Arial" w:cs="Arial" w:eastAsia="Arial" w:hAnsi="Arial"/>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Qualitative and Quantitative Disclosures about Market Risk</w:t>
      </w:r>
    </w:p>
    <w:p>
      <w:pPr>
        <w:spacing w:after="0" w:line="222" w:lineRule="exact"/>
        <w:rPr>
          <w:sz w:val="20"/>
          <w:szCs w:val="20"/>
          <w:color w:val="auto"/>
        </w:rPr>
      </w:pPr>
    </w:p>
    <w:p>
      <w:pPr>
        <w:ind w:right="120" w:firstLine="333"/>
        <w:spacing w:after="0" w:line="276"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18" w:lineRule="exact"/>
        <w:rPr>
          <w:sz w:val="20"/>
          <w:szCs w:val="20"/>
          <w:color w:val="auto"/>
        </w:rPr>
      </w:pPr>
    </w:p>
    <w:p>
      <w:pPr>
        <w:ind w:right="260" w:firstLine="327"/>
        <w:spacing w:after="0" w:line="265" w:lineRule="auto"/>
        <w:rPr>
          <w:sz w:val="20"/>
          <w:szCs w:val="20"/>
          <w:color w:val="auto"/>
        </w:rPr>
      </w:pPr>
      <w:r>
        <w:rPr>
          <w:rFonts w:ascii="Arial" w:cs="Arial" w:eastAsia="Arial" w:hAnsi="Arial"/>
          <w:sz w:val="17"/>
          <w:szCs w:val="17"/>
          <w:color w:val="auto"/>
        </w:rPr>
        <w:t>At June 30, 2019, we had cash and cash equivalents of $0.3 million. Interest-earning instruments carry a degree of interest rate risk. We do not enter into investments for trading or speculative purposes and have not used any derivative financial instruments to manage our interest rate risk exposure. A hypothetical 10% change in interest rates would not result in a material impact on our consolidated financial statements.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Inflation Rate Risk</w:t>
      </w:r>
    </w:p>
    <w:p>
      <w:pPr>
        <w:spacing w:after="0" w:line="218" w:lineRule="exact"/>
        <w:rPr>
          <w:sz w:val="20"/>
          <w:szCs w:val="20"/>
          <w:color w:val="auto"/>
        </w:rPr>
      </w:pPr>
    </w:p>
    <w:p>
      <w:pPr>
        <w:ind w:right="60" w:firstLine="333"/>
        <w:spacing w:after="0" w:line="265"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2" w:lineRule="exact"/>
        <w:rPr>
          <w:sz w:val="20"/>
          <w:szCs w:val="20"/>
          <w:color w:val="auto"/>
        </w:rPr>
      </w:pPr>
    </w:p>
    <w:p>
      <w:pPr>
        <w:ind w:firstLine="333"/>
        <w:spacing w:after="0" w:line="316" w:lineRule="auto"/>
        <w:rPr>
          <w:sz w:val="20"/>
          <w:szCs w:val="20"/>
          <w:color w:val="auto"/>
        </w:rPr>
      </w:pPr>
      <w:r>
        <w:rPr>
          <w:rFonts w:ascii="Arial" w:cs="Arial" w:eastAsia="Arial" w:hAnsi="Arial"/>
          <w:sz w:val="15"/>
          <w:szCs w:val="15"/>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appearing elsewhere in this prospectus for a description of our other significant accounting policies. The preparation of our consolidated financial statements in</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jc w:val="both"/>
        <w:ind w:right="220"/>
        <w:spacing w:after="0" w:line="265" w:lineRule="auto"/>
        <w:rPr>
          <w:sz w:val="20"/>
          <w:szCs w:val="20"/>
          <w:color w:val="auto"/>
        </w:rPr>
      </w:pPr>
      <w:r>
        <w:rPr>
          <w:rFonts w:ascii="Arial" w:cs="Arial" w:eastAsia="Arial" w:hAnsi="Arial"/>
          <w:sz w:val="17"/>
          <w:szCs w:val="17"/>
          <w:color w:val="auto"/>
        </w:rPr>
        <w:t>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8" w:lineRule="exact"/>
        <w:rPr>
          <w:sz w:val="20"/>
          <w:szCs w:val="20"/>
          <w:color w:val="auto"/>
        </w:rPr>
      </w:pPr>
    </w:p>
    <w:p>
      <w:pPr>
        <w:ind w:right="200" w:firstLine="336"/>
        <w:spacing w:after="0" w:line="276" w:lineRule="auto"/>
        <w:rPr>
          <w:sz w:val="20"/>
          <w:szCs w:val="20"/>
          <w:color w:val="auto"/>
        </w:rPr>
      </w:pPr>
      <w:r>
        <w:rPr>
          <w:rFonts w:ascii="Arial" w:cs="Arial" w:eastAsia="Arial" w:hAnsi="Arial"/>
          <w:sz w:val="17"/>
          <w:szCs w:val="17"/>
          <w:color w:val="auto"/>
        </w:rPr>
        <w:t>Our revenue is recognized when control of the promised goods or services is transferred to our clients in an amount that reflects the consideration we expect to be entitled to in exchange for those goods or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apply the following five-step model to recognize revenue from contracts with our clients:</w:t>
      </w:r>
    </w:p>
    <w:p>
      <w:pPr>
        <w:spacing w:after="0" w:line="231"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client</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Recognition of revenue when, or as, a performance obligation is satisfied</w:t>
      </w:r>
    </w:p>
    <w:p>
      <w:pPr>
        <w:spacing w:after="0" w:line="218" w:lineRule="exact"/>
        <w:rPr>
          <w:sz w:val="20"/>
          <w:szCs w:val="20"/>
          <w:color w:val="auto"/>
        </w:rPr>
      </w:pPr>
    </w:p>
    <w:p>
      <w:pPr>
        <w:ind w:right="100" w:firstLine="336"/>
        <w:spacing w:after="0" w:line="276" w:lineRule="auto"/>
        <w:rPr>
          <w:sz w:val="20"/>
          <w:szCs w:val="20"/>
          <w:color w:val="auto"/>
        </w:rPr>
      </w:pPr>
      <w:r>
        <w:rPr>
          <w:rFonts w:ascii="Arial" w:cs="Arial" w:eastAsia="Arial" w:hAnsi="Arial"/>
          <w:sz w:val="17"/>
          <w:szCs w:val="17"/>
          <w:color w:val="auto"/>
        </w:rPr>
        <w:t>Our contracts typically have a stated term of three years and include contractual termination options after the first year, allowing the client to terminate the contract with 30 to 90 days' notice.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Fertility Benefits Revenue</w:t>
      </w:r>
    </w:p>
    <w:p>
      <w:pPr>
        <w:spacing w:after="0" w:line="218" w:lineRule="exact"/>
        <w:rPr>
          <w:sz w:val="20"/>
          <w:szCs w:val="20"/>
          <w:color w:val="auto"/>
        </w:rPr>
      </w:pPr>
    </w:p>
    <w:p>
      <w:pPr>
        <w:ind w:right="240" w:firstLine="333"/>
        <w:spacing w:after="0" w:line="276" w:lineRule="auto"/>
        <w:rPr>
          <w:sz w:val="20"/>
          <w:szCs w:val="20"/>
          <w:color w:val="auto"/>
        </w:rPr>
      </w:pPr>
      <w:r>
        <w:rPr>
          <w:rFonts w:ascii="Arial" w:cs="Arial" w:eastAsia="Arial" w:hAnsi="Arial"/>
          <w:sz w:val="16"/>
          <w:szCs w:val="16"/>
          <w:color w:val="auto"/>
        </w:rPr>
        <w:t>We primarily generate revenue through our fertility benefits solution, in which we provide our clients and their employees and partners, or our members, with fertility benefits. As part of the fertility benefits solution, we provide access to effective and cost-efficient fertility treatments, referred to as Smart Cycles, as well as other related services. Smart Cycles are our proprietary treatment bundles that include certain medical services available to members through our proprietary, credentialed network of provider clinics. In addition to access to our Smart Cycle treatment bundles and access to our network of provider clinics, the fertility benefits solution includes other comprehensive services, which we refer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our in house staff of PCAs.</w:t>
      </w:r>
    </w:p>
    <w:p>
      <w:pPr>
        <w:spacing w:after="0" w:line="175" w:lineRule="exact"/>
        <w:rPr>
          <w:sz w:val="20"/>
          <w:szCs w:val="20"/>
          <w:color w:val="auto"/>
        </w:rPr>
      </w:pPr>
    </w:p>
    <w:p>
      <w:pPr>
        <w:jc w:val="both"/>
        <w:ind w:firstLine="333"/>
        <w:spacing w:after="0" w:line="289" w:lineRule="auto"/>
        <w:rPr>
          <w:sz w:val="20"/>
          <w:szCs w:val="20"/>
          <w:color w:val="auto"/>
        </w:rPr>
      </w:pPr>
      <w:r>
        <w:rPr>
          <w:rFonts w:ascii="Arial" w:cs="Arial" w:eastAsia="Arial" w:hAnsi="Arial"/>
          <w:sz w:val="16"/>
          <w:szCs w:val="16"/>
          <w:color w:val="auto"/>
        </w:rPr>
        <w:t>The promises within our fertility benefits contract with a client represent a single performance obligation because we provide a significant service of integrating our Smart Cycles and access to the fertility treatment services provided by provider clinics with the other comprehensive services into the combined fertility benefits solution that the client contracted to receive. Our fertility benefits solution is a stand-ready obligation that is satisfied over the contract term.</w:t>
      </w:r>
    </w:p>
    <w:p>
      <w:pPr>
        <w:spacing w:after="0" w:line="163" w:lineRule="exact"/>
        <w:rPr>
          <w:sz w:val="20"/>
          <w:szCs w:val="20"/>
          <w:color w:val="auto"/>
        </w:rPr>
      </w:pPr>
    </w:p>
    <w:p>
      <w:pPr>
        <w:ind w:right="80" w:firstLine="336"/>
        <w:spacing w:after="0" w:line="258" w:lineRule="auto"/>
        <w:rPr>
          <w:sz w:val="20"/>
          <w:szCs w:val="20"/>
          <w:color w:val="auto"/>
        </w:rPr>
      </w:pPr>
      <w:r>
        <w:rPr>
          <w:rFonts w:ascii="Arial" w:cs="Arial" w:eastAsia="Arial" w:hAnsi="Arial"/>
          <w:sz w:val="17"/>
          <w:szCs w:val="17"/>
          <w:color w:val="auto"/>
        </w:rPr>
        <w:t>Our contracts include the following sources of consideration, which are all variable: a PEPM administration fee (in most, but not all contracts) and a fixed rate per Smart Cycle. The PEPM administration fee is allocated between the fertility benefits solution and the pharmacy benefits solution based on standalone selling price, estimated using an expected cost plus margin method. We allocate the variable consideration related to the fixed rate per Smart Cycle to the distinct period during which the related services were performed as those fees relate specifically to our efforts to provide our fertility benefits solution to our clients in the period and represent the consideration we are entitled to for the fertility benefits services provided. As a result, the fixed rate per Smart Cycle is included in the transaction price and recognized in the period in which the Smart Cycle is provided to the member.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0" w:firstLine="336"/>
        <w:spacing w:after="0" w:line="307" w:lineRule="auto"/>
        <w:rPr>
          <w:sz w:val="20"/>
          <w:szCs w:val="20"/>
          <w:color w:val="auto"/>
        </w:rPr>
      </w:pPr>
      <w:r>
        <w:rPr>
          <w:rFonts w:ascii="Arial" w:cs="Arial" w:eastAsia="Arial" w:hAnsi="Arial"/>
          <w:sz w:val="15"/>
          <w:szCs w:val="15"/>
          <w:color w:val="auto"/>
        </w:rPr>
        <w:t>Our contracts also include potential service level agreement refunds related to outcome based service metrics. These service level refunds, which are determined based on results of a full plan year, if met, are based on a percentage of the PEPM fee paid by clients. We estimate the variable consideration related to the total PEPM administration fee, less estimated refunds related to service level agreements, and recognize the amounts allocated to the fertility benefits solution ratably over the contract term. Our estimate of service level agreement refunds, have not historically resulted in significant adjustments to the transaction price.</w:t>
      </w:r>
    </w:p>
    <w:p>
      <w:pPr>
        <w:spacing w:after="0" w:line="152" w:lineRule="exact"/>
        <w:rPr>
          <w:sz w:val="20"/>
          <w:szCs w:val="20"/>
          <w:color w:val="auto"/>
        </w:rPr>
      </w:pPr>
    </w:p>
    <w:p>
      <w:pPr>
        <w:ind w:right="380" w:firstLine="336"/>
        <w:spacing w:after="0" w:line="265" w:lineRule="auto"/>
        <w:rPr>
          <w:sz w:val="20"/>
          <w:szCs w:val="20"/>
          <w:color w:val="auto"/>
        </w:rPr>
      </w:pPr>
      <w:r>
        <w:rPr>
          <w:rFonts w:ascii="Arial" w:cs="Arial" w:eastAsia="Arial" w:hAnsi="Arial"/>
          <w:sz w:val="17"/>
          <w:szCs w:val="17"/>
          <w:color w:val="auto"/>
        </w:rPr>
        <w:t>Clients are invoiced on a monthly basis for the PEPM administration fee. We invoice our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0" w:lineRule="exact"/>
        <w:rPr>
          <w:sz w:val="20"/>
          <w:szCs w:val="20"/>
          <w:color w:val="auto"/>
        </w:rPr>
      </w:pPr>
    </w:p>
    <w:p>
      <w:pPr>
        <w:ind w:firstLine="333"/>
        <w:spacing w:after="0" w:line="276" w:lineRule="auto"/>
        <w:rPr>
          <w:sz w:val="20"/>
          <w:szCs w:val="20"/>
          <w:color w:val="auto"/>
        </w:rPr>
      </w:pPr>
      <w:r>
        <w:rPr>
          <w:rFonts w:ascii="Arial" w:cs="Arial" w:eastAsia="Arial" w:hAnsi="Arial"/>
          <w:sz w:val="16"/>
          <w:szCs w:val="16"/>
          <w:color w:val="auto"/>
        </w:rPr>
        <w:t>We assess whether we are the principal or the agent for each arrangement with a client, since fertility treatment services are provided by a third party—the provider clinics. We are the principal in our arrangements with clients and therefore present revenue gross of the amounts paid to the provider clinics because we control the specified service (the fertility benefits solution) before it is transferred to the client. We integrate the fertility treatment services provided by the provider clinics into the overall fertility benefits solution that the client contracted to receive. In addition, we define the scope of the potential services to be performed by the provider clinics and monitor the performance of the provider clinics. Furthermore, we are primarily responsible for fulfilling the promise to the client and have discretion in setting the pricing, as we separately negotiate agreements with the provider clinics, which establish pricing for each treatment service. Pricing of services from provider clinics is independent from the fees charged to clients.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Pharmacy Benefits Revenue</w:t>
      </w:r>
    </w:p>
    <w:p>
      <w:pPr>
        <w:spacing w:after="0" w:line="218" w:lineRule="exact"/>
        <w:rPr>
          <w:sz w:val="20"/>
          <w:szCs w:val="20"/>
          <w:color w:val="auto"/>
        </w:rPr>
      </w:pPr>
    </w:p>
    <w:p>
      <w:pPr>
        <w:ind w:right="20" w:firstLine="336"/>
        <w:spacing w:after="0" w:line="307" w:lineRule="auto"/>
        <w:rPr>
          <w:sz w:val="20"/>
          <w:szCs w:val="20"/>
          <w:color w:val="auto"/>
        </w:rPr>
      </w:pPr>
      <w:r>
        <w:rPr>
          <w:rFonts w:ascii="Arial" w:cs="Arial" w:eastAsia="Arial" w:hAnsi="Arial"/>
          <w:sz w:val="15"/>
          <w:szCs w:val="15"/>
          <w:color w:val="auto"/>
        </w:rPr>
        <w:t>For clients that have the fertility benefits solution, we offer, as an add-on, our pharmacy benefits solution, which is a separate, fully integrated pharmacy benefit. As part of the pharmacy benefits solution, we provide care management services, which include our formulary plan design, prescription fulfillment, simplified authorization and timely delivery of the medications used during treatment through our network of specialty pharmacies, and clinical services consisting of member assessments, UnPack It calls, telephone support, online education, medication administration training, pharmacy support services and continuing PCA support.</w:t>
      </w:r>
    </w:p>
    <w:p>
      <w:pPr>
        <w:spacing w:after="0" w:line="152" w:lineRule="exact"/>
        <w:rPr>
          <w:sz w:val="20"/>
          <w:szCs w:val="20"/>
          <w:color w:val="auto"/>
        </w:rPr>
      </w:pPr>
    </w:p>
    <w:p>
      <w:pPr>
        <w:ind w:right="320" w:firstLine="333"/>
        <w:spacing w:after="0" w:line="265" w:lineRule="auto"/>
        <w:rPr>
          <w:sz w:val="20"/>
          <w:szCs w:val="20"/>
          <w:color w:val="auto"/>
        </w:rPr>
      </w:pPr>
      <w:r>
        <w:rPr>
          <w:rFonts w:ascii="Arial" w:cs="Arial" w:eastAsia="Arial" w:hAnsi="Arial"/>
          <w:sz w:val="17"/>
          <w:szCs w:val="17"/>
          <w:color w:val="auto"/>
        </w:rPr>
        <w:t>The pharmacy-related promises represent a single performance obligation because we provide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0" w:lineRule="exact"/>
        <w:rPr>
          <w:sz w:val="20"/>
          <w:szCs w:val="20"/>
          <w:color w:val="auto"/>
        </w:rPr>
      </w:pPr>
    </w:p>
    <w:p>
      <w:pPr>
        <w:ind w:firstLine="336"/>
        <w:spacing w:after="0" w:line="299" w:lineRule="auto"/>
        <w:rPr>
          <w:sz w:val="20"/>
          <w:szCs w:val="20"/>
          <w:color w:val="auto"/>
        </w:rPr>
      </w:pPr>
      <w:r>
        <w:rPr>
          <w:rFonts w:ascii="Arial" w:cs="Arial" w:eastAsia="Arial" w:hAnsi="Arial"/>
          <w:sz w:val="15"/>
          <w:szCs w:val="15"/>
          <w:color w:val="auto"/>
        </w:rPr>
        <w:t>Our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We allocate the variable consideration related to the fixed fee per fertility drug to the distinct period during which the related services were performed, as those fees relate specifically to the our efforts to provide our pharmacy benefits solution to clients in the period and represents the consideration we are entitled to for the pharmacy benefits services provided. As a result, the fixed fee per fertility drug is in included in the transaction price and recognized in the period in which we are entitled to consideration from a client, which is when a prescription is filled and delivered to the members.</w:t>
      </w:r>
    </w:p>
    <w:p>
      <w:pPr>
        <w:spacing w:after="0" w:line="159" w:lineRule="exact"/>
        <w:rPr>
          <w:sz w:val="20"/>
          <w:szCs w:val="20"/>
          <w:color w:val="auto"/>
        </w:rPr>
      </w:pPr>
    </w:p>
    <w:p>
      <w:pPr>
        <w:ind w:right="120" w:firstLine="327"/>
        <w:spacing w:after="0" w:line="276" w:lineRule="auto"/>
        <w:rPr>
          <w:sz w:val="20"/>
          <w:szCs w:val="20"/>
          <w:color w:val="auto"/>
        </w:rPr>
      </w:pPr>
      <w:r>
        <w:rPr>
          <w:rFonts w:ascii="Arial" w:cs="Arial" w:eastAsia="Arial" w:hAnsi="Arial"/>
          <w:sz w:val="17"/>
          <w:szCs w:val="17"/>
          <w:color w:val="auto"/>
        </w:rPr>
        <w:t>As stated above, clients are invoiced on a monthly basis for the PEPM administration fee. We invoice the client and the member for their respective portions of the fixed fee per fertility drug, when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prescription services are completed by the specialty pharmacy. Once an invoice is issued, payment terms are typically between 30 to 60 days.</w:t>
      </w:r>
    </w:p>
    <w:p>
      <w:pPr>
        <w:spacing w:after="0" w:line="218" w:lineRule="exact"/>
        <w:rPr>
          <w:sz w:val="20"/>
          <w:szCs w:val="20"/>
          <w:color w:val="auto"/>
        </w:rPr>
      </w:pPr>
    </w:p>
    <w:p>
      <w:pPr>
        <w:ind w:right="80" w:firstLine="333"/>
        <w:spacing w:after="0" w:line="276" w:lineRule="auto"/>
        <w:rPr>
          <w:sz w:val="20"/>
          <w:szCs w:val="20"/>
          <w:color w:val="auto"/>
        </w:rPr>
      </w:pPr>
      <w:r>
        <w:rPr>
          <w:rFonts w:ascii="Arial" w:cs="Arial" w:eastAsia="Arial" w:hAnsi="Arial"/>
          <w:sz w:val="16"/>
          <w:szCs w:val="16"/>
          <w:color w:val="auto"/>
        </w:rPr>
        <w:t>We assess whether we are the principal or the agent for each arrangement with a client, as prescription fulfillment and clinical services are provided by a third party —the specialty pharmacies. We are the principal in our arrangements with clients, and therefore present revenue gross of the amounts paid to the specialty pharmacies. We control the specified service (the pharmacy benefits solution) before it is transferred to the client. We integrate the prescription fulfillment and clinical services provided by the pharmacies and PCA's into the overall pharmacy benefits solution that the client contracted to receive. In addition, we define the scope of the potential services to be performed by the specialty pharmacies and monitor the performance of the specialty pharmacies. Furthermore, we are primarily responsible for fulfilling the promise to the client and has discretion in setting the pricing, as we separately negotiate agreements with pharmacies, which establish pricing for each drug. Pricing of fertility drugs is independent from the fees charged to clients.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Accrued Receivable and Accrued Claims Payable</w:t>
      </w:r>
    </w:p>
    <w:p>
      <w:pPr>
        <w:spacing w:after="0" w:line="218" w:lineRule="exact"/>
        <w:rPr>
          <w:sz w:val="20"/>
          <w:szCs w:val="20"/>
          <w:color w:val="auto"/>
        </w:rPr>
      </w:pPr>
    </w:p>
    <w:p>
      <w:pPr>
        <w:jc w:val="both"/>
        <w:ind w:right="120" w:firstLine="327"/>
        <w:spacing w:after="0" w:line="261" w:lineRule="auto"/>
        <w:rPr>
          <w:sz w:val="20"/>
          <w:szCs w:val="20"/>
          <w:color w:val="auto"/>
        </w:rPr>
      </w:pPr>
      <w:r>
        <w:rPr>
          <w:rFonts w:ascii="Arial" w:cs="Arial" w:eastAsia="Arial" w:hAnsi="Arial"/>
          <w:sz w:val="17"/>
          <w:szCs w:val="17"/>
          <w:color w:val="auto"/>
        </w:rPr>
        <w:t>Accrued receivables for those fertility benefits claims are estimated based on historical experience each period based on the fertility benefits services provided but for which a claim has not been received from the provider clinic. At the same time, cost of services and accrued claims payables (included within accrued expense and other current liabilities) are estimated based on the amount to be paid to the provider clinics and historical gross margin achieved. Estimates are adjusted to actual at the time of billing. Adjustments to original estimates have been not been material.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8" w:lineRule="exact"/>
        <w:rPr>
          <w:sz w:val="20"/>
          <w:szCs w:val="20"/>
          <w:color w:val="auto"/>
        </w:rPr>
      </w:pPr>
    </w:p>
    <w:p>
      <w:pPr>
        <w:ind w:right="60" w:firstLine="333"/>
        <w:spacing w:after="0" w:line="261" w:lineRule="auto"/>
        <w:rPr>
          <w:sz w:val="20"/>
          <w:szCs w:val="20"/>
          <w:color w:val="auto"/>
        </w:rPr>
      </w:pPr>
      <w:r>
        <w:rPr>
          <w:rFonts w:ascii="Arial" w:cs="Arial" w:eastAsia="Arial" w:hAnsi="Arial"/>
          <w:sz w:val="17"/>
          <w:szCs w:val="17"/>
          <w:color w:val="auto"/>
        </w:rPr>
        <w:t>We estimate the fair value of stock options granted to employees and directors using the Black-Scholes option-pricing model, which requires the input of subjective assumptions, including (1) the expected stock price volatility, (2) the expected term of the award, (3) the risk-free interest rate and (4) expected dividends. Effective January 1, 2018, we changed our accounting policy to account for forfeitures as they occur. Prior to January 1, 2018, forfeitures were estimated at the date of grant and revised, if necessary, in subsequent periods if actual forfeitures differed from those estimates.</w:t>
      </w:r>
    </w:p>
    <w:p>
      <w:pPr>
        <w:spacing w:after="0" w:line="184" w:lineRule="exact"/>
        <w:rPr>
          <w:sz w:val="20"/>
          <w:szCs w:val="20"/>
          <w:color w:val="auto"/>
        </w:rPr>
      </w:pPr>
    </w:p>
    <w:p>
      <w:pPr>
        <w:ind w:right="100" w:firstLine="333"/>
        <w:spacing w:after="0" w:line="258" w:lineRule="auto"/>
        <w:rPr>
          <w:sz w:val="20"/>
          <w:szCs w:val="20"/>
          <w:color w:val="auto"/>
        </w:rPr>
      </w:pPr>
      <w:r>
        <w:rPr>
          <w:rFonts w:ascii="Arial" w:cs="Arial" w:eastAsia="Arial" w:hAnsi="Arial"/>
          <w:sz w:val="17"/>
          <w:szCs w:val="17"/>
          <w:color w:val="auto"/>
        </w:rPr>
        <w:t>The fair value of the shares of common stock underlying the stock options has historically been determined by our board of directors as there was no public market for the common stock. The board of directors determines the fair value of our common stock by considering a number of objective and subjective factors, including: the valuation of comparable companies, sales of redeemable convertible preferred stock to unrelated third parties, our operating and financial performance, the lack of liquidity of common stock and general and industry specific economic outlook, amongst other factors. We selected companies with comparable characteristics to us, including enterprise value, risk profiles and position within the industry and with historical share price information sufficient to meet the expected term of the stock options.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assumptions were used to calculate the fair value of stock options granted to employees: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tcPr>
          <w:p>
            <w:pPr>
              <w:jc w:val="center"/>
              <w:ind w:left="24"/>
              <w:spacing w:after="0"/>
              <w:rPr>
                <w:sz w:val="20"/>
                <w:szCs w:val="20"/>
                <w:color w:val="auto"/>
              </w:rPr>
            </w:pPr>
            <w:r>
              <w:rPr>
                <w:rFonts w:ascii="Arial" w:cs="Arial" w:eastAsia="Arial" w:hAnsi="Arial"/>
                <w:sz w:val="13"/>
                <w:szCs w:val="13"/>
                <w:b w:val="1"/>
                <w:bCs w:val="1"/>
                <w:color w:val="auto"/>
                <w:w w:val="92"/>
              </w:rPr>
              <w:t>Year Ended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tcPr>
          <w:p>
            <w:pPr>
              <w:jc w:val="right"/>
              <w:ind w:right="206"/>
              <w:spacing w:after="0"/>
              <w:rPr>
                <w:sz w:val="20"/>
                <w:szCs w:val="20"/>
                <w:color w:val="auto"/>
              </w:rPr>
            </w:pPr>
            <w:r>
              <w:rPr>
                <w:rFonts w:ascii="Arial" w:cs="Arial" w:eastAsia="Arial" w:hAnsi="Arial"/>
                <w:sz w:val="13"/>
                <w:szCs w:val="13"/>
                <w:b w:val="1"/>
                <w:bCs w:val="1"/>
                <w:color w:val="auto"/>
              </w:rPr>
              <w:t>Six Months</w:t>
            </w: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5"/>
        </w:trPr>
        <w:tc>
          <w:tcPr>
            <w:tcW w:w="11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24"/>
              <w:spacing w:after="0"/>
              <w:rPr>
                <w:sz w:val="20"/>
                <w:szCs w:val="20"/>
                <w:color w:val="auto"/>
              </w:rPr>
            </w:pPr>
            <w:r>
              <w:rPr>
                <w:rFonts w:ascii="Arial" w:cs="Arial" w:eastAsia="Arial" w:hAnsi="Arial"/>
                <w:sz w:val="13"/>
                <w:szCs w:val="13"/>
                <w:b w:val="1"/>
                <w:bCs w:val="1"/>
                <w:color w:val="auto"/>
                <w:w w:val="87"/>
              </w:rPr>
              <w:t>December 31,</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3"/>
                <w:szCs w:val="13"/>
                <w:b w:val="1"/>
                <w:bCs w:val="1"/>
                <w:color w:val="auto"/>
              </w:rPr>
              <w:t>Ended June 30,</w:t>
            </w:r>
          </w:p>
        </w:tc>
        <w:tc>
          <w:tcPr>
            <w:tcW w:w="60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r>
      <w:tr>
        <w:trPr>
          <w:trHeight w:val="135"/>
        </w:trPr>
        <w:tc>
          <w:tcPr>
            <w:tcW w:w="11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100" w:type="dxa"/>
            <w:vAlign w:val="bottom"/>
            <w:tcBorders>
              <w:bottom w:val="single" w:sz="8" w:color="auto"/>
            </w:tcBorders>
            <w:gridSpan w:val="2"/>
          </w:tcPr>
          <w:p>
            <w:pPr>
              <w:jc w:val="right"/>
              <w:ind w:right="344"/>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1120" w:type="dxa"/>
            <w:vAlign w:val="bottom"/>
            <w:tcBorders>
              <w:bottom w:val="single" w:sz="8" w:color="auto"/>
            </w:tcBorders>
            <w:gridSpan w:val="2"/>
          </w:tcPr>
          <w:p>
            <w:pPr>
              <w:jc w:val="right"/>
              <w:ind w:right="33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100" w:type="dxa"/>
            <w:vAlign w:val="bottom"/>
            <w:tcBorders>
              <w:bottom w:val="single" w:sz="8" w:color="auto"/>
            </w:tcBorders>
            <w:gridSpan w:val="2"/>
          </w:tcPr>
          <w:p>
            <w:pPr>
              <w:jc w:val="right"/>
              <w:ind w:right="344"/>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120" w:type="dxa"/>
            <w:vAlign w:val="bottom"/>
            <w:tcBorders>
              <w:bottom w:val="single" w:sz="8" w:color="auto"/>
            </w:tcBorders>
            <w:gridSpan w:val="2"/>
          </w:tcPr>
          <w:p>
            <w:pPr>
              <w:jc w:val="right"/>
              <w:ind w:right="356"/>
              <w:spacing w:after="0" w:line="136" w:lineRule="exact"/>
              <w:rPr>
                <w:sz w:val="20"/>
                <w:szCs w:val="20"/>
                <w:color w:val="auto"/>
              </w:rPr>
            </w:pPr>
            <w:r>
              <w:rPr>
                <w:rFonts w:ascii="Arial" w:cs="Arial" w:eastAsia="Arial" w:hAnsi="Arial"/>
                <w:sz w:val="13"/>
                <w:szCs w:val="13"/>
                <w:b w:val="1"/>
                <w:bCs w:val="1"/>
                <w:color w:val="auto"/>
              </w:rPr>
              <w:t>2019</w:t>
            </w:r>
          </w:p>
        </w:tc>
        <w:tc>
          <w:tcPr>
            <w:tcW w:w="1100" w:type="dxa"/>
            <w:vAlign w:val="bottom"/>
          </w:tcPr>
          <w:p>
            <w:pPr>
              <w:spacing w:after="0"/>
              <w:rPr>
                <w:sz w:val="11"/>
                <w:szCs w:val="11"/>
                <w:color w:val="auto"/>
              </w:rPr>
            </w:pPr>
          </w:p>
        </w:tc>
      </w:tr>
      <w:tr>
        <w:trPr>
          <w:trHeight w:val="200"/>
        </w:trPr>
        <w:tc>
          <w:tcPr>
            <w:tcW w:w="114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49.3%</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- 50.1%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- 48.9%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- 48.9%   48.7%</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- 49.0%</w:t>
            </w:r>
          </w:p>
        </w:tc>
        <w:tc>
          <w:tcPr>
            <w:tcW w:w="1100" w:type="dxa"/>
            <w:vAlign w:val="bottom"/>
          </w:tcPr>
          <w:p>
            <w:pPr>
              <w:spacing w:after="0"/>
              <w:rPr>
                <w:sz w:val="17"/>
                <w:szCs w:val="17"/>
                <w:color w:val="auto"/>
              </w:rPr>
            </w:pPr>
          </w:p>
        </w:tc>
      </w:tr>
      <w:tr>
        <w:trPr>
          <w:trHeight w:val="207"/>
        </w:trPr>
        <w:tc>
          <w:tcPr>
            <w:tcW w:w="114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Expected term (years)</w:t>
            </w:r>
          </w:p>
        </w:tc>
        <w:tc>
          <w:tcPr>
            <w:tcW w:w="500" w:type="dxa"/>
            <w:vAlign w:val="bottom"/>
          </w:tcPr>
          <w:p>
            <w:pPr>
              <w:jc w:val="right"/>
              <w:spacing w:after="0"/>
              <w:rPr>
                <w:sz w:val="20"/>
                <w:szCs w:val="20"/>
                <w:color w:val="auto"/>
              </w:rPr>
            </w:pPr>
            <w:r>
              <w:rPr>
                <w:rFonts w:ascii="Arial" w:cs="Arial" w:eastAsia="Arial" w:hAnsi="Arial"/>
                <w:sz w:val="17"/>
                <w:szCs w:val="17"/>
                <w:color w:val="auto"/>
              </w:rPr>
              <w:t>5.69</w:t>
            </w:r>
          </w:p>
        </w:tc>
        <w:tc>
          <w:tcPr>
            <w:tcW w:w="600" w:type="dxa"/>
            <w:vAlign w:val="bottom"/>
          </w:tcPr>
          <w:p>
            <w:pPr>
              <w:ind w:left="20"/>
              <w:spacing w:after="0"/>
              <w:rPr>
                <w:sz w:val="20"/>
                <w:szCs w:val="20"/>
                <w:color w:val="auto"/>
              </w:rPr>
            </w:pPr>
            <w:r>
              <w:rPr>
                <w:rFonts w:ascii="Arial" w:cs="Arial" w:eastAsia="Arial" w:hAnsi="Arial"/>
                <w:sz w:val="17"/>
                <w:szCs w:val="17"/>
                <w:color w:val="auto"/>
              </w:rPr>
              <w:t>- 6.07</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5.38</w:t>
            </w:r>
          </w:p>
        </w:tc>
        <w:tc>
          <w:tcPr>
            <w:tcW w:w="600" w:type="dxa"/>
            <w:vAlign w:val="bottom"/>
          </w:tcPr>
          <w:p>
            <w:pPr>
              <w:ind w:left="20"/>
              <w:spacing w:after="0"/>
              <w:rPr>
                <w:sz w:val="20"/>
                <w:szCs w:val="20"/>
                <w:color w:val="auto"/>
              </w:rPr>
            </w:pPr>
            <w:r>
              <w:rPr>
                <w:rFonts w:ascii="Arial" w:cs="Arial" w:eastAsia="Arial" w:hAnsi="Arial"/>
                <w:sz w:val="17"/>
                <w:szCs w:val="17"/>
                <w:color w:val="auto"/>
              </w:rPr>
              <w:t>- 6.10</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5.91</w:t>
            </w:r>
          </w:p>
        </w:tc>
        <w:tc>
          <w:tcPr>
            <w:tcW w:w="600" w:type="dxa"/>
            <w:vAlign w:val="bottom"/>
          </w:tcPr>
          <w:p>
            <w:pPr>
              <w:jc w:val="right"/>
              <w:ind w:right="104"/>
              <w:spacing w:after="0"/>
              <w:rPr>
                <w:sz w:val="20"/>
                <w:szCs w:val="20"/>
                <w:color w:val="auto"/>
              </w:rPr>
            </w:pPr>
            <w:r>
              <w:rPr>
                <w:rFonts w:ascii="Arial" w:cs="Arial" w:eastAsia="Arial" w:hAnsi="Arial"/>
                <w:sz w:val="17"/>
                <w:szCs w:val="17"/>
                <w:color w:val="auto"/>
                <w:w w:val="91"/>
              </w:rPr>
              <w:t>- 6.09</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5.96</w:t>
            </w:r>
          </w:p>
        </w:tc>
        <w:tc>
          <w:tcPr>
            <w:tcW w:w="600" w:type="dxa"/>
            <w:vAlign w:val="bottom"/>
          </w:tcPr>
          <w:p>
            <w:pPr>
              <w:ind w:left="20"/>
              <w:spacing w:after="0"/>
              <w:rPr>
                <w:sz w:val="20"/>
                <w:szCs w:val="20"/>
                <w:color w:val="auto"/>
              </w:rPr>
            </w:pPr>
            <w:r>
              <w:rPr>
                <w:rFonts w:ascii="Arial" w:cs="Arial" w:eastAsia="Arial" w:hAnsi="Arial"/>
                <w:sz w:val="17"/>
                <w:szCs w:val="17"/>
                <w:color w:val="auto"/>
              </w:rPr>
              <w:t>- 6.08</w:t>
            </w:r>
          </w:p>
        </w:tc>
        <w:tc>
          <w:tcPr>
            <w:tcW w:w="1100" w:type="dxa"/>
            <w:vAlign w:val="bottom"/>
          </w:tcPr>
          <w:p>
            <w:pPr>
              <w:spacing w:after="0"/>
              <w:rPr>
                <w:sz w:val="17"/>
                <w:szCs w:val="17"/>
                <w:color w:val="auto"/>
              </w:rPr>
            </w:pPr>
          </w:p>
        </w:tc>
      </w:tr>
      <w:tr>
        <w:trPr>
          <w:trHeight w:val="207"/>
        </w:trPr>
        <w:tc>
          <w:tcPr>
            <w:tcW w:w="114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- 3.1%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w w:val="93"/>
              </w:rPr>
              <w:t>- 2.7%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- 2.5%</w:t>
            </w:r>
          </w:p>
        </w:tc>
        <w:tc>
          <w:tcPr>
            <w:tcW w:w="1100" w:type="dxa"/>
            <w:vAlign w:val="bottom"/>
          </w:tcPr>
          <w:p>
            <w:pPr>
              <w:spacing w:after="0"/>
              <w:rPr>
                <w:sz w:val="17"/>
                <w:szCs w:val="17"/>
                <w:color w:val="auto"/>
              </w:rPr>
            </w:pPr>
          </w:p>
        </w:tc>
      </w:tr>
      <w:tr>
        <w:trPr>
          <w:trHeight w:val="214"/>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0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tcPr>
          <w:p>
            <w:pPr>
              <w:spacing w:after="0"/>
              <w:rPr>
                <w:sz w:val="18"/>
                <w:szCs w:val="18"/>
                <w:color w:val="auto"/>
              </w:rPr>
            </w:pPr>
          </w:p>
        </w:tc>
      </w:tr>
      <w:tr>
        <w:trPr>
          <w:trHeight w:val="405"/>
        </w:trPr>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Arial" w:cs="Arial" w:eastAsia="Arial" w:hAnsi="Arial"/>
                <w:sz w:val="17"/>
                <w:szCs w:val="17"/>
                <w:color w:val="auto"/>
              </w:rPr>
              <w:t>81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8"/>
        </w:trPr>
        <w:tc>
          <w:tcPr>
            <w:tcW w:w="1140" w:type="dxa"/>
            <w:vAlign w:val="bottom"/>
            <w:tcBorders>
              <w:bottom w:val="single" w:sz="8" w:color="808080"/>
            </w:tcBorders>
          </w:tcPr>
          <w:p>
            <w:pPr>
              <w:spacing w:after="0"/>
              <w:rPr>
                <w:sz w:val="18"/>
                <w:szCs w:val="18"/>
                <w:color w:val="auto"/>
              </w:rPr>
            </w:pPr>
          </w:p>
        </w:tc>
        <w:tc>
          <w:tcPr>
            <w:tcW w:w="42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Common Stock Valuations</w:t>
      </w:r>
    </w:p>
    <w:p>
      <w:pPr>
        <w:spacing w:after="0" w:line="218" w:lineRule="exact"/>
        <w:rPr>
          <w:sz w:val="20"/>
          <w:szCs w:val="20"/>
          <w:color w:val="auto"/>
        </w:rPr>
      </w:pPr>
    </w:p>
    <w:p>
      <w:pPr>
        <w:ind w:firstLine="333"/>
        <w:spacing w:after="0" w:line="302" w:lineRule="auto"/>
        <w:rPr>
          <w:sz w:val="20"/>
          <w:szCs w:val="20"/>
          <w:color w:val="auto"/>
        </w:rPr>
      </w:pPr>
      <w:r>
        <w:rPr>
          <w:rFonts w:ascii="Arial" w:cs="Arial" w:eastAsia="Arial" w:hAnsi="Arial"/>
          <w:sz w:val="15"/>
          <w:szCs w:val="15"/>
          <w:color w:val="auto"/>
        </w:rPr>
        <w:t xml:space="preserve">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Arial" w:cs="Arial" w:eastAsia="Arial" w:hAnsi="Arial"/>
          <w:sz w:val="15"/>
          <w:szCs w:val="15"/>
          <w:i w:val="1"/>
          <w:iCs w:val="1"/>
          <w:color w:val="auto"/>
        </w:rPr>
        <w:t>Valuation of Privately-Held Company Equity Securities Issued as Compensation</w:t>
      </w:r>
      <w:r>
        <w:rPr>
          <w:rFonts w:ascii="Arial" w:cs="Arial" w:eastAsia="Arial" w:hAnsi="Arial"/>
          <w:sz w:val="15"/>
          <w:szCs w:val="15"/>
          <w:color w:val="auto"/>
        </w:rPr>
        <w:t>, our board of directors exercised reasonable judgment and considered numerous</w:t>
      </w:r>
      <w:r>
        <w:rPr>
          <w:rFonts w:ascii="Arial" w:cs="Arial" w:eastAsia="Arial" w:hAnsi="Arial"/>
          <w:sz w:val="15"/>
          <w:szCs w:val="15"/>
          <w:i w:val="1"/>
          <w:iCs w:val="1"/>
          <w:color w:val="auto"/>
        </w:rPr>
        <w:t xml:space="preserve"> </w:t>
      </w:r>
      <w:r>
        <w:rPr>
          <w:rFonts w:ascii="Arial" w:cs="Arial" w:eastAsia="Arial" w:hAnsi="Arial"/>
          <w:sz w:val="15"/>
          <w:szCs w:val="15"/>
          <w:color w:val="auto"/>
        </w:rPr>
        <w:t>objective and subjective factors to determine the best estimate of the fair value of our common stock at each grant date. These factors include:</w:t>
      </w:r>
    </w:p>
    <w:p>
      <w:pPr>
        <w:spacing w:after="0" w:line="169"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prices of common or preferred stock sold to third-party investors by us and in secondary transactions;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lack of marketability of our common stock;</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actual operating and financial performance;</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current business conditions and projections;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hiring of key personnel and the experience of our management;</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history and the introduction of new services;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stage of development;</w:t>
      </w:r>
    </w:p>
    <w:p>
      <w:pPr>
        <w:spacing w:after="0" w:line="244" w:lineRule="exact"/>
        <w:rPr>
          <w:rFonts w:ascii="Arial" w:cs="Arial" w:eastAsia="Arial" w:hAnsi="Arial"/>
          <w:sz w:val="17"/>
          <w:szCs w:val="17"/>
          <w:color w:val="auto"/>
        </w:rPr>
      </w:pPr>
    </w:p>
    <w:p>
      <w:pPr>
        <w:ind w:left="1040" w:right="320" w:hanging="519"/>
        <w:spacing w:after="0" w:line="276"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likelihood of achieving a liquidity event, such as an initial public offering, or IPO, or a merger or acquisition of the company given prevailing market conditions;</w:t>
      </w:r>
    </w:p>
    <w:p>
      <w:pPr>
        <w:spacing w:after="0" w:line="184"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market performance of comparable publicly traded companies; and</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U.S. and global capital market conditions.</w:t>
      </w:r>
    </w:p>
    <w:p>
      <w:pPr>
        <w:spacing w:after="0" w:line="218" w:lineRule="exact"/>
        <w:rPr>
          <w:sz w:val="20"/>
          <w:szCs w:val="20"/>
          <w:color w:val="auto"/>
        </w:rPr>
      </w:pPr>
    </w:p>
    <w:p>
      <w:pPr>
        <w:ind w:firstLine="336"/>
        <w:spacing w:after="0" w:line="307" w:lineRule="auto"/>
        <w:rPr>
          <w:sz w:val="20"/>
          <w:szCs w:val="20"/>
          <w:color w:val="auto"/>
        </w:rPr>
      </w:pPr>
      <w:r>
        <w:rPr>
          <w:rFonts w:ascii="Arial" w:cs="Arial" w:eastAsia="Arial" w:hAnsi="Arial"/>
          <w:sz w:val="15"/>
          <w:szCs w:val="15"/>
          <w:color w:val="auto"/>
        </w:rPr>
        <w:t>In valuing our common stock,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business operations as of each valuation date and is adjusted to reflect the risks inherent in our cash flows.</w:t>
      </w:r>
    </w:p>
    <w:p>
      <w:pPr>
        <w:spacing w:after="0" w:line="152" w:lineRule="exact"/>
        <w:rPr>
          <w:sz w:val="20"/>
          <w:szCs w:val="20"/>
          <w:color w:val="auto"/>
        </w:rPr>
      </w:pPr>
    </w:p>
    <w:p>
      <w:pPr>
        <w:ind w:right="460" w:firstLine="336"/>
        <w:spacing w:after="0" w:line="345" w:lineRule="auto"/>
        <w:rPr>
          <w:sz w:val="20"/>
          <w:szCs w:val="20"/>
          <w:color w:val="auto"/>
        </w:rPr>
      </w:pPr>
      <w:r>
        <w:rPr>
          <w:rFonts w:ascii="Arial" w:cs="Arial" w:eastAsia="Arial" w:hAnsi="Arial"/>
          <w:sz w:val="15"/>
          <w:szCs w:val="15"/>
          <w:color w:val="auto"/>
        </w:rPr>
        <w:t>For each valuation, the equity value determined by the income and market approaches was then allocated to the common stock using either the option pricing method, or OPM, or a hybrid method. The hybrid method is a hybrid of the probability weighted expected return method, or PWERM, and OPM.</w:t>
      </w:r>
    </w:p>
    <w:p>
      <w:pPr>
        <w:spacing w:after="0" w:line="125" w:lineRule="exact"/>
        <w:rPr>
          <w:sz w:val="20"/>
          <w:szCs w:val="20"/>
          <w:color w:val="auto"/>
        </w:rPr>
      </w:pPr>
    </w:p>
    <w:p>
      <w:pPr>
        <w:ind w:right="20" w:firstLine="333"/>
        <w:spacing w:after="0" w:line="276" w:lineRule="auto"/>
        <w:rPr>
          <w:sz w:val="20"/>
          <w:szCs w:val="20"/>
          <w:color w:val="auto"/>
        </w:rPr>
      </w:pPr>
      <w:r>
        <w:rPr>
          <w:rFonts w:ascii="Arial" w:cs="Arial" w:eastAsia="Arial" w:hAnsi="Arial"/>
          <w:sz w:val="16"/>
          <w:szCs w:val="16"/>
          <w:color w:val="auto"/>
        </w:rPr>
        <w:t>The option pricing method is based on a binomial lattice model, which allows for the identification of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IPO, as well as non-IPO market-based outcomes. In determining the fair value of the enterprise using the PWERM, we developed assumptions for an IPO liquidity event and the various outcomes that it could yield. With the OPM model, we assumed a stay private scenario. Our valuations prior to March 2019 were based on the OPM. Beginning in March 31, 2019, we valued our common stock based on a hybrid method of the PWERM and the OPM.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firstLine="327"/>
        <w:spacing w:after="0" w:line="261"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84" w:lineRule="exact"/>
        <w:rPr>
          <w:sz w:val="20"/>
          <w:szCs w:val="20"/>
          <w:color w:val="auto"/>
        </w:rPr>
      </w:pPr>
    </w:p>
    <w:p>
      <w:pPr>
        <w:ind w:right="20" w:firstLine="336"/>
        <w:spacing w:after="0" w:line="265" w:lineRule="auto"/>
        <w:rPr>
          <w:sz w:val="20"/>
          <w:szCs w:val="20"/>
          <w:color w:val="auto"/>
        </w:rPr>
      </w:pPr>
      <w:r>
        <w:rPr>
          <w:rFonts w:ascii="Arial" w:cs="Arial" w:eastAsia="Arial" w:hAnsi="Arial"/>
          <w:sz w:val="17"/>
          <w:szCs w:val="17"/>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0" w:lineRule="exact"/>
        <w:rPr>
          <w:sz w:val="20"/>
          <w:szCs w:val="20"/>
          <w:color w:val="auto"/>
        </w:rPr>
      </w:pPr>
    </w:p>
    <w:p>
      <w:pPr>
        <w:ind w:right="60" w:firstLine="336"/>
        <w:spacing w:after="0" w:line="276" w:lineRule="auto"/>
        <w:rPr>
          <w:sz w:val="20"/>
          <w:szCs w:val="20"/>
          <w:color w:val="auto"/>
        </w:rPr>
      </w:pPr>
      <w:r>
        <w:rPr>
          <w:rFonts w:ascii="Arial" w:cs="Arial" w:eastAsia="Arial" w:hAnsi="Arial"/>
          <w:sz w:val="17"/>
          <w:szCs w:val="17"/>
          <w:color w:val="auto"/>
        </w:rPr>
        <w:t>Based on the initial public offering price per share of $13.00, the aggregate intrinsic value of our outstanding stock options as of June 30, 2019 was $244.1 million, with $110.3 million related to vested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22" w:lineRule="exact"/>
        <w:rPr>
          <w:sz w:val="20"/>
          <w:szCs w:val="20"/>
          <w:color w:val="auto"/>
        </w:rPr>
      </w:pPr>
    </w:p>
    <w:p>
      <w:pPr>
        <w:ind w:right="400" w:firstLine="336"/>
        <w:spacing w:after="0" w:line="276" w:lineRule="auto"/>
        <w:rPr>
          <w:sz w:val="20"/>
          <w:szCs w:val="20"/>
          <w:color w:val="auto"/>
        </w:rPr>
      </w:pPr>
      <w:r>
        <w:rPr>
          <w:rFonts w:ascii="Arial" w:cs="Arial" w:eastAsia="Arial" w:hAnsi="Arial"/>
          <w:sz w:val="17"/>
          <w:szCs w:val="17"/>
          <w:color w:val="auto"/>
        </w:rPr>
        <w:t>See the sections titled "Summary of Significant Accounting Policies—Accounting Policies Adopted in the Current Year" and "—Accounting Pronouncements Issued but Not Yet Adopted" in Note 2 to our consolidated financial statements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22" w:lineRule="exact"/>
        <w:rPr>
          <w:sz w:val="20"/>
          <w:szCs w:val="20"/>
          <w:color w:val="auto"/>
        </w:rPr>
      </w:pPr>
    </w:p>
    <w:p>
      <w:pPr>
        <w:ind w:firstLine="333"/>
        <w:spacing w:after="0" w:line="302" w:lineRule="auto"/>
        <w:rPr>
          <w:sz w:val="20"/>
          <w:szCs w:val="20"/>
          <w:color w:val="auto"/>
        </w:rPr>
      </w:pPr>
      <w:r>
        <w:rPr>
          <w:rFonts w:ascii="Arial" w:cs="Arial" w:eastAsia="Arial" w:hAnsi="Arial"/>
          <w:sz w:val="15"/>
          <w:szCs w:val="15"/>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2" w:lineRule="exact"/>
        <w:rPr>
          <w:sz w:val="20"/>
          <w:szCs w:val="20"/>
          <w:color w:val="auto"/>
        </w:rPr>
      </w:pPr>
    </w:p>
    <w:p>
      <w:pPr>
        <w:ind w:right="340" w:firstLine="333"/>
        <w:spacing w:after="0" w:line="289" w:lineRule="auto"/>
        <w:rPr>
          <w:sz w:val="20"/>
          <w:szCs w:val="20"/>
          <w:color w:val="auto"/>
        </w:rPr>
      </w:pPr>
      <w:r>
        <w:rPr>
          <w:rFonts w:ascii="Arial" w:cs="Arial" w:eastAsia="Arial" w:hAnsi="Arial"/>
          <w:sz w:val="16"/>
          <w:szCs w:val="16"/>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63" w:lineRule="exact"/>
        <w:rPr>
          <w:sz w:val="20"/>
          <w:szCs w:val="20"/>
          <w:color w:val="auto"/>
        </w:rPr>
      </w:pPr>
    </w:p>
    <w:p>
      <w:pPr>
        <w:ind w:right="40" w:firstLine="336"/>
        <w:spacing w:after="0" w:line="297" w:lineRule="auto"/>
        <w:rPr>
          <w:sz w:val="20"/>
          <w:szCs w:val="20"/>
          <w:color w:val="auto"/>
        </w:rPr>
      </w:pPr>
      <w:r>
        <w:rPr>
          <w:rFonts w:ascii="Arial" w:cs="Arial" w:eastAsia="Arial" w:hAnsi="Arial"/>
          <w:sz w:val="15"/>
          <w:szCs w:val="15"/>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 over 80. We currently provide coverage to approximately 1.4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over that same time period is evidenced by our most recent industry-leading Net Promoter Score, or NPS, of +71 for our fertility benefits solution and +86 for our integrated pharmacy benefits solution, Progyny Rx.</w:t>
      </w:r>
    </w:p>
    <w:p>
      <w:pPr>
        <w:spacing w:after="0" w:line="161" w:lineRule="exact"/>
        <w:rPr>
          <w:sz w:val="20"/>
          <w:szCs w:val="20"/>
          <w:color w:val="auto"/>
        </w:rPr>
      </w:pPr>
    </w:p>
    <w:p>
      <w:pPr>
        <w:ind w:firstLine="333"/>
        <w:spacing w:after="0" w:line="299" w:lineRule="auto"/>
        <w:rPr>
          <w:sz w:val="20"/>
          <w:szCs w:val="20"/>
          <w:color w:val="auto"/>
        </w:rPr>
      </w:pPr>
      <w:r>
        <w:rPr>
          <w:rFonts w:ascii="Arial" w:cs="Arial" w:eastAsia="Arial" w:hAnsi="Arial"/>
          <w:sz w:val="15"/>
          <w:szCs w:val="15"/>
          <w:color w:val="auto"/>
        </w:rPr>
        <w:t>The prevalence of infertility is high, affecting one in eight couples in the United States according to the Centers for Disease Control and Prevention, or CDC, and infertility is gaining attention as individuals are more openly discussing their struggles. Despite its high prevalence and its recognition by the World Health Organization, or WHO, as a disease since 2009, access to treatment has previously been limited by poor insurance coverage in the United States. This is driven in part by the fact that the American Medical Association did not vote in support of WHO's designation until 2017. Similarly, legislators have not designated infertility as a condition meriting mandated health insurance coverage, with only approximately one-third of states in the United States mandating insurance coverage for infertility. For the states that do mandate coverage, the mandates vary greatly and often leave patients with inadequate coverage or unable to pursue care at all.</w:t>
      </w:r>
    </w:p>
    <w:p>
      <w:pPr>
        <w:spacing w:after="0" w:line="159" w:lineRule="exact"/>
        <w:rPr>
          <w:sz w:val="20"/>
          <w:szCs w:val="20"/>
          <w:color w:val="auto"/>
        </w:rPr>
      </w:pPr>
    </w:p>
    <w:p>
      <w:pPr>
        <w:ind w:right="60" w:firstLine="333"/>
        <w:spacing w:after="0" w:line="297" w:lineRule="auto"/>
        <w:rPr>
          <w:sz w:val="20"/>
          <w:szCs w:val="20"/>
          <w:color w:val="auto"/>
        </w:rPr>
      </w:pPr>
      <w:r>
        <w:rPr>
          <w:rFonts w:ascii="Arial" w:cs="Arial" w:eastAsia="Arial" w:hAnsi="Arial"/>
          <w:sz w:val="15"/>
          <w:szCs w:val="15"/>
          <w:color w:val="auto"/>
        </w:rPr>
        <w:t>Whether an employer is mandated to cover infertility, or simply chooses to do so, the coverage and benefits design options have historically been limited and have resulted in poor patient outcomes, increased costs and unintended consequences for both patients and employers. Infertility coverage offered by conventional health insurance carriers today generally falls short in a number of important ways, including that it typically: (1) is structured as a limited lifetime dollar maximum benefit, which is often depleted by the patient before they have achieved a successful pregnancy; (2) includes rules that limit access to treatment options, leading to poor outcomes; (3) does not provide adequate education, guidance or support for patients struggling with the rigors of the fertility journey, leading to poor treatment choices; and (4) limits patient access to many of the nation's top reproductive endocrinologists because these fertility specialists do not broadly participate in conventional health insurance carrier networks, meaning they contract with us and no more than one other insurance carrier.</w:t>
      </w:r>
    </w:p>
    <w:p>
      <w:pPr>
        <w:spacing w:after="0" w:line="161" w:lineRule="exact"/>
        <w:rPr>
          <w:sz w:val="20"/>
          <w:szCs w:val="20"/>
          <w:color w:val="auto"/>
        </w:rPr>
      </w:pPr>
    </w:p>
    <w:p>
      <w:pPr>
        <w:ind w:right="200" w:firstLine="333"/>
        <w:spacing w:after="0" w:line="289" w:lineRule="auto"/>
        <w:rPr>
          <w:sz w:val="20"/>
          <w:szCs w:val="20"/>
          <w:color w:val="auto"/>
        </w:rPr>
      </w:pPr>
      <w:r>
        <w:rPr>
          <w:rFonts w:ascii="Arial" w:cs="Arial" w:eastAsia="Arial" w:hAnsi="Arial"/>
          <w:sz w:val="16"/>
          <w:szCs w:val="16"/>
          <w:color w:val="auto"/>
        </w:rPr>
        <w:t>The confluence of these factors results in a host of health-related, financial and workplace issues for employers and their employees, such as decreased employee productivity and retention, as well as increased employee absenteeism, stress and depression. We seek to help our clients address these fundamental challenges and inefficiencies across the infertility treatment landscape as the demand for infertility services continues to grow.</w:t>
      </w:r>
    </w:p>
    <w:p>
      <w:pPr>
        <w:spacing w:after="0" w:line="163" w:lineRule="exact"/>
        <w:rPr>
          <w:sz w:val="20"/>
          <w:szCs w:val="20"/>
          <w:color w:val="auto"/>
        </w:rPr>
      </w:pPr>
    </w:p>
    <w:p>
      <w:pPr>
        <w:ind w:right="660" w:firstLine="333"/>
        <w:spacing w:after="0" w:line="276" w:lineRule="auto"/>
        <w:rPr>
          <w:sz w:val="20"/>
          <w:szCs w:val="20"/>
          <w:color w:val="auto"/>
        </w:rPr>
      </w:pPr>
      <w:r>
        <w:rPr>
          <w:rFonts w:ascii="Arial" w:cs="Arial" w:eastAsia="Arial" w:hAnsi="Arial"/>
          <w:sz w:val="17"/>
          <w:szCs w:val="17"/>
          <w:color w:val="auto"/>
        </w:rPr>
        <w:t>We are redefining fertility and family building benefits, proving that a comprehensive fertility solution can simultaneously benefit employers, patients and physicians. We believe the differentiated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value proposition we deliver to all of these constituents is key to our success and growth. By empowering our members with education, guidance and financial support, and enabling high-quality fertility specialists to use the latest science and technologies, our solution leads to the development of customized treatment plans that result in optimal clinical outcomes for our members and cost savings for our clients.</w:t>
      </w:r>
    </w:p>
    <w:p>
      <w:pPr>
        <w:spacing w:after="0" w:line="180" w:lineRule="exact"/>
        <w:rPr>
          <w:sz w:val="20"/>
          <w:szCs w:val="20"/>
          <w:color w:val="auto"/>
        </w:rPr>
      </w:pPr>
    </w:p>
    <w:p>
      <w:pPr>
        <w:ind w:right="40" w:firstLine="327"/>
        <w:spacing w:after="0" w:line="293" w:lineRule="auto"/>
        <w:rPr>
          <w:sz w:val="20"/>
          <w:szCs w:val="20"/>
          <w:color w:val="auto"/>
        </w:rPr>
      </w:pPr>
      <w:r>
        <w:rPr>
          <w:rFonts w:ascii="Arial" w:cs="Arial" w:eastAsia="Arial" w:hAnsi="Arial"/>
          <w:sz w:val="15"/>
          <w:szCs w:val="15"/>
          <w:color w:val="auto"/>
        </w:rPr>
        <w:t>At Progyny, we accomplish these beneficial results because of our robust and differentiated solution. We enable our members to pursue effective and cost-efficient fertility treatments and support them throughout the entire fertility journey, from enrollment and initial consultation to treatment and post-treatment monitoring. It starts with our unique approach to benefits plan design—the Smart Cycle—which ensures that all member populations, regardless of their chosen path to parenthood, have comprehensive and equitable coverage. In order to simplify the process for our members, we position the benefit to them using our proprietary Smart Cycle approach. Smart Cycles are our proprietary treatment bundles designed by us to include the medical services required for a member's full course of treatment, including all necessary diagnostic testing and access to the latest technology. We offer a number of Smart Cycle treatment bundles, which may be used in various combinations depending on the member's need. In conjunction with the Smart Cycle plan design, each of our members has a dedicated Patient Care Advocate, or PCA, who has fertility expertise and provides end-to-end concierge support, including logistical support (i.e., fertility specialist selection, appointment scheduling, treatment authorization and treatment payment), clinical guidance (i.e., treatment options, outcomes statistics and what to expect) and emotional support during the often challenging and unpredictable fertility journey. Additionally, all Progyny members have access to our selective network of high-quality fertility specialists who we equip with a benefits design that enables them to pursue the best treatment pathways, providing our members with tailored treatments that result in optimal clinical outcomes.</w:t>
      </w:r>
    </w:p>
    <w:p>
      <w:pPr>
        <w:spacing w:after="0" w:line="167" w:lineRule="exact"/>
        <w:rPr>
          <w:sz w:val="20"/>
          <w:szCs w:val="20"/>
          <w:color w:val="auto"/>
        </w:rPr>
      </w:pPr>
    </w:p>
    <w:p>
      <w:pPr>
        <w:ind w:right="60" w:firstLine="336"/>
        <w:spacing w:after="0" w:line="296" w:lineRule="auto"/>
        <w:rPr>
          <w:sz w:val="20"/>
          <w:szCs w:val="20"/>
          <w:color w:val="auto"/>
        </w:rPr>
      </w:pPr>
      <w:r>
        <w:rPr>
          <w:rFonts w:ascii="Arial" w:cs="Arial" w:eastAsia="Arial" w:hAnsi="Arial"/>
          <w:sz w:val="15"/>
          <w:szCs w:val="15"/>
          <w:color w:val="auto"/>
        </w:rPr>
        <w:t>In addition to our fertility benefits solution, we offer an integrated pharmacy benefit solution, Progyny Rx, which can be added by our clients.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Our Progyny Rx solution creates an efficient pharmacy solution for our members and provider clinics by reducing dispensing and delivery times to our members, eliminating the risk of a missed treatment cycle and mitigating their administrative burden. As our members receive more effective treatment and differentiated support throughout their fertility journeys, our clients gain more value from their fertility benefits expenditures through an increase in healthier, timelier pregnancies as well as an ultimate reduction in both fertility treatment costs and maternity and neonatal intensive care unit, or NICU, expenses, all while supporting a more present and productive employee base.</w:t>
      </w:r>
    </w:p>
    <w:p>
      <w:pPr>
        <w:spacing w:after="0" w:line="161" w:lineRule="exact"/>
        <w:rPr>
          <w:sz w:val="20"/>
          <w:szCs w:val="20"/>
          <w:color w:val="auto"/>
        </w:rPr>
      </w:pPr>
    </w:p>
    <w:p>
      <w:pPr>
        <w:ind w:firstLine="333"/>
        <w:spacing w:after="0" w:line="276" w:lineRule="auto"/>
        <w:rPr>
          <w:sz w:val="20"/>
          <w:szCs w:val="20"/>
          <w:color w:val="auto"/>
        </w:rPr>
      </w:pPr>
      <w:r>
        <w:rPr>
          <w:rFonts w:ascii="Arial" w:cs="Arial" w:eastAsia="Arial" w:hAnsi="Arial"/>
          <w:sz w:val="16"/>
          <w:szCs w:val="16"/>
          <w:color w:val="auto"/>
        </w:rPr>
        <w:t>We have demonstrated our ability to drive better outcomes for our clients, members and provider clinics across multiple metrics as summarized in the charts below. Provider clinics within our network produce outcomes that surpass their own reported practice averages when treating Progyny members because of our differentiated solution. Additionally, across our membership, our outcomes compared to national averages have been consistently superior. Progyny's selective network of high-quality fertility specialists consistently demonstrates a strong adherence to best practices with a substantially higher single embryo transfer rate. As a result, our members experience significantly fewer pregnancies with multiples (e.g., twins or triplets). Multiples are associated with a higher probability of adverse medical conditions for the mother and babies, and as a byproduct, significantly escalate the costs for employers. Our IVF multiples rate is 3.6% compared to the national average of 16.1%. A lower multiples rate is the primary means to achieving lower high-risk maternity and NICU expenses for our clients.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158750</wp:posOffset>
            </wp:positionV>
            <wp:extent cx="3818890" cy="7268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18890" cy="72688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725678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89" w:name="page90"/>
    <w:bookmarkEnd w:id="8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60" w:firstLine="333"/>
        <w:spacing w:after="0" w:line="292" w:lineRule="auto"/>
        <w:rPr>
          <w:sz w:val="20"/>
          <w:szCs w:val="20"/>
          <w:color w:val="auto"/>
        </w:rPr>
      </w:pPr>
      <w:r>
        <w:rPr>
          <w:rFonts w:ascii="Arial" w:cs="Arial" w:eastAsia="Arial" w:hAnsi="Arial"/>
          <w:sz w:val="15"/>
          <w:szCs w:val="15"/>
          <w:color w:val="auto"/>
        </w:rPr>
        <w:t>We have experienced significant growth since the launch of our fertility benefits solution. Our growth strategy is to increase the number of clients we serve, expand the services our current clients utilize and increase the breadth of our offering with new services. We believe we are well positioned for growth as our current base of</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1.4 million members represents only 2% of what we believe to be our total addressable market. In addition, we believe we can continue to increase our business with our existing clients as they expand their employee bases and adopt more of our services over time. As evidence of our success to date, we have retained substantially all of our clients since we began offering our fertility benefits solution, and in many cases, these clients have expanded their use of our offerings. To continue fostering our growth and to ensure we are providing our clients with the most effective benefits solution, we also seek to use the insights gained from our robust data collection process and the expertise of our prestigious Medical Advisory Board and network of high-quality fertility specialists to continue to develop innovative solutions that further enhance and differentiate our offering.</w:t>
      </w:r>
    </w:p>
    <w:p>
      <w:pPr>
        <w:spacing w:after="0" w:line="191" w:lineRule="exact"/>
        <w:rPr>
          <w:sz w:val="20"/>
          <w:szCs w:val="20"/>
          <w:color w:val="auto"/>
        </w:rPr>
      </w:pPr>
    </w:p>
    <w:p>
      <w:pPr>
        <w:ind w:firstLine="336"/>
        <w:spacing w:after="0" w:line="294" w:lineRule="auto"/>
        <w:rPr>
          <w:sz w:val="20"/>
          <w:szCs w:val="20"/>
          <w:color w:val="auto"/>
        </w:rPr>
      </w:pPr>
      <w:r>
        <w:rPr>
          <w:rFonts w:ascii="Arial" w:cs="Arial" w:eastAsia="Arial" w:hAnsi="Arial"/>
          <w:sz w:val="15"/>
          <w:szCs w:val="15"/>
          <w:color w:val="auto"/>
        </w:rPr>
        <w:t>Our revenue was $48.6 million and $105.4 million for the years ended December 31, 2017 and 2018, respectively, representing year-over-year growth of 117%. Our revenue was $48.4 million and $103.4 million for the six months ended June 30, 2018 and 2019, respectively, representing period-over-period growth of 113%. Our net loss from continuing operations was $(12.5) million and $(5.1) million for the years ended December 31, 2017 and 2018, respectively. Our net (loss) income from continuing operations was $(2.4) million and $4.0 million for the six months ended June 30, 2018 and 2019, respectively. Our Adjusted EBITDA was $(7.9) million and $1.4 million for the years ended December 31, 2017 and 2018, respectively. Our Adjusted EBITDA was $0.3 million and $8.9 million for the six months ended June 30, 2018 and 2019, respectively. See the section titled "Prospectus Summary—Summary Consolidated Financial Data—Non-GAAP Financial Measure—Adjusted EBITDA" for the definition of Adjusted EBITDA as well as a reconciliation of Adjusted EBITDA to net (loss) income from continuing operations. Our fertility benefits solution represented 100% and 95% of our total revenue for the years ended December 31, 2017 and 2018, respectively, and 94% and 83% of total revenue for the six months ended June 30, 2018 and 2019, respectively. Progyny Rx, which went live in 2018, represented 5% of our total revenue for the year ended December 31, 2018 and 6% and 17% of total revenue for the six months ended June 30, 2018 and 2019,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222" w:lineRule="exact"/>
        <w:rPr>
          <w:sz w:val="20"/>
          <w:szCs w:val="20"/>
          <w:color w:val="auto"/>
        </w:rPr>
      </w:pPr>
    </w:p>
    <w:p>
      <w:pPr>
        <w:ind w:right="140" w:firstLine="333"/>
        <w:spacing w:after="0" w:line="297" w:lineRule="auto"/>
        <w:rPr>
          <w:sz w:val="20"/>
          <w:szCs w:val="20"/>
          <w:color w:val="auto"/>
        </w:rPr>
      </w:pPr>
      <w:r>
        <w:rPr>
          <w:rFonts w:ascii="Arial" w:cs="Arial" w:eastAsia="Arial" w:hAnsi="Arial"/>
          <w:sz w:val="15"/>
          <w:szCs w:val="15"/>
          <w:color w:val="auto"/>
        </w:rPr>
        <w:t>The prevalence of infertility is high, affecting one in eight couples in the United States according to the CDC, and infertility is gaining attention as individuals are more openly discussing their struggles with fertility. As transparency and dialogue around infertility have increased, there has been a de-stigmatization of the disease. Despite this change in perception of infertility and its high prevalence, it is one of the only high-prevalence medical conditions with limited or non-existent medical insurance. By comparison, medical conditions with a similar prevalence, such as diabetes (affecting one in 11 individuals, according to the CDC) and asthma (affecting one in 13 individuals, according to the CDC), are comprehensively covered by conventional health insurance carriers and employers. Due to the high prevalence of infertility, its high costs of treatment and the limited insurance coverage provided for the disease, there is a significant unmet need for fertility services in the United States and several macro trends are driving that need for fertility treatments and propelling the overall size of the fertility market higher.</w:t>
      </w:r>
    </w:p>
    <w:p>
      <w:pPr>
        <w:spacing w:after="0" w:line="161" w:lineRule="exact"/>
        <w:rPr>
          <w:sz w:val="20"/>
          <w:szCs w:val="20"/>
          <w:color w:val="auto"/>
        </w:rPr>
      </w:pPr>
    </w:p>
    <w:p>
      <w:pPr>
        <w:ind w:right="160" w:firstLine="333"/>
        <w:spacing w:after="0" w:line="259" w:lineRule="auto"/>
        <w:rPr>
          <w:sz w:val="20"/>
          <w:szCs w:val="20"/>
          <w:color w:val="auto"/>
        </w:rPr>
      </w:pPr>
      <w:r>
        <w:rPr>
          <w:rFonts w:ascii="Arial" w:cs="Arial" w:eastAsia="Arial" w:hAnsi="Arial"/>
          <w:sz w:val="17"/>
          <w:szCs w:val="17"/>
          <w:color w:val="auto"/>
        </w:rPr>
        <w:t>While fertility treatments have been available for almost 40 years to help individuals suffering from infertility build their families, access to these treatments has been limited due to the lack of comprehensive coverage and the prohibitive costs. The cost of care for a successful outcome can exceed $60,000 according to a study published in The Journal of the American Medical Association, yet only a small percentage of employers provide a benefits plan that addresses these costs. As a result, the vast majority of patients who undergo fertility treatment must pay for most or all of their care out-of-pocket, which is cost-prohibitive for many families and individuals.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firstLine="333"/>
        <w:spacing w:after="0" w:line="294" w:lineRule="auto"/>
        <w:rPr>
          <w:sz w:val="20"/>
          <w:szCs w:val="20"/>
          <w:color w:val="auto"/>
        </w:rPr>
      </w:pPr>
      <w:r>
        <w:rPr>
          <w:rFonts w:ascii="Arial" w:cs="Arial" w:eastAsia="Arial" w:hAnsi="Arial"/>
          <w:sz w:val="15"/>
          <w:szCs w:val="15"/>
          <w:color w:val="auto"/>
        </w:rPr>
        <w:t>The lack of adequate coverage has been the result of both broader public policy issues, as well as conventional health insurance carrier-specific policies. For example, it was not until 2017 that infertility was first recognized as a disease by the American Medical Association and, even now, only 16 states have mandated insurance coverage for infertility. For the states that do mandate coverage, the mandates vary greatly and often leave patients with inadequate coverage or unable to pursue care at all. Given this environment, conventional health insurance carriers have offered little to no coverage of fertility treatments for a number of reasons, including the view that fertility treatment is an elective procedure or a lifestyle choice. When conventional health insurance carriers have chosen to structure fertility coverage for their employer clients, that coverage often has limited lifetime dollar maximums (with median coverage maximum of $15,000 according to Mercer) and clinically antiquated "one size fits all" clinical protocols, such as mandated step therapy protocols. Step therapies provide limited or no benefit coverage for therapies in a specific, often efficacy-limiting order (e.g., requiring multiple failed intrauterine insemination, or IUI, attempts before in vitro fertilization, or IVF) and can exhaust the patient's financial coverage and extend the treatment timeline while an individual's fertility continues to decline. The end result is wasted time and money and lack of access to the treatments most likely to result in a successful pregnancy, with poor results being exacerbated by the patient's lack of education and support.</w:t>
      </w:r>
    </w:p>
    <w:p>
      <w:pPr>
        <w:spacing w:after="0" w:line="164" w:lineRule="exact"/>
        <w:rPr>
          <w:sz w:val="20"/>
          <w:szCs w:val="20"/>
          <w:color w:val="auto"/>
        </w:rPr>
      </w:pPr>
    </w:p>
    <w:p>
      <w:pPr>
        <w:ind w:firstLine="336"/>
        <w:spacing w:after="0" w:line="257" w:lineRule="auto"/>
        <w:rPr>
          <w:sz w:val="20"/>
          <w:szCs w:val="20"/>
          <w:color w:val="auto"/>
        </w:rPr>
      </w:pPr>
      <w:r>
        <w:rPr>
          <w:rFonts w:ascii="Arial" w:cs="Arial" w:eastAsia="Arial" w:hAnsi="Arial"/>
          <w:sz w:val="17"/>
          <w:szCs w:val="17"/>
          <w:color w:val="auto"/>
        </w:rPr>
        <w:t>Major cultural shifts and the evolving demographics of the workforce in the United States are driving demand for fertility treatments and adequate coverage to support them. More individuals than ever are making the choice to start their families later in life, increasing the biological likelihood of infertility as an individual's fertility declines with age. According to the CDC, in 2016, for the first time ever, the birth rate of women in the United States aged 30 to 34 surpassed that of women aged 25 to 29, and there is evidence that this phenomenon is global. Additionally, the increased acceptance of non-traditional paths to parenthood has created an increased need for access to fertility treatments. According to Gallup and the Family Equality Council, approximately 8% of millennials identify as LGBTQ+ and 48% of them are actively planning on expanding their families in the coming years. As millennials begin to reach child-bearing age and become the largest demographic in the workforce, we believe these prevailing cultural trends, in conjunction with the continued de-stigmatization of infertility, will continue to accelerate growth in demand for fertility treatments.</w:t>
      </w:r>
    </w:p>
    <w:p>
      <w:pPr>
        <w:spacing w:after="0" w:line="188" w:lineRule="exact"/>
        <w:rPr>
          <w:sz w:val="20"/>
          <w:szCs w:val="20"/>
          <w:color w:val="auto"/>
        </w:rPr>
      </w:pPr>
    </w:p>
    <w:p>
      <w:pPr>
        <w:ind w:right="100" w:firstLine="327"/>
        <w:spacing w:after="0" w:line="299" w:lineRule="auto"/>
        <w:rPr>
          <w:sz w:val="20"/>
          <w:szCs w:val="20"/>
          <w:color w:val="auto"/>
        </w:rPr>
      </w:pPr>
      <w:r>
        <w:rPr>
          <w:rFonts w:ascii="Arial" w:cs="Arial" w:eastAsia="Arial" w:hAnsi="Arial"/>
          <w:sz w:val="15"/>
          <w:szCs w:val="15"/>
          <w:color w:val="auto"/>
        </w:rPr>
        <w:t>As employees are demanding more robust fertility benefits coverage, employers are increasingly focused on providing a comprehensive fertility benefits that supports an inclusive and diverse workplace in order to attract and retain top employees. In a 2015 survey conducted by Reproductive Medicine Associates of New Jersey among 1,000 nationally representative U.S. adults aged 25 to 40, or the 2015 RMANJ Report, 68% of respondents and 70% of millennial respondents indicated that they were willing to change jobs to ensure fertility coverage. Because employers in the same industry are competing for employee talent, once the availability of fertility benefits begins to penetrate a particular industry, a demonstrable network effect occurs in which employees within that industry begin to expect the benefit from their employers, which can cause an employer to adopt the benefit to remain competitive and bolster employee satisfaction.</w:t>
      </w:r>
    </w:p>
    <w:p>
      <w:pPr>
        <w:spacing w:after="0" w:line="159" w:lineRule="exact"/>
        <w:rPr>
          <w:sz w:val="20"/>
          <w:szCs w:val="20"/>
          <w:color w:val="auto"/>
        </w:rPr>
      </w:pPr>
    </w:p>
    <w:p>
      <w:pPr>
        <w:ind w:right="260" w:firstLine="336"/>
        <w:spacing w:after="0" w:line="265" w:lineRule="auto"/>
        <w:rPr>
          <w:sz w:val="20"/>
          <w:szCs w:val="20"/>
          <w:color w:val="auto"/>
        </w:rPr>
      </w:pPr>
      <w:r>
        <w:rPr>
          <w:rFonts w:ascii="Arial" w:cs="Arial" w:eastAsia="Arial" w:hAnsi="Arial"/>
          <w:sz w:val="17"/>
          <w:szCs w:val="17"/>
          <w:color w:val="auto"/>
        </w:rPr>
        <w:t>Driven by these market dynamics, according to the CDC, the market for fertility treatments grew at a 10.5% compound annual growth rate from 2013 to 2017 as more individuals pursued treatment. Given this increasing demand coupled with inadequate existing coverage, there is a greater need than ever before for a fertility benefits manager who can provide comprehensive and effective benefits to the employer market.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Challenges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Employers are faced with three major challenges relating to providing fertility benefits to their employee bases:</w:t>
      </w:r>
    </w:p>
    <w:p>
      <w:pPr>
        <w:spacing w:after="0" w:line="231" w:lineRule="exact"/>
        <w:rPr>
          <w:sz w:val="20"/>
          <w:szCs w:val="20"/>
          <w:color w:val="auto"/>
        </w:rPr>
      </w:pPr>
    </w:p>
    <w:p>
      <w:pPr>
        <w:ind w:left="1040" w:hanging="519"/>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lack of a comprehensive fertility benefits solution that optimizes their fertility treatment expenditures;</w:t>
      </w:r>
    </w:p>
    <w:p>
      <w:pPr>
        <w:spacing w:after="0" w:line="244" w:lineRule="exact"/>
        <w:rPr>
          <w:rFonts w:ascii="Arial" w:cs="Arial" w:eastAsia="Arial" w:hAnsi="Arial"/>
          <w:sz w:val="17"/>
          <w:szCs w:val="17"/>
          <w:color w:val="auto"/>
        </w:rPr>
      </w:pPr>
    </w:p>
    <w:p>
      <w:pPr>
        <w:ind w:left="1040" w:right="100" w:hanging="519"/>
        <w:spacing w:after="0" w:line="276"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need to reduce the significant maternity and NICU expenses, and the workplace impact, resulting from multiple births caused by fertility treatments; and</w:t>
      </w:r>
    </w:p>
    <w:p>
      <w:pPr>
        <w:spacing w:after="0" w:line="184" w:lineRule="exact"/>
        <w:rPr>
          <w:rFonts w:ascii="Arial" w:cs="Arial" w:eastAsia="Arial" w:hAnsi="Arial"/>
          <w:sz w:val="17"/>
          <w:szCs w:val="17"/>
          <w:color w:val="auto"/>
        </w:rPr>
      </w:pPr>
    </w:p>
    <w:p>
      <w:pPr>
        <w:ind w:left="1040" w:hanging="519"/>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desire to find innovative ways to attract and retain highly sought-after talent.</w:t>
      </w:r>
    </w:p>
    <w:p>
      <w:pPr>
        <w:spacing w:after="0" w:line="218" w:lineRule="exact"/>
        <w:rPr>
          <w:sz w:val="20"/>
          <w:szCs w:val="20"/>
          <w:color w:val="auto"/>
        </w:rPr>
      </w:pPr>
    </w:p>
    <w:p>
      <w:pPr>
        <w:ind w:right="20" w:firstLine="336"/>
        <w:spacing w:after="0" w:line="276" w:lineRule="auto"/>
        <w:rPr>
          <w:sz w:val="20"/>
          <w:szCs w:val="20"/>
          <w:color w:val="auto"/>
        </w:rPr>
      </w:pPr>
      <w:r>
        <w:rPr>
          <w:rFonts w:ascii="Arial" w:cs="Arial" w:eastAsia="Arial" w:hAnsi="Arial"/>
          <w:sz w:val="17"/>
          <w:szCs w:val="17"/>
          <w:color w:val="auto"/>
        </w:rPr>
        <w:t>Employers are seeing an increasing demand for fertility and family building benefits solutions from their employees, yet the programs offered by their conventional health insurance carriers do not successfully address these core challenges.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Lack of Effective Fertility Benefits Solutions</w:t>
      </w:r>
    </w:p>
    <w:p>
      <w:pPr>
        <w:spacing w:after="0" w:line="222" w:lineRule="exact"/>
        <w:rPr>
          <w:sz w:val="20"/>
          <w:szCs w:val="20"/>
          <w:color w:val="auto"/>
        </w:rPr>
      </w:pPr>
    </w:p>
    <w:p>
      <w:pPr>
        <w:ind w:firstLine="333"/>
        <w:spacing w:after="0" w:line="277" w:lineRule="auto"/>
        <w:rPr>
          <w:sz w:val="20"/>
          <w:szCs w:val="20"/>
          <w:color w:val="auto"/>
        </w:rPr>
      </w:pPr>
      <w:r>
        <w:rPr>
          <w:rFonts w:ascii="Arial" w:cs="Arial" w:eastAsia="Arial" w:hAnsi="Arial"/>
          <w:sz w:val="16"/>
          <w:szCs w:val="16"/>
          <w:color w:val="auto"/>
        </w:rPr>
        <w:t>The conventional fertility benefits options available to employers have been designed to control the utilization of services (and expenditures) by employees rather than to optimize outcomes. As such, their plan designs have included restrictive features, such as lifetime dollar maximums, mandated step therapy protocols and limited or no coverage for advanced diagnostics and procedures. In addition, these plan designs have failed to provide access to premier fertility specialists, robust patient support and the ability to dispense fertility medication in a timely manner. Given the evolution of fertility science, such conventional plans have not kept pace and have generated suboptimal clinical outcomes, as well as greater upfront treatment costs and maternity and NICU expenses. This in turn leads to inefficient utilization of employers' expenditures on their fertility benefits programs.</w:t>
      </w:r>
    </w:p>
    <w:p>
      <w:pPr>
        <w:spacing w:after="0" w:line="175" w:lineRule="exact"/>
        <w:rPr>
          <w:sz w:val="20"/>
          <w:szCs w:val="20"/>
          <w:color w:val="auto"/>
        </w:rPr>
      </w:pPr>
    </w:p>
    <w:p>
      <w:pPr>
        <w:ind w:firstLine="333"/>
        <w:spacing w:after="0" w:line="294" w:lineRule="auto"/>
        <w:rPr>
          <w:sz w:val="20"/>
          <w:szCs w:val="20"/>
          <w:color w:val="auto"/>
        </w:rPr>
      </w:pPr>
      <w:r>
        <w:rPr>
          <w:rFonts w:ascii="Arial" w:cs="Arial" w:eastAsia="Arial" w:hAnsi="Arial"/>
          <w:sz w:val="15"/>
          <w:szCs w:val="15"/>
          <w:color w:val="auto"/>
        </w:rPr>
        <w:t>When conventional fertility benefits coverage is restrictively structured with a lifetime dollar maximum, the patient often makes poor clinical decisions that ultimately result in greater costs for the employer. Because the dollar maximum can easily be exhausted in the midst of a fertility treatment cycle, patients may elect to transfer multiple embryos because they are under financial pressure and mistakenly believe that it will optimize their chance of becoming pregnant. According to the 2015 RMANJ Report, 94% of respondents who are actively trying to have a child believe that they must use multiple embryos to increase their chance of having a child through IVF. The common use of multiple embryo transfer belies the fact that this procedure greatly increases the risk of multiple births and health complications among the mother and babies. One of the most common complications associated with multiples is preterm births. Preterm births significantly escalate healthcare costs, including maternity care, labor and delivery costs and NICU expenses. According to a study published in the American Journal of Obstetrics &amp; Gynecology that analyzed the total costs of care over 400,000 deliveries between 2005 and 2010, as adjusted for inflation, the maternity and perinatal healthcare costs attributable to a set of twins are approximately $150,000 on average, more than four times the comparable costs attributable to singleton births of approximately $35,000, and often exceed this average. In the case of triplets, the costs escalate significantly and average $560,000, sometimes extending upwards of $1.0 million.</w:t>
      </w:r>
    </w:p>
    <w:p>
      <w:pPr>
        <w:spacing w:after="0" w:line="164" w:lineRule="exact"/>
        <w:rPr>
          <w:sz w:val="20"/>
          <w:szCs w:val="20"/>
          <w:color w:val="auto"/>
        </w:rPr>
      </w:pPr>
    </w:p>
    <w:p>
      <w:pPr>
        <w:ind w:right="180" w:firstLine="336"/>
        <w:spacing w:after="0" w:line="302" w:lineRule="auto"/>
        <w:rPr>
          <w:sz w:val="20"/>
          <w:szCs w:val="20"/>
          <w:color w:val="auto"/>
        </w:rPr>
      </w:pPr>
      <w:r>
        <w:rPr>
          <w:rFonts w:ascii="Arial" w:cs="Arial" w:eastAsia="Arial" w:hAnsi="Arial"/>
          <w:sz w:val="15"/>
          <w:szCs w:val="15"/>
          <w:color w:val="auto"/>
        </w:rPr>
        <w:t>Conventional health insurance carriers also often mandate step therapy protocols and restrict access to use of advanced diagnostics and procedures, which exacerbates the inefficient utilization of dollars available under the lifetime dollar maximum and wastes valuable time on less effective treatments. A patient with mandated fertility step therapy protocol may be required to undergo three to six cycles of IUI, which has an average success rate range of 5% to 15%, takes place over three to six months and can cost up to $4,000 per cycle (or an aggregate of approximately $12,000 to $24,000), according to FertilityIQ. Multiple rounds of mandated IUI is likely to exhaust the patient's lifetime dollar maximum fertility benefits and waste valuable time before more effective IVF treatment can be</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pursued. These repeated failures also increase the physical and emotional rigors of infertility. In addition, patients go through an average of 2.2 IVF treatment cycles to achieve a successful pregnancy, with treatment costs typically around $18,000 per IVF cycle and medication costs typically around $7,000 per IVF cycle. Additionally, conventional fertility benefits programs generally do not cover certain advanced diagnostics and procedures that have been demonstrated to increase the likelihood of a healthy live birth. As scientific advances have continued to further evolve the field of assisted reproductive technology, or ART, conventional insurance carriers have not kept pace with these developments by evaluating and providing coverage for the latest approved technologies. For example, preimplantation genetics testing, or PGT, allows for a healthy embryo to be identified by screening for, and identifying, chromosomal abnormalities and certain genetic diseases. The use of PGT is correlated with reduced risk of miscarriage and increased probability of a successful transfer and pregnancy. However, PGT is not commonly covered or access to it is restricted by conventional health insurance carriers. More broadly, conventional health insurance carriers often do not cover all of the latest fertility technologies that correlate with better outcomes.</w:t>
      </w:r>
    </w:p>
    <w:p>
      <w:pPr>
        <w:spacing w:after="0" w:line="179" w:lineRule="exact"/>
        <w:rPr>
          <w:sz w:val="20"/>
          <w:szCs w:val="20"/>
          <w:color w:val="auto"/>
        </w:rPr>
      </w:pPr>
    </w:p>
    <w:p>
      <w:pPr>
        <w:ind w:right="40" w:firstLine="336"/>
        <w:spacing w:after="0" w:line="275" w:lineRule="auto"/>
        <w:rPr>
          <w:sz w:val="20"/>
          <w:szCs w:val="20"/>
          <w:color w:val="auto"/>
        </w:rPr>
      </w:pPr>
      <w:r>
        <w:rPr>
          <w:rFonts w:ascii="Arial" w:cs="Arial" w:eastAsia="Arial" w:hAnsi="Arial"/>
          <w:sz w:val="16"/>
          <w:szCs w:val="16"/>
          <w:color w:val="auto"/>
        </w:rPr>
        <w:t>In addition to restrictive plan designs, the success of conventional fertility programs is also limited because many of the nation's top fertility specialists do not broadly participate in conventional health insurance carriers' networks. These fertility specialists have been reluctant to enter into conventional health insurance carriers' networks due to their restrictive plan designs and limited lifetime dollar maximums that do not allow the specialists to employ best practices and that encourage patients to make compromises in their course of treatment. In addition, fertility specialists avoid participation in conventional health insurance carrier networks because there are typically significant administrative burdens related to accepting those carriers' coverage, such as the process of receiving multiple authorizations to perform treatment. The consequence of this non-participation is that patients may not have access to premier specialists who have the highest success rates. While fertility patients are typically willing to travel to reach high-quality care, the networks offered by conventional health insurance carriers often limit the patients' ability to see those fertility specialists that may increase their chances for a successful pregnancy.</w:t>
      </w:r>
    </w:p>
    <w:p>
      <w:pPr>
        <w:spacing w:after="0" w:line="176" w:lineRule="exact"/>
        <w:rPr>
          <w:sz w:val="20"/>
          <w:szCs w:val="20"/>
          <w:color w:val="auto"/>
        </w:rPr>
      </w:pPr>
    </w:p>
    <w:p>
      <w:pPr>
        <w:ind w:right="60" w:firstLine="333"/>
        <w:spacing w:after="0" w:line="256" w:lineRule="auto"/>
        <w:rPr>
          <w:sz w:val="20"/>
          <w:szCs w:val="20"/>
          <w:color w:val="auto"/>
        </w:rPr>
      </w:pPr>
      <w:r>
        <w:rPr>
          <w:rFonts w:ascii="Arial" w:cs="Arial" w:eastAsia="Arial" w:hAnsi="Arial"/>
          <w:sz w:val="17"/>
          <w:szCs w:val="17"/>
          <w:color w:val="auto"/>
        </w:rPr>
        <w:t>The fertility process is a long, rigorous journey, both emotionally and physically. Conventional benefits programs also lack any meaningful care coordination, education or patient support. Patients and their dependents have no help in understanding the complex choices they are faced with and discerning between treatment alternatives. For example, patients are often uneducated on the health risks and financial implications associated with preterm multiple births caused by the transfer of multiple embryos. There is also limited emotional support when patients face setbacks or unexpected outcomes as the current system ignores the emotional burden of patients embarking on the path to pregnancy through ART treatments and the impact that burden has on employee productivity and the workplace. In the 2015 RMANJ Report, 55% of surveyed individuals believe infertility to be more stressful than unemployment, and 61% believe infertility to be more stressful than divorce. Another study published by European Society of Human Reproduction and Embryology reported that 50% of women with infertility reported feeling depressed most or all of the time. The current system places the heavy burden of coping with the infertility journey completely on the patient, without adequate resources for emotional and educational support.</w:t>
      </w:r>
    </w:p>
    <w:p>
      <w:pPr>
        <w:spacing w:after="0" w:line="193" w:lineRule="exact"/>
        <w:rPr>
          <w:sz w:val="20"/>
          <w:szCs w:val="20"/>
          <w:color w:val="auto"/>
        </w:rPr>
      </w:pPr>
    </w:p>
    <w:p>
      <w:pPr>
        <w:ind w:right="160" w:firstLine="333"/>
        <w:spacing w:after="0" w:line="277" w:lineRule="auto"/>
        <w:rPr>
          <w:sz w:val="20"/>
          <w:szCs w:val="20"/>
          <w:color w:val="auto"/>
        </w:rPr>
      </w:pPr>
      <w:r>
        <w:rPr>
          <w:rFonts w:ascii="Arial" w:cs="Arial" w:eastAsia="Arial" w:hAnsi="Arial"/>
          <w:sz w:val="16"/>
          <w:szCs w:val="16"/>
          <w:color w:val="auto"/>
        </w:rPr>
        <w:t>The conventional pharmacy delivery infrastructure is not designed to address the uniqueness of fertility treatment, which requires highly coordinated and timely delivery of medication. Conventional benefits managers require extensive and multiple authorizations and have inconsistent approval processes, which can complicate and delay the provision of medications that are essential to fertility treatment. We believe that with conventional benefits programs, authorization and delivery times of one to two weeks are typical. If medications are not received on time, patients may have to wait a month or longer to commence another round of fertility treatment, wasting valuable time and money. In addition, the storage, preparation and administration of fertility medication is complex and requires extensive self-administered injections, yet most fertility benefits programs offer limited guidance and clinical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20"/>
        <w:spacing w:after="0" w:line="345" w:lineRule="auto"/>
        <w:rPr>
          <w:sz w:val="20"/>
          <w:szCs w:val="20"/>
          <w:color w:val="auto"/>
        </w:rPr>
      </w:pPr>
      <w:r>
        <w:rPr>
          <w:rFonts w:ascii="Arial" w:cs="Arial" w:eastAsia="Arial" w:hAnsi="Arial"/>
          <w:sz w:val="15"/>
          <w:szCs w:val="15"/>
          <w:color w:val="auto"/>
        </w:rPr>
        <w:t>support to patients around these issues. Additionally, fertility medications are often self-administered injectable drugs, and the effectiveness of a patient's treatment may be compromised by improper storage and/or incorrect administration of their medications if the patient is not provided access to education and support.</w:t>
      </w:r>
    </w:p>
    <w:p>
      <w:pPr>
        <w:spacing w:after="0" w:line="125" w:lineRule="exact"/>
        <w:rPr>
          <w:sz w:val="20"/>
          <w:szCs w:val="20"/>
          <w:color w:val="auto"/>
        </w:rPr>
      </w:pPr>
    </w:p>
    <w:p>
      <w:pPr>
        <w:ind w:right="100" w:firstLine="336"/>
        <w:spacing w:after="0" w:line="316" w:lineRule="auto"/>
        <w:rPr>
          <w:sz w:val="20"/>
          <w:szCs w:val="20"/>
          <w:color w:val="auto"/>
        </w:rPr>
      </w:pPr>
      <w:r>
        <w:rPr>
          <w:rFonts w:ascii="Arial" w:cs="Arial" w:eastAsia="Arial" w:hAnsi="Arial"/>
          <w:sz w:val="15"/>
          <w:szCs w:val="15"/>
          <w:color w:val="auto"/>
        </w:rPr>
        <w:t>Because of the unique challenges of infertility, including the high costs and complexity of treatment and the variability of outcomes across fertility specialists, conventional benefits solutions have been unable to optimize outcomes and efficiently utilize employers' dollars committed to fertility. As a result, employers are facing increased demand for an expensive benefits program without the availability of an effective solution in the conventional managed care environment.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Costs Associated with Multiple Births and Poor Fertility Treatment Outcomes</w:t>
      </w:r>
    </w:p>
    <w:p>
      <w:pPr>
        <w:spacing w:after="0" w:line="222" w:lineRule="exact"/>
        <w:rPr>
          <w:sz w:val="20"/>
          <w:szCs w:val="20"/>
          <w:color w:val="auto"/>
        </w:rPr>
      </w:pPr>
    </w:p>
    <w:p>
      <w:pPr>
        <w:ind w:firstLine="336"/>
        <w:spacing w:after="0" w:line="292" w:lineRule="auto"/>
        <w:rPr>
          <w:sz w:val="20"/>
          <w:szCs w:val="20"/>
          <w:color w:val="auto"/>
        </w:rPr>
      </w:pPr>
      <w:r>
        <w:rPr>
          <w:rFonts w:ascii="Arial" w:cs="Arial" w:eastAsia="Arial" w:hAnsi="Arial"/>
          <w:sz w:val="15"/>
          <w:szCs w:val="15"/>
          <w:color w:val="auto"/>
        </w:rPr>
        <w:t>Regardless of whether an employer chooses to cover fertility treatments, they end up bearing the significant medical costs associated with unanticipated multiple births and miscarriages, as well as the associated impacts on the workplace. The high number of multiple embryo transfers that conventionally occurs during IVF leads to a significant number of multiple births, which in turn is a primary cause of dangerous and expensive preterm births, the most common complication resulting from multiple births, which lead to extensive maternity and NICU costs. Based on 2005 data published by the Institute of Medicine of the National Academies and as adjusted for inflation, it is estimated that the yearly societal economic cost of preterm birth in the United States is approximately $33.7 billion, primarily due to high-risk prenatal care, pregnancy complications, preterm delivery, NICU stays and chronic health conditions, all of which are covered under employer-sponsored medical insurance. In addition to multiple birth rates, the relatively higher miscarriage rate associated with IVF treatment also results in significant additional medical costs for employers and their employees, as well as emotional and physical strain on patients. As a result of these suboptimal treatment outcomes, employers also bear the related costs of increased employee absenteeism at the workplace, which is common with instances of multiples births. For example, because a pregnancy with multiples is more likely to involve health complications for the mother and babies, there is a 4.4x greater likelihood of time away from work due to longer hospital stays before and after delivery, according to RESOLVE: The National Infertility Association, or RESOLVE, as well as more medical appointments for chronic infant conditions. Furthermore, multiple births lead to decreased employee retention. According to research conducted by the Twin &amp; Multiple Births Association, mothers of multiples are slower to return to work than mothers of singletons, and 55.8% of all mothers with twins take nine to 12 months of maternity leave. Employers may not be fully aware of the causal effect and ultimate impact of suboptimal fertility care under the current solutions offered by the conventional benefits programs since these programs do not collect outcomes data from their fertility specialists and therefore cannot accurately report on their program's performance in a timely manner.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Ability to Attract and Retain Talent</w:t>
      </w:r>
    </w:p>
    <w:p>
      <w:pPr>
        <w:spacing w:after="0" w:line="222" w:lineRule="exact"/>
        <w:rPr>
          <w:sz w:val="20"/>
          <w:szCs w:val="20"/>
          <w:color w:val="auto"/>
        </w:rPr>
      </w:pPr>
    </w:p>
    <w:p>
      <w:pPr>
        <w:jc w:val="both"/>
        <w:ind w:right="160" w:firstLine="336"/>
        <w:spacing w:after="0" w:line="265" w:lineRule="auto"/>
        <w:rPr>
          <w:sz w:val="20"/>
          <w:szCs w:val="20"/>
          <w:color w:val="auto"/>
        </w:rPr>
      </w:pPr>
      <w:r>
        <w:rPr>
          <w:rFonts w:ascii="Arial" w:cs="Arial" w:eastAsia="Arial" w:hAnsi="Arial"/>
          <w:sz w:val="17"/>
          <w:szCs w:val="17"/>
          <w:color w:val="auto"/>
        </w:rPr>
        <w:t>Employers are facing increasing competition to attract and retain talent as the labor market is at historically low unemployment levels. As a result, employers are enhancing their value proposition to employees by evaluating and providing benefits that are most in demand. Family building solutions are an increasing area of focus for employees, and in turn, employers.</w:t>
      </w:r>
    </w:p>
    <w:p>
      <w:pPr>
        <w:spacing w:after="0" w:line="180" w:lineRule="exact"/>
        <w:rPr>
          <w:sz w:val="20"/>
          <w:szCs w:val="20"/>
          <w:color w:val="auto"/>
        </w:rPr>
      </w:pPr>
    </w:p>
    <w:p>
      <w:pPr>
        <w:ind w:right="160" w:firstLine="327"/>
        <w:spacing w:after="0" w:line="289" w:lineRule="auto"/>
        <w:rPr>
          <w:sz w:val="20"/>
          <w:szCs w:val="20"/>
          <w:color w:val="auto"/>
        </w:rPr>
      </w:pPr>
      <w:r>
        <w:rPr>
          <w:rFonts w:ascii="Arial" w:cs="Arial" w:eastAsia="Arial" w:hAnsi="Arial"/>
          <w:sz w:val="16"/>
          <w:szCs w:val="16"/>
          <w:color w:val="auto"/>
        </w:rPr>
        <w:t>As their need for fertility treatment increases, many employees are demanding that their employers begin to provide or enhance their fertility benefits coverage. In the 2015 RMANJ Report, 68% of respondents and 70% of millennial respondents indicated that they were willing to change jobs to ensure fertility coverage. Among those respondents who have needed fertility treatment, 90% indicated a willingness to change jobs to ensure fertility coverage.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 Opportunity</w:t>
      </w:r>
    </w:p>
    <w:p>
      <w:pPr>
        <w:spacing w:after="0" w:line="222" w:lineRule="exact"/>
        <w:rPr>
          <w:sz w:val="20"/>
          <w:szCs w:val="20"/>
          <w:color w:val="auto"/>
        </w:rPr>
      </w:pPr>
    </w:p>
    <w:p>
      <w:pPr>
        <w:ind w:right="20" w:firstLine="333"/>
        <w:spacing w:after="0" w:line="276" w:lineRule="auto"/>
        <w:rPr>
          <w:sz w:val="20"/>
          <w:szCs w:val="20"/>
          <w:color w:val="auto"/>
        </w:rPr>
      </w:pPr>
      <w:r>
        <w:rPr>
          <w:rFonts w:ascii="Arial" w:cs="Arial" w:eastAsia="Arial" w:hAnsi="Arial"/>
          <w:sz w:val="17"/>
          <w:szCs w:val="17"/>
          <w:color w:val="auto"/>
        </w:rPr>
        <w:t>We believe we have a significant opportunity to provide employers with a superior comprehensive solution that addresses the unique challenges and complexities of fertility treatment and related fertility pharmacy services.</w:t>
      </w:r>
    </w:p>
    <w:p>
      <w:pPr>
        <w:spacing w:after="0" w:line="171" w:lineRule="exact"/>
        <w:rPr>
          <w:sz w:val="20"/>
          <w:szCs w:val="20"/>
          <w:color w:val="auto"/>
        </w:rPr>
      </w:pPr>
    </w:p>
    <w:p>
      <w:pPr>
        <w:ind w:right="260" w:firstLine="336"/>
        <w:spacing w:after="0" w:line="282" w:lineRule="auto"/>
        <w:rPr>
          <w:sz w:val="20"/>
          <w:szCs w:val="20"/>
          <w:color w:val="auto"/>
        </w:rPr>
      </w:pPr>
      <w:r>
        <w:rPr>
          <w:rFonts w:ascii="Arial" w:cs="Arial" w:eastAsia="Arial" w:hAnsi="Arial"/>
          <w:sz w:val="16"/>
          <w:szCs w:val="16"/>
          <w:color w:val="auto"/>
        </w:rPr>
        <w:t>Our core market for fertility benefits management is substantial and growing rapidly with strong tailwinds from major societal and cultural shifts, such as people starting families later in life, the growth in non-traditional paths to parenthood and other health-related burdens which have impacted the ability to have children. In addition, we believe that continued de-stigmatization of infertility, along with increased financial support from employers, will continue to drive better access to, and stronger demand for, fertility treatment services, thereby further enabling the expansion of our addressable market.</w:t>
      </w:r>
    </w:p>
    <w:p>
      <w:pPr>
        <w:spacing w:after="0" w:line="170" w:lineRule="exact"/>
        <w:rPr>
          <w:sz w:val="20"/>
          <w:szCs w:val="20"/>
          <w:color w:val="auto"/>
        </w:rPr>
      </w:pPr>
    </w:p>
    <w:p>
      <w:pPr>
        <w:ind w:right="80" w:firstLine="333"/>
        <w:spacing w:after="0" w:line="277" w:lineRule="auto"/>
        <w:rPr>
          <w:sz w:val="20"/>
          <w:szCs w:val="20"/>
          <w:color w:val="auto"/>
        </w:rPr>
      </w:pPr>
      <w:r>
        <w:rPr>
          <w:rFonts w:ascii="Arial" w:cs="Arial" w:eastAsia="Arial" w:hAnsi="Arial"/>
          <w:sz w:val="16"/>
          <w:szCs w:val="16"/>
          <w:color w:val="auto"/>
        </w:rPr>
        <w:t>We estimate that the market for fertility treatments in the United States was approximately $6.7 billion in 2017, based on data published by the CDC regarding the number of treatment cycles and FertilityIQ's estimate of the average cost per cycle. We estimate the potential size of the U.S. fertility market to be at least twice as large because this figure excludes those individuals who do not seek treatment for infertility. According to a recent study by Reproductive Medicine Associates of New York, approximately 50% of people suffering from infertility do not seek treatment. Furthermore, when comparing the United States to other countries, the percentage of babies born utilizing ART is materially lower, at less than 2% in the United States (where fertility treatment is not adequately covered), compared to approximately 10% in Denmark and 5% in Japan (where there is more public health funding for fertility treatment).</w:t>
      </w:r>
    </w:p>
    <w:p>
      <w:pPr>
        <w:spacing w:after="0" w:line="175" w:lineRule="exact"/>
        <w:rPr>
          <w:sz w:val="20"/>
          <w:szCs w:val="20"/>
          <w:color w:val="auto"/>
        </w:rPr>
      </w:pPr>
    </w:p>
    <w:p>
      <w:pPr>
        <w:ind w:right="20" w:firstLine="333"/>
        <w:spacing w:after="0" w:line="289" w:lineRule="auto"/>
        <w:rPr>
          <w:sz w:val="20"/>
          <w:szCs w:val="20"/>
          <w:color w:val="auto"/>
        </w:rPr>
      </w:pPr>
      <w:r>
        <w:rPr>
          <w:rFonts w:ascii="Arial" w:cs="Arial" w:eastAsia="Arial" w:hAnsi="Arial"/>
          <w:sz w:val="16"/>
          <w:szCs w:val="16"/>
          <w:color w:val="auto"/>
        </w:rPr>
        <w:t>We contract with employers to provide fertility and family building benefits to their employees and covered dependents. We believe our addressable market consists of the approximately 8,000 self-insured employers in the United States. These 8,000 employers have a minimum of 1,000 employees, representing approximately 69 million potential covered lives in total. Our current member base of 1.4 million represents only 2% of our total market opportunity.</w:t>
      </w:r>
    </w:p>
    <w:p>
      <w:pPr>
        <w:spacing w:after="0" w:line="163" w:lineRule="exact"/>
        <w:rPr>
          <w:sz w:val="20"/>
          <w:szCs w:val="20"/>
          <w:color w:val="auto"/>
        </w:rPr>
      </w:pPr>
    </w:p>
    <w:p>
      <w:pPr>
        <w:ind w:firstLine="336"/>
        <w:spacing w:after="0" w:line="261" w:lineRule="auto"/>
        <w:rPr>
          <w:sz w:val="20"/>
          <w:szCs w:val="20"/>
          <w:color w:val="auto"/>
        </w:rPr>
      </w:pPr>
      <w:r>
        <w:rPr>
          <w:rFonts w:ascii="Arial" w:cs="Arial" w:eastAsia="Arial" w:hAnsi="Arial"/>
          <w:sz w:val="17"/>
          <w:szCs w:val="17"/>
          <w:color w:val="auto"/>
        </w:rPr>
        <w:t>Regardless of whether or not these self-insured employers currently provide a fertility benefit, we believe they are prospective clients of Progyny. Further, 35% of our clients had no prior fertility coverage before adopting Progyny and nearly all of our clients enhanced their coverage when they switched to Progyny. Overall, we believe our market opportunity is substantial and is continuing to grow as a result of the rising demand for fertility benefits solutions, the lack of adequate offerings in the market today and the increasing awareness of the challenges of infertility we are driving.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Solutions</w:t>
      </w:r>
    </w:p>
    <w:p>
      <w:pPr>
        <w:spacing w:after="0" w:line="222" w:lineRule="exact"/>
        <w:rPr>
          <w:sz w:val="20"/>
          <w:szCs w:val="20"/>
          <w:color w:val="auto"/>
        </w:rPr>
      </w:pPr>
    </w:p>
    <w:p>
      <w:pPr>
        <w:ind w:right="100" w:firstLine="333"/>
        <w:spacing w:after="0" w:line="279" w:lineRule="auto"/>
        <w:rPr>
          <w:sz w:val="20"/>
          <w:szCs w:val="20"/>
          <w:color w:val="auto"/>
        </w:rPr>
      </w:pPr>
      <w:r>
        <w:rPr>
          <w:rFonts w:ascii="Arial" w:cs="Arial" w:eastAsia="Arial" w:hAnsi="Arial"/>
          <w:sz w:val="16"/>
          <w:szCs w:val="16"/>
          <w:color w:val="auto"/>
        </w:rPr>
        <w:t>We are redefining effective fertility and family building benefits through our purpose-built, data-driven and disruptive platform through which we offer our fertility benefits and Progyny Rx solutions. Our innovative and comprehensive fertility solution has proven to be simultaneously beneficial for our clients, our members and our network of fertility specialists. Through our differentiated approach to benefits plan design, patient education and support and active network management, our clients' employees are able to pursue the most effective treatment from the best fertility specialists and achieve optimal outcomes in a cost-efficient manner, while our clients achieve savings in upfront treatment costs as well as reduced maternity and NICU expenses.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Fertility Benefits Solution</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Differentiated Benefits Plan Design</w:t>
      </w:r>
    </w:p>
    <w:p>
      <w:pPr>
        <w:spacing w:after="0" w:line="218" w:lineRule="exact"/>
        <w:rPr>
          <w:sz w:val="20"/>
          <w:szCs w:val="20"/>
          <w:color w:val="auto"/>
        </w:rPr>
      </w:pPr>
    </w:p>
    <w:p>
      <w:pPr>
        <w:ind w:right="180" w:firstLine="333"/>
        <w:spacing w:after="0" w:line="276" w:lineRule="auto"/>
        <w:rPr>
          <w:sz w:val="20"/>
          <w:szCs w:val="20"/>
          <w:color w:val="auto"/>
        </w:rPr>
      </w:pPr>
      <w:r>
        <w:rPr>
          <w:rFonts w:ascii="Arial" w:cs="Arial" w:eastAsia="Arial" w:hAnsi="Arial"/>
          <w:sz w:val="17"/>
          <w:szCs w:val="17"/>
          <w:color w:val="auto"/>
        </w:rPr>
        <w:t>The innovative Smart Cycle is our easy-to-understand fertility benefits design. Unlike conventional fee-for-service benefits models, members are not burdened by having to track the individual price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any service or manage their clinical decisions based on a limited lifetime dollar maximum. For our clients, our Smart Cycle plan design allows members equitable access to the treatment they need and is designed to drive superior outcomes and reduce both upfront treatment and subsequent costs. Everything needed for a comprehensive fertility treatment is contained within a Smart Cycle treatment bundle, including all necessary diagnostic testing and access to the latest technology (e.g., in the case of IVF treatment, preimplantation genetic testing). We currently offer 17 different Smart Cycle treatment bundles, which may be used independently or in combination depending on the member's need. Each Smart Cycle has a separate unit value (i.e., some have fractional values and some have whole values). Our clients contract to purchase a cumulative Smart Cycle unit value per eligible member. These can range from one to unlimited cumulative Smart Cycles units. Members can choose their preferred provider clinics within our network and utilize their Smart Cycles for whichever treatments they and their fertility specialists determine to be necessary throughout their fertility journey.</w:t>
      </w:r>
    </w:p>
    <w:p>
      <w:pPr>
        <w:spacing w:after="0" w:line="188" w:lineRule="exact"/>
        <w:rPr>
          <w:sz w:val="20"/>
          <w:szCs w:val="20"/>
          <w:color w:val="auto"/>
        </w:rPr>
      </w:pPr>
    </w:p>
    <w:p>
      <w:pPr>
        <w:ind w:right="180" w:firstLine="333"/>
        <w:spacing w:after="0" w:line="279" w:lineRule="auto"/>
        <w:rPr>
          <w:sz w:val="20"/>
          <w:szCs w:val="20"/>
          <w:color w:val="auto"/>
        </w:rPr>
      </w:pPr>
      <w:r>
        <w:rPr>
          <w:rFonts w:ascii="Arial" w:cs="Arial" w:eastAsia="Arial" w:hAnsi="Arial"/>
          <w:sz w:val="16"/>
          <w:szCs w:val="16"/>
          <w:color w:val="auto"/>
        </w:rPr>
        <w:t>The Smart Cycle structure allows our members, together with the advice of their fertility specialists and the support of their PCAs, to select the Smart Cycle treatment bundles that align with their unique treatment needs and their intended family building pathway, without having to follow the "one size fits all" protocols common to conventional health insurance carriers, and without the worry that their desired treatment approach will not be authorized or covered for the full treatment cycle. Our comprehensive Smart Cycles, which are our proprietary treatment bundles, are assessed regularly by our Medical Advisory Board, and include access to the latest science and technologies, enabling our network of fertility specialists to utilize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114935</wp:posOffset>
            </wp:positionV>
            <wp:extent cx="4780280" cy="2932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80280" cy="293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336"/>
        <w:spacing w:after="0" w:line="276" w:lineRule="auto"/>
        <w:rPr>
          <w:sz w:val="20"/>
          <w:szCs w:val="20"/>
          <w:color w:val="auto"/>
        </w:rPr>
      </w:pPr>
      <w:r>
        <w:rPr>
          <w:rFonts w:ascii="Arial" w:cs="Arial" w:eastAsia="Arial" w:hAnsi="Arial"/>
          <w:sz w:val="17"/>
          <w:szCs w:val="17"/>
          <w:color w:val="auto"/>
        </w:rPr>
        <w:t>Our superior clinical outcomes driven by our Smart Cycle plan design include higher rates of pregnancy and live births, as well as lower miscarriage rates and fewer multiple births.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Personalized Concierge-Style Member Support Services</w:t>
      </w:r>
    </w:p>
    <w:p>
      <w:pPr>
        <w:spacing w:after="0" w:line="218" w:lineRule="exact"/>
        <w:rPr>
          <w:sz w:val="20"/>
          <w:szCs w:val="20"/>
          <w:color w:val="auto"/>
        </w:rPr>
      </w:pPr>
    </w:p>
    <w:p>
      <w:pPr>
        <w:jc w:val="both"/>
        <w:ind w:right="20" w:firstLine="336"/>
        <w:spacing w:after="0" w:line="316" w:lineRule="auto"/>
        <w:rPr>
          <w:sz w:val="20"/>
          <w:szCs w:val="20"/>
          <w:color w:val="auto"/>
        </w:rPr>
      </w:pPr>
      <w:r>
        <w:rPr>
          <w:rFonts w:ascii="Arial" w:cs="Arial" w:eastAsia="Arial" w:hAnsi="Arial"/>
          <w:sz w:val="15"/>
          <w:szCs w:val="15"/>
          <w:color w:val="auto"/>
        </w:rPr>
        <w:t>Our fertility benefits solution provides members with access to significant support services that are crucial to the success of the fertility and family building journey. Before the fertility treatment process begins, and throughout every step of the fertility journey, we deliver high-touch member support services through a dedicated PCA. Our PCAs have deep fertility expertise and provide extensive clinical education, guidance and emotional support to our members, regardless of their chosen path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parenthood, with members pursuing treatment experiencing on average 15 interactions with their PCA. Our PCAs are well-versed in surrogacy and adoption options, and they are trained to proactively refer our members with more severe emotional and mental health concerns to the other specialized services provided by their employers. Additionally, we have an in-house clinical staff, comprised of professionals with substantial expertise in reproductive endocrinology, fertility nursing, clinical psychology and social work that design our PCA training curriculum and direct our comprehensive member experience. Our member experience leads members to make informed decisions about the best course of treatment unique to them. Even if the members have exhausted their treatment benefit, members still have the opportunity to receive support and guidance from their PCAs.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124460</wp:posOffset>
            </wp:positionV>
            <wp:extent cx="4805045" cy="11087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805045"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firstLine="336"/>
        <w:spacing w:after="0" w:line="258" w:lineRule="auto"/>
        <w:rPr>
          <w:sz w:val="20"/>
          <w:szCs w:val="20"/>
          <w:color w:val="auto"/>
        </w:rPr>
      </w:pPr>
      <w:r>
        <w:rPr>
          <w:rFonts w:ascii="Arial" w:cs="Arial" w:eastAsia="Arial" w:hAnsi="Arial"/>
          <w:sz w:val="17"/>
          <w:szCs w:val="17"/>
          <w:color w:val="auto"/>
        </w:rPr>
        <w:t>Our comprehensive member portal, accessible via any desktop or mobile device, further supports the member experience by providing key educational resources and easy-to-access benefits information to our members. Our members can use the portal to securely message their PCA or access a curated library of videos, articles, podcasts and webinars on fertility and family building. The portal also offers digital solutions that help our members address the emotional effects that are often associated with infertility, including loss, self-blame, anxiety and depression. Additionally, the portal can be used to review plan coverage, benefit utilization, claim details and account balances. We believe our platform provides our members with best-in-class support services to help them navigate their fertility and family building journeys.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Selective Network of High-Quality Fertility Specialists</w:t>
      </w:r>
    </w:p>
    <w:p>
      <w:pPr>
        <w:spacing w:after="0" w:line="218" w:lineRule="exact"/>
        <w:rPr>
          <w:sz w:val="20"/>
          <w:szCs w:val="20"/>
          <w:color w:val="auto"/>
        </w:rPr>
      </w:pPr>
    </w:p>
    <w:p>
      <w:pPr>
        <w:ind w:right="120" w:firstLine="333"/>
        <w:spacing w:after="0" w:line="258" w:lineRule="auto"/>
        <w:rPr>
          <w:sz w:val="20"/>
          <w:szCs w:val="20"/>
          <w:color w:val="auto"/>
        </w:rPr>
      </w:pPr>
      <w:r>
        <w:rPr>
          <w:rFonts w:ascii="Arial" w:cs="Arial" w:eastAsia="Arial" w:hAnsi="Arial"/>
          <w:sz w:val="17"/>
          <w:szCs w:val="17"/>
          <w:color w:val="auto"/>
        </w:rPr>
        <w:t>We have utilized our deep industry knowledge and the insights derived from our data analytics platform to establish and actively manage a national network of the leading fertility specialists in the country. Our members receive access to our selective Center of Excellence network of high-quality providers that includes nearly 800 fertility specialists who practice at nearly 600 provider clinic locations throughout the United States. Our network includes 22 of the top 25 fertility practice groups by volume in the United States according to 2017 CDC data, which was published in 2019 and is the most recent data available. Fertility specialists who are invited to join our network must meet and maintain rigorous credentialing standards and quality thresholds that we set for inclusion in our network to ensure that our members receive the highest quality of care.</w:t>
      </w:r>
    </w:p>
    <w:p>
      <w:pPr>
        <w:spacing w:after="0" w:line="188" w:lineRule="exact"/>
        <w:rPr>
          <w:sz w:val="20"/>
          <w:szCs w:val="20"/>
          <w:color w:val="auto"/>
        </w:rPr>
      </w:pPr>
    </w:p>
    <w:p>
      <w:pPr>
        <w:ind w:right="80" w:firstLine="336"/>
        <w:spacing w:after="0" w:line="259" w:lineRule="auto"/>
        <w:rPr>
          <w:sz w:val="20"/>
          <w:szCs w:val="20"/>
          <w:color w:val="auto"/>
        </w:rPr>
      </w:pPr>
      <w:r>
        <w:rPr>
          <w:rFonts w:ascii="Arial" w:cs="Arial" w:eastAsia="Arial" w:hAnsi="Arial"/>
          <w:sz w:val="17"/>
          <w:szCs w:val="17"/>
          <w:color w:val="auto"/>
        </w:rPr>
        <w:t>Our fertility specialist network is unique in that approximately 30% of our provider clinics do not broadly participate in conventional health insurance carrier networks. We have been successful in providing our members with access to our Center of Excellence network of high-quality leading fertility specialists because of the differentiated relationships we have created with our network of fertility specialists who value their inclusion in the Progyny network and the ability we give them to utilize the latest technologies and best practices. Our national network serves members in virtually every state (two states have no practicing reproductive endocrinologists), providing extensive geographic coverage to our national employers.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Progyny Rx, an Integrated Pharmacy Benefits Solution</w:t>
      </w:r>
    </w:p>
    <w:p>
      <w:pPr>
        <w:spacing w:after="0" w:line="218" w:lineRule="exact"/>
        <w:rPr>
          <w:sz w:val="20"/>
          <w:szCs w:val="20"/>
          <w:color w:val="auto"/>
        </w:rPr>
      </w:pPr>
    </w:p>
    <w:p>
      <w:pPr>
        <w:ind w:firstLine="336"/>
        <w:spacing w:after="0" w:line="293" w:lineRule="auto"/>
        <w:rPr>
          <w:sz w:val="20"/>
          <w:szCs w:val="20"/>
          <w:color w:val="auto"/>
        </w:rPr>
      </w:pPr>
      <w:r>
        <w:rPr>
          <w:rFonts w:ascii="Arial" w:cs="Arial" w:eastAsia="Arial" w:hAnsi="Arial"/>
          <w:sz w:val="15"/>
          <w:szCs w:val="15"/>
          <w:color w:val="auto"/>
        </w:rPr>
        <w:t>Progyny Rx is our integrated pharmacy benefits solution that can be added by clients that utilize our fertility benefits solution. This solution provides our members with access to the medications needed during their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Our single treatment and medication authorization process reduces the administrative burden, creating an efficient pharmacy solution for our members and their fertility specialists. Progyny Rx reduces dispensing and delivery time to two days to eliminate the risk of missed treatment cycles. Our single medication authorization and delivery led to no missed or delayed cycles for the program in 2018. We provide phone-based, clinical education and support seven days a week to ensure that our members understand any necessary medication storage requirements and administration techniques, including injection training. For example, each member is offered an UnPack It call, during which they speak to a licensed pharmacy clinician who explains the contents of their individual medication package, which contains an average of up to 20 items per cycle, and provides instruction on proper medication administration. To further support those members that require additional education, we also offer a library of on-demand videos. Given the importance of the timely use of medication to the success of fertility treatments, and the complexity involved in administering the medications, we believe Progyny Rx provides a differentiated and effective pharmacy solution for our clients and their employees.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Robust Data Collection Process</w:t>
      </w:r>
    </w:p>
    <w:p>
      <w:pPr>
        <w:spacing w:after="0" w:line="218" w:lineRule="exact"/>
        <w:rPr>
          <w:sz w:val="20"/>
          <w:szCs w:val="20"/>
          <w:color w:val="auto"/>
        </w:rPr>
      </w:pPr>
    </w:p>
    <w:p>
      <w:pPr>
        <w:ind w:right="120" w:firstLine="333"/>
        <w:spacing w:after="0" w:line="295" w:lineRule="auto"/>
        <w:rPr>
          <w:sz w:val="20"/>
          <w:szCs w:val="20"/>
          <w:color w:val="auto"/>
        </w:rPr>
      </w:pPr>
      <w:r>
        <w:rPr>
          <w:rFonts w:ascii="Arial" w:cs="Arial" w:eastAsia="Arial" w:hAnsi="Arial"/>
          <w:sz w:val="15"/>
          <w:szCs w:val="15"/>
          <w:color w:val="auto"/>
        </w:rPr>
        <w:t>We believe that we are the only fertility and family building benefits company to collect data in a timely manner directly from providers on adherence to treatment protocols and clinical outcomes, including single embryo transfer rates, pregnancy rates, miscarriage rates, live birth rates, multiple birth rates, practice patterns, treatment timelines and costs per birth. Our data is used to understand the utilization of our benefits, our provider clinics' adherence to best practices and the outcomes produced by each clinic and across our network. This data informs decisions across our platform, from services covered to our fertility network standards. The insights from our data also enable us to actively manage our fertility specialist network and ensure that our fertility specialists are utilizing best practices and optimizing outcomes. The data collection process also includes extensive member surveys, which allow us to understand and improve our member satisfaction. Finally, our data allows us to provide our clients with unique and detailed quarterly reports in order to provide full transparency into the utilization of their benefit program, their expenditures and the outcomes delivered and value created. We believe that we effectively utilize our thorough data collection and analysis process and our unique and robust data set to continuously improve the client and member experience across our platform.</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Prestigious Medical Advisory Board</w:t>
      </w:r>
    </w:p>
    <w:p>
      <w:pPr>
        <w:spacing w:after="0" w:line="218" w:lineRule="exact"/>
        <w:rPr>
          <w:sz w:val="20"/>
          <w:szCs w:val="20"/>
          <w:color w:val="auto"/>
        </w:rPr>
      </w:pPr>
    </w:p>
    <w:p>
      <w:pPr>
        <w:ind w:right="220" w:firstLine="336"/>
        <w:spacing w:after="0" w:line="282" w:lineRule="auto"/>
        <w:rPr>
          <w:sz w:val="20"/>
          <w:szCs w:val="20"/>
          <w:color w:val="auto"/>
        </w:rPr>
      </w:pPr>
      <w:r>
        <w:rPr>
          <w:rFonts w:ascii="Arial" w:cs="Arial" w:eastAsia="Arial" w:hAnsi="Arial"/>
          <w:sz w:val="16"/>
          <w:szCs w:val="16"/>
          <w:color w:val="auto"/>
        </w:rPr>
        <w:t>Our Medical Advisory Board is comprised of nationally recognized fertility specialists who are advancing fertility science and research. They are responsible for oversight of key clinical issues, including evaluating new fertility treatment diagnostics and procedures to ensure that our benefits design and overall program is comprehensive and is designed to drive to the best outcomes. This review ensures that we are evaluating and covering the latest and most effective fertility treatments and identifying opportunities to improve our plan design, member experience and fertility specialist network standards.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Full Service Client Account Management</w:t>
      </w:r>
    </w:p>
    <w:p>
      <w:pPr>
        <w:spacing w:after="0" w:line="218" w:lineRule="exact"/>
        <w:rPr>
          <w:sz w:val="20"/>
          <w:szCs w:val="20"/>
          <w:color w:val="auto"/>
        </w:rPr>
      </w:pPr>
    </w:p>
    <w:p>
      <w:pPr>
        <w:ind w:firstLine="333"/>
        <w:spacing w:after="0" w:line="276" w:lineRule="auto"/>
        <w:rPr>
          <w:sz w:val="20"/>
          <w:szCs w:val="20"/>
          <w:color w:val="auto"/>
        </w:rPr>
      </w:pPr>
      <w:r>
        <w:rPr>
          <w:rFonts w:ascii="Arial" w:cs="Arial" w:eastAsia="Arial" w:hAnsi="Arial"/>
          <w:sz w:val="17"/>
          <w:szCs w:val="17"/>
          <w:color w:val="auto"/>
        </w:rPr>
        <w:t>We provide a dedicated account management team to each of our clients to ensure that we are delivering superior service. Our account managers support our clients' day-to-day needs and resolve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issues that arise. For example, to help our clients ensure that their employees are fully aware of the Progyny program, our account management teams work with our clients to create co-branded materials to support health fairs, open enrollment events and other employee communications. The account management team also attends open enrollment benefits fairs and other health fairs throughout the year and hosts virtual open enrollment webinars for members to attend live or on-demand. Our account management team also reviews all quarterly and annual program reports with our clients to reinforce the transparency we provide to clients into their expenditures and outcomes and to review and quantify the value created by our solutions. We believe our account management services, including our detailed client reporting, plays an important role in helping us maintain and strengthen our client relationships.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Ease of Integration for Our Clients</w:t>
      </w:r>
    </w:p>
    <w:p>
      <w:pPr>
        <w:spacing w:after="0" w:line="218" w:lineRule="exact"/>
        <w:rPr>
          <w:sz w:val="20"/>
          <w:szCs w:val="20"/>
          <w:color w:val="auto"/>
        </w:rPr>
      </w:pPr>
    </w:p>
    <w:p>
      <w:pPr>
        <w:ind w:firstLine="336"/>
        <w:spacing w:after="0" w:line="257" w:lineRule="auto"/>
        <w:rPr>
          <w:sz w:val="20"/>
          <w:szCs w:val="20"/>
          <w:color w:val="auto"/>
        </w:rPr>
      </w:pPr>
      <w:r>
        <w:rPr>
          <w:rFonts w:ascii="Arial" w:cs="Arial" w:eastAsia="Arial" w:hAnsi="Arial"/>
          <w:sz w:val="17"/>
          <w:szCs w:val="17"/>
          <w:color w:val="auto"/>
        </w:rPr>
        <w:t>Once we are selected by an employer to manage their fertility and family building benefit, our solution is easy to implement as part of their broader pre-tax medical benefits package. Integrating our solution involves only a small commitment of our client's time (typically only six to ten hours over the course of six weeks). Facilitating the ease of integration is the fact that we have developed multiple integration solutions that allow us to integrate with any health plan or health insurance carrier, reducing significant time and expense for our clients. Our unique ability to integrate our solution with our clients' health insurance coverage allows our benefit to be offered to employees on a pre-tax basis, providing our members with significant savings in comparison to a post-tax reimbursement program, which requires the employee to pay income taxes on the amount of the reimbursement. We believe our ability to integrate our benefits solutions with all of the large national health insurance carriers is a differentiating factor within the industry.</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Surrogacy and Adoption Reimbursement Program</w:t>
      </w:r>
    </w:p>
    <w:p>
      <w:pPr>
        <w:spacing w:after="0" w:line="218" w:lineRule="exact"/>
        <w:rPr>
          <w:sz w:val="20"/>
          <w:szCs w:val="20"/>
          <w:color w:val="auto"/>
        </w:rPr>
      </w:pPr>
    </w:p>
    <w:p>
      <w:pPr>
        <w:ind w:right="20" w:firstLine="333"/>
        <w:spacing w:after="0" w:line="279" w:lineRule="auto"/>
        <w:rPr>
          <w:sz w:val="20"/>
          <w:szCs w:val="20"/>
          <w:color w:val="auto"/>
        </w:rPr>
      </w:pPr>
      <w:r>
        <w:rPr>
          <w:rFonts w:ascii="Arial" w:cs="Arial" w:eastAsia="Arial" w:hAnsi="Arial"/>
          <w:sz w:val="16"/>
          <w:szCs w:val="16"/>
          <w:color w:val="auto"/>
        </w:rPr>
        <w:t>We also offer a surrogacy and adoption reimbursement program. We can manage the reimbursement of surrogacy and adoption expenses for those clients who offer such reimbursement benefits. For these programs, employers designate a specific lifetime dollar amount toward surrogacy and/or adoption services for their employees. We then administer the expense reimbursement to employees up to this dollar amount. We work with our clients to determine what expenses related to adoption and/or surrogacy will be covered under their plan, thereby alleviating their administrative burden. Examples of reimbursable expenses typically include agency fees, surrogacy fees, travel expenses and healthcare expenses for the surrogate.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Value Proposition</w:t>
      </w:r>
    </w:p>
    <w:p>
      <w:pPr>
        <w:spacing w:after="0" w:line="222" w:lineRule="exact"/>
        <w:rPr>
          <w:sz w:val="20"/>
          <w:szCs w:val="20"/>
          <w:color w:val="auto"/>
        </w:rPr>
      </w:pPr>
    </w:p>
    <w:p>
      <w:pPr>
        <w:ind w:right="80" w:firstLine="333"/>
        <w:spacing w:after="0" w:line="308" w:lineRule="auto"/>
        <w:rPr>
          <w:sz w:val="20"/>
          <w:szCs w:val="20"/>
          <w:color w:val="auto"/>
        </w:rPr>
      </w:pPr>
      <w:r>
        <w:rPr>
          <w:rFonts w:ascii="Arial" w:cs="Arial" w:eastAsia="Arial" w:hAnsi="Arial"/>
          <w:sz w:val="16"/>
          <w:szCs w:val="16"/>
          <w:color w:val="auto"/>
        </w:rPr>
        <w:t>We believe that our competitive success is a function of our ability to concurrently: (1) provide tangible financial value to our clients; (2) deliver a better and more supported fertility journey to our members; and (3) provide value to, and work collaboratively with, the nation's finest fertility specialists.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Provide Measurable Value to Our Employer Clients</w:t>
      </w:r>
    </w:p>
    <w:p>
      <w:pPr>
        <w:spacing w:after="0" w:line="231" w:lineRule="exact"/>
        <w:rPr>
          <w:sz w:val="20"/>
          <w:szCs w:val="20"/>
          <w:color w:val="auto"/>
        </w:rPr>
      </w:pPr>
    </w:p>
    <w:p>
      <w:pPr>
        <w:ind w:left="1040" w:hanging="519"/>
        <w:spacing w:after="0" w:line="302" w:lineRule="auto"/>
        <w:tabs>
          <w:tab w:leader="none" w:pos="10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Substantial and Measurable Financial Value. </w:t>
      </w:r>
      <w:r>
        <w:rPr>
          <w:rFonts w:ascii="Arial" w:cs="Arial" w:eastAsia="Arial" w:hAnsi="Arial"/>
          <w:sz w:val="15"/>
          <w:szCs w:val="15"/>
          <w:color w:val="auto"/>
        </w:rPr>
        <w:t>Our superior clinical outcomes drive savings in both upfront fertility treatment costs as well as subsequent</w:t>
      </w:r>
      <w:r>
        <w:rPr>
          <w:rFonts w:ascii="Arial" w:cs="Arial" w:eastAsia="Arial" w:hAnsi="Arial"/>
          <w:sz w:val="15"/>
          <w:szCs w:val="15"/>
          <w:i w:val="1"/>
          <w:iCs w:val="1"/>
          <w:color w:val="auto"/>
        </w:rPr>
        <w:t xml:space="preserve"> </w:t>
      </w:r>
      <w:r>
        <w:rPr>
          <w:rFonts w:ascii="Arial" w:cs="Arial" w:eastAsia="Arial" w:hAnsi="Arial"/>
          <w:sz w:val="15"/>
          <w:szCs w:val="15"/>
          <w:color w:val="auto"/>
        </w:rPr>
        <w:t>maternity and NICU expenses for employers. Because our live birth rate is 54.5% compared to the national average of 43.3% (as calculated based on CDC data) the number of costly treatment cycles utilized by our members is lowered. Additionally, our multiple birth rate is 3.6% compared to the national average of 16.1% (as calculated based on CDC data) resulting in a reduction in the incidence of multiple births and the associated costs for high-risk pre-natal care, pregnancy complications, preterm delivery, NICU stays and the management of associated chronic health conditions.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1" w:lineRule="exact"/>
        <w:rPr>
          <w:sz w:val="20"/>
          <w:szCs w:val="20"/>
          <w:color w:val="auto"/>
        </w:rPr>
      </w:pPr>
    </w:p>
    <w:p>
      <w:pPr>
        <w:ind w:left="1040" w:right="140" w:hanging="519"/>
        <w:spacing w:after="0" w:line="261" w:lineRule="auto"/>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Progyny Rx Savings. </w:t>
      </w:r>
      <w:r>
        <w:rPr>
          <w:rFonts w:ascii="Arial" w:cs="Arial" w:eastAsia="Arial" w:hAnsi="Arial"/>
          <w:sz w:val="17"/>
          <w:szCs w:val="17"/>
          <w:color w:val="auto"/>
        </w:rPr>
        <w:t>Progyny Rx delivers unit cost savings of between 10% and 20% to our clients in comparison to the net costs that they would</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with a traditional pharmacy benefits manager. Additionally, we have implemented a pharmacy cost containment program to carefully match the amount we dispense to the actual amount needed for a specific patient's treatment. Our cost containment protocol delivers an additional savings of approximately 8% based on a reduction in unnecessary quantities dispensed.</w:t>
      </w:r>
    </w:p>
    <w:p>
      <w:pPr>
        <w:spacing w:after="0" w:line="210"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Employee Productivity and Retention. </w:t>
      </w:r>
      <w:r>
        <w:rPr>
          <w:rFonts w:ascii="Arial" w:cs="Arial" w:eastAsia="Arial" w:hAnsi="Arial"/>
          <w:sz w:val="16"/>
          <w:szCs w:val="16"/>
          <w:color w:val="auto"/>
        </w:rPr>
        <w:t>Our solution addresses employee absenteeism, poor productivity, and the lack of employee retention driven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stress of suffering from infertility (and undergoing fertility treatment) as well as the back-to-work issues related to multiple births. Our members are able to receive the most effective treatments more quickly, thereby reducing the physical and emotional rigors of infertility and its treatment. In addition, before the fertility treatment process even begins, and throughout every step of the care journey, we deliver high-touch member support services through our PCAs. Our program helps reduce time away from work for medical visits, allows employees to be more productive while they are at work and reduces the percentage of employees who do not return to work because of a multiple birth.</w:t>
      </w:r>
    </w:p>
    <w:p>
      <w:pPr>
        <w:spacing w:after="0" w:line="187" w:lineRule="exact"/>
        <w:rPr>
          <w:rFonts w:ascii="Arial" w:cs="Arial" w:eastAsia="Arial" w:hAnsi="Arial"/>
          <w:sz w:val="16"/>
          <w:szCs w:val="16"/>
          <w:color w:val="auto"/>
        </w:rPr>
      </w:pPr>
    </w:p>
    <w:p>
      <w:pPr>
        <w:ind w:left="1040" w:right="20" w:hanging="519"/>
        <w:spacing w:after="0" w:line="297" w:lineRule="auto"/>
        <w:tabs>
          <w:tab w:leader="none" w:pos="10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Appeal to Existing and Prospective Employees. </w:t>
      </w:r>
      <w:r>
        <w:rPr>
          <w:rFonts w:ascii="Arial" w:cs="Arial" w:eastAsia="Arial" w:hAnsi="Arial"/>
          <w:sz w:val="15"/>
          <w:szCs w:val="15"/>
          <w:color w:val="auto"/>
        </w:rPr>
        <w:t>Better fertility benefits programs can be a key component of enhancing a company's overall benefits and</w:t>
      </w:r>
      <w:r>
        <w:rPr>
          <w:rFonts w:ascii="Arial" w:cs="Arial" w:eastAsia="Arial" w:hAnsi="Arial"/>
          <w:sz w:val="15"/>
          <w:szCs w:val="15"/>
          <w:i w:val="1"/>
          <w:iCs w:val="1"/>
          <w:color w:val="auto"/>
        </w:rPr>
        <w:t xml:space="preserve"> </w:t>
      </w:r>
      <w:r>
        <w:rPr>
          <w:rFonts w:ascii="Arial" w:cs="Arial" w:eastAsia="Arial" w:hAnsi="Arial"/>
          <w:sz w:val="15"/>
          <w:szCs w:val="15"/>
          <w:color w:val="auto"/>
        </w:rPr>
        <w:t>an important tool in its recruiting efforts and in helping retain key talent. Research from FertilityIQ states that employees who had their IVF covered by their employer reported being more likely to remain in their job for a longer period (62%) and were more willing to overlook shortcomings of their employer (53%). An appealing feature of the Progyny benefit from an employee retention perspective is that the benefit is both comprehensive and is accessible by all groups across an employee population without favoring a particular segment, thereby providing increased alignment with an employer's women's, diversity and equality initiatives. Beyond the comprehensiveness of our plan design, a substantial majority of our members also appreciate the concierge member support. The level of employee satisfaction we provide is important for any employer focused on employee retention.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Provide Meaningful Value to Our Members</w:t>
      </w:r>
    </w:p>
    <w:p>
      <w:pPr>
        <w:spacing w:after="0" w:line="231" w:lineRule="exact"/>
        <w:rPr>
          <w:sz w:val="20"/>
          <w:szCs w:val="20"/>
          <w:color w:val="auto"/>
        </w:rPr>
      </w:pPr>
    </w:p>
    <w:p>
      <w:pPr>
        <w:ind w:left="1040" w:right="380" w:hanging="519"/>
        <w:spacing w:after="0" w:line="265"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Superior Clinical Outcomes. </w:t>
      </w:r>
      <w:r>
        <w:rPr>
          <w:rFonts w:ascii="Arial" w:cs="Arial" w:eastAsia="Arial" w:hAnsi="Arial"/>
          <w:sz w:val="17"/>
          <w:szCs w:val="17"/>
          <w:color w:val="auto"/>
        </w:rPr>
        <w:t>Our members experience healthier pregnancies (with significantly increased utilization of single embryo transfer)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superior rates of pregnancy and live birth as well as reduced rates of miscarriages and multiple births. Our members achieve successful healthy pregnancies faster, saving valuable time and money and limiting personal and professional disruption.</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Progyny In-Network</w:t>
            </w:r>
          </w:p>
        </w:tc>
      </w:tr>
      <w:tr>
        <w:trPr>
          <w:trHeight w:val="155"/>
        </w:trPr>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Progyny In-Network</w:t>
            </w:r>
          </w:p>
        </w:tc>
        <w:tc>
          <w:tcPr>
            <w:tcW w:w="1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Provider Clinic</w:t>
            </w:r>
          </w:p>
        </w:tc>
      </w:tr>
      <w:tr>
        <w:trPr>
          <w:trHeight w:val="142"/>
        </w:trPr>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9"/>
              </w:rPr>
              <w:t>National Averages</w:t>
            </w:r>
          </w:p>
        </w:tc>
        <w:tc>
          <w:tcPr>
            <w:tcW w:w="146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1"/>
              </w:rPr>
              <w:t>Provider Clinic</w:t>
            </w:r>
          </w:p>
        </w:tc>
        <w:tc>
          <w:tcPr>
            <w:tcW w:w="144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5"/>
              </w:rPr>
              <w:t>Averages</w:t>
            </w:r>
          </w:p>
        </w:tc>
      </w:tr>
      <w:tr>
        <w:trPr>
          <w:trHeight w:val="142"/>
        </w:trPr>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5"/>
              </w:rPr>
              <w:t>for All Provider</w:t>
            </w:r>
          </w:p>
        </w:tc>
        <w:tc>
          <w:tcPr>
            <w:tcW w:w="146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8"/>
              </w:rPr>
              <w:t>Averages</w:t>
            </w:r>
          </w:p>
        </w:tc>
        <w:tc>
          <w:tcPr>
            <w:tcW w:w="144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0"/>
              </w:rPr>
              <w:t>for Progyny</w:t>
            </w:r>
          </w:p>
        </w:tc>
      </w:tr>
      <w:tr>
        <w:trPr>
          <w:trHeight w:val="174"/>
        </w:trPr>
        <w:tc>
          <w:tcPr>
            <w:tcW w:w="3760" w:type="dxa"/>
            <w:vAlign w:val="bottom"/>
            <w:gridSpan w:val="3"/>
          </w:tcPr>
          <w:p>
            <w:pPr>
              <w:spacing w:after="0"/>
              <w:rPr>
                <w:sz w:val="20"/>
                <w:szCs w:val="20"/>
                <w:color w:val="auto"/>
              </w:rPr>
            </w:pPr>
            <w:r>
              <w:rPr>
                <w:rFonts w:ascii="Arial" w:cs="Arial" w:eastAsia="Arial" w:hAnsi="Arial"/>
                <w:sz w:val="13"/>
                <w:szCs w:val="13"/>
                <w:b w:val="1"/>
                <w:bCs w:val="1"/>
                <w:color w:val="auto"/>
              </w:rPr>
              <w:t>Outcome</w:t>
            </w: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Clinics</w:t>
            </w: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for All Patients</w:t>
            </w:r>
          </w:p>
        </w:tc>
        <w:tc>
          <w:tcPr>
            <w:tcW w:w="1440" w:type="dxa"/>
            <w:vAlign w:val="bottom"/>
            <w:gridSpan w:val="2"/>
          </w:tcPr>
          <w:p>
            <w:pPr>
              <w:jc w:val="center"/>
              <w:ind w:right="140"/>
              <w:spacing w:after="0" w:line="168" w:lineRule="exact"/>
              <w:rPr>
                <w:sz w:val="20"/>
                <w:szCs w:val="20"/>
                <w:color w:val="auto"/>
              </w:rPr>
            </w:pPr>
            <w:r>
              <w:rPr>
                <w:rFonts w:ascii="Arial" w:cs="Arial" w:eastAsia="Arial" w:hAnsi="Arial"/>
                <w:sz w:val="12"/>
                <w:szCs w:val="12"/>
                <w:b w:val="1"/>
                <w:bCs w:val="1"/>
                <w:color w:val="auto"/>
                <w:w w:val="95"/>
              </w:rPr>
              <w:t>Members Only</w:t>
            </w:r>
            <w:r>
              <w:rPr>
                <w:rFonts w:ascii="Arial" w:cs="Arial" w:eastAsia="Arial" w:hAnsi="Arial"/>
                <w:sz w:val="19"/>
                <w:szCs w:val="19"/>
                <w:b w:val="1"/>
                <w:bCs w:val="1"/>
                <w:color w:val="auto"/>
                <w:w w:val="95"/>
                <w:vertAlign w:val="superscript"/>
              </w:rPr>
              <w:t>(4)</w:t>
            </w:r>
          </w:p>
        </w:tc>
      </w:tr>
      <w:tr>
        <w:trPr>
          <w:trHeight w:val="233"/>
        </w:trPr>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Single</w:t>
            </w:r>
          </w:p>
        </w:tc>
        <w:tc>
          <w:tcPr>
            <w:tcW w:w="3260" w:type="dxa"/>
            <w:vAlign w:val="bottom"/>
            <w:tcBorders>
              <w:top w:val="single" w:sz="8" w:color="CCEEFF"/>
            </w:tcBorders>
            <w:gridSpan w:val="2"/>
            <w:shd w:val="clear" w:color="auto" w:fill="CCEEFF"/>
          </w:tcPr>
          <w:p>
            <w:pPr>
              <w:spacing w:after="0" w:line="232" w:lineRule="exact"/>
              <w:rPr>
                <w:sz w:val="20"/>
                <w:szCs w:val="20"/>
                <w:color w:val="auto"/>
              </w:rPr>
            </w:pPr>
            <w:r>
              <w:rPr>
                <w:rFonts w:ascii="Arial" w:cs="Arial" w:eastAsia="Arial" w:hAnsi="Arial"/>
                <w:sz w:val="16"/>
                <w:szCs w:val="16"/>
                <w:color w:val="auto"/>
              </w:rPr>
              <w:t>embryo transfer rate</w:t>
            </w:r>
            <w:r>
              <w:rPr>
                <w:rFonts w:ascii="Arial" w:cs="Arial" w:eastAsia="Arial" w:hAnsi="Arial"/>
                <w:sz w:val="26"/>
                <w:szCs w:val="26"/>
                <w:color w:val="auto"/>
                <w:vertAlign w:val="superscript"/>
              </w:rPr>
              <w:t>(1)</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53.1%</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89.0%</w:t>
            </w:r>
          </w:p>
        </w:tc>
      </w:tr>
      <w:tr>
        <w:trPr>
          <w:trHeight w:val="246"/>
        </w:trPr>
        <w:tc>
          <w:tcPr>
            <w:tcW w:w="3760" w:type="dxa"/>
            <w:vAlign w:val="bottom"/>
            <w:gridSpan w:val="3"/>
          </w:tcPr>
          <w:p>
            <w:pPr>
              <w:spacing w:after="0" w:line="246" w:lineRule="exact"/>
              <w:rPr>
                <w:sz w:val="20"/>
                <w:szCs w:val="20"/>
                <w:color w:val="auto"/>
              </w:rPr>
            </w:pPr>
            <w:r>
              <w:rPr>
                <w:rFonts w:ascii="Arial" w:cs="Arial" w:eastAsia="Arial" w:hAnsi="Arial"/>
                <w:sz w:val="17"/>
                <w:szCs w:val="17"/>
                <w:color w:val="auto"/>
              </w:rPr>
              <w:t>Pregnancy rate per IVF transfer</w:t>
            </w:r>
            <w:r>
              <w:rPr>
                <w:rFonts w:ascii="Arial" w:cs="Arial" w:eastAsia="Arial" w:hAnsi="Arial"/>
                <w:sz w:val="28"/>
                <w:szCs w:val="28"/>
                <w:color w:val="auto"/>
                <w:vertAlign w:val="superscript"/>
              </w:rPr>
              <w:t>(2)</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52.5%</w:t>
            </w: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54.6%</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60.7%</w:t>
            </w:r>
          </w:p>
        </w:tc>
      </w:tr>
      <w:tr>
        <w:trPr>
          <w:trHeight w:val="246"/>
        </w:trPr>
        <w:tc>
          <w:tcPr>
            <w:tcW w:w="376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Miscarriage rate</w:t>
            </w:r>
            <w:r>
              <w:rPr>
                <w:rFonts w:ascii="Arial" w:cs="Arial" w:eastAsia="Arial" w:hAnsi="Arial"/>
                <w:sz w:val="28"/>
                <w:szCs w:val="28"/>
                <w:color w:val="auto"/>
                <w:vertAlign w:val="superscript"/>
              </w:rPr>
              <w:t>(2)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46"/>
        </w:trPr>
        <w:tc>
          <w:tcPr>
            <w:tcW w:w="3760" w:type="dxa"/>
            <w:vAlign w:val="bottom"/>
            <w:gridSpan w:val="3"/>
          </w:tcPr>
          <w:p>
            <w:pPr>
              <w:spacing w:after="0" w:line="246" w:lineRule="exact"/>
              <w:rPr>
                <w:sz w:val="20"/>
                <w:szCs w:val="20"/>
                <w:color w:val="auto"/>
              </w:rPr>
            </w:pPr>
            <w:r>
              <w:rPr>
                <w:rFonts w:ascii="Arial" w:cs="Arial" w:eastAsia="Arial" w:hAnsi="Arial"/>
                <w:sz w:val="17"/>
                <w:szCs w:val="17"/>
                <w:color w:val="auto"/>
              </w:rPr>
              <w:t>Live birth rate</w:t>
            </w:r>
            <w:r>
              <w:rPr>
                <w:rFonts w:ascii="Arial" w:cs="Arial" w:eastAsia="Arial" w:hAnsi="Arial"/>
                <w:sz w:val="28"/>
                <w:szCs w:val="28"/>
                <w:color w:val="auto"/>
                <w:vertAlign w:val="superscript"/>
              </w:rPr>
              <w:t>(3)</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43.3%</w:t>
            </w: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45.3%</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54.5%</w:t>
            </w:r>
          </w:p>
        </w:tc>
      </w:tr>
      <w:tr>
        <w:trPr>
          <w:trHeight w:val="246"/>
        </w:trPr>
        <w:tc>
          <w:tcPr>
            <w:tcW w:w="376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IVF multiples rate</w:t>
            </w:r>
            <w:r>
              <w:rPr>
                <w:rFonts w:ascii="Arial" w:cs="Arial" w:eastAsia="Arial" w:hAnsi="Arial"/>
                <w:sz w:val="28"/>
                <w:szCs w:val="28"/>
                <w:color w:val="auto"/>
                <w:vertAlign w:val="superscript"/>
              </w:rPr>
              <w:t>(3)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103"/>
        </w:trPr>
        <w:tc>
          <w:tcPr>
            <w:tcW w:w="5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5" w:lineRule="exact"/>
        <w:rPr>
          <w:sz w:val="20"/>
          <w:szCs w:val="20"/>
          <w:color w:val="auto"/>
        </w:rPr>
      </w:pPr>
    </w:p>
    <w:p>
      <w:pPr>
        <w:ind w:left="2240" w:hanging="524"/>
        <w:spacing w:after="0"/>
        <w:tabs>
          <w:tab w:leader="none" w:pos="22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Calculated based on the Society for Assisted Reproductive Technology, or SART, 2017 National Summary Report, published in 2019.</w:t>
      </w:r>
    </w:p>
    <w:p>
      <w:pPr>
        <w:spacing w:after="0" w:line="122" w:lineRule="exact"/>
        <w:rPr>
          <w:rFonts w:ascii="Arial" w:cs="Arial" w:eastAsia="Arial" w:hAnsi="Arial"/>
          <w:sz w:val="13"/>
          <w:szCs w:val="13"/>
          <w:color w:val="auto"/>
        </w:rPr>
      </w:pPr>
    </w:p>
    <w:p>
      <w:pPr>
        <w:ind w:left="2240" w:hanging="524"/>
        <w:spacing w:after="0"/>
        <w:tabs>
          <w:tab w:leader="none" w:pos="22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Calculated based on CDC, 2016 National Summary and Clinic Data Sets, published in 2018.</w:t>
      </w:r>
    </w:p>
    <w:p>
      <w:pPr>
        <w:spacing w:after="0" w:line="122" w:lineRule="exact"/>
        <w:rPr>
          <w:rFonts w:ascii="Arial" w:cs="Arial" w:eastAsia="Arial" w:hAnsi="Arial"/>
          <w:sz w:val="13"/>
          <w:szCs w:val="13"/>
          <w:color w:val="auto"/>
        </w:rPr>
      </w:pPr>
    </w:p>
    <w:p>
      <w:pPr>
        <w:ind w:left="2240" w:hanging="524"/>
        <w:spacing w:after="0"/>
        <w:tabs>
          <w:tab w:leader="none" w:pos="22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Calculated based on CDC, 2017 National Summary and Clinic Data Sets, published in 2019.</w:t>
      </w:r>
    </w:p>
    <w:p>
      <w:pPr>
        <w:spacing w:after="0" w:line="122" w:lineRule="exact"/>
        <w:rPr>
          <w:rFonts w:ascii="Arial" w:cs="Arial" w:eastAsia="Arial" w:hAnsi="Arial"/>
          <w:sz w:val="13"/>
          <w:szCs w:val="13"/>
          <w:color w:val="auto"/>
        </w:rPr>
      </w:pPr>
    </w:p>
    <w:p>
      <w:pPr>
        <w:ind w:left="2240" w:hanging="524"/>
        <w:spacing w:after="0"/>
        <w:tabs>
          <w:tab w:leader="none" w:pos="22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Calculated based on the 12-month period ended December 31, 2018.</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1" w:lineRule="exact"/>
        <w:rPr>
          <w:sz w:val="20"/>
          <w:szCs w:val="20"/>
          <w:color w:val="auto"/>
        </w:rPr>
      </w:pPr>
    </w:p>
    <w:p>
      <w:pPr>
        <w:ind w:left="1040" w:right="180" w:hanging="519"/>
        <w:spacing w:after="0" w:line="261"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Comprehensive Coverage. </w:t>
      </w:r>
      <w:r>
        <w:rPr>
          <w:rFonts w:ascii="Arial" w:cs="Arial" w:eastAsia="Arial" w:hAnsi="Arial"/>
          <w:sz w:val="17"/>
          <w:szCs w:val="17"/>
          <w:color w:val="auto"/>
        </w:rPr>
        <w:t>We provide all individuals with access to comprehensive coverage. Our Smart Cycle design ensures that members always</w:t>
      </w:r>
      <w:r>
        <w:rPr>
          <w:rFonts w:ascii="Arial" w:cs="Arial" w:eastAsia="Arial" w:hAnsi="Arial"/>
          <w:sz w:val="17"/>
          <w:szCs w:val="17"/>
          <w:i w:val="1"/>
          <w:iCs w:val="1"/>
          <w:color w:val="auto"/>
        </w:rPr>
        <w:t xml:space="preserve"> </w:t>
      </w:r>
      <w:r>
        <w:rPr>
          <w:rFonts w:ascii="Arial" w:cs="Arial" w:eastAsia="Arial" w:hAnsi="Arial"/>
          <w:sz w:val="17"/>
          <w:szCs w:val="17"/>
          <w:color w:val="auto"/>
        </w:rPr>
        <w:t>have coverage for a full treatment cycle as their access to treatment is not limited by a dollar maximum that could be exhausted mid-treatment. Additionally, members have access to the latest technologies and procedures, which are reviewed and approved by our Medical Advisory Board, which are designed to achieve optimal outcomes.</w:t>
      </w:r>
    </w:p>
    <w:p>
      <w:pPr>
        <w:spacing w:after="0" w:line="210" w:lineRule="exact"/>
        <w:rPr>
          <w:rFonts w:ascii="Arial" w:cs="Arial" w:eastAsia="Arial" w:hAnsi="Arial"/>
          <w:sz w:val="17"/>
          <w:szCs w:val="17"/>
          <w:color w:val="auto"/>
        </w:rPr>
      </w:pPr>
    </w:p>
    <w:p>
      <w:pPr>
        <w:jc w:val="both"/>
        <w:ind w:left="1040" w:right="480" w:hanging="519"/>
        <w:spacing w:after="0" w:line="316" w:lineRule="auto"/>
        <w:tabs>
          <w:tab w:leader="none" w:pos="10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Access for All Members and Dependents. </w:t>
      </w:r>
      <w:r>
        <w:rPr>
          <w:rFonts w:ascii="Arial" w:cs="Arial" w:eastAsia="Arial" w:hAnsi="Arial"/>
          <w:sz w:val="15"/>
          <w:szCs w:val="15"/>
          <w:color w:val="auto"/>
        </w:rPr>
        <w:t>Smart Cycles are available to be utilized across all employee groups, including populations not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covered, such as LGBTQ+ individuals and single mothers by choice. These individuals have equal access to fertility and family building solutions, regardless of their chosen path to parenthood. Our solutions provide support for those pursuing adoption and surrogacy as well.</w:t>
      </w:r>
    </w:p>
    <w:p>
      <w:pPr>
        <w:spacing w:after="0" w:line="159" w:lineRule="exact"/>
        <w:rPr>
          <w:rFonts w:ascii="Arial" w:cs="Arial" w:eastAsia="Arial" w:hAnsi="Arial"/>
          <w:sz w:val="15"/>
          <w:szCs w:val="15"/>
          <w:color w:val="auto"/>
        </w:rPr>
      </w:pPr>
    </w:p>
    <w:p>
      <w:pPr>
        <w:ind w:left="1040" w:right="40" w:hanging="519"/>
        <w:spacing w:after="0" w:line="289" w:lineRule="auto"/>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Equitable Access to Care. </w:t>
      </w:r>
      <w:r>
        <w:rPr>
          <w:rFonts w:ascii="Arial" w:cs="Arial" w:eastAsia="Arial" w:hAnsi="Arial"/>
          <w:sz w:val="16"/>
          <w:szCs w:val="16"/>
          <w:color w:val="auto"/>
        </w:rPr>
        <w:t>As our employer clients often have nationwide employee bases, and the costs of fertility treatments vary greatly by geography,</w:t>
      </w:r>
      <w:r>
        <w:rPr>
          <w:rFonts w:ascii="Arial" w:cs="Arial" w:eastAsia="Arial" w:hAnsi="Arial"/>
          <w:sz w:val="16"/>
          <w:szCs w:val="16"/>
          <w:i w:val="1"/>
          <w:iCs w:val="1"/>
          <w:color w:val="auto"/>
        </w:rPr>
        <w:t xml:space="preserve"> </w:t>
      </w:r>
      <w:r>
        <w:rPr>
          <w:rFonts w:ascii="Arial" w:cs="Arial" w:eastAsia="Arial" w:hAnsi="Arial"/>
          <w:sz w:val="16"/>
          <w:szCs w:val="16"/>
          <w:color w:val="auto"/>
        </w:rPr>
        <w:t>our Smart Cycle design (which is denominated in the number of treatment attempts) ensures members receive fair and balanced access to care that is not dependent on where members live, how expensive a fertility specialist is or which specific treatments are required.</w:t>
      </w:r>
    </w:p>
    <w:p>
      <w:pPr>
        <w:spacing w:after="0" w:line="176" w:lineRule="exact"/>
        <w:rPr>
          <w:rFonts w:ascii="Arial" w:cs="Arial" w:eastAsia="Arial" w:hAnsi="Arial"/>
          <w:sz w:val="16"/>
          <w:szCs w:val="16"/>
          <w:color w:val="auto"/>
        </w:rPr>
      </w:pPr>
    </w:p>
    <w:p>
      <w:pPr>
        <w:ind w:left="1040" w:hanging="519"/>
        <w:spacing w:after="0" w:line="302" w:lineRule="auto"/>
        <w:tabs>
          <w:tab w:leader="none" w:pos="10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High-Touch Concierge Member Experience. </w:t>
      </w:r>
      <w:r>
        <w:rPr>
          <w:rFonts w:ascii="Arial" w:cs="Arial" w:eastAsia="Arial" w:hAnsi="Arial"/>
          <w:sz w:val="15"/>
          <w:szCs w:val="15"/>
          <w:color w:val="auto"/>
        </w:rPr>
        <w:t>We provide our members with high-touch, end-to-end concierge support, including logistical assistance</w:t>
      </w:r>
      <w:r>
        <w:rPr>
          <w:rFonts w:ascii="Arial" w:cs="Arial" w:eastAsia="Arial" w:hAnsi="Arial"/>
          <w:sz w:val="15"/>
          <w:szCs w:val="15"/>
          <w:i w:val="1"/>
          <w:iCs w:val="1"/>
          <w:color w:val="auto"/>
        </w:rPr>
        <w:t xml:space="preserve"> </w:t>
      </w:r>
      <w:r>
        <w:rPr>
          <w:rFonts w:ascii="Arial" w:cs="Arial" w:eastAsia="Arial" w:hAnsi="Arial"/>
          <w:sz w:val="15"/>
          <w:szCs w:val="15"/>
          <w:color w:val="auto"/>
        </w:rPr>
        <w:t>(i.e., fertility specialist selection, appointment scheduling, treatment authorization and treatment payment), clinical guidance (i.e., treatment options, outcomes statistics and what to expect) and emotional support. All of these services are delivered by our PCAs and our in-house clinical staff. In addition, our member portal provides educational resources, secure PCA messaging, claims history and access to scheduling and payment tools. Our member satisfaction with the Progyny solution is demonstrated through our industry-leading NPS of +71 for our fertility benefits solution.</w:t>
      </w:r>
    </w:p>
    <w:p>
      <w:pPr>
        <w:spacing w:after="0" w:line="182" w:lineRule="exact"/>
        <w:rPr>
          <w:rFonts w:ascii="Arial" w:cs="Arial" w:eastAsia="Arial" w:hAnsi="Arial"/>
          <w:sz w:val="15"/>
          <w:szCs w:val="15"/>
          <w:color w:val="auto"/>
        </w:rPr>
      </w:pPr>
    </w:p>
    <w:p>
      <w:pPr>
        <w:ind w:left="1040" w:right="40" w:hanging="519"/>
        <w:spacing w:after="0" w:line="297" w:lineRule="auto"/>
        <w:tabs>
          <w:tab w:leader="none" w:pos="10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Access to Selective, Premier Fertility Specialist Network. </w:t>
      </w:r>
      <w:r>
        <w:rPr>
          <w:rFonts w:ascii="Arial" w:cs="Arial" w:eastAsia="Arial" w:hAnsi="Arial"/>
          <w:sz w:val="15"/>
          <w:szCs w:val="15"/>
          <w:color w:val="auto"/>
        </w:rPr>
        <w:t>Our members have access to our Center of Excellence network of the nation's most desired</w:t>
      </w:r>
      <w:r>
        <w:rPr>
          <w:rFonts w:ascii="Arial" w:cs="Arial" w:eastAsia="Arial" w:hAnsi="Arial"/>
          <w:sz w:val="15"/>
          <w:szCs w:val="15"/>
          <w:i w:val="1"/>
          <w:iCs w:val="1"/>
          <w:color w:val="auto"/>
        </w:rPr>
        <w:t xml:space="preserve"> </w:t>
      </w:r>
      <w:r>
        <w:rPr>
          <w:rFonts w:ascii="Arial" w:cs="Arial" w:eastAsia="Arial" w:hAnsi="Arial"/>
          <w:sz w:val="15"/>
          <w:szCs w:val="15"/>
          <w:color w:val="auto"/>
        </w:rPr>
        <w:t>fertility providers, including nearly 800 fertility specialists who practice at nearly 600 provider clinic locations throughout the United States. Through rigorous credentialing standards for entry and inclusion in our network, we ensure that all of our network of fertility specialists utilize the latest technologies and best practices. Through our data collection and analysis process, we are continuously monitoring our fertility specialists to ensure adherence to these best practices, as well as measure various key performance metrics to maintain network quality. Our network includes 22 of the top 25 fertility practice groups by volume in the United States according to 2017 CDC data, which was published in 2019 and is the most recent data available. In addition, approximately 30% of our provider clinics do not broadly participate in conventional health insurance carrier networks.</w:t>
      </w:r>
    </w:p>
    <w:p>
      <w:pPr>
        <w:spacing w:after="0" w:line="174" w:lineRule="exact"/>
        <w:rPr>
          <w:rFonts w:ascii="Arial" w:cs="Arial" w:eastAsia="Arial" w:hAnsi="Arial"/>
          <w:sz w:val="15"/>
          <w:szCs w:val="15"/>
          <w:color w:val="auto"/>
        </w:rPr>
      </w:pPr>
    </w:p>
    <w:p>
      <w:pPr>
        <w:ind w:left="1040" w:right="100" w:hanging="519"/>
        <w:spacing w:after="0" w:line="259"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Integrated Pharmacy Benefits Solution. </w:t>
      </w:r>
      <w:r>
        <w:rPr>
          <w:rFonts w:ascii="Arial" w:cs="Arial" w:eastAsia="Arial" w:hAnsi="Arial"/>
          <w:sz w:val="17"/>
          <w:szCs w:val="17"/>
          <w:color w:val="auto"/>
        </w:rPr>
        <w:t>Our Progyny Rx platform provides members with a simplified authorization process and timely medication</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to help ensure no member treatment cycles are missed. Additionally, given the complexity of administration and storage of fertility medications and the importance of proper medication administration to a successful treatment, we provide member support from pharmacy clinicians seven days a week, including injection training from pharmacy clinicians. Our member satisfaction with our Progyny Rx platform is demonstrated through our industry-leading NPS of +86.</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Provide Meaningful Value to Our Fertility Specialists</w:t>
      </w:r>
    </w:p>
    <w:p>
      <w:pPr>
        <w:spacing w:after="0" w:line="231" w:lineRule="exact"/>
        <w:rPr>
          <w:sz w:val="20"/>
          <w:szCs w:val="20"/>
          <w:color w:val="auto"/>
        </w:rPr>
      </w:pPr>
    </w:p>
    <w:p>
      <w:pPr>
        <w:jc w:val="both"/>
        <w:ind w:left="1040" w:right="140" w:hanging="519"/>
        <w:spacing w:after="0" w:line="265" w:lineRule="auto"/>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Members Supported With a Comprehensive Benefit. </w:t>
      </w:r>
      <w:r>
        <w:rPr>
          <w:rFonts w:ascii="Arial" w:cs="Arial" w:eastAsia="Arial" w:hAnsi="Arial"/>
          <w:sz w:val="17"/>
          <w:szCs w:val="17"/>
          <w:color w:val="auto"/>
        </w:rPr>
        <w:t>Our solutions allow our members to arrive at their fertility specialist with a fully-covered course of</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and the flexibility to utilize the latest approved technologies and best practices via our comprehensive Smart Cycle benefits plan design. This allows the fertility specialist to prescribe a customized treatment plan based on best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1040" w:right="40"/>
        <w:spacing w:after="0" w:line="282" w:lineRule="auto"/>
        <w:rPr>
          <w:sz w:val="20"/>
          <w:szCs w:val="20"/>
          <w:color w:val="auto"/>
        </w:rPr>
      </w:pPr>
      <w:r>
        <w:rPr>
          <w:rFonts w:ascii="Arial" w:cs="Arial" w:eastAsia="Arial" w:hAnsi="Arial"/>
          <w:sz w:val="16"/>
          <w:szCs w:val="16"/>
          <w:color w:val="auto"/>
        </w:rPr>
        <w:t>practices and effectiveness, without worrying about mandated protocols or dollar limitations on coverage. These members are also educated on the use of best practices and are supported by PCAs along their fertility journey, thereby both enabling informed member decision making and removing much of the burden of member support from the provider clinic. Our members make optimal treatment choices as evidenced by our single embryo transfer rate of 89.0% compared to the national average of 49.5% (as calculated based on SART data).</w:t>
      </w:r>
    </w:p>
    <w:p>
      <w:pPr>
        <w:spacing w:after="0" w:line="183" w:lineRule="exact"/>
        <w:rPr>
          <w:sz w:val="20"/>
          <w:szCs w:val="20"/>
          <w:color w:val="auto"/>
        </w:rPr>
      </w:pPr>
    </w:p>
    <w:p>
      <w:pPr>
        <w:ind w:left="1040" w:hanging="519"/>
        <w:spacing w:after="0" w:line="261" w:lineRule="auto"/>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Eliminate Step Therapy Protocols. </w:t>
      </w:r>
      <w:r>
        <w:rPr>
          <w:rFonts w:ascii="Arial" w:cs="Arial" w:eastAsia="Arial" w:hAnsi="Arial"/>
          <w:sz w:val="17"/>
          <w:szCs w:val="17"/>
          <w:color w:val="auto"/>
        </w:rPr>
        <w:t>Our network of fertility specialists have access to the latest science and technologies through our innovative Smart</w:t>
      </w:r>
      <w:r>
        <w:rPr>
          <w:rFonts w:ascii="Arial" w:cs="Arial" w:eastAsia="Arial" w:hAnsi="Arial"/>
          <w:sz w:val="17"/>
          <w:szCs w:val="17"/>
          <w:i w:val="1"/>
          <w:iCs w:val="1"/>
          <w:color w:val="auto"/>
        </w:rPr>
        <w:t xml:space="preserve"> </w:t>
      </w:r>
      <w:r>
        <w:rPr>
          <w:rFonts w:ascii="Arial" w:cs="Arial" w:eastAsia="Arial" w:hAnsi="Arial"/>
          <w:sz w:val="17"/>
          <w:szCs w:val="17"/>
          <w:color w:val="auto"/>
        </w:rPr>
        <w:t>Cycles, which are our proprietary treatment bundles that have been designed to achieve the best fertility outcomes based on our members' specific medical conditions. Smart Cycles free our fertility specialists from having to follow the ineffective protocols common to conventional coverage and allow them to pursue the most effective treatments first, thereby saving time and money.</w:t>
      </w:r>
    </w:p>
    <w:p>
      <w:pPr>
        <w:spacing w:after="0" w:line="210" w:lineRule="exact"/>
        <w:rPr>
          <w:rFonts w:ascii="Arial" w:cs="Arial" w:eastAsia="Arial" w:hAnsi="Arial"/>
          <w:sz w:val="17"/>
          <w:szCs w:val="17"/>
          <w:color w:val="auto"/>
        </w:rPr>
      </w:pPr>
    </w:p>
    <w:p>
      <w:pPr>
        <w:ind w:left="1040" w:right="40" w:hanging="519"/>
        <w:spacing w:after="0" w:line="261" w:lineRule="auto"/>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Simplified Administration. </w:t>
      </w:r>
      <w:r>
        <w:rPr>
          <w:rFonts w:ascii="Arial" w:cs="Arial" w:eastAsia="Arial" w:hAnsi="Arial"/>
          <w:sz w:val="17"/>
          <w:szCs w:val="17"/>
          <w:color w:val="auto"/>
        </w:rPr>
        <w:t>Once a Smart Cycle treatment is authorized, fertility specialists within our network are able to prescribe the optimal 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plan without any need for pre-certification or pre-authorization before a specific test or procedure, eliminating a hurdle common to conventional health insurance carriers. Through our integrated pharmacy benefit, fertility specialists do not have to secure a separate medication authorization, which is typical in the conventional managed care pharmacy programs.</w:t>
      </w:r>
    </w:p>
    <w:p>
      <w:pPr>
        <w:spacing w:after="0" w:line="197" w:lineRule="exact"/>
        <w:rPr>
          <w:rFonts w:ascii="Arial" w:cs="Arial" w:eastAsia="Arial" w:hAnsi="Arial"/>
          <w:sz w:val="17"/>
          <w:szCs w:val="17"/>
          <w:color w:val="auto"/>
        </w:rPr>
      </w:pPr>
    </w:p>
    <w:p>
      <w:pPr>
        <w:ind w:left="1040" w:right="40" w:hanging="519"/>
        <w:spacing w:after="0" w:line="289" w:lineRule="auto"/>
        <w:tabs>
          <w:tab w:leader="none" w:pos="104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Superior Clinical Outcomes. </w:t>
      </w:r>
      <w:r>
        <w:rPr>
          <w:rFonts w:ascii="Arial" w:cs="Arial" w:eastAsia="Arial" w:hAnsi="Arial"/>
          <w:sz w:val="16"/>
          <w:szCs w:val="16"/>
          <w:color w:val="auto"/>
        </w:rPr>
        <w:t>Outcomes for Progyny members across our fertility specialist network are superior to the average outcomes that these same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clinics report to the CDC for all of their patients. For example, as shown in the prior table, the in-network average live birth rate for Progyny members is 54.5%, as compared to the 45.3% average live birth rate for all of the patients at those same clinics.</w:t>
      </w:r>
    </w:p>
    <w:p>
      <w:pPr>
        <w:spacing w:after="0" w:line="176" w:lineRule="exact"/>
        <w:rPr>
          <w:rFonts w:ascii="Arial" w:cs="Arial" w:eastAsia="Arial" w:hAnsi="Arial"/>
          <w:sz w:val="16"/>
          <w:szCs w:val="16"/>
          <w:color w:val="auto"/>
        </w:rPr>
      </w:pPr>
    </w:p>
    <w:p>
      <w:pPr>
        <w:ind w:left="1040" w:right="60" w:hanging="519"/>
        <w:spacing w:after="0" w:line="289" w:lineRule="auto"/>
        <w:tabs>
          <w:tab w:leader="none" w:pos="104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Eliminating Financial Risk Associated With Collections. </w:t>
      </w:r>
      <w:r>
        <w:rPr>
          <w:rFonts w:ascii="Arial" w:cs="Arial" w:eastAsia="Arial" w:hAnsi="Arial"/>
          <w:sz w:val="16"/>
          <w:szCs w:val="16"/>
          <w:color w:val="auto"/>
        </w:rPr>
        <w:t>Fertility specialists are guaranteed full compensation directly from Progyny for the care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they provide our members. As such, we assume full responsibility for the collection of all members' deductibles and coinsurance, thereby eliminating the burden and cost of collection (and bad debt expense) for member payments that our provider clinics otherwise would experience.</w:t>
      </w:r>
    </w:p>
    <w:p>
      <w:pPr>
        <w:spacing w:after="0" w:line="189" w:lineRule="exact"/>
        <w:rPr>
          <w:rFonts w:ascii="Arial" w:cs="Arial" w:eastAsia="Arial" w:hAnsi="Arial"/>
          <w:sz w:val="16"/>
          <w:szCs w:val="16"/>
          <w:color w:val="auto"/>
        </w:rPr>
      </w:pPr>
    </w:p>
    <w:p>
      <w:pPr>
        <w:ind w:left="1040" w:hanging="519"/>
        <w:spacing w:after="0" w:line="307" w:lineRule="auto"/>
        <w:tabs>
          <w:tab w:leader="none" w:pos="104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Data Sharing and Reporting. </w:t>
      </w:r>
      <w:r>
        <w:rPr>
          <w:rFonts w:ascii="Arial" w:cs="Arial" w:eastAsia="Arial" w:hAnsi="Arial"/>
          <w:sz w:val="15"/>
          <w:szCs w:val="15"/>
          <w:color w:val="auto"/>
        </w:rPr>
        <w:t>Our robust data capture and analysis capabilities allow us to provide a deep and sophisticated level of information to</w:t>
      </w:r>
      <w:r>
        <w:rPr>
          <w:rFonts w:ascii="Arial" w:cs="Arial" w:eastAsia="Arial" w:hAnsi="Arial"/>
          <w:sz w:val="15"/>
          <w:szCs w:val="15"/>
          <w:i w:val="1"/>
          <w:iCs w:val="1"/>
          <w:color w:val="auto"/>
        </w:rPr>
        <w:t xml:space="preserve"> </w:t>
      </w:r>
      <w:r>
        <w:rPr>
          <w:rFonts w:ascii="Arial" w:cs="Arial" w:eastAsia="Arial" w:hAnsi="Arial"/>
          <w:sz w:val="15"/>
          <w:szCs w:val="15"/>
          <w:color w:val="auto"/>
        </w:rPr>
        <w:t>fertility specialists about their practices. We produce clinic scorecards quarterly with key performance indicators that allow fertility specialists to compare their results with peer averages. These scorecards, which include clinical outcomes, treatment progression data and member survey data, among other metrics, allow us to help our fertility specialists understand their practices compared to their peers and identify any areas for improvement.</w:t>
      </w:r>
    </w:p>
    <w:p>
      <w:pPr>
        <w:spacing w:after="0" w:line="165" w:lineRule="exact"/>
        <w:rPr>
          <w:rFonts w:ascii="Arial" w:cs="Arial" w:eastAsia="Arial" w:hAnsi="Arial"/>
          <w:sz w:val="15"/>
          <w:szCs w:val="15"/>
          <w:color w:val="auto"/>
        </w:rPr>
      </w:pPr>
    </w:p>
    <w:p>
      <w:pPr>
        <w:ind w:left="1040" w:hanging="519"/>
        <w:spacing w:after="0" w:line="276" w:lineRule="auto"/>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Higher Volumes and Improved Financial Performance. </w:t>
      </w:r>
      <w:r>
        <w:rPr>
          <w:rFonts w:ascii="Arial" w:cs="Arial" w:eastAsia="Arial" w:hAnsi="Arial"/>
          <w:sz w:val="17"/>
          <w:szCs w:val="17"/>
          <w:color w:val="auto"/>
        </w:rPr>
        <w:t>Fertility specialists in our network often experience an increase in patient volume, and because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comprehensive benefits design, an increase in the number of patients who progress from consultation to treatment.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Market Leadership</w:t>
      </w:r>
    </w:p>
    <w:p>
      <w:pPr>
        <w:spacing w:after="0" w:line="218" w:lineRule="exact"/>
        <w:rPr>
          <w:sz w:val="20"/>
          <w:szCs w:val="20"/>
          <w:color w:val="auto"/>
        </w:rPr>
      </w:pPr>
    </w:p>
    <w:p>
      <w:pPr>
        <w:ind w:right="200" w:firstLine="333"/>
        <w:spacing w:after="0" w:line="307" w:lineRule="auto"/>
        <w:rPr>
          <w:sz w:val="20"/>
          <w:szCs w:val="20"/>
          <w:color w:val="auto"/>
        </w:rPr>
      </w:pPr>
      <w:r>
        <w:rPr>
          <w:rFonts w:ascii="Arial" w:cs="Arial" w:eastAsia="Arial" w:hAnsi="Arial"/>
          <w:sz w:val="15"/>
          <w:szCs w:val="15"/>
          <w:color w:val="auto"/>
        </w:rPr>
        <w:t>We are a leading benefits management company specializing in fertility and family building benefits solutions in the United States, with a client base of over 80 self-insured employer clients representing 1.4 million members. We drive superior clinical outcomes for our members including higher pregnancy success rates, lower miscarriage rates, fewer multiple births and a higher live birth rate. We are a recognized and trusted brand and believe that our leadership and market differentiation is evidenced by our retention of substantially all of our clients since we first began offering our fertility benefits solutions in 2016.</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Differentiated Model Drives Superior Clinical Outcomes at Reduced Overall Cost</w:t>
      </w:r>
    </w:p>
    <w:p>
      <w:pPr>
        <w:spacing w:after="0" w:line="218" w:lineRule="exact"/>
        <w:rPr>
          <w:sz w:val="20"/>
          <w:szCs w:val="20"/>
          <w:color w:val="auto"/>
        </w:rPr>
      </w:pPr>
    </w:p>
    <w:p>
      <w:pPr>
        <w:ind w:firstLine="336"/>
        <w:spacing w:after="0" w:line="258" w:lineRule="auto"/>
        <w:rPr>
          <w:sz w:val="20"/>
          <w:szCs w:val="20"/>
          <w:color w:val="auto"/>
        </w:rPr>
      </w:pPr>
      <w:r>
        <w:rPr>
          <w:rFonts w:ascii="Arial" w:cs="Arial" w:eastAsia="Arial" w:hAnsi="Arial"/>
          <w:sz w:val="17"/>
          <w:szCs w:val="17"/>
          <w:color w:val="auto"/>
        </w:rPr>
        <w:t>In contrast to conventional fee-for-service coverage, which is designed to simply contain utilization, our case management-driven benefits model is comprehensive, does not exhaust coverage mid treatment cycle, includes access to the latest technologies and best clinical practices and drives superior outcomes. This is a cost-efficient model, allowing employers to provide more robust coverage with lower overall expenditures. The success of our plan design in driving more favorable outcomes is evidenced by the fact that outcomes for Progyny members across our fertility specialist network are superior to the average outcomes that these same provider clinics report to the CDC for all of their patients. For example, at the same provider clinics, the average live birth rate for Progyny members is 54.5% compared to the average live birth rate for all of their patients of 45.3%.</w:t>
      </w:r>
    </w:p>
    <w:p>
      <w:pPr>
        <w:spacing w:after="0" w:line="188" w:lineRule="exact"/>
        <w:rPr>
          <w:sz w:val="20"/>
          <w:szCs w:val="20"/>
          <w:color w:val="auto"/>
        </w:rPr>
      </w:pPr>
    </w:p>
    <w:p>
      <w:pPr>
        <w:ind w:right="760" w:firstLine="336"/>
        <w:spacing w:after="0" w:line="308" w:lineRule="auto"/>
        <w:rPr>
          <w:sz w:val="20"/>
          <w:szCs w:val="20"/>
          <w:color w:val="auto"/>
        </w:rPr>
      </w:pPr>
      <w:r>
        <w:rPr>
          <w:rFonts w:ascii="Arial" w:cs="Arial" w:eastAsia="Arial" w:hAnsi="Arial"/>
          <w:sz w:val="16"/>
          <w:szCs w:val="16"/>
          <w:color w:val="auto"/>
        </w:rPr>
        <w:t>In addition to the tangible medical and pharmacy cost savings, our clients are also able to avoid some of the indirect costs of infertility such as employee absenteeism and loss of productivity caused by stress and depression, as well as lack of employee retention caused by multiple births:</w:t>
      </w:r>
    </w:p>
    <w:p>
      <w:pPr>
        <w:spacing w:after="0" w:line="162" w:lineRule="exact"/>
        <w:rPr>
          <w:sz w:val="20"/>
          <w:szCs w:val="20"/>
          <w:color w:val="auto"/>
        </w:rPr>
      </w:pPr>
    </w:p>
    <w:p>
      <w:pPr>
        <w:ind w:left="1040" w:right="40" w:hanging="519"/>
        <w:spacing w:after="0" w:line="259" w:lineRule="auto"/>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estimated yearly societal economic cost of preterm birth in the United States is approximately $33.7 billion (based on data published by the Institute of Medicine of the National Academies in 2005, as adjusted for inflation). These costs are primarily the result of high-risk prenatal care, pregnancy complications, preterm delivery, extended NICU stays and chronic health conditions, all of which are covered under employer-sponsored medical insurance. The rate of preterm births is significantly higher for multiples than for singletons after ART according to the American Society for Reproductive Medicine.</w:t>
      </w:r>
    </w:p>
    <w:p>
      <w:pPr>
        <w:spacing w:after="0" w:line="212" w:lineRule="exact"/>
        <w:rPr>
          <w:rFonts w:ascii="Arial" w:cs="Arial" w:eastAsia="Arial" w:hAnsi="Arial"/>
          <w:sz w:val="17"/>
          <w:szCs w:val="17"/>
          <w:color w:val="auto"/>
        </w:rPr>
      </w:pPr>
    </w:p>
    <w:p>
      <w:pPr>
        <w:ind w:left="1040" w:hanging="519"/>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Half of surveyed people trying to conceive said they were depressed most or all of the time.</w:t>
      </w:r>
    </w:p>
    <w:p>
      <w:pPr>
        <w:spacing w:after="0" w:line="231" w:lineRule="exact"/>
        <w:rPr>
          <w:rFonts w:ascii="Arial" w:cs="Arial" w:eastAsia="Arial" w:hAnsi="Arial"/>
          <w:sz w:val="17"/>
          <w:szCs w:val="17"/>
          <w:color w:val="auto"/>
        </w:rPr>
      </w:pPr>
    </w:p>
    <w:p>
      <w:pPr>
        <w:ind w:left="1040" w:right="800" w:hanging="519"/>
        <w:spacing w:after="0" w:line="276" w:lineRule="auto"/>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Pregnancies with multiples resulted in a 4.4x greater likelihood for time away from work due to longer hospital stays as well as more medical appointments and treatments for chronic infant conditions according to RESOLVE.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Superior Member Experience</w:t>
      </w:r>
    </w:p>
    <w:p>
      <w:pPr>
        <w:spacing w:after="0" w:line="218" w:lineRule="exact"/>
        <w:rPr>
          <w:sz w:val="20"/>
          <w:szCs w:val="20"/>
          <w:color w:val="auto"/>
        </w:rPr>
      </w:pPr>
    </w:p>
    <w:p>
      <w:pPr>
        <w:ind w:right="20" w:firstLine="333"/>
        <w:spacing w:after="0" w:line="302" w:lineRule="auto"/>
        <w:rPr>
          <w:sz w:val="20"/>
          <w:szCs w:val="20"/>
          <w:color w:val="auto"/>
        </w:rPr>
      </w:pPr>
      <w:r>
        <w:rPr>
          <w:rFonts w:ascii="Arial" w:cs="Arial" w:eastAsia="Arial" w:hAnsi="Arial"/>
          <w:sz w:val="15"/>
          <w:szCs w:val="15"/>
          <w:color w:val="auto"/>
        </w:rPr>
        <w:t>We believe that a key differentiator of our services is our concierge member support delivered by our PCAs who are unique to our platform and a valuable resource to our members. PCAs provide meaningful education, clinical guidance and emotional support for our members and are available throughout the member's fertility and family building journey. In addition, the member experience is tailored to meet the unique needs of our clients' employees and the PCAs have expertise in fertility treatment issues uniquely affecting LGBTQ+ individuals, single mothers by choice and individuals looking to pursue surrogacy or adoption. Our member experience is further enhanced by our online member portal with an easy-to-use interface and significant educational resources and support tools.</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144145</wp:posOffset>
            </wp:positionV>
            <wp:extent cx="5404485" cy="41230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04485"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Selective, Premier Fertility Specialist Network</w:t>
      </w:r>
    </w:p>
    <w:p>
      <w:pPr>
        <w:spacing w:after="0" w:line="218" w:lineRule="exact"/>
        <w:rPr>
          <w:sz w:val="20"/>
          <w:szCs w:val="20"/>
          <w:color w:val="auto"/>
        </w:rPr>
      </w:pPr>
    </w:p>
    <w:p>
      <w:pPr>
        <w:ind w:firstLine="333"/>
        <w:spacing w:after="0" w:line="258" w:lineRule="auto"/>
        <w:rPr>
          <w:sz w:val="20"/>
          <w:szCs w:val="20"/>
          <w:color w:val="auto"/>
        </w:rPr>
      </w:pPr>
      <w:r>
        <w:rPr>
          <w:rFonts w:ascii="Arial" w:cs="Arial" w:eastAsia="Arial" w:hAnsi="Arial"/>
          <w:sz w:val="17"/>
          <w:szCs w:val="17"/>
          <w:color w:val="auto"/>
        </w:rPr>
        <w:t>We have built a Center of Excellence network of the nation's most desired fertility providers. Our fertility specialists are thought leaders in the treatment of fertility and are driving differentiated outcomes for our members. Because of the unique Progyny benefits design, our fertility specialists can utilize the most effective treatment for members the first time, without the restrictions of conventional benefits programs. Our network includes 22 of the top 25 fertility practice groups by volume in the United States according to 2017 CDC data. Our differentiated approach to fertility benefits design and its alignment with our fertility specialists' primary objective of delivering the best possible outcomes is evidenced by the fact that approximately 30% of our provider clinics do not broadly contract with conventional health insurance carriers.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Value-Added Integrated Pharmacy Program</w:t>
      </w:r>
    </w:p>
    <w:p>
      <w:pPr>
        <w:spacing w:after="0" w:line="218" w:lineRule="exact"/>
        <w:rPr>
          <w:sz w:val="20"/>
          <w:szCs w:val="20"/>
          <w:color w:val="auto"/>
        </w:rPr>
      </w:pPr>
    </w:p>
    <w:p>
      <w:pPr>
        <w:ind w:right="60" w:firstLine="336"/>
        <w:spacing w:after="0" w:line="302" w:lineRule="auto"/>
        <w:rPr>
          <w:sz w:val="20"/>
          <w:szCs w:val="20"/>
          <w:color w:val="auto"/>
        </w:rPr>
      </w:pPr>
      <w:r>
        <w:rPr>
          <w:rFonts w:ascii="Arial" w:cs="Arial" w:eastAsia="Arial" w:hAnsi="Arial"/>
          <w:sz w:val="15"/>
          <w:szCs w:val="15"/>
          <w:color w:val="auto"/>
        </w:rPr>
        <w:t>Fertility medication is expensive, complicated, time sensitive and critical to the success of treatment. We more effectively manage the complex fertility medication process through a single authorization mechanism for fertility treatments and the related prescription drugs, with guaranteed timely delivery and extensive clinical support around drug storage and administration techniques, including injection training, seven days a week. In addition to the unit-cost savings we deliver through our negotiated formulary rates, we also employ an innovative cost containment program that has enabled our clients and members to save additional costs through the reduction in overprescribing that is typical of conventional fertility pharmacy management. Through our comprehensive Progyny Rx</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program, we generate significant cost savings for our employers while driving increased member satisfaction.</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Purpose-Built, Data-Driven and Disruptive Platform</w:t>
      </w:r>
    </w:p>
    <w:p>
      <w:pPr>
        <w:spacing w:after="0" w:line="218" w:lineRule="exact"/>
        <w:rPr>
          <w:sz w:val="20"/>
          <w:szCs w:val="20"/>
          <w:color w:val="auto"/>
        </w:rPr>
      </w:pPr>
    </w:p>
    <w:p>
      <w:pPr>
        <w:jc w:val="both"/>
        <w:ind w:right="60" w:firstLine="333"/>
        <w:spacing w:after="0" w:line="265" w:lineRule="auto"/>
        <w:rPr>
          <w:sz w:val="20"/>
          <w:szCs w:val="20"/>
          <w:color w:val="auto"/>
        </w:rPr>
      </w:pPr>
      <w:r>
        <w:rPr>
          <w:rFonts w:ascii="Arial" w:cs="Arial" w:eastAsia="Arial" w:hAnsi="Arial"/>
          <w:sz w:val="17"/>
          <w:szCs w:val="17"/>
          <w:color w:val="auto"/>
        </w:rPr>
        <w:t>The outcomes data we collect and analyze provides insights across our business, including the creation and management of our plan design and clinical protocols to ensure the efficiency of employer expenditures. We also manage our fertility specialist network and ensure adherence to Progyny practice standards based on this data to ensure that fertility specialists are driving improved clinical outcomes and member satisfaction.</w:t>
      </w:r>
    </w:p>
    <w:p>
      <w:pPr>
        <w:spacing w:after="0" w:line="180" w:lineRule="exact"/>
        <w:rPr>
          <w:sz w:val="20"/>
          <w:szCs w:val="20"/>
          <w:color w:val="auto"/>
        </w:rPr>
      </w:pPr>
    </w:p>
    <w:p>
      <w:pPr>
        <w:ind w:firstLine="327"/>
        <w:spacing w:after="0" w:line="261" w:lineRule="auto"/>
        <w:rPr>
          <w:sz w:val="20"/>
          <w:szCs w:val="20"/>
          <w:color w:val="auto"/>
        </w:rPr>
      </w:pPr>
      <w:r>
        <w:rPr>
          <w:rFonts w:ascii="Arial" w:cs="Arial" w:eastAsia="Arial" w:hAnsi="Arial"/>
          <w:sz w:val="17"/>
          <w:szCs w:val="17"/>
          <w:color w:val="auto"/>
        </w:rPr>
        <w:t>A key differentiator of our solution is our in-depth client reporting. We synthesize our data into comprehensive reporting for our employer clients so that they can see the detail of the utilization of the benefit by their employees, their expenditures, the outcomes and value created and their employees' satisfaction with the experience. We believe we are the only benefits manager that tracks fertility outcomes from medical record data on a timely basis, and we believe this unique data reporting to be important for our employer clients to understand why Progyny offers a superior solution.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Highly Scalable Platform</w:t>
      </w:r>
    </w:p>
    <w:p>
      <w:pPr>
        <w:spacing w:after="0" w:line="218" w:lineRule="exact"/>
        <w:rPr>
          <w:sz w:val="20"/>
          <w:szCs w:val="20"/>
          <w:color w:val="auto"/>
        </w:rPr>
      </w:pPr>
    </w:p>
    <w:p>
      <w:pPr>
        <w:ind w:right="60" w:firstLine="333"/>
        <w:spacing w:after="0" w:line="258" w:lineRule="auto"/>
        <w:rPr>
          <w:sz w:val="20"/>
          <w:szCs w:val="20"/>
          <w:color w:val="auto"/>
        </w:rPr>
      </w:pPr>
      <w:r>
        <w:rPr>
          <w:rFonts w:ascii="Arial" w:cs="Arial" w:eastAsia="Arial" w:hAnsi="Arial"/>
          <w:sz w:val="17"/>
          <w:szCs w:val="17"/>
          <w:color w:val="auto"/>
        </w:rPr>
        <w:t>We believe we have demonstrated that our purpose built platform is highly scalable. Since launching our benefits solution, we have more than doubled our client base every year without any dilution to or decrease in the level and quality of services. Once we begin providing services to a client, we believe it is difficult for our clients to replicate our outcomes with another solution. In addition, we have been able to add new solutions and technologies to our offering while sustaining this growth and believe our platform is capable of continuing to rapidly adopt more clients without meaningful infrastructure enhancements. We believe our growth will continue to enhance our network effect and allow us to more effectively serve our new and existing clients with more robust insights and solutions, further strengthening our client relationships.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Deeply Experienced Management Team with Strong Culture</w:t>
      </w:r>
    </w:p>
    <w:p>
      <w:pPr>
        <w:spacing w:after="0" w:line="218" w:lineRule="exact"/>
        <w:rPr>
          <w:sz w:val="20"/>
          <w:szCs w:val="20"/>
          <w:color w:val="auto"/>
        </w:rPr>
      </w:pPr>
    </w:p>
    <w:p>
      <w:pPr>
        <w:ind w:right="160" w:firstLine="336"/>
        <w:spacing w:after="0" w:line="282" w:lineRule="auto"/>
        <w:rPr>
          <w:sz w:val="20"/>
          <w:szCs w:val="20"/>
          <w:color w:val="auto"/>
        </w:rPr>
      </w:pPr>
      <w:r>
        <w:rPr>
          <w:rFonts w:ascii="Arial" w:cs="Arial" w:eastAsia="Arial" w:hAnsi="Arial"/>
          <w:sz w:val="16"/>
          <w:szCs w:val="16"/>
          <w:color w:val="auto"/>
        </w:rPr>
        <w:t>Our management team has extensive operational experience and background in healthcare, technology and services. Additionally, our sales, support and development teams have significant healthcare, technology and benefits experience and are a key competitive advantage to our success. Given the complexity of the highly regulated industry we operate in, we believe our management's industry experience is also a meaningful differentiator for us. Their demonstrated track record of success in running public companies and scaling growth organizations will allow us to continue to be leaders in our industry.</w:t>
      </w:r>
    </w:p>
    <w:p>
      <w:pPr>
        <w:spacing w:after="0" w:line="170" w:lineRule="exact"/>
        <w:rPr>
          <w:sz w:val="20"/>
          <w:szCs w:val="20"/>
          <w:color w:val="auto"/>
        </w:rPr>
      </w:pPr>
    </w:p>
    <w:p>
      <w:pPr>
        <w:ind w:right="60" w:firstLine="327"/>
        <w:spacing w:after="0" w:line="282" w:lineRule="auto"/>
        <w:rPr>
          <w:sz w:val="20"/>
          <w:szCs w:val="20"/>
          <w:color w:val="auto"/>
        </w:rPr>
      </w:pPr>
      <w:r>
        <w:rPr>
          <w:rFonts w:ascii="Arial" w:cs="Arial" w:eastAsia="Arial" w:hAnsi="Arial"/>
          <w:sz w:val="16"/>
          <w:szCs w:val="16"/>
          <w:color w:val="auto"/>
        </w:rPr>
        <w:t>A large part of our continued success is driven by our unique culture and the dedication and commitment of our Progyny team. We have experienced only 2% voluntary attrition to date in 2019. According to our 2019 employee survey, over 90% of our employees would recommend working at Progyny to a friend, are proud to work for Progyny, and believe Progyny creates an environment where they do their best work. We have been recognized by Modern Healthcare as one of the Best Places to Work in Healthcare in 2018 and 2019, positioning us well to continue to attract and retain top talent.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Expand Our Client Base</w:t>
      </w:r>
    </w:p>
    <w:p>
      <w:pPr>
        <w:spacing w:after="0" w:line="218" w:lineRule="exact"/>
        <w:rPr>
          <w:sz w:val="20"/>
          <w:szCs w:val="20"/>
          <w:color w:val="auto"/>
        </w:rPr>
      </w:pPr>
    </w:p>
    <w:p>
      <w:pPr>
        <w:ind w:right="580" w:firstLine="333"/>
        <w:spacing w:after="0" w:line="345" w:lineRule="auto"/>
        <w:rPr>
          <w:sz w:val="20"/>
          <w:szCs w:val="20"/>
          <w:color w:val="auto"/>
        </w:rPr>
      </w:pPr>
      <w:r>
        <w:rPr>
          <w:rFonts w:ascii="Arial" w:cs="Arial" w:eastAsia="Arial" w:hAnsi="Arial"/>
          <w:sz w:val="15"/>
          <w:szCs w:val="15"/>
          <w:color w:val="auto"/>
        </w:rPr>
        <w:t>We intend to continue increasing our client base of self-insured employers throughout the United States by leveraging our experienced salesforce and strong relationships with benefits consultants. Since we launched our first clients in 2016, we have more than doubled our client base each year. We believe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have an addressable market of approximately 8,000 potential self-insured employer clients in the United States and, with our current base of over 80 clients, are still in the early stages of our growth trajectory. Importantly, as we have continued to grow, we have meaningfully diversified our client base across an array of different industries. We believe this demonstrates the attractiveness of our offering and provides greater confidence in our ability to further penetrate the broader addressable market. We are expanding our client base within each industry that we serve, and have an industry-specific strategy, which enables us to most effectively target our addressable market. Because our clients within an industry compete with each other for employees, we believe our solutions are increasingly viewed as an important way for them to remain competitive with one another. Additionally, we believe that our expanding presence has resulted in a heightened awareness of fertility benefits and has informed the market of the value we provide to our employer clients and our members, which we believe also helps facilitate growth.</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Capitalize on Embedded Growth Potential within Our Existing Client Base</w:t>
      </w:r>
    </w:p>
    <w:p>
      <w:pPr>
        <w:spacing w:after="0" w:line="218" w:lineRule="exact"/>
        <w:rPr>
          <w:sz w:val="20"/>
          <w:szCs w:val="20"/>
          <w:color w:val="auto"/>
        </w:rPr>
      </w:pPr>
    </w:p>
    <w:p>
      <w:pPr>
        <w:ind w:right="20" w:firstLine="336"/>
        <w:spacing w:after="0" w:line="282" w:lineRule="auto"/>
        <w:rPr>
          <w:sz w:val="20"/>
          <w:szCs w:val="20"/>
          <w:color w:val="auto"/>
        </w:rPr>
      </w:pPr>
      <w:r>
        <w:rPr>
          <w:rFonts w:ascii="Arial" w:cs="Arial" w:eastAsia="Arial" w:hAnsi="Arial"/>
          <w:sz w:val="16"/>
          <w:szCs w:val="16"/>
          <w:color w:val="auto"/>
        </w:rPr>
        <w:t>Because of how our revenue model is structured, we believe we are positioned to realize organic revenue growth as our clients and their respective employee bases grow and utilize more fertility treatment services as a result. A meaningful portion of our clients have grown, and we believe many of them will continue to grow. In addition, we have historically realized similar utilization trends of fertility services for new members compared with existing members on a same client basis. We believe the combination of these factors results in meaningful and sustainable embedded growth potential well into the future.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Expansion of Progyny Benefits Solutions within Our Existing Client Base</w:t>
      </w:r>
    </w:p>
    <w:p>
      <w:pPr>
        <w:spacing w:after="0" w:line="218" w:lineRule="exact"/>
        <w:rPr>
          <w:sz w:val="20"/>
          <w:szCs w:val="20"/>
          <w:color w:val="auto"/>
        </w:rPr>
      </w:pPr>
    </w:p>
    <w:p>
      <w:pPr>
        <w:ind w:right="20" w:firstLine="333"/>
        <w:spacing w:after="0" w:line="258" w:lineRule="auto"/>
        <w:rPr>
          <w:sz w:val="20"/>
          <w:szCs w:val="20"/>
          <w:color w:val="auto"/>
        </w:rPr>
      </w:pPr>
      <w:r>
        <w:rPr>
          <w:rFonts w:ascii="Arial" w:cs="Arial" w:eastAsia="Arial" w:hAnsi="Arial"/>
          <w:sz w:val="17"/>
          <w:szCs w:val="17"/>
          <w:color w:val="auto"/>
        </w:rPr>
        <w:t>We believe we will continue to see growth from existing clients that add incremental services to their fertility benefits program. For example, a client can expand the fertility benefits they offer to their employees by increasing the number of Smart Cycles they contract for. Since 2018, 9% of our clients have increased their Smart Cycle benefit. In addition, our fertility benefits solution clients can purchase our add-on Progyny Rx solution. We introduced Progyny Rx in the third quarter of 2017 and went live with a select number of clients in January 2018. Currently, 60% of our clients are utilizing this solution, including 68% of the clients that went live in 2019. We believe our sales and marketing capabilities play an important role in informing and educating clients about the additional value and impact we can provide to them and their members by enhancing their benefit program.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New Services and Addressable Markets to Enhance the Depth and Breadth of Our Comprehensive Fertility Offering</w:t>
      </w:r>
    </w:p>
    <w:p>
      <w:pPr>
        <w:spacing w:after="0" w:line="218" w:lineRule="exact"/>
        <w:rPr>
          <w:sz w:val="20"/>
          <w:szCs w:val="20"/>
          <w:color w:val="auto"/>
        </w:rPr>
      </w:pPr>
    </w:p>
    <w:p>
      <w:pPr>
        <w:ind w:right="100" w:firstLine="327"/>
        <w:spacing w:after="0" w:line="257" w:lineRule="auto"/>
        <w:rPr>
          <w:sz w:val="20"/>
          <w:szCs w:val="20"/>
          <w:color w:val="auto"/>
        </w:rPr>
      </w:pPr>
      <w:r>
        <w:rPr>
          <w:rFonts w:ascii="Arial" w:cs="Arial" w:eastAsia="Arial" w:hAnsi="Arial"/>
          <w:sz w:val="17"/>
          <w:szCs w:val="17"/>
          <w:color w:val="auto"/>
        </w:rPr>
        <w:t>As we continue to grow and expand our client base, we are continuously evaluating the latest evolving trends to find ways we can better serve the needs of existing and new potential clients and their employees. We believe we are uniquely positioned to do this for several reasons. First, we believe the combination of our Medical Advisory Board and our selective network of high-quality fertility specialists, as well as the data we collect and analyze, provides us with differentiated insights into fertility care delivery and support. In addition, we believe we have positive and collaborative relationships with our clients that offer us additional insights into their needs. We believe the combination of these factors, coupled with our demonstrated track record of adding more services to our benefits design, highlights that we are well positioned to do so in the future. To date, we have identified several ways we believe we can potentially expand our offering and expand our client base in the future.</w:t>
      </w:r>
    </w:p>
    <w:p>
      <w:pPr>
        <w:spacing w:after="0" w:line="190" w:lineRule="exact"/>
        <w:rPr>
          <w:sz w:val="20"/>
          <w:szCs w:val="20"/>
          <w:color w:val="auto"/>
        </w:rPr>
      </w:pPr>
    </w:p>
    <w:p>
      <w:pPr>
        <w:ind w:right="240" w:firstLine="336"/>
        <w:spacing w:after="0" w:line="308" w:lineRule="auto"/>
        <w:rPr>
          <w:sz w:val="20"/>
          <w:szCs w:val="20"/>
          <w:color w:val="auto"/>
        </w:rPr>
      </w:pPr>
      <w:r>
        <w:rPr>
          <w:rFonts w:ascii="Arial" w:cs="Arial" w:eastAsia="Arial" w:hAnsi="Arial"/>
          <w:sz w:val="16"/>
          <w:szCs w:val="16"/>
          <w:color w:val="auto"/>
        </w:rPr>
        <w:t>For instance, we believe we are well positioned to vertically integrate services we currently outsource such as laboratory screening and pharmacy dispensing. We also believe there is potential to enhance value for our clients and address new solution opportunities both organically and through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opportunistic mergers and acquisitions. We also believe that we are well-positioned to opportunistically pursue adjacent growth opportunities in the future, including adding programs for high-risk pregnancy management, neonatal care management, mental health and return-to-work programs. Additionally, we believe our outcomes-based approach to care management, coupled with our platform capabilities, may be applicable to care in other episodic conditions and may provide entry into new markets. In addition to new solutions, we believe we are well positioned to expand beyond our client base of self-insured employers to support quasi-governmental entities, such as universities, school systems and labor unions. We will continue to evaluate opportunities as our platform continues to expand.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Clients</w:t>
      </w:r>
    </w:p>
    <w:p>
      <w:pPr>
        <w:spacing w:after="0" w:line="222" w:lineRule="exact"/>
        <w:rPr>
          <w:sz w:val="20"/>
          <w:szCs w:val="20"/>
          <w:color w:val="auto"/>
        </w:rPr>
      </w:pPr>
    </w:p>
    <w:p>
      <w:pPr>
        <w:ind w:firstLine="333"/>
        <w:spacing w:after="0" w:line="265" w:lineRule="auto"/>
        <w:rPr>
          <w:sz w:val="20"/>
          <w:szCs w:val="20"/>
          <w:color w:val="auto"/>
        </w:rPr>
      </w:pPr>
      <w:r>
        <w:rPr>
          <w:rFonts w:ascii="Arial" w:cs="Arial" w:eastAsia="Arial" w:hAnsi="Arial"/>
          <w:sz w:val="17"/>
          <w:szCs w:val="17"/>
          <w:color w:val="auto"/>
        </w:rPr>
        <w:t>We currently serve over 80 self-insured employers in the United States across more than 20 industries, including three of the top 10 Fortune 500 companies. Our current clients, who are industry leaders across both high-growth and mature industries and range in size from 1,000 to 250,000 employees, represent 1.4 million covered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120015</wp:posOffset>
            </wp:positionV>
            <wp:extent cx="3129280" cy="2710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2928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20" w:firstLine="336"/>
        <w:spacing w:after="0" w:line="261" w:lineRule="auto"/>
        <w:rPr>
          <w:sz w:val="20"/>
          <w:szCs w:val="20"/>
          <w:color w:val="auto"/>
        </w:rPr>
      </w:pPr>
      <w:r>
        <w:rPr>
          <w:rFonts w:ascii="Arial" w:cs="Arial" w:eastAsia="Arial" w:hAnsi="Arial"/>
          <w:sz w:val="17"/>
          <w:szCs w:val="17"/>
          <w:color w:val="auto"/>
        </w:rPr>
        <w:t>In 2017 and 2018, each of our largest three clients represented more than 10% of our total revenue and in the six months ended June 30, 2019, each of our largest two clients represented 10% or more of our total revenue. For the years ended December 31, 2017 and 2018 and for the six months ended June 30, 2019, Google Inc. accounted for 45%, 24% and 17% of our total revenue, respectively. In addition, Microsoft Corporation accounted for 14% and 11% of our total revenue for the year ended December 31, 2018 and the six months ended June 30, 2019, respectively.</w:t>
      </w:r>
    </w:p>
    <w:p>
      <w:pPr>
        <w:spacing w:after="0" w:line="184" w:lineRule="exact"/>
        <w:rPr>
          <w:sz w:val="20"/>
          <w:szCs w:val="20"/>
          <w:color w:val="auto"/>
        </w:rPr>
      </w:pPr>
    </w:p>
    <w:p>
      <w:pPr>
        <w:jc w:val="both"/>
        <w:ind w:right="140" w:firstLine="336"/>
        <w:spacing w:after="0" w:line="316" w:lineRule="auto"/>
        <w:rPr>
          <w:sz w:val="20"/>
          <w:szCs w:val="20"/>
          <w:color w:val="auto"/>
        </w:rPr>
      </w:pPr>
      <w:r>
        <w:rPr>
          <w:rFonts w:ascii="Arial" w:cs="Arial" w:eastAsia="Arial" w:hAnsi="Arial"/>
          <w:sz w:val="15"/>
          <w:szCs w:val="15"/>
          <w:color w:val="auto"/>
        </w:rPr>
        <w:t>Our clients represent a large proportion of companies identified by FertilityIQ as the "best companies to work for as a fertility patient" in their 2019-2020 industry study. We believe that our employer clients are thought leaders in their respective industries and are creating a network effect that is helping to drive more widespread adoption of fertility benefits in their specific industries. Based on the FertilityIQ Family Builder Workplace Index: 2019-2020, our clients represent:</w:t>
      </w:r>
    </w:p>
    <w:p>
      <w:pPr>
        <w:spacing w:after="0" w:line="159" w:lineRule="exact"/>
        <w:rPr>
          <w:sz w:val="20"/>
          <w:szCs w:val="20"/>
          <w:color w:val="auto"/>
        </w:rPr>
      </w:pPr>
    </w:p>
    <w:p>
      <w:pPr>
        <w:ind w:left="1040" w:hanging="519"/>
        <w:spacing w:after="0"/>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20 of Fertility IQ's top 30 in technology;</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14 of Fertility IQ's top 20 in consumer retail;</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9 of Fertility IQ's top 15 in industrial;</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1" w:lineRule="exact"/>
        <w:rPr>
          <w:sz w:val="20"/>
          <w:szCs w:val="20"/>
          <w:color w:val="auto"/>
        </w:rPr>
      </w:pPr>
    </w:p>
    <w:p>
      <w:pPr>
        <w:ind w:left="1040" w:hanging="519"/>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7 of Fertility IQ's top 15 in healthcare;</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7 of Fertility IQ's top 10 in media;</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4 of Fertility IQ's top 10 in insurance; and</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3 of Fertility IQ's top 10 in legal.</w:t>
      </w:r>
    </w:p>
    <w:p>
      <w:pPr>
        <w:spacing w:after="0" w:line="218" w:lineRule="exact"/>
        <w:rPr>
          <w:sz w:val="20"/>
          <w:szCs w:val="20"/>
          <w:color w:val="auto"/>
        </w:rPr>
      </w:pPr>
    </w:p>
    <w:p>
      <w:pPr>
        <w:ind w:right="120" w:firstLine="336"/>
        <w:spacing w:after="0" w:line="276" w:lineRule="auto"/>
        <w:rPr>
          <w:sz w:val="20"/>
          <w:szCs w:val="20"/>
          <w:color w:val="auto"/>
        </w:rPr>
      </w:pPr>
      <w:r>
        <w:rPr>
          <w:rFonts w:ascii="Arial" w:cs="Arial" w:eastAsia="Arial" w:hAnsi="Arial"/>
          <w:sz w:val="17"/>
          <w:szCs w:val="17"/>
          <w:color w:val="auto"/>
        </w:rPr>
        <w:t>In addition to the industries identified by FertilityIQ, we also have clients in the food and beverage, financial services, life sciences, professional services, energy, manufacturing, logistics, transportation, real estate, nonprofit and hospitality sectors.</w:t>
      </w:r>
    </w:p>
    <w:p>
      <w:pPr>
        <w:spacing w:after="0" w:line="171" w:lineRule="exact"/>
        <w:rPr>
          <w:sz w:val="20"/>
          <w:szCs w:val="20"/>
          <w:color w:val="auto"/>
        </w:rPr>
      </w:pPr>
    </w:p>
    <w:p>
      <w:pPr>
        <w:ind w:right="120" w:firstLine="336"/>
        <w:spacing w:after="0" w:line="276" w:lineRule="auto"/>
        <w:rPr>
          <w:sz w:val="20"/>
          <w:szCs w:val="20"/>
          <w:color w:val="auto"/>
        </w:rPr>
      </w:pPr>
      <w:r>
        <w:rPr>
          <w:rFonts w:ascii="Arial" w:cs="Arial" w:eastAsia="Arial" w:hAnsi="Arial"/>
          <w:sz w:val="17"/>
          <w:szCs w:val="17"/>
          <w:color w:val="auto"/>
        </w:rPr>
        <w:t>Substantially all of our clients have renewed their benefits management contracts since our initial benefits offerings launched in 2016. The majority of our clients have signed multi-year contracts or contracts that renew automatically on an annual basis.</w:t>
      </w:r>
    </w:p>
    <w:p>
      <w:pPr>
        <w:spacing w:after="0" w:line="171" w:lineRule="exact"/>
        <w:rPr>
          <w:sz w:val="20"/>
          <w:szCs w:val="20"/>
          <w:color w:val="auto"/>
        </w:rPr>
      </w:pPr>
    </w:p>
    <w:p>
      <w:pPr>
        <w:ind w:right="320" w:firstLine="336"/>
        <w:spacing w:after="0" w:line="276" w:lineRule="auto"/>
        <w:rPr>
          <w:sz w:val="20"/>
          <w:szCs w:val="20"/>
          <w:color w:val="auto"/>
        </w:rPr>
      </w:pPr>
      <w:r>
        <w:rPr>
          <w:rFonts w:ascii="Arial" w:cs="Arial" w:eastAsia="Arial" w:hAnsi="Arial"/>
          <w:sz w:val="17"/>
          <w:szCs w:val="17"/>
          <w:color w:val="auto"/>
        </w:rPr>
        <w:t>In the 2019 sales cycle, more clients have opted for comprehensive coverage, with substantially all of our new clients electing for Progyny Rx, multiple Smart Cycles and/or egg-freezing.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Landscape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are the leader in the market for employer-sponsored fertility benefits and family building solutions.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compete favorably based on the following competitive factors:</w:t>
      </w:r>
    </w:p>
    <w:p>
      <w:pPr>
        <w:spacing w:after="0" w:line="244" w:lineRule="exact"/>
        <w:rPr>
          <w:sz w:val="20"/>
          <w:szCs w:val="20"/>
          <w:color w:val="auto"/>
        </w:rPr>
      </w:pPr>
    </w:p>
    <w:p>
      <w:pPr>
        <w:ind w:left="1040" w:hanging="519"/>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value and comprehensiveness of the benefits solution and superior outcomes for employees;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benefits plan design;</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access for all employees and their dependents, including LGBTQ+ and single mothers by choice;</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equitable access to care across geographies;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treatment plans that maximize effectiveness and achieve desired outcomes;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member experience, including unlimited dedicated patient education, clinical guidance and emotional support;</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access to a network of high-quality fertility specialists;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data reporting and sharing; and</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access to an integrated pharmacy solution.</w:t>
      </w:r>
    </w:p>
    <w:p>
      <w:pPr>
        <w:spacing w:after="0" w:line="218" w:lineRule="exact"/>
        <w:rPr>
          <w:sz w:val="20"/>
          <w:szCs w:val="20"/>
          <w:color w:val="auto"/>
        </w:rPr>
      </w:pPr>
    </w:p>
    <w:p>
      <w:pPr>
        <w:ind w:right="260" w:firstLine="333"/>
        <w:spacing w:after="0" w:line="316" w:lineRule="auto"/>
        <w:rPr>
          <w:sz w:val="20"/>
          <w:szCs w:val="20"/>
          <w:color w:val="auto"/>
        </w:rPr>
      </w:pPr>
      <w:r>
        <w:rPr>
          <w:rFonts w:ascii="Arial" w:cs="Arial" w:eastAsia="Arial" w:hAnsi="Arial"/>
          <w:sz w:val="15"/>
          <w:szCs w:val="15"/>
          <w:color w:val="auto"/>
        </w:rPr>
        <w:t>While we do not believe any single competitor offers a comparably robust, integrated fertility and family building benefits solution, we compete primarily with health insurance companies and benefits administrators that also provide fertility benefits management services as part of their overall healthcare coverage. These competitors include conventional health insurance carriers, such as UnitedHealthcare, Cigna, Aetna and members of the Blue Cross Blue Shield Association.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competitors who currently provide fertility benefits management services to employers include WIN Fertility and Optum Fertility Solutions.</w:t>
      </w:r>
    </w:p>
    <w:p>
      <w:pPr>
        <w:spacing w:after="0" w:line="218" w:lineRule="exact"/>
        <w:rPr>
          <w:sz w:val="20"/>
          <w:szCs w:val="20"/>
          <w:color w:val="auto"/>
        </w:rPr>
      </w:pPr>
    </w:p>
    <w:p>
      <w:pPr>
        <w:ind w:firstLine="336"/>
        <w:spacing w:after="0" w:line="282" w:lineRule="auto"/>
        <w:rPr>
          <w:sz w:val="20"/>
          <w:szCs w:val="20"/>
          <w:color w:val="auto"/>
        </w:rPr>
      </w:pPr>
      <w:r>
        <w:rPr>
          <w:rFonts w:ascii="Arial" w:cs="Arial" w:eastAsia="Arial" w:hAnsi="Arial"/>
          <w:sz w:val="16"/>
          <w:szCs w:val="16"/>
          <w:color w:val="auto"/>
        </w:rPr>
        <w:t>Our solutions are structured as a pre-tax benefit program integrated into employers' overall employee medical insurance, which is unique compared to the offerings of benefits managers new to the industry that do not have integrated health insurance carrier solutions. These emerging companies, such as Carrot Fertility and Maven Clinic, currently offer employees post-tax reimbursement programs for fertility benefits. In addition to our unique plan design, member support and fertility specialist network, one of the key structural differences between our pre-tax benefit and their post-tax</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reimbursement programs is that the individual receiving reimbursement for fertility treatments must pay income taxes on the amount of that reimbursement for the post-tax programs.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22" w:lineRule="exact"/>
        <w:rPr>
          <w:sz w:val="20"/>
          <w:szCs w:val="20"/>
          <w:color w:val="auto"/>
        </w:rPr>
      </w:pPr>
    </w:p>
    <w:p>
      <w:pPr>
        <w:ind w:right="120" w:firstLine="333"/>
        <w:spacing w:after="0" w:line="279" w:lineRule="auto"/>
        <w:rPr>
          <w:sz w:val="20"/>
          <w:szCs w:val="20"/>
          <w:color w:val="auto"/>
        </w:rPr>
      </w:pPr>
      <w:r>
        <w:rPr>
          <w:rFonts w:ascii="Arial" w:cs="Arial" w:eastAsia="Arial" w:hAnsi="Arial"/>
          <w:sz w:val="16"/>
          <w:szCs w:val="16"/>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long-term relationships with industry participants and benefits executives at large employers. Our sales team is organized principally by geography and account size and is responsible for identifying potential clients and managing the overall sales process. The success and effectiveness of our sales team is evidenced by the over 50 new clients that we added in 2019, and the fact that approximately 65% of our current clients terminated their existing fertility coverage to switch to Progyny.</w:t>
      </w:r>
    </w:p>
    <w:p>
      <w:pPr>
        <w:spacing w:after="0" w:line="172" w:lineRule="exact"/>
        <w:rPr>
          <w:sz w:val="20"/>
          <w:szCs w:val="20"/>
          <w:color w:val="auto"/>
        </w:rPr>
      </w:pPr>
    </w:p>
    <w:p>
      <w:pPr>
        <w:ind w:right="20" w:firstLine="333"/>
        <w:spacing w:after="0" w:line="259" w:lineRule="auto"/>
        <w:rPr>
          <w:sz w:val="20"/>
          <w:szCs w:val="20"/>
          <w:color w:val="auto"/>
        </w:rPr>
      </w:pPr>
      <w:r>
        <w:rPr>
          <w:rFonts w:ascii="Arial" w:cs="Arial" w:eastAsia="Arial" w:hAnsi="Arial"/>
          <w:sz w:val="17"/>
          <w:szCs w:val="17"/>
          <w:color w:val="auto"/>
        </w:rPr>
        <w:t>We generate client leads, accelerate sales opportunities and build brand awareness through our marketing programs. Our marketing programs target human resource, benefits and finance executives in addition to health professionals and senior business leaders. Our principal marketing programs include learning opportunities for potential members, demand generation, field marketing events, integrated marketing campaigns (including direct email and online advertising) and participation in industry events, trade shows and conferences. We also benefit from strong referrals as several of our prominent clients have publicly endorsed Progyny and discussed the value they and their members receive.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22" w:lineRule="exact"/>
        <w:rPr>
          <w:sz w:val="20"/>
          <w:szCs w:val="20"/>
          <w:color w:val="auto"/>
        </w:rPr>
      </w:pPr>
    </w:p>
    <w:p>
      <w:pPr>
        <w:ind w:firstLine="327"/>
        <w:spacing w:after="0" w:line="259" w:lineRule="auto"/>
        <w:rPr>
          <w:sz w:val="20"/>
          <w:szCs w:val="20"/>
          <w:color w:val="auto"/>
        </w:rPr>
      </w:pPr>
      <w:r>
        <w:rPr>
          <w:rFonts w:ascii="Arial" w:cs="Arial" w:eastAsia="Arial" w:hAnsi="Arial"/>
          <w:sz w:val="17"/>
          <w:szCs w:val="17"/>
          <w:color w:val="auto"/>
        </w:rPr>
        <w:t>As a participant in the health care industry, we are required to comply with extensive and complex U.S. laws and regulations at the federal and state levels. Although many regulatory and governmental requirements do not directly apply to our business, our clients are required to comply with a variety of U.S. laws, and we may be affected by these laws as a result of our contractual obligations. We have attempted to structure our operations to comply with laws, regulations and other requirements applicable to us directly and to our clients, members, fertility specialists and specialty pharmacies, but there can be no assurance that our operations will not be challenged or impacted by enforcement initiatives.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Healthcare Reform</w:t>
      </w:r>
    </w:p>
    <w:p>
      <w:pPr>
        <w:spacing w:after="0" w:line="222" w:lineRule="exact"/>
        <w:rPr>
          <w:sz w:val="20"/>
          <w:szCs w:val="20"/>
          <w:color w:val="auto"/>
        </w:rPr>
      </w:pPr>
    </w:p>
    <w:p>
      <w:pPr>
        <w:ind w:right="20" w:firstLine="336"/>
        <w:spacing w:after="0" w:line="258" w:lineRule="auto"/>
        <w:rPr>
          <w:sz w:val="20"/>
          <w:szCs w:val="20"/>
          <w:color w:val="auto"/>
        </w:rPr>
      </w:pPr>
      <w:r>
        <w:rPr>
          <w:rFonts w:ascii="Arial" w:cs="Arial" w:eastAsia="Arial" w:hAnsi="Arial"/>
          <w:sz w:val="17"/>
          <w:szCs w:val="17"/>
          <w:color w:val="auto"/>
        </w:rPr>
        <w:t>It is uncertain how our operations will be affected by the changing political, legislative, and regulatory landscapes, as well as other influences impacting the healthcare industry. While the most salient vehicle for healthcare reform, the Patient Protection and Affordable Care Act, or ACA, does not directly regulate our business as a benefit area, it does affect the coverage and plan designs that are or will be provided by certain insurance carriers and certain of our clients, as well as the overall reimbursement environment for healthcare providers. Other health reform efforts have been proposed by members of Congress, such as measures that would expand the role of government-sponsored coverage, including further reform to the ACA, as well as single payer or so-called "Medicare-for-All" proposals, which could have far-reaching implications for the healthcare industry if enacted.</w:t>
      </w:r>
    </w:p>
    <w:p>
      <w:pPr>
        <w:spacing w:after="0" w:line="188" w:lineRule="exact"/>
        <w:rPr>
          <w:sz w:val="20"/>
          <w:szCs w:val="20"/>
          <w:color w:val="auto"/>
        </w:rPr>
      </w:pPr>
    </w:p>
    <w:p>
      <w:pPr>
        <w:ind w:firstLine="333"/>
        <w:spacing w:after="0" w:line="276" w:lineRule="auto"/>
        <w:rPr>
          <w:sz w:val="20"/>
          <w:szCs w:val="20"/>
          <w:color w:val="auto"/>
        </w:rPr>
      </w:pPr>
      <w:r>
        <w:rPr>
          <w:rFonts w:ascii="Arial" w:cs="Arial" w:eastAsia="Arial" w:hAnsi="Arial"/>
          <w:sz w:val="17"/>
          <w:szCs w:val="17"/>
          <w:color w:val="auto"/>
        </w:rPr>
        <w:t>We are unable to predict how the full impact of healthcare reform initiatives events will ultimately be resolved and what the potential impact may be on our business and on our relationships with current and future clients, insurance carriers, and healthcare providers.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Licensing Requirements</w:t>
      </w:r>
    </w:p>
    <w:p>
      <w:pPr>
        <w:spacing w:after="0" w:line="222" w:lineRule="exact"/>
        <w:rPr>
          <w:sz w:val="20"/>
          <w:szCs w:val="20"/>
          <w:color w:val="auto"/>
        </w:rPr>
      </w:pPr>
    </w:p>
    <w:p>
      <w:pPr>
        <w:ind w:firstLine="336"/>
        <w:spacing w:after="0" w:line="276" w:lineRule="auto"/>
        <w:rPr>
          <w:sz w:val="20"/>
          <w:szCs w:val="20"/>
          <w:color w:val="auto"/>
        </w:rPr>
      </w:pPr>
      <w:r>
        <w:rPr>
          <w:rFonts w:ascii="Arial" w:cs="Arial" w:eastAsia="Arial" w:hAnsi="Arial"/>
          <w:sz w:val="17"/>
          <w:szCs w:val="17"/>
          <w:color w:val="auto"/>
        </w:rPr>
        <w:t>Many states have licensure or registration requirements for entities providing third-party administrator, or TPA, or pharmacy benefit management, or PBM, services. Given the nature and scope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of the solutions and services that we provide, we are required to maintain TPA and PBM licenses and registrations in certain jurisdictions and to ensure that such licenses and registrations are in good standing on an annual basis. These licenses require us to comply with the rules and regulations of the governmental bodies that issued such licenses. Our failure to comply with such rules and regulations could result in administrative penalties, the suspension of a license, or the loss of a license, all of which could negatively impact our business.</w:t>
      </w:r>
    </w:p>
    <w:p>
      <w:pPr>
        <w:spacing w:after="0" w:line="184" w:lineRule="exact"/>
        <w:rPr>
          <w:sz w:val="20"/>
          <w:szCs w:val="20"/>
          <w:color w:val="auto"/>
        </w:rPr>
      </w:pPr>
    </w:p>
    <w:p>
      <w:pPr>
        <w:jc w:val="both"/>
        <w:ind w:right="300" w:firstLine="336"/>
        <w:spacing w:after="0" w:line="307" w:lineRule="auto"/>
        <w:rPr>
          <w:sz w:val="20"/>
          <w:szCs w:val="20"/>
          <w:color w:val="auto"/>
        </w:rPr>
      </w:pPr>
      <w:r>
        <w:rPr>
          <w:rFonts w:ascii="Arial" w:cs="Arial" w:eastAsia="Arial" w:hAnsi="Arial"/>
          <w:sz w:val="15"/>
          <w:szCs w:val="15"/>
          <w:color w:val="auto"/>
        </w:rPr>
        <w:t>Separately, states impose licensing requirements on insurers, risk-bearing entities, and insurance agents, as well as those entities that provide utilization review services. We do not believe that our services require us to be licensed under these state laws. We are unable to predict, however, how our services may be viewed by regulators over time, how these laws and regulations will be interpreted, or the full extent of their application. If a regulatory authority in any state determine that the nature of our business requires that we be licensed under such state laws, we may need to restructure our business to comply with any related requirements.</w:t>
      </w:r>
    </w:p>
    <w:p>
      <w:pPr>
        <w:spacing w:after="0" w:line="152" w:lineRule="exact"/>
        <w:rPr>
          <w:sz w:val="20"/>
          <w:szCs w:val="20"/>
          <w:color w:val="auto"/>
        </w:rPr>
      </w:pPr>
    </w:p>
    <w:p>
      <w:pPr>
        <w:ind w:right="60" w:firstLine="336"/>
        <w:spacing w:after="0" w:line="345" w:lineRule="auto"/>
        <w:rPr>
          <w:sz w:val="20"/>
          <w:szCs w:val="20"/>
          <w:color w:val="auto"/>
        </w:rPr>
      </w:pPr>
      <w:r>
        <w:rPr>
          <w:rFonts w:ascii="Arial" w:cs="Arial" w:eastAsia="Arial" w:hAnsi="Arial"/>
          <w:sz w:val="15"/>
          <w:szCs w:val="15"/>
          <w:b w:val="1"/>
          <w:bCs w:val="1"/>
          <w:i w:val="1"/>
          <w:iCs w:val="1"/>
          <w:color w:val="auto"/>
        </w:rPr>
        <w:t xml:space="preserve">Fraud and Abuse Laws. </w:t>
      </w:r>
      <w:r>
        <w:rPr>
          <w:rFonts w:ascii="Arial" w:cs="Arial" w:eastAsia="Arial" w:hAnsi="Arial"/>
          <w:sz w:val="15"/>
          <w:szCs w:val="15"/>
          <w:color w:val="auto"/>
        </w:rPr>
        <w:t>Many of our clients, insurance carriers, and network healthcare providers are impacted directly and indirectly by certain fraud and abuse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laws. Because the solutions we provide are not reimbursed by government healthcare payors, such fraud and abuse laws generally do not directly apply to our business.</w:t>
      </w:r>
    </w:p>
    <w:p>
      <w:pPr>
        <w:spacing w:after="0" w:line="125" w:lineRule="exact"/>
        <w:rPr>
          <w:sz w:val="20"/>
          <w:szCs w:val="20"/>
          <w:color w:val="auto"/>
        </w:rPr>
      </w:pPr>
    </w:p>
    <w:p>
      <w:pPr>
        <w:ind w:firstLine="336"/>
        <w:spacing w:after="0" w:line="292" w:lineRule="auto"/>
        <w:rPr>
          <w:sz w:val="20"/>
          <w:szCs w:val="20"/>
          <w:color w:val="auto"/>
        </w:rPr>
      </w:pPr>
      <w:r>
        <w:rPr>
          <w:rFonts w:ascii="Arial" w:cs="Arial" w:eastAsia="Arial" w:hAnsi="Arial"/>
          <w:sz w:val="15"/>
          <w:szCs w:val="15"/>
          <w:b w:val="1"/>
          <w:bCs w:val="1"/>
          <w:i w:val="1"/>
          <w:iCs w:val="1"/>
          <w:color w:val="auto"/>
        </w:rPr>
        <w:t xml:space="preserve">ERISA. </w:t>
      </w:r>
      <w:r>
        <w:rPr>
          <w:rFonts w:ascii="Arial" w:cs="Arial" w:eastAsia="Arial" w:hAnsi="Arial"/>
          <w:sz w:val="15"/>
          <w:szCs w:val="15"/>
          <w:color w:val="auto"/>
        </w:rPr>
        <w:t>The Employee Retirement Income Security Act of 1974, or ERISA, regulates certain aspects of employee pension and health benefits plans,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self-funded corporate health plans, sponsored by our clients, with which we have agreements to provide TPA services. We believe the conduct of our business vis-a-vis these plans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In addition to its fiduciary provisions, ERISA has broad preemptive effect and has been held to preempt state laws imposing transparency requirements on PBMs. ERISA also imposes civil and criminal liability on service providers to health plans subject to ERISA and certain other persons with relationships to such plan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Employee benefits plans subject to ERISA are subject to certain rules, published by the DOL, including certain reporting requirements for direct and indirect compensation received by plan service providers. However, many self-funded health plans such as the plans that we have contracts with are exempt from these reporting requirements under current law. At this time, we are unable to predict whether the DOL will issue additional regulations or guidance on reporting or which additional regulations, if any, may be proposed in formal rulemaking by the DOL.</w:t>
      </w:r>
    </w:p>
    <w:p>
      <w:pPr>
        <w:spacing w:after="0" w:line="169" w:lineRule="exact"/>
        <w:rPr>
          <w:sz w:val="20"/>
          <w:szCs w:val="20"/>
          <w:color w:val="auto"/>
        </w:rPr>
      </w:pPr>
    </w:p>
    <w:p>
      <w:pPr>
        <w:ind w:right="40" w:firstLine="336"/>
        <w:spacing w:after="0" w:line="265" w:lineRule="auto"/>
        <w:rPr>
          <w:sz w:val="20"/>
          <w:szCs w:val="20"/>
          <w:color w:val="auto"/>
        </w:rPr>
      </w:pPr>
      <w:r>
        <w:rPr>
          <w:rFonts w:ascii="Arial" w:cs="Arial" w:eastAsia="Arial" w:hAnsi="Arial"/>
          <w:sz w:val="17"/>
          <w:szCs w:val="17"/>
          <w:b w:val="1"/>
          <w:bCs w:val="1"/>
          <w:i w:val="1"/>
          <w:iCs w:val="1"/>
          <w:color w:val="auto"/>
        </w:rPr>
        <w:t xml:space="preserve">Prompt Pay Laws. </w:t>
      </w:r>
      <w:r>
        <w:rPr>
          <w:rFonts w:ascii="Arial" w:cs="Arial" w:eastAsia="Arial" w:hAnsi="Arial"/>
          <w:sz w:val="17"/>
          <w:szCs w:val="17"/>
          <w:color w:val="auto"/>
        </w:rPr>
        <w:t>Certain states have laws regulating the amount of time that may elapse from when a third-party payor receives a claim for services rendered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those services are paid. Many of these state laws do not apply to our business as these laws are preempted by ERISA or otherwise exempt entities like us that provide TPA-only services.</w:t>
      </w:r>
    </w:p>
    <w:p>
      <w:pPr>
        <w:spacing w:after="0" w:line="180" w:lineRule="exact"/>
        <w:rPr>
          <w:sz w:val="20"/>
          <w:szCs w:val="20"/>
          <w:color w:val="auto"/>
        </w:rPr>
      </w:pPr>
    </w:p>
    <w:p>
      <w:pPr>
        <w:ind w:right="380" w:firstLine="336"/>
        <w:spacing w:after="0" w:line="265" w:lineRule="auto"/>
        <w:rPr>
          <w:sz w:val="20"/>
          <w:szCs w:val="20"/>
          <w:color w:val="auto"/>
        </w:rPr>
      </w:pPr>
      <w:r>
        <w:rPr>
          <w:rFonts w:ascii="Arial" w:cs="Arial" w:eastAsia="Arial" w:hAnsi="Arial"/>
          <w:sz w:val="17"/>
          <w:szCs w:val="17"/>
          <w:b w:val="1"/>
          <w:bCs w:val="1"/>
          <w:i w:val="1"/>
          <w:iCs w:val="1"/>
          <w:color w:val="auto"/>
        </w:rPr>
        <w:t xml:space="preserve">Network Adequacy and Access. </w:t>
      </w:r>
      <w:r>
        <w:rPr>
          <w:rFonts w:ascii="Arial" w:cs="Arial" w:eastAsia="Arial" w:hAnsi="Arial"/>
          <w:sz w:val="17"/>
          <w:szCs w:val="17"/>
          <w:color w:val="auto"/>
        </w:rPr>
        <w:t>Certain states and government programs have laws regulating healthcare provider networks in order to ensure adequacy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 for beneficiaries and providers. These laws may affect us and our payor clients in network design and management. If we do not comply, we could face enforcement action or other penalties.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Requirements Regarding the Privacy and Security of Personal Information</w:t>
      </w:r>
    </w:p>
    <w:p>
      <w:pPr>
        <w:spacing w:after="0" w:line="222" w:lineRule="exact"/>
        <w:rPr>
          <w:sz w:val="20"/>
          <w:szCs w:val="20"/>
          <w:color w:val="auto"/>
        </w:rPr>
      </w:pPr>
    </w:p>
    <w:p>
      <w:pPr>
        <w:ind w:right="120" w:firstLine="336"/>
        <w:spacing w:after="0" w:line="302" w:lineRule="auto"/>
        <w:rPr>
          <w:sz w:val="20"/>
          <w:szCs w:val="20"/>
          <w:color w:val="auto"/>
        </w:rPr>
      </w:pPr>
      <w:r>
        <w:rPr>
          <w:rFonts w:ascii="Arial" w:cs="Arial" w:eastAsia="Arial" w:hAnsi="Arial"/>
          <w:sz w:val="15"/>
          <w:szCs w:val="15"/>
          <w:b w:val="1"/>
          <w:bCs w:val="1"/>
          <w:i w:val="1"/>
          <w:iCs w:val="1"/>
          <w:color w:val="auto"/>
        </w:rPr>
        <w:t xml:space="preserve">HIPAA Privacy and Security Requirements. </w:t>
      </w:r>
      <w:r>
        <w:rPr>
          <w:rFonts w:ascii="Arial" w:cs="Arial" w:eastAsia="Arial" w:hAnsi="Arial"/>
          <w:sz w:val="15"/>
          <w:szCs w:val="15"/>
          <w:color w:val="auto"/>
        </w:rPr>
        <w:t>There are numerous federal and state laws and regulations related to the privacy and security of health information.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particular, regulations promulgated pursuant to the Health Insurance Portability and Accountability Act of 1996, as amended by the Health Information Technology for Economic and Clinical Health Act, or collectively referred to as HIPAA, establish privacy and security standards that limit the use and disclosure of certain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w:t>
      </w:r>
    </w:p>
    <w:p>
      <w:pPr>
        <w:spacing w:after="0" w:line="156" w:lineRule="exact"/>
        <w:rPr>
          <w:sz w:val="20"/>
          <w:szCs w:val="20"/>
          <w:color w:val="auto"/>
        </w:rPr>
      </w:pPr>
    </w:p>
    <w:p>
      <w:pPr>
        <w:ind w:firstLine="327"/>
        <w:spacing w:after="0" w:line="282" w:lineRule="auto"/>
        <w:rPr>
          <w:sz w:val="20"/>
          <w:szCs w:val="20"/>
          <w:color w:val="auto"/>
        </w:rPr>
      </w:pPr>
      <w:r>
        <w:rPr>
          <w:rFonts w:ascii="Arial" w:cs="Arial" w:eastAsia="Arial" w:hAnsi="Arial"/>
          <w:sz w:val="16"/>
          <w:szCs w:val="16"/>
          <w:color w:val="auto"/>
        </w:rPr>
        <w:t>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solutions and for other limited purposes, but other uses and disclosures, such as marketing communications, require written authorization from the patient or must meet an exception specified under the privacy regulations.</w:t>
      </w:r>
    </w:p>
    <w:p>
      <w:pPr>
        <w:spacing w:after="0" w:line="170" w:lineRule="exact"/>
        <w:rPr>
          <w:sz w:val="20"/>
          <w:szCs w:val="20"/>
          <w:color w:val="auto"/>
        </w:rPr>
      </w:pPr>
    </w:p>
    <w:p>
      <w:pPr>
        <w:ind w:right="100" w:firstLine="336"/>
        <w:spacing w:after="0" w:line="297" w:lineRule="auto"/>
        <w:rPr>
          <w:sz w:val="20"/>
          <w:szCs w:val="20"/>
          <w:color w:val="auto"/>
        </w:rPr>
      </w:pPr>
      <w:r>
        <w:rPr>
          <w:rFonts w:ascii="Arial" w:cs="Arial" w:eastAsia="Arial" w:hAnsi="Arial"/>
          <w:sz w:val="15"/>
          <w:szCs w:val="15"/>
          <w:b w:val="1"/>
          <w:bCs w:val="1"/>
          <w:i w:val="1"/>
          <w:iCs w:val="1"/>
          <w:color w:val="auto"/>
        </w:rPr>
        <w:t xml:space="preserve">Other Privacy and Security Requirements. </w:t>
      </w:r>
      <w:r>
        <w:rPr>
          <w:rFonts w:ascii="Arial" w:cs="Arial" w:eastAsia="Arial" w:hAnsi="Arial"/>
          <w:sz w:val="15"/>
          <w:szCs w:val="15"/>
          <w:color w:val="auto"/>
        </w:rPr>
        <w:t>In addition to HIPAA, numerous other federal and state laws govern the collection, dissemination, use, access to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confidentiality of personal information. Certain federal and state laws protect types of personal information that may be viewed as particularly sensitive. For example, New York's Public Health Law, Article 27-F protects information that could reveal confidential HIV-related information about an individual. State laws are contributing to increased enforcement activity and may also be subject to interpretation by various courts and other governmental authorities. Further, California recently enacted the California Consumer Privacy Act, or CCPA, which goes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w:t>
      </w:r>
    </w:p>
    <w:p>
      <w:pPr>
        <w:spacing w:after="0" w:line="161" w:lineRule="exact"/>
        <w:rPr>
          <w:sz w:val="20"/>
          <w:szCs w:val="20"/>
          <w:color w:val="auto"/>
        </w:rPr>
      </w:pPr>
    </w:p>
    <w:p>
      <w:pPr>
        <w:ind w:right="20" w:firstLine="336"/>
        <w:spacing w:after="0" w:line="277" w:lineRule="auto"/>
        <w:rPr>
          <w:sz w:val="20"/>
          <w:szCs w:val="20"/>
          <w:color w:val="auto"/>
        </w:rPr>
      </w:pPr>
      <w:r>
        <w:rPr>
          <w:rFonts w:ascii="Arial" w:cs="Arial" w:eastAsia="Arial" w:hAnsi="Arial"/>
          <w:sz w:val="16"/>
          <w:szCs w:val="16"/>
          <w:b w:val="1"/>
          <w:bCs w:val="1"/>
          <w:i w:val="1"/>
          <w:iCs w:val="1"/>
          <w:color w:val="auto"/>
        </w:rPr>
        <w:t xml:space="preserve">Data Protection and Breaches. </w:t>
      </w:r>
      <w:r>
        <w:rPr>
          <w:rFonts w:ascii="Arial" w:cs="Arial" w:eastAsia="Arial" w:hAnsi="Arial"/>
          <w:sz w:val="16"/>
          <w:szCs w:val="16"/>
          <w:color w:val="auto"/>
        </w:rPr>
        <w:t>Laws in all 50 states require businesses to provide notice to clients whose personally identifiable information has been disclosed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result of a data breach. Most states require holders of personal information to maintain safeguards and take certain actions in response to a data breach, such as providing prompt notification of the breach to affected individuals or the state's attorney general.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 As a Business Associate under HIPAA, we are required to report breaches of unsecured protected health information to Covered Entities within 60 days of discovery of the breach.</w:t>
      </w:r>
    </w:p>
    <w:p>
      <w:pPr>
        <w:spacing w:after="0" w:line="175" w:lineRule="exact"/>
        <w:rPr>
          <w:sz w:val="20"/>
          <w:szCs w:val="20"/>
          <w:color w:val="auto"/>
        </w:rPr>
      </w:pPr>
    </w:p>
    <w:p>
      <w:pPr>
        <w:ind w:right="160" w:firstLine="336"/>
        <w:spacing w:after="0" w:line="259" w:lineRule="auto"/>
        <w:rPr>
          <w:sz w:val="20"/>
          <w:szCs w:val="20"/>
          <w:color w:val="auto"/>
        </w:rPr>
      </w:pPr>
      <w:r>
        <w:rPr>
          <w:rFonts w:ascii="Arial" w:cs="Arial" w:eastAsia="Arial" w:hAnsi="Arial"/>
          <w:sz w:val="17"/>
          <w:szCs w:val="17"/>
          <w:b w:val="1"/>
          <w:bCs w:val="1"/>
          <w:i w:val="1"/>
          <w:iCs w:val="1"/>
          <w:color w:val="auto"/>
        </w:rPr>
        <w:t xml:space="preserve">HIPAA Transaction and Identifier Standards. </w:t>
      </w:r>
      <w:r>
        <w:rPr>
          <w:rFonts w:ascii="Arial" w:cs="Arial" w:eastAsia="Arial" w:hAnsi="Arial"/>
          <w:sz w:val="17"/>
          <w:szCs w:val="17"/>
          <w:color w:val="auto"/>
        </w:rPr>
        <w:t>HIPAA and its implementing regulations mandate format and data content standards and provider identifier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(known as the National Provider Identifier) that must be used in certain electronic transactions, such as claims, payment advice and eligibility inquiries. HHS now requires the use of updated standard code sets for diagnoses and procedures known as the ICD-10 code sets. Enforcement of compliance with these standards falls under HHS and is carried out by CMS. In the event new requirements are imposed, we will be required to modify our systems and processes to accommodate these changes.</w:t>
      </w:r>
    </w:p>
    <w:p>
      <w:pPr>
        <w:spacing w:after="0" w:line="187" w:lineRule="exact"/>
        <w:rPr>
          <w:sz w:val="20"/>
          <w:szCs w:val="20"/>
          <w:color w:val="auto"/>
        </w:rPr>
      </w:pPr>
    </w:p>
    <w:p>
      <w:pPr>
        <w:ind w:right="520" w:firstLine="336"/>
        <w:spacing w:after="0" w:line="276" w:lineRule="auto"/>
        <w:rPr>
          <w:sz w:val="20"/>
          <w:szCs w:val="20"/>
          <w:color w:val="auto"/>
        </w:rPr>
      </w:pPr>
      <w:r>
        <w:rPr>
          <w:rFonts w:ascii="Arial" w:cs="Arial" w:eastAsia="Arial" w:hAnsi="Arial"/>
          <w:sz w:val="17"/>
          <w:szCs w:val="17"/>
          <w:b w:val="1"/>
          <w:bCs w:val="1"/>
          <w:i w:val="1"/>
          <w:iCs w:val="1"/>
          <w:color w:val="auto"/>
        </w:rPr>
        <w:t xml:space="preserve">Consumer Protection Laws. </w:t>
      </w:r>
      <w:r>
        <w:rPr>
          <w:rFonts w:ascii="Arial" w:cs="Arial" w:eastAsia="Arial" w:hAnsi="Arial"/>
          <w:sz w:val="17"/>
          <w:szCs w:val="17"/>
          <w:color w:val="auto"/>
        </w:rPr>
        <w:t>Federal and state consumer protection laws are being applied increasingly by the Federal Trade Commission, or FTC, Federal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Commission, or FCC,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172" w:lineRule="exact"/>
        <w:rPr>
          <w:sz w:val="20"/>
          <w:szCs w:val="20"/>
          <w:color w:val="auto"/>
        </w:rPr>
      </w:pPr>
    </w:p>
    <w:p>
      <w:pPr>
        <w:ind w:right="80" w:firstLine="336"/>
        <w:spacing w:after="0" w:line="259" w:lineRule="auto"/>
        <w:rPr>
          <w:sz w:val="20"/>
          <w:szCs w:val="20"/>
          <w:color w:val="auto"/>
        </w:rPr>
      </w:pPr>
      <w:r>
        <w:rPr>
          <w:rFonts w:ascii="Arial" w:cs="Arial" w:eastAsia="Arial" w:hAnsi="Arial"/>
          <w:sz w:val="17"/>
          <w:szCs w:val="17"/>
          <w:b w:val="1"/>
          <w:bCs w:val="1"/>
          <w:i w:val="1"/>
          <w:iCs w:val="1"/>
          <w:color w:val="auto"/>
        </w:rPr>
        <w:t xml:space="preserve">Restrictions on Communication. </w:t>
      </w:r>
      <w:r>
        <w:rPr>
          <w:rFonts w:ascii="Arial" w:cs="Arial" w:eastAsia="Arial" w:hAnsi="Arial"/>
          <w:sz w:val="17"/>
          <w:szCs w:val="17"/>
          <w:color w:val="auto"/>
        </w:rPr>
        <w:t>Communications with our members increasingly may be subject to and restricted by laws and regulations governing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2" w:lineRule="exact"/>
        <w:rPr>
          <w:sz w:val="20"/>
          <w:szCs w:val="20"/>
          <w:color w:val="auto"/>
        </w:rPr>
      </w:pPr>
    </w:p>
    <w:p>
      <w:pPr>
        <w:ind w:firstLine="333"/>
        <w:spacing w:after="0" w:line="277" w:lineRule="auto"/>
        <w:rPr>
          <w:sz w:val="20"/>
          <w:szCs w:val="20"/>
          <w:color w:val="auto"/>
        </w:rPr>
      </w:pPr>
      <w:r>
        <w:rPr>
          <w:rFonts w:ascii="Arial" w:cs="Arial" w:eastAsia="Arial" w:hAnsi="Arial"/>
          <w:sz w:val="16"/>
          <w:szCs w:val="16"/>
          <w:color w:val="auto"/>
        </w:rPr>
        <w:t>We rely on trademarks, copyrights, trade secrets,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our relationships with providers and clients, unique benefits model, ability to track outcomes and creation of resources for all constituents, along with the skills and ingenuity of our employees, are larger contributors to our success our company. Other than the trademark Progyny (and design), Smart Cycle and UnPack It, which are not subject to any known rights of others, including any impairments, assignments or pledges, we do not believe our business is dependent to a material degree on trademarks, patents, copyrights or trade secrets.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Employees</w:t>
      </w:r>
    </w:p>
    <w:p>
      <w:pPr>
        <w:spacing w:after="0" w:line="222" w:lineRule="exact"/>
        <w:rPr>
          <w:sz w:val="20"/>
          <w:szCs w:val="20"/>
          <w:color w:val="auto"/>
        </w:rPr>
      </w:pPr>
    </w:p>
    <w:p>
      <w:pPr>
        <w:ind w:right="780" w:firstLine="327"/>
        <w:spacing w:after="0" w:line="276" w:lineRule="auto"/>
        <w:rPr>
          <w:sz w:val="20"/>
          <w:szCs w:val="20"/>
          <w:color w:val="auto"/>
        </w:rPr>
      </w:pPr>
      <w:r>
        <w:rPr>
          <w:rFonts w:ascii="Arial" w:cs="Arial" w:eastAsia="Arial" w:hAnsi="Arial"/>
          <w:sz w:val="17"/>
          <w:szCs w:val="17"/>
          <w:color w:val="auto"/>
        </w:rPr>
        <w:t>As of September 30, 2019, we had 163 full-time employees. None of our employees are represented by a labor union or covered by collective bargaining agreements, and we have not experienced any work stoppages.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Facilities</w:t>
      </w:r>
    </w:p>
    <w:p>
      <w:pPr>
        <w:spacing w:after="0" w:line="222" w:lineRule="exact"/>
        <w:rPr>
          <w:sz w:val="20"/>
          <w:szCs w:val="20"/>
          <w:color w:val="auto"/>
        </w:rPr>
      </w:pPr>
    </w:p>
    <w:p>
      <w:pPr>
        <w:ind w:right="140" w:firstLine="336"/>
        <w:spacing w:after="0" w:line="276" w:lineRule="auto"/>
        <w:rPr>
          <w:sz w:val="20"/>
          <w:szCs w:val="20"/>
          <w:color w:val="auto"/>
        </w:rPr>
      </w:pPr>
      <w:r>
        <w:rPr>
          <w:rFonts w:ascii="Arial" w:cs="Arial" w:eastAsia="Arial" w:hAnsi="Arial"/>
          <w:sz w:val="17"/>
          <w:szCs w:val="17"/>
          <w:color w:val="auto"/>
        </w:rPr>
        <w:t>Our corporate headquarters occupies approximately 13,600 square feet in New York, New York, under a sublease that expires in February 2020. We use this space for administration, sales and marketing and client support.</w:t>
      </w:r>
    </w:p>
    <w:p>
      <w:pPr>
        <w:spacing w:after="0" w:line="171" w:lineRule="exact"/>
        <w:rPr>
          <w:sz w:val="20"/>
          <w:szCs w:val="20"/>
          <w:color w:val="auto"/>
        </w:rPr>
      </w:pPr>
    </w:p>
    <w:p>
      <w:pPr>
        <w:ind w:right="40" w:firstLine="333"/>
        <w:spacing w:after="0" w:line="276" w:lineRule="auto"/>
        <w:rPr>
          <w:sz w:val="20"/>
          <w:szCs w:val="20"/>
          <w:color w:val="auto"/>
        </w:rPr>
      </w:pPr>
      <w:r>
        <w:rPr>
          <w:rFonts w:ascii="Arial" w:cs="Arial" w:eastAsia="Arial" w:hAnsi="Arial"/>
          <w:sz w:val="17"/>
          <w:szCs w:val="17"/>
          <w:color w:val="auto"/>
        </w:rPr>
        <w:t>We have entered into a sublease agreement which will commence in September 2019. The sublease is for a 25,212 square foot office location in New York City and expires in May 2029.</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2" w:lineRule="exact"/>
        <w:rPr>
          <w:sz w:val="20"/>
          <w:szCs w:val="20"/>
          <w:color w:val="auto"/>
        </w:rPr>
      </w:pPr>
    </w:p>
    <w:p>
      <w:pPr>
        <w:jc w:val="both"/>
        <w:ind w:right="60" w:firstLine="336"/>
        <w:spacing w:after="0" w:line="261" w:lineRule="auto"/>
        <w:rPr>
          <w:sz w:val="20"/>
          <w:szCs w:val="20"/>
          <w:color w:val="auto"/>
        </w:rPr>
      </w:pPr>
      <w:r>
        <w:rPr>
          <w:rFonts w:ascii="Arial" w:cs="Arial" w:eastAsia="Arial" w:hAnsi="Arial"/>
          <w:sz w:val="17"/>
          <w:szCs w:val="17"/>
          <w:color w:val="auto"/>
        </w:rPr>
        <w:t>On January 14, 2019, a vendor filed a Demand for Arbitration and Statement of Claim against us for alleged breach of the November 10, 2017 Preferred Specialty Pharmacy Agreement, or the Agreement, between us and the vendor. On March 13, 2019, we terminated the Agreement for material breach with the vendor. On April 3, 2019, the vendor filed a Second Amended Demand for Arbitration, or SAD, for breach of the Agreement. The vendor is seeking $25.0 million in damages, fees, interest and costs. The alleged damages are not quantified or factually supported in the SAD.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Pursuant to a schedule set forth by the Arbitration Panel, on May 3, 2019, we filed a Motion to Dismiss the SAD. That Motion to Dismiss was fully briefed on June 14, 2019 and was decided on July 31, 2019. The Arbitration Panel dismissed two of the vendor's four claims. We believe the vendor's remaining claims are without merit and intend to vigorously defend against the claims in the arbitration. See "Risk Factors—Risks Related to Our Business and Industry—Any litigation against us could be costly and time-consuming to defend and could harm our business, financial condition and results of operations."</w:t>
      </w:r>
    </w:p>
    <w:p>
      <w:pPr>
        <w:spacing w:after="0" w:line="170" w:lineRule="exact"/>
        <w:rPr>
          <w:sz w:val="20"/>
          <w:szCs w:val="20"/>
          <w:color w:val="auto"/>
        </w:rPr>
      </w:pPr>
    </w:p>
    <w:p>
      <w:pPr>
        <w:ind w:right="140" w:firstLine="333"/>
        <w:spacing w:after="0" w:line="259" w:lineRule="auto"/>
        <w:rPr>
          <w:sz w:val="20"/>
          <w:szCs w:val="20"/>
          <w:color w:val="auto"/>
        </w:rPr>
      </w:pPr>
      <w:r>
        <w:rPr>
          <w:rFonts w:ascii="Arial" w:cs="Arial" w:eastAsia="Arial" w:hAnsi="Arial"/>
          <w:sz w:val="17"/>
          <w:szCs w:val="17"/>
          <w:color w:val="auto"/>
        </w:rPr>
        <w:t>We believe there is no other litigation pending that could have, individually or in the aggregate, a material adverse effect on our financial position, results of operations, or cash flows. However, in addition to the matter described above, we may, from time to time, be involved in various legal proceedings arising from the normal course of business activities. Defending such proceedings is costly and can impose a significant burden on management and employees. The results of litigation cannot be predicted with certainty, and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MANAGEMENT</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for our executive officers and directors as of September 30, 2019:</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45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w w:val="89"/>
              </w:rPr>
              <w:t>Age</w:t>
            </w:r>
          </w:p>
        </w:tc>
        <w:tc>
          <w:tcPr>
            <w:tcW w:w="160" w:type="dxa"/>
            <w:vAlign w:val="bottom"/>
          </w:tcPr>
          <w:p>
            <w:pPr>
              <w:spacing w:after="0"/>
              <w:rPr>
                <w:sz w:val="13"/>
                <w:szCs w:val="13"/>
                <w:color w:val="auto"/>
              </w:rPr>
            </w:pPr>
          </w:p>
        </w:tc>
        <w:tc>
          <w:tcPr>
            <w:tcW w:w="4200" w:type="dxa"/>
            <w:vAlign w:val="bottom"/>
          </w:tcPr>
          <w:p>
            <w:pPr>
              <w:ind w:left="1880"/>
              <w:spacing w:after="0"/>
              <w:rPr>
                <w:sz w:val="20"/>
                <w:szCs w:val="20"/>
                <w:color w:val="auto"/>
              </w:rPr>
            </w:pPr>
            <w:r>
              <w:rPr>
                <w:rFonts w:ascii="Arial" w:cs="Arial" w:eastAsia="Arial" w:hAnsi="Arial"/>
                <w:sz w:val="13"/>
                <w:szCs w:val="13"/>
                <w:b w:val="1"/>
                <w:bCs w:val="1"/>
                <w:color w:val="auto"/>
              </w:rPr>
              <w:t>Position</w:t>
            </w:r>
          </w:p>
        </w:tc>
      </w:tr>
      <w:tr>
        <w:trPr>
          <w:trHeight w:val="20"/>
        </w:trPr>
        <w:tc>
          <w:tcPr>
            <w:tcW w:w="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r>
      <w:tr>
        <w:trPr>
          <w:trHeight w:val="200"/>
        </w:trPr>
        <w:tc>
          <w:tcPr>
            <w:tcW w:w="4500" w:type="dxa"/>
            <w:vAlign w:val="bottom"/>
            <w:gridSpan w:val="3"/>
            <w:shd w:val="clear" w:color="auto" w:fill="CCEEFF"/>
          </w:tcPr>
          <w:p>
            <w:pPr>
              <w:spacing w:after="0"/>
              <w:rPr>
                <w:sz w:val="20"/>
                <w:szCs w:val="20"/>
                <w:color w:val="auto"/>
              </w:rPr>
            </w:pPr>
            <w:r>
              <w:rPr>
                <w:rFonts w:ascii="Arial" w:cs="Arial" w:eastAsia="Arial" w:hAnsi="Arial"/>
                <w:sz w:val="17"/>
                <w:szCs w:val="17"/>
                <w:i w:val="1"/>
                <w:iCs w:val="1"/>
                <w:color w:val="auto"/>
              </w:rPr>
              <w:t>Executive Officers: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r>
      <w:tr>
        <w:trPr>
          <w:trHeight w:val="207"/>
        </w:trPr>
        <w:tc>
          <w:tcPr>
            <w:tcW w:w="4500" w:type="dxa"/>
            <w:vAlign w:val="bottom"/>
            <w:gridSpan w:val="3"/>
          </w:tcPr>
          <w:p>
            <w:pPr>
              <w:ind w:left="180"/>
              <w:spacing w:after="0"/>
              <w:rPr>
                <w:sz w:val="20"/>
                <w:szCs w:val="20"/>
                <w:color w:val="auto"/>
              </w:rPr>
            </w:pPr>
            <w:r>
              <w:rPr>
                <w:rFonts w:ascii="Arial" w:cs="Arial" w:eastAsia="Arial" w:hAnsi="Arial"/>
                <w:sz w:val="17"/>
                <w:szCs w:val="17"/>
                <w:color w:val="auto"/>
              </w:rPr>
              <w:t>David Schlanger</w:t>
            </w:r>
          </w:p>
        </w:tc>
        <w:tc>
          <w:tcPr>
            <w:tcW w:w="320" w:type="dxa"/>
            <w:vAlign w:val="bottom"/>
          </w:tcPr>
          <w:p>
            <w:pPr>
              <w:jc w:val="center"/>
              <w:spacing w:after="0"/>
              <w:rPr>
                <w:sz w:val="20"/>
                <w:szCs w:val="20"/>
                <w:color w:val="auto"/>
              </w:rPr>
            </w:pPr>
            <w:r>
              <w:rPr>
                <w:rFonts w:ascii="Arial" w:cs="Arial" w:eastAsia="Arial" w:hAnsi="Arial"/>
                <w:sz w:val="17"/>
                <w:szCs w:val="17"/>
                <w:color w:val="auto"/>
                <w:w w:val="94"/>
              </w:rPr>
              <w:t>60</w:t>
            </w:r>
          </w:p>
        </w:tc>
        <w:tc>
          <w:tcPr>
            <w:tcW w:w="16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Chief Executive Officer and Director</w:t>
            </w:r>
          </w:p>
        </w:tc>
      </w:tr>
      <w:tr>
        <w:trPr>
          <w:trHeight w:val="207"/>
        </w:trPr>
        <w:tc>
          <w:tcPr>
            <w:tcW w:w="45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Peter Anevski</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52</w:t>
            </w:r>
          </w:p>
        </w:tc>
        <w:tc>
          <w:tcPr>
            <w:tcW w:w="1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President, Chief Financial and Operating Officer</w:t>
            </w:r>
          </w:p>
        </w:tc>
      </w:tr>
      <w:tr>
        <w:trPr>
          <w:trHeight w:val="207"/>
        </w:trPr>
        <w:tc>
          <w:tcPr>
            <w:tcW w:w="4500" w:type="dxa"/>
            <w:vAlign w:val="bottom"/>
            <w:gridSpan w:val="3"/>
          </w:tcPr>
          <w:p>
            <w:pPr>
              <w:ind w:left="180"/>
              <w:spacing w:after="0"/>
              <w:rPr>
                <w:sz w:val="20"/>
                <w:szCs w:val="20"/>
                <w:color w:val="auto"/>
              </w:rPr>
            </w:pPr>
            <w:r>
              <w:rPr>
                <w:rFonts w:ascii="Arial" w:cs="Arial" w:eastAsia="Arial" w:hAnsi="Arial"/>
                <w:sz w:val="17"/>
                <w:szCs w:val="17"/>
                <w:color w:val="auto"/>
              </w:rPr>
              <w:t>Karin Ajmani</w:t>
            </w:r>
          </w:p>
        </w:tc>
        <w:tc>
          <w:tcPr>
            <w:tcW w:w="320" w:type="dxa"/>
            <w:vAlign w:val="bottom"/>
          </w:tcPr>
          <w:p>
            <w:pPr>
              <w:jc w:val="center"/>
              <w:spacing w:after="0"/>
              <w:rPr>
                <w:sz w:val="20"/>
                <w:szCs w:val="20"/>
                <w:color w:val="auto"/>
              </w:rPr>
            </w:pPr>
            <w:r>
              <w:rPr>
                <w:rFonts w:ascii="Arial" w:cs="Arial" w:eastAsia="Arial" w:hAnsi="Arial"/>
                <w:sz w:val="17"/>
                <w:szCs w:val="17"/>
                <w:color w:val="auto"/>
                <w:w w:val="94"/>
              </w:rPr>
              <w:t>48</w:t>
            </w:r>
          </w:p>
        </w:tc>
        <w:tc>
          <w:tcPr>
            <w:tcW w:w="16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w w:val="96"/>
              </w:rPr>
              <w:t>Executive Vice President, Chief of Strategic Development</w:t>
            </w:r>
          </w:p>
        </w:tc>
      </w:tr>
      <w:tr>
        <w:trPr>
          <w:trHeight w:val="207"/>
        </w:trPr>
        <w:tc>
          <w:tcPr>
            <w:tcW w:w="45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Jennifer Bealer</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w:t>
            </w:r>
          </w:p>
        </w:tc>
        <w:tc>
          <w:tcPr>
            <w:tcW w:w="1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Executive Vice President, General Counsel</w:t>
            </w:r>
          </w:p>
        </w:tc>
      </w:tr>
      <w:tr>
        <w:trPr>
          <w:trHeight w:val="207"/>
        </w:trPr>
        <w:tc>
          <w:tcPr>
            <w:tcW w:w="4500" w:type="dxa"/>
            <w:vAlign w:val="bottom"/>
            <w:gridSpan w:val="3"/>
          </w:tcPr>
          <w:p>
            <w:pPr>
              <w:ind w:left="180"/>
              <w:spacing w:after="0"/>
              <w:rPr>
                <w:sz w:val="20"/>
                <w:szCs w:val="20"/>
                <w:color w:val="auto"/>
              </w:rPr>
            </w:pPr>
            <w:r>
              <w:rPr>
                <w:rFonts w:ascii="Arial" w:cs="Arial" w:eastAsia="Arial" w:hAnsi="Arial"/>
                <w:sz w:val="17"/>
                <w:szCs w:val="17"/>
                <w:color w:val="auto"/>
              </w:rPr>
              <w:t>Lisa Greenbaum</w:t>
            </w:r>
          </w:p>
        </w:tc>
        <w:tc>
          <w:tcPr>
            <w:tcW w:w="320" w:type="dxa"/>
            <w:vAlign w:val="bottom"/>
          </w:tcPr>
          <w:p>
            <w:pPr>
              <w:jc w:val="center"/>
              <w:spacing w:after="0"/>
              <w:rPr>
                <w:sz w:val="20"/>
                <w:szCs w:val="20"/>
                <w:color w:val="auto"/>
              </w:rPr>
            </w:pPr>
            <w:r>
              <w:rPr>
                <w:rFonts w:ascii="Arial" w:cs="Arial" w:eastAsia="Arial" w:hAnsi="Arial"/>
                <w:sz w:val="17"/>
                <w:szCs w:val="17"/>
                <w:color w:val="auto"/>
                <w:w w:val="94"/>
              </w:rPr>
              <w:t>48</w:t>
            </w:r>
          </w:p>
        </w:tc>
        <w:tc>
          <w:tcPr>
            <w:tcW w:w="16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Executive Vice President, Chief Client Officer</w:t>
            </w:r>
          </w:p>
        </w:tc>
      </w:tr>
      <w:tr>
        <w:trPr>
          <w:trHeight w:val="207"/>
        </w:trPr>
        <w:tc>
          <w:tcPr>
            <w:tcW w:w="4500" w:type="dxa"/>
            <w:vAlign w:val="bottom"/>
            <w:gridSpan w:val="3"/>
            <w:shd w:val="clear" w:color="auto" w:fill="CCEEFF"/>
          </w:tcPr>
          <w:p>
            <w:pPr>
              <w:spacing w:after="0"/>
              <w:rPr>
                <w:sz w:val="20"/>
                <w:szCs w:val="20"/>
                <w:color w:val="auto"/>
              </w:rPr>
            </w:pPr>
            <w:r>
              <w:rPr>
                <w:rFonts w:ascii="Arial" w:cs="Arial" w:eastAsia="Arial" w:hAnsi="Arial"/>
                <w:sz w:val="17"/>
                <w:szCs w:val="17"/>
                <w:i w:val="1"/>
                <w:iCs w:val="1"/>
                <w:color w:val="auto"/>
              </w:rPr>
              <w:t>Non-Employee Directors: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r>
      <w:tr>
        <w:trPr>
          <w:trHeight w:val="207"/>
        </w:trPr>
        <w:tc>
          <w:tcPr>
            <w:tcW w:w="4500" w:type="dxa"/>
            <w:vAlign w:val="bottom"/>
            <w:gridSpan w:val="3"/>
          </w:tcPr>
          <w:p>
            <w:pPr>
              <w:ind w:left="180"/>
              <w:spacing w:after="0"/>
              <w:rPr>
                <w:sz w:val="20"/>
                <w:szCs w:val="20"/>
                <w:color w:val="auto"/>
              </w:rPr>
            </w:pPr>
            <w:r>
              <w:rPr>
                <w:rFonts w:ascii="Arial" w:cs="Arial" w:eastAsia="Arial" w:hAnsi="Arial"/>
                <w:sz w:val="17"/>
                <w:szCs w:val="17"/>
                <w:color w:val="auto"/>
              </w:rPr>
              <w:t>Beth Seidenberg, M.D.</w:t>
            </w:r>
          </w:p>
        </w:tc>
        <w:tc>
          <w:tcPr>
            <w:tcW w:w="320" w:type="dxa"/>
            <w:vAlign w:val="bottom"/>
          </w:tcPr>
          <w:p>
            <w:pPr>
              <w:jc w:val="center"/>
              <w:spacing w:after="0"/>
              <w:rPr>
                <w:sz w:val="20"/>
                <w:szCs w:val="20"/>
                <w:color w:val="auto"/>
              </w:rPr>
            </w:pPr>
            <w:r>
              <w:rPr>
                <w:rFonts w:ascii="Arial" w:cs="Arial" w:eastAsia="Arial" w:hAnsi="Arial"/>
                <w:sz w:val="17"/>
                <w:szCs w:val="17"/>
                <w:color w:val="auto"/>
                <w:w w:val="94"/>
              </w:rPr>
              <w:t>62</w:t>
            </w:r>
          </w:p>
        </w:tc>
        <w:tc>
          <w:tcPr>
            <w:tcW w:w="16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Chair of the Board of Directors</w:t>
            </w:r>
          </w:p>
        </w:tc>
      </w:tr>
      <w:tr>
        <w:trPr>
          <w:trHeight w:val="207"/>
        </w:trPr>
        <w:tc>
          <w:tcPr>
            <w:tcW w:w="45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Fred E. Cohen, M.D., D.Phil.</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63</w:t>
            </w:r>
          </w:p>
        </w:tc>
        <w:tc>
          <w:tcPr>
            <w:tcW w:w="1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7"/>
        </w:trPr>
        <w:tc>
          <w:tcPr>
            <w:tcW w:w="4500" w:type="dxa"/>
            <w:vAlign w:val="bottom"/>
            <w:gridSpan w:val="3"/>
          </w:tcPr>
          <w:p>
            <w:pPr>
              <w:ind w:left="180"/>
              <w:spacing w:after="0"/>
              <w:rPr>
                <w:sz w:val="20"/>
                <w:szCs w:val="20"/>
                <w:color w:val="auto"/>
              </w:rPr>
            </w:pPr>
            <w:r>
              <w:rPr>
                <w:rFonts w:ascii="Arial" w:cs="Arial" w:eastAsia="Arial" w:hAnsi="Arial"/>
                <w:sz w:val="17"/>
                <w:szCs w:val="17"/>
                <w:color w:val="auto"/>
              </w:rPr>
              <w:t>Norman Payson, M.D.</w:t>
            </w:r>
          </w:p>
        </w:tc>
        <w:tc>
          <w:tcPr>
            <w:tcW w:w="320" w:type="dxa"/>
            <w:vAlign w:val="bottom"/>
          </w:tcPr>
          <w:p>
            <w:pPr>
              <w:jc w:val="center"/>
              <w:spacing w:after="0"/>
              <w:rPr>
                <w:sz w:val="20"/>
                <w:szCs w:val="20"/>
                <w:color w:val="auto"/>
              </w:rPr>
            </w:pPr>
            <w:r>
              <w:rPr>
                <w:rFonts w:ascii="Arial" w:cs="Arial" w:eastAsia="Arial" w:hAnsi="Arial"/>
                <w:sz w:val="17"/>
                <w:szCs w:val="17"/>
                <w:color w:val="auto"/>
                <w:w w:val="94"/>
              </w:rPr>
              <w:t>71</w:t>
            </w:r>
          </w:p>
        </w:tc>
        <w:tc>
          <w:tcPr>
            <w:tcW w:w="16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Director</w:t>
            </w:r>
          </w:p>
        </w:tc>
      </w:tr>
      <w:tr>
        <w:trPr>
          <w:trHeight w:val="246"/>
        </w:trPr>
        <w:tc>
          <w:tcPr>
            <w:tcW w:w="4500" w:type="dxa"/>
            <w:vAlign w:val="bottom"/>
            <w:gridSpan w:val="3"/>
            <w:shd w:val="clear" w:color="auto" w:fill="CCEEFF"/>
          </w:tcPr>
          <w:p>
            <w:pPr>
              <w:ind w:left="180"/>
              <w:spacing w:after="0" w:line="246" w:lineRule="exact"/>
              <w:rPr>
                <w:sz w:val="20"/>
                <w:szCs w:val="20"/>
                <w:color w:val="auto"/>
              </w:rPr>
            </w:pPr>
            <w:r>
              <w:rPr>
                <w:rFonts w:ascii="Arial" w:cs="Arial" w:eastAsia="Arial" w:hAnsi="Arial"/>
                <w:sz w:val="17"/>
                <w:szCs w:val="17"/>
                <w:color w:val="auto"/>
              </w:rPr>
              <w:t>Simeon George, M.D.</w:t>
            </w:r>
            <w:r>
              <w:rPr>
                <w:rFonts w:ascii="Arial" w:cs="Arial" w:eastAsia="Arial" w:hAnsi="Arial"/>
                <w:sz w:val="28"/>
                <w:szCs w:val="28"/>
                <w:color w:val="auto"/>
                <w:vertAlign w:val="superscript"/>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42</w:t>
            </w:r>
          </w:p>
        </w:tc>
        <w:tc>
          <w:tcPr>
            <w:tcW w:w="160" w:type="dxa"/>
            <w:vAlign w:val="bottom"/>
            <w:shd w:val="clear" w:color="auto" w:fill="CCEEFF"/>
          </w:tcPr>
          <w:p>
            <w:pPr>
              <w:spacing w:after="0"/>
              <w:rPr>
                <w:sz w:val="21"/>
                <w:szCs w:val="21"/>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6"/>
        </w:trPr>
        <w:tc>
          <w:tcPr>
            <w:tcW w:w="4500" w:type="dxa"/>
            <w:vAlign w:val="bottom"/>
            <w:gridSpan w:val="3"/>
          </w:tcPr>
          <w:p>
            <w:pPr>
              <w:ind w:left="180"/>
              <w:spacing w:after="0" w:line="246" w:lineRule="exact"/>
              <w:rPr>
                <w:sz w:val="20"/>
                <w:szCs w:val="20"/>
                <w:color w:val="auto"/>
              </w:rPr>
            </w:pPr>
            <w:r>
              <w:rPr>
                <w:rFonts w:ascii="Arial" w:cs="Arial" w:eastAsia="Arial" w:hAnsi="Arial"/>
                <w:sz w:val="17"/>
                <w:szCs w:val="17"/>
                <w:color w:val="auto"/>
              </w:rPr>
              <w:t>Kevin Gordon</w:t>
            </w:r>
            <w:r>
              <w:rPr>
                <w:rFonts w:ascii="Arial" w:cs="Arial" w:eastAsia="Arial" w:hAnsi="Arial"/>
                <w:sz w:val="28"/>
                <w:szCs w:val="28"/>
                <w:color w:val="auto"/>
                <w:vertAlign w:val="superscript"/>
              </w:rPr>
              <w:t>(2)</w:t>
            </w:r>
          </w:p>
        </w:tc>
        <w:tc>
          <w:tcPr>
            <w:tcW w:w="32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16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Director</w:t>
            </w:r>
          </w:p>
        </w:tc>
      </w:tr>
      <w:tr>
        <w:trPr>
          <w:trHeight w:val="246"/>
        </w:trPr>
        <w:tc>
          <w:tcPr>
            <w:tcW w:w="4500" w:type="dxa"/>
            <w:vAlign w:val="bottom"/>
            <w:gridSpan w:val="3"/>
            <w:shd w:val="clear" w:color="auto" w:fill="CCEEFF"/>
          </w:tcPr>
          <w:p>
            <w:pPr>
              <w:ind w:left="180"/>
              <w:spacing w:after="0" w:line="246" w:lineRule="exact"/>
              <w:rPr>
                <w:sz w:val="20"/>
                <w:szCs w:val="20"/>
                <w:color w:val="auto"/>
              </w:rPr>
            </w:pPr>
            <w:r>
              <w:rPr>
                <w:rFonts w:ascii="Arial" w:cs="Arial" w:eastAsia="Arial" w:hAnsi="Arial"/>
                <w:sz w:val="17"/>
                <w:szCs w:val="17"/>
                <w:color w:val="auto"/>
              </w:rPr>
              <w:t>Jeff Park</w:t>
            </w:r>
            <w:r>
              <w:rPr>
                <w:rFonts w:ascii="Arial" w:cs="Arial" w:eastAsia="Arial" w:hAnsi="Arial"/>
                <w:sz w:val="28"/>
                <w:szCs w:val="28"/>
                <w:color w:val="auto"/>
                <w:vertAlign w:val="superscript"/>
              </w:rPr>
              <w:t>(2)</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47</w:t>
            </w:r>
          </w:p>
        </w:tc>
        <w:tc>
          <w:tcPr>
            <w:tcW w:w="160" w:type="dxa"/>
            <w:vAlign w:val="bottom"/>
            <w:shd w:val="clear" w:color="auto" w:fill="CCEEFF"/>
          </w:tcPr>
          <w:p>
            <w:pPr>
              <w:spacing w:after="0"/>
              <w:rPr>
                <w:sz w:val="21"/>
                <w:szCs w:val="21"/>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49"/>
        </w:trPr>
        <w:tc>
          <w:tcPr>
            <w:tcW w:w="220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Cheryl Scott</w:t>
            </w:r>
            <w:r>
              <w:rPr>
                <w:rFonts w:ascii="Arial" w:cs="Arial" w:eastAsia="Arial" w:hAnsi="Arial"/>
                <w:sz w:val="28"/>
                <w:szCs w:val="28"/>
                <w:color w:val="auto"/>
                <w:vertAlign w:val="superscript"/>
              </w:rPr>
              <w:t>(2)</w:t>
            </w:r>
          </w:p>
        </w:tc>
        <w:tc>
          <w:tcPr>
            <w:tcW w:w="230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7"/>
                <w:szCs w:val="17"/>
                <w:color w:val="auto"/>
                <w:w w:val="94"/>
              </w:rPr>
              <w:t>70</w:t>
            </w:r>
          </w:p>
        </w:tc>
        <w:tc>
          <w:tcPr>
            <w:tcW w:w="16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185" w:lineRule="exact"/>
        <w:rPr>
          <w:sz w:val="20"/>
          <w:szCs w:val="20"/>
          <w:color w:val="auto"/>
        </w:rPr>
      </w:pPr>
    </w:p>
    <w:p>
      <w:pPr>
        <w:ind w:left="1660" w:hanging="514"/>
        <w:spacing w:after="0"/>
        <w:tabs>
          <w:tab w:leader="none" w:pos="16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Dr. George resigned from our board of directors, effective immediately prior to the effectiveness of the registration statement of which this prospectus forms a part.</w:t>
      </w:r>
    </w:p>
    <w:p>
      <w:pPr>
        <w:spacing w:after="0" w:line="122" w:lineRule="exact"/>
        <w:rPr>
          <w:rFonts w:ascii="Arial" w:cs="Arial" w:eastAsia="Arial" w:hAnsi="Arial"/>
          <w:sz w:val="13"/>
          <w:szCs w:val="13"/>
          <w:color w:val="auto"/>
        </w:rPr>
      </w:pPr>
    </w:p>
    <w:p>
      <w:pPr>
        <w:ind w:left="1660" w:right="400" w:hanging="514"/>
        <w:spacing w:after="0" w:line="250" w:lineRule="auto"/>
        <w:tabs>
          <w:tab w:leader="none" w:pos="16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Mr. Gordon, Mr. Park and Ms. Scott were appointed as members of our board of directors, effective immediately prior to the effectiveness of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22" w:lineRule="exact"/>
        <w:rPr>
          <w:sz w:val="20"/>
          <w:szCs w:val="20"/>
          <w:color w:val="auto"/>
        </w:rPr>
      </w:pPr>
    </w:p>
    <w:p>
      <w:pPr>
        <w:ind w:firstLine="336"/>
        <w:spacing w:after="0" w:line="302" w:lineRule="auto"/>
        <w:rPr>
          <w:sz w:val="20"/>
          <w:szCs w:val="20"/>
          <w:color w:val="auto"/>
        </w:rPr>
      </w:pPr>
      <w:r>
        <w:rPr>
          <w:rFonts w:ascii="Arial" w:cs="Arial" w:eastAsia="Arial" w:hAnsi="Arial"/>
          <w:sz w:val="15"/>
          <w:szCs w:val="15"/>
          <w:b w:val="1"/>
          <w:bCs w:val="1"/>
          <w:i w:val="1"/>
          <w:iCs w:val="1"/>
          <w:color w:val="auto"/>
        </w:rPr>
        <w:t xml:space="preserve">David Schlanger </w:t>
      </w:r>
      <w:r>
        <w:rPr>
          <w:rFonts w:ascii="Arial" w:cs="Arial" w:eastAsia="Arial" w:hAnsi="Arial"/>
          <w:sz w:val="15"/>
          <w:szCs w:val="15"/>
          <w:color w:val="auto"/>
        </w:rPr>
        <w:t>has served as our Chief Executive Officer since January 2017 and on our board of directors since March 2017. From August 2013 until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2016, he served as the Chief Executive Officer of WebMD Health Corp., or WebMD. Prior to that, he served as the Interim Chief Executive Officer and in various other senior executive positions at WebMD and predecessor companies for more than 15 years, including as Senior Vice President, Strategic and Corporate Development and Senior Vice President, Corporate Development. Mr. Schlanger received his B.S. from Georgetown University and his J.D. from the University of Michigan Law School. We believe that Mr. Schlanger is qualified to serve on our board of directors because of his extensive experience at healthcare companies and in executive management.</w:t>
      </w:r>
    </w:p>
    <w:p>
      <w:pPr>
        <w:spacing w:after="0" w:line="156" w:lineRule="exact"/>
        <w:rPr>
          <w:sz w:val="20"/>
          <w:szCs w:val="20"/>
          <w:color w:val="auto"/>
        </w:rPr>
      </w:pPr>
    </w:p>
    <w:p>
      <w:pPr>
        <w:ind w:firstLine="336"/>
        <w:spacing w:after="0" w:line="261" w:lineRule="auto"/>
        <w:rPr>
          <w:sz w:val="20"/>
          <w:szCs w:val="20"/>
          <w:color w:val="auto"/>
        </w:rPr>
      </w:pPr>
      <w:r>
        <w:rPr>
          <w:rFonts w:ascii="Arial" w:cs="Arial" w:eastAsia="Arial" w:hAnsi="Arial"/>
          <w:sz w:val="17"/>
          <w:szCs w:val="17"/>
          <w:b w:val="1"/>
          <w:bCs w:val="1"/>
          <w:i w:val="1"/>
          <w:iCs w:val="1"/>
          <w:color w:val="auto"/>
        </w:rPr>
        <w:t xml:space="preserve">Peter Anevski </w:t>
      </w:r>
      <w:r>
        <w:rPr>
          <w:rFonts w:ascii="Arial" w:cs="Arial" w:eastAsia="Arial" w:hAnsi="Arial"/>
          <w:sz w:val="17"/>
          <w:szCs w:val="17"/>
          <w:color w:val="auto"/>
        </w:rPr>
        <w:t>has served as our Chief Financial and Operating Officer since January 2017 and our President since June 2019. Mr. Anevski has extensive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financial functions for public companies. From May 2013 until September 2016, he served as the Executive Vice President and Chief Financial Officer of WebMD. Prior to that, Mr. Anevski served in senior finance and operations roles at WebMD and predecessor companies for 14 years, including as Senior Vice President, Finance. Mr. Anevski received his B.A. in Accounting from Montclair State University.</w:t>
      </w:r>
    </w:p>
    <w:p>
      <w:pPr>
        <w:spacing w:after="0" w:line="184" w:lineRule="exact"/>
        <w:rPr>
          <w:sz w:val="20"/>
          <w:szCs w:val="20"/>
          <w:color w:val="auto"/>
        </w:rPr>
      </w:pPr>
    </w:p>
    <w:p>
      <w:pPr>
        <w:ind w:right="120" w:firstLine="336"/>
        <w:spacing w:after="0" w:line="282" w:lineRule="auto"/>
        <w:rPr>
          <w:sz w:val="20"/>
          <w:szCs w:val="20"/>
          <w:color w:val="auto"/>
        </w:rPr>
      </w:pPr>
      <w:r>
        <w:rPr>
          <w:rFonts w:ascii="Arial" w:cs="Arial" w:eastAsia="Arial" w:hAnsi="Arial"/>
          <w:sz w:val="16"/>
          <w:szCs w:val="16"/>
          <w:b w:val="1"/>
          <w:bCs w:val="1"/>
          <w:i w:val="1"/>
          <w:iCs w:val="1"/>
          <w:color w:val="auto"/>
        </w:rPr>
        <w:t xml:space="preserve">Karin Ajmani </w:t>
      </w:r>
      <w:r>
        <w:rPr>
          <w:rFonts w:ascii="Arial" w:cs="Arial" w:eastAsia="Arial" w:hAnsi="Arial"/>
          <w:sz w:val="16"/>
          <w:szCs w:val="16"/>
          <w:color w:val="auto"/>
        </w:rPr>
        <w:t>has served as our Chief of Strategic Development since June 2019 and has extensive experience in the public health and managed care industries.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that, she served as our President from August 2018 to June 2019 and as our President, Healthcare Solutions from July 2015 until August 2018. From January 2008 until June 2015, she served as the Chief Executive Officer of US Imaging Network, a radiology network. Ms. Ajmani has served on the board of directors of Citra Health Solutions since 2014. Ms. Ajmani received her B.A. from the University of Pittsburgh and her Masters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of Public Health, Health Policy and Management from Columbia University Mailman School of Public Health.</w:t>
      </w:r>
    </w:p>
    <w:p>
      <w:pPr>
        <w:spacing w:after="0" w:line="218" w:lineRule="exact"/>
        <w:rPr>
          <w:sz w:val="20"/>
          <w:szCs w:val="20"/>
          <w:color w:val="auto"/>
        </w:rPr>
      </w:pPr>
    </w:p>
    <w:p>
      <w:pPr>
        <w:ind w:firstLine="336"/>
        <w:spacing w:after="0" w:line="307" w:lineRule="auto"/>
        <w:rPr>
          <w:sz w:val="20"/>
          <w:szCs w:val="20"/>
          <w:color w:val="auto"/>
        </w:rPr>
      </w:pPr>
      <w:r>
        <w:rPr>
          <w:rFonts w:ascii="Arial" w:cs="Arial" w:eastAsia="Arial" w:hAnsi="Arial"/>
          <w:sz w:val="15"/>
          <w:szCs w:val="15"/>
          <w:b w:val="1"/>
          <w:bCs w:val="1"/>
          <w:i w:val="1"/>
          <w:iCs w:val="1"/>
          <w:color w:val="auto"/>
        </w:rPr>
        <w:t xml:space="preserve">Jennifer Bealer </w:t>
      </w:r>
      <w:r>
        <w:rPr>
          <w:rFonts w:ascii="Arial" w:cs="Arial" w:eastAsia="Arial" w:hAnsi="Arial"/>
          <w:sz w:val="15"/>
          <w:szCs w:val="15"/>
          <w:color w:val="auto"/>
        </w:rPr>
        <w:t>has served as our General Counsel since October 2017. Prior to that, she was an Associate at Ropes &amp; Gray's nationally-ranked healthcare practice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November 2010 to October 2017, where she gained extensive expertise in providing healthcare clients with strategic, regulatory, compliance and transaction advice. Ms. Bealer holds Bachelor of Science degrees in Biology and Psychology from the Pennsylvania State University and received her J.D. from the University of Pennsylvania Law School, A.L.M from Harvard University, and Master of Bioethics from University of Pennsylvania School of Medicine.</w:t>
      </w:r>
    </w:p>
    <w:p>
      <w:pPr>
        <w:spacing w:after="0" w:line="152" w:lineRule="exact"/>
        <w:rPr>
          <w:sz w:val="20"/>
          <w:szCs w:val="20"/>
          <w:color w:val="auto"/>
        </w:rPr>
      </w:pPr>
    </w:p>
    <w:p>
      <w:pPr>
        <w:jc w:val="both"/>
        <w:ind w:right="120" w:firstLine="336"/>
        <w:spacing w:after="0" w:line="261" w:lineRule="auto"/>
        <w:rPr>
          <w:sz w:val="20"/>
          <w:szCs w:val="20"/>
          <w:color w:val="auto"/>
        </w:rPr>
      </w:pPr>
      <w:r>
        <w:rPr>
          <w:rFonts w:ascii="Arial" w:cs="Arial" w:eastAsia="Arial" w:hAnsi="Arial"/>
          <w:sz w:val="17"/>
          <w:szCs w:val="17"/>
          <w:b w:val="1"/>
          <w:bCs w:val="1"/>
          <w:i w:val="1"/>
          <w:iCs w:val="1"/>
          <w:color w:val="auto"/>
        </w:rPr>
        <w:t xml:space="preserve">Lisa Greenbaum </w:t>
      </w:r>
      <w:r>
        <w:rPr>
          <w:rFonts w:ascii="Arial" w:cs="Arial" w:eastAsia="Arial" w:hAnsi="Arial"/>
          <w:sz w:val="17"/>
          <w:szCs w:val="17"/>
          <w:color w:val="auto"/>
        </w:rPr>
        <w:t>has served as our Executive Vice President and Chief Client Officer since June 2019. Prior to that, Ms. Greenbaum spent 15 years at WebMD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roles, including Group General Manager of Professional Services, Senior Vice President, Group Vice President, Vice President of Sales and Executive Director. She also has experience working for digital health and pharmaceutical companies, including HealthStream, Merck and Procter &amp; Gamble. Ms. Greenbaum received her B.A. from Duke University.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222" w:lineRule="exact"/>
        <w:rPr>
          <w:sz w:val="20"/>
          <w:szCs w:val="20"/>
          <w:color w:val="auto"/>
        </w:rPr>
      </w:pPr>
    </w:p>
    <w:p>
      <w:pPr>
        <w:ind w:right="100" w:firstLine="336"/>
        <w:spacing w:after="0" w:line="291" w:lineRule="auto"/>
        <w:rPr>
          <w:sz w:val="20"/>
          <w:szCs w:val="20"/>
          <w:color w:val="auto"/>
        </w:rPr>
      </w:pPr>
      <w:r>
        <w:rPr>
          <w:rFonts w:ascii="Arial" w:cs="Arial" w:eastAsia="Arial" w:hAnsi="Arial"/>
          <w:sz w:val="15"/>
          <w:szCs w:val="15"/>
          <w:b w:val="1"/>
          <w:bCs w:val="1"/>
          <w:i w:val="1"/>
          <w:iCs w:val="1"/>
          <w:color w:val="auto"/>
        </w:rPr>
        <w:t xml:space="preserve">Beth Seidenberg, M.D. </w:t>
      </w:r>
      <w:r>
        <w:rPr>
          <w:rFonts w:ascii="Arial" w:cs="Arial" w:eastAsia="Arial" w:hAnsi="Arial"/>
          <w:sz w:val="15"/>
          <w:szCs w:val="15"/>
          <w:color w:val="auto"/>
        </w:rPr>
        <w:t>has served on our board of directors since May 2010 and since June 2015, she has served as Chair of our board of directors. Dr. Seidenberg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been a partner at Kleiner Perkins, a venture capital firm, since May 2005, where she primarily focuses on life sciences investing. Prior to joining Kleiner Perkins, Dr. Seidenberg was the Senior Vice President, Head of Global Development and Chief Medical Officer at Amgen, Inc., a biotechnology company. In addition,</w:t>
      </w:r>
    </w:p>
    <w:p>
      <w:pPr>
        <w:ind w:right="40"/>
        <w:spacing w:after="0" w:line="297" w:lineRule="auto"/>
        <w:rPr>
          <w:sz w:val="20"/>
          <w:szCs w:val="20"/>
          <w:color w:val="auto"/>
        </w:rPr>
      </w:pPr>
      <w:r>
        <w:rPr>
          <w:rFonts w:ascii="Arial" w:cs="Arial" w:eastAsia="Arial" w:hAnsi="Arial"/>
          <w:sz w:val="15"/>
          <w:szCs w:val="15"/>
          <w:color w:val="auto"/>
        </w:rPr>
        <w:t>Dr. Seidenberg was a senior executive in research and development at Bristol Myers Squibb Company, a biopharmaceutical company, and Merck. Dr. Seidenberg has served on the board of directors of Epizyme, Inc. since February 2008 and on the board of directors of Atara Biotherapeutics since August 2012. From June 2011 to February 2019, she served on the board of directors of Tesaro, Inc. and from December 2012 until June 2018 she served on the board of directors of ARMO BioSciences, Inc. Dr. Seidenberg received a B.S. from Barnard College and an M.D. from the University of Miami School of Medicine and completed her post-graduate training at the Johns Hopkins University, George Washington University and the National Institutes of Health. We believe that Dr. Seidenberg is qualified to serve on our board of directors because of her extensive experience in the life sciences industry as a senior executive and venture capitalist, as well as her training as a physician.</w:t>
      </w:r>
    </w:p>
    <w:p>
      <w:pPr>
        <w:spacing w:after="0" w:line="161" w:lineRule="exact"/>
        <w:rPr>
          <w:sz w:val="20"/>
          <w:szCs w:val="20"/>
          <w:color w:val="auto"/>
        </w:rPr>
      </w:pPr>
    </w:p>
    <w:p>
      <w:pPr>
        <w:ind w:right="100" w:firstLine="336"/>
        <w:spacing w:after="0" w:line="273" w:lineRule="auto"/>
        <w:rPr>
          <w:sz w:val="20"/>
          <w:szCs w:val="20"/>
          <w:color w:val="auto"/>
        </w:rPr>
      </w:pPr>
      <w:r>
        <w:rPr>
          <w:rFonts w:ascii="Arial" w:cs="Arial" w:eastAsia="Arial" w:hAnsi="Arial"/>
          <w:sz w:val="16"/>
          <w:szCs w:val="16"/>
          <w:b w:val="1"/>
          <w:bCs w:val="1"/>
          <w:i w:val="1"/>
          <w:iCs w:val="1"/>
          <w:color w:val="auto"/>
        </w:rPr>
        <w:t xml:space="preserve">Fred E. Cohen, M.D. D.Phil. </w:t>
      </w:r>
      <w:r>
        <w:rPr>
          <w:rFonts w:ascii="Arial" w:cs="Arial" w:eastAsia="Arial" w:hAnsi="Arial"/>
          <w:sz w:val="16"/>
          <w:szCs w:val="16"/>
          <w:color w:val="auto"/>
        </w:rPr>
        <w:t>has served on our board of directors since March 2015. Dr. Cohen is currently a Senior Advisor to TPG Capital, where he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for over 15 years as a Partner, and founder of TPG Biotechnology, a life science focused venture capital fund. Beginning in November 2017, Dr. Cohen has served as a co-founder and senior managing director of Vida Ventures, LLC, a biotechnology venture capital fund. In addition, for over two decades throughout his career, Dr. Cohen has been affiliated with University of California, San Francisco where he held various clinical responsibilities, including as a research scientist, an internist for hospitalized patients, a consulting endocrinologist, and the Chief of the Division of Endocrinology and Metabolism. Dr. Cohen currently serves on the boards of directors of the following public companies: Urogen Pharma Ltd. (since May 2017), Genomic Health Inc. (since April 2002), CareDx, Inc. (since January 2003), Intellia Therapeutics, Inc. (since January 2019) and Veracyte, Inc. (since 2007). Dr. Cohen also serves on the board of directors of several privately-held companies and previously served on the board of directors of BioCryst Pharmaceuticals, Inc. from July 2013 until January 2019, Quintiles Transnational Holdings, Inc. from May 2007 to November 2015, Roka Bioscience, Inc. from September 2009 to October 2017, Five Prime Therapeutics, Inc. from May 2002 until May 2018 and Tandem Diabetes Care, Inc from June 2013 until June 2019. Dr. Cohen received his B.S. degree in Molecular Biophysics and Biochemistry from Yale University, his D.Phil. in Molecular Biophysics from Oxford on a Rhodes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Scholarship, and his M.D. from Stanford. He is a member of the National Academy of Medicine and the American Academy of Arts and Sciences. We believe that Dr. Cohen is qualified to serve on our board of directors because of his financial and medical knowledge and experience.</w:t>
      </w:r>
    </w:p>
    <w:p>
      <w:pPr>
        <w:spacing w:after="0" w:line="171" w:lineRule="exact"/>
        <w:rPr>
          <w:sz w:val="20"/>
          <w:szCs w:val="20"/>
          <w:color w:val="auto"/>
        </w:rPr>
      </w:pPr>
    </w:p>
    <w:p>
      <w:pPr>
        <w:ind w:firstLine="336"/>
        <w:spacing w:after="0" w:line="273" w:lineRule="auto"/>
        <w:rPr>
          <w:sz w:val="20"/>
          <w:szCs w:val="20"/>
          <w:color w:val="auto"/>
        </w:rPr>
      </w:pPr>
      <w:r>
        <w:rPr>
          <w:rFonts w:ascii="Arial" w:cs="Arial" w:eastAsia="Arial" w:hAnsi="Arial"/>
          <w:sz w:val="16"/>
          <w:szCs w:val="16"/>
          <w:b w:val="1"/>
          <w:bCs w:val="1"/>
          <w:i w:val="1"/>
          <w:iCs w:val="1"/>
          <w:color w:val="auto"/>
        </w:rPr>
        <w:t xml:space="preserve">Norman Payson, MD </w:t>
      </w:r>
      <w:r>
        <w:rPr>
          <w:rFonts w:ascii="Arial" w:cs="Arial" w:eastAsia="Arial" w:hAnsi="Arial"/>
          <w:sz w:val="16"/>
          <w:szCs w:val="16"/>
          <w:color w:val="auto"/>
        </w:rPr>
        <w:t>has served on our board of directors since December 2016. Dr. Payson was co-founder and Chief Executive Officer of Healthsource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1985 to 1997, Chief Executive Officer of Oxford Health Plans from 1998 to 2002, Chairman of Concentra from 2005 to 2008 and Chief Executive Officer of Apria Healthcare Group Inc. from 2008 to 2012, where he is currently a member of the board of directors and a consultant. Since 1997, Dr. Payson has served as President of NCP, Inc., his family office, through which he engages in consulting and personal investment activities. Additionally, Dr. Payson has served as a strategic advisor for Evolent Health, Inc., or Evolent, since March 2014 and from December 2013 to June 2019, Dr. Payson also served on the board of directors of Evolent. Additionally, Dr. Payson is currently serving on the Board of Directors of various private and not-for-profit companies including Access Clinical Partners, City of Hope, Smile Brands, HPM National Advisory Board at the Mailman School of Public Health at Columbia and USC Schaeffer Center Advisory Board. Until June 2019, Dr. Payson served as a director at Geisel School of Medicine at Dartmouth, where he now serves as director emeritus. Dr. Payson holds a Bachelor of Science degree in earth and planetary sciences from the Massachusetts Institute of Technology and received his doctorate in medicine from Dartmouth Medical School. We believe that Dr. Payson is qualified to serve on our board of directors because of his 30-year career as chief executive officer or chairman of multiple healthcare organizations, including publicly-traded companies.</w:t>
      </w:r>
    </w:p>
    <w:p>
      <w:pPr>
        <w:spacing w:after="0" w:line="181" w:lineRule="exact"/>
        <w:rPr>
          <w:sz w:val="20"/>
          <w:szCs w:val="20"/>
          <w:color w:val="auto"/>
        </w:rPr>
      </w:pPr>
    </w:p>
    <w:p>
      <w:pPr>
        <w:ind w:right="100" w:firstLine="336"/>
        <w:spacing w:after="0" w:line="274" w:lineRule="auto"/>
        <w:rPr>
          <w:sz w:val="20"/>
          <w:szCs w:val="20"/>
          <w:color w:val="auto"/>
        </w:rPr>
      </w:pPr>
      <w:r>
        <w:rPr>
          <w:rFonts w:ascii="Arial" w:cs="Arial" w:eastAsia="Arial" w:hAnsi="Arial"/>
          <w:sz w:val="16"/>
          <w:szCs w:val="16"/>
          <w:b w:val="1"/>
          <w:bCs w:val="1"/>
          <w:i w:val="1"/>
          <w:iCs w:val="1"/>
          <w:color w:val="auto"/>
        </w:rPr>
        <w:t xml:space="preserve">Simeon George, M.D., M.B.A. </w:t>
      </w:r>
      <w:r>
        <w:rPr>
          <w:rFonts w:ascii="Arial" w:cs="Arial" w:eastAsia="Arial" w:hAnsi="Arial"/>
          <w:sz w:val="16"/>
          <w:szCs w:val="16"/>
          <w:color w:val="auto"/>
        </w:rPr>
        <w:t>has served on our board of directors since May 2012. Dr. George joined S.R. One, Limited in September 2007 as an Associate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later became Partner, and since February 2019 has served as Chief Executive Officer. From 2006 to 2007, Dr. George was a consultant at Bain &amp; Company, and in 2004 he was an investment banker at Goldman Sachs and Merrill Lynch. Dr. George currently serves on the boards of directors of the following public companies: Principia Biopharma Inc. (since February 2011), CRISPR Therapeutics (since April 2015) and Turning Point Therapeutics, Inc. (since May 2017). Dr. George also served on the boards of directors of HTG Molecular Diagnostics, Inc., from June 2011 until October 2015, and Genocea Biosciences, Inc., from February 2009 to December 2014. Dr. George received his B.A. in neuroscience from the Johns Hopkins University, where he graduated Phi Beta Kappa. He received his M.D. from the University of Pennsylvania School of Medicine and his M.B.A. (Mayer Scholar) from the Wharton School of the University of Pennsylvania. We believe Dr. George is qualified to serve as a member of our board of directors due to his educational background in sciences, as well as financial understanding of the biotechnology industry gained from his investing experience.</w:t>
      </w:r>
    </w:p>
    <w:p>
      <w:pPr>
        <w:spacing w:after="0" w:line="179" w:lineRule="exact"/>
        <w:rPr>
          <w:sz w:val="20"/>
          <w:szCs w:val="20"/>
          <w:color w:val="auto"/>
        </w:rPr>
      </w:pPr>
    </w:p>
    <w:p>
      <w:pPr>
        <w:ind w:firstLine="336"/>
        <w:spacing w:after="0" w:line="294" w:lineRule="auto"/>
        <w:rPr>
          <w:sz w:val="20"/>
          <w:szCs w:val="20"/>
          <w:color w:val="auto"/>
        </w:rPr>
      </w:pPr>
      <w:r>
        <w:rPr>
          <w:rFonts w:ascii="Arial" w:cs="Arial" w:eastAsia="Arial" w:hAnsi="Arial"/>
          <w:sz w:val="15"/>
          <w:szCs w:val="15"/>
          <w:b w:val="1"/>
          <w:bCs w:val="1"/>
          <w:i w:val="1"/>
          <w:iCs w:val="1"/>
          <w:color w:val="auto"/>
        </w:rPr>
        <w:t xml:space="preserve">Kevin Gordon </w:t>
      </w:r>
      <w:r>
        <w:rPr>
          <w:rFonts w:ascii="Arial" w:cs="Arial" w:eastAsia="Arial" w:hAnsi="Arial"/>
          <w:sz w:val="15"/>
          <w:szCs w:val="15"/>
          <w:color w:val="auto"/>
        </w:rPr>
        <w:t>was appointed as a member of our board of directors, effective immediately prior to the effectiveness of the registration statement of which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prospectus forms a part. Mr. Gordon has served on the board of directors of Veracyte, Inc., a genomic diagnostics company, since December 2016 and Q Holdco Limited, a private company that provides world class engineered and elastomeric solutions since September 2019. From January 2018 until March 2019, he was the President and Chief Financial Officer of Liquidia Technologies Inc., a clinical biopharmaceutical company. Mr. Gordon served as Executive Vice President and Chief Operating Officer of Quintiles Transnational Holdings Inc., or Quintiles, a research, clinical trial and pharmaceutical consulting company, from October 2015 until its merger with IMS Health Holdings, Inc. (forming IQVIA Holdings, Inc.) in October 2016. Prior to that, he was the Executive Vice President and Chief Financial Officer of Quintiles from July 2010 until December 2015. Mr. Gordon served as Executive Vice President and Chief Financial Officer of Teleflex Incorporated, a medical device company, from March 2007 until January 2010. Mr. Gordon held various senior corporate development positions at Teleflex Incorporated from 1997 to 2007. From 1992 to 1997, he held various senior positions, including Chief Financial Officer at Package Machinery Company. From 1984 to 1992, he held senior manager and other various finance positions at KPMG LLP. Mr. Gordon holds a Bachelor of Science degree in Accounting from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University of Connecticut. We believe that Mr. Gordon is qualified to serve on our board of directors because of his extensive accounting experience and leadership experience in healthcare companies.</w:t>
      </w:r>
    </w:p>
    <w:p>
      <w:pPr>
        <w:spacing w:after="0" w:line="171" w:lineRule="exact"/>
        <w:rPr>
          <w:sz w:val="20"/>
          <w:szCs w:val="20"/>
          <w:color w:val="auto"/>
        </w:rPr>
      </w:pPr>
    </w:p>
    <w:p>
      <w:pPr>
        <w:ind w:right="40" w:firstLine="336"/>
        <w:spacing w:after="0" w:line="296" w:lineRule="auto"/>
        <w:rPr>
          <w:sz w:val="20"/>
          <w:szCs w:val="20"/>
          <w:color w:val="auto"/>
        </w:rPr>
      </w:pPr>
      <w:r>
        <w:rPr>
          <w:rFonts w:ascii="Arial" w:cs="Arial" w:eastAsia="Arial" w:hAnsi="Arial"/>
          <w:sz w:val="15"/>
          <w:szCs w:val="15"/>
          <w:b w:val="1"/>
          <w:bCs w:val="1"/>
          <w:i w:val="1"/>
          <w:iCs w:val="1"/>
          <w:color w:val="auto"/>
        </w:rPr>
        <w:t xml:space="preserve">Jeff Park </w:t>
      </w:r>
      <w:r>
        <w:rPr>
          <w:rFonts w:ascii="Arial" w:cs="Arial" w:eastAsia="Arial" w:hAnsi="Arial"/>
          <w:sz w:val="15"/>
          <w:szCs w:val="15"/>
          <w:color w:val="auto"/>
        </w:rPr>
        <w:t>was appointed as a member of our board of directors, effective immediately prior to the effectiveness of the registration statement of which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prospectus forms a part. Mr. Park has served since April 2019 as the Chairman and Chief Executive Officer of WellDyneRx, an independent pharmacy benefits manager. From January 2018 until May 2018, he was the Interim Chief Executive Officer of Diplomat Pharmacy, Inc., or Diplomat, a provider of specialty pharmacy services. Additionally, from June 2017 to February 2019, he served on the board of directors of Diplomat. Prior to that, from July 2015 until July 2016, he was the Chief Operating Officer of OptumRX, the entity resulting from the merger of Catamaran Corporation, or Catamaran, and OptumRX, UnitedHealthcare Group's free-standing pharmacy care services business. Before the merger, from March 2014 until July 2015, he was Catamaran's Executive Vice President, Operations, and periovusly served as Catamaran's Chief Financial Officer, beginning in 2006. Mr. Park holds a Bachelor of Science degree in Accounting from Brock University. We believe that Mr. Park is qualified to serve on our board of directors because of his extensive leadership experience in the pharmaceutical industry.</w:t>
      </w:r>
    </w:p>
    <w:p>
      <w:pPr>
        <w:spacing w:after="0" w:line="161" w:lineRule="exact"/>
        <w:rPr>
          <w:sz w:val="20"/>
          <w:szCs w:val="20"/>
          <w:color w:val="auto"/>
        </w:rPr>
      </w:pPr>
    </w:p>
    <w:p>
      <w:pPr>
        <w:ind w:right="20" w:firstLine="336"/>
        <w:spacing w:after="0" w:line="256" w:lineRule="auto"/>
        <w:rPr>
          <w:sz w:val="20"/>
          <w:szCs w:val="20"/>
          <w:color w:val="auto"/>
        </w:rPr>
      </w:pPr>
      <w:r>
        <w:rPr>
          <w:rFonts w:ascii="Arial" w:cs="Arial" w:eastAsia="Arial" w:hAnsi="Arial"/>
          <w:sz w:val="17"/>
          <w:szCs w:val="17"/>
          <w:b w:val="1"/>
          <w:bCs w:val="1"/>
          <w:i w:val="1"/>
          <w:iCs w:val="1"/>
          <w:color w:val="auto"/>
        </w:rPr>
        <w:t xml:space="preserve">Cheryl Scott </w:t>
      </w:r>
      <w:r>
        <w:rPr>
          <w:rFonts w:ascii="Arial" w:cs="Arial" w:eastAsia="Arial" w:hAnsi="Arial"/>
          <w:sz w:val="17"/>
          <w:szCs w:val="17"/>
          <w:color w:val="auto"/>
        </w:rPr>
        <w:t>was appointed as a member of our board of directors, effective immediately prior to the effectiveness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forms a part. Ms. Scott has served since July 2016 as the Main Principal of the McClintock Scott Group. From June 2006 to July 2016, Ms. Scott served as Senior Advisor to the Bill &amp; Melinda Gates Foundation. Previously, she served as President and Chief Executive Officer of the Seattle-based Group Health Cooperative for eight years. Ms. Scott has served as a member of the board of directors of Evolent Health, Inc. since November 2015. She also currently serves on a variety of private and not-for-profit boards. She was a member of the board of directors of Recreational Equipment Incorporated (REI) from 2005 to 2017, and served as the board chairperson from 2015 to 2017. Ms. Scott received her bachelor's degree in communications and master's degree in health management from the University of Washington, and is currently a Clinical Professor of Health Services at the University of Washington. We believe that Ms. Scott is qualified to serve on our board of directors because of her extensive career in healthcare, leadership and corporate governance, including her tenure as the Chief Executive Officer of Group Health Cooperative.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Our Board of Directors</w:t>
      </w:r>
    </w:p>
    <w:p>
      <w:pPr>
        <w:spacing w:after="0" w:line="222" w:lineRule="exact"/>
        <w:rPr>
          <w:sz w:val="20"/>
          <w:szCs w:val="20"/>
          <w:color w:val="auto"/>
        </w:rPr>
      </w:pPr>
    </w:p>
    <w:p>
      <w:pPr>
        <w:ind w:firstLine="336"/>
        <w:spacing w:after="0" w:line="259" w:lineRule="auto"/>
        <w:rPr>
          <w:sz w:val="20"/>
          <w:szCs w:val="20"/>
          <w:color w:val="auto"/>
        </w:rPr>
      </w:pPr>
      <w:r>
        <w:rPr>
          <w:rFonts w:ascii="Arial" w:cs="Arial" w:eastAsia="Arial" w:hAnsi="Arial"/>
          <w:sz w:val="17"/>
          <w:szCs w:val="17"/>
          <w:color w:val="auto"/>
        </w:rPr>
        <w:t>Our business and affairs are managed under the direction of our board of directors. We currently have five directors.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completion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187" w:lineRule="exact"/>
        <w:rPr>
          <w:sz w:val="20"/>
          <w:szCs w:val="20"/>
          <w:color w:val="auto"/>
        </w:rPr>
      </w:pPr>
    </w:p>
    <w:p>
      <w:pPr>
        <w:ind w:right="80" w:firstLine="336"/>
        <w:spacing w:after="0" w:line="282" w:lineRule="auto"/>
        <w:rPr>
          <w:sz w:val="20"/>
          <w:szCs w:val="20"/>
          <w:color w:val="auto"/>
        </w:rPr>
      </w:pPr>
      <w:r>
        <w:rPr>
          <w:rFonts w:ascii="Arial" w:cs="Arial" w:eastAsia="Arial" w:hAnsi="Arial"/>
          <w:sz w:val="16"/>
          <w:szCs w:val="16"/>
          <w:color w:val="auto"/>
        </w:rPr>
        <w:t>Our board of directors may establish the authorized number of directors from time to time by resolution. In accordance with our amended and restated certificate of incorporation that will be in effect 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83" w:lineRule="exact"/>
        <w:rPr>
          <w:sz w:val="20"/>
          <w:szCs w:val="20"/>
          <w:color w:val="auto"/>
        </w:rPr>
      </w:pPr>
    </w:p>
    <w:p>
      <w:pPr>
        <w:ind w:left="1040" w:hanging="519"/>
        <w:spacing w:after="0"/>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Class I directors will be Cheryl Scott and Kevin Gordon, whose terms will expire at the annual meeting of stockholders to be held in 2020;</w:t>
      </w:r>
    </w:p>
    <w:p>
      <w:pPr>
        <w:spacing w:after="0" w:line="229" w:lineRule="exact"/>
        <w:rPr>
          <w:rFonts w:ascii="Arial" w:cs="Arial" w:eastAsia="Arial" w:hAnsi="Arial"/>
          <w:sz w:val="16"/>
          <w:szCs w:val="16"/>
          <w:color w:val="auto"/>
        </w:rPr>
      </w:pPr>
    </w:p>
    <w:p>
      <w:pPr>
        <w:ind w:left="5600"/>
        <w:spacing w:after="0"/>
        <w:rPr>
          <w:rFonts w:ascii="Arial" w:cs="Arial" w:eastAsia="Arial" w:hAnsi="Arial"/>
          <w:sz w:val="16"/>
          <w:szCs w:val="16"/>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1" w:lineRule="exact"/>
        <w:rPr>
          <w:sz w:val="20"/>
          <w:szCs w:val="20"/>
          <w:color w:val="auto"/>
        </w:rPr>
      </w:pPr>
    </w:p>
    <w:p>
      <w:pPr>
        <w:ind w:left="1040" w:hanging="519"/>
        <w:spacing w:after="0"/>
        <w:tabs>
          <w:tab w:leader="none" w:pos="10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Class II directors will be Jeff Park and David Schlanger, whose terms will expire at the annual meeting of stockholders to be held in 2021; and</w:t>
      </w:r>
    </w:p>
    <w:p>
      <w:pPr>
        <w:spacing w:after="0" w:line="255" w:lineRule="exact"/>
        <w:rPr>
          <w:rFonts w:ascii="Arial" w:cs="Arial" w:eastAsia="Arial" w:hAnsi="Arial"/>
          <w:sz w:val="16"/>
          <w:szCs w:val="16"/>
          <w:color w:val="auto"/>
        </w:rPr>
      </w:pPr>
    </w:p>
    <w:p>
      <w:pPr>
        <w:ind w:left="1040" w:right="60" w:hanging="519"/>
        <w:spacing w:after="0" w:line="276" w:lineRule="auto"/>
        <w:tabs>
          <w:tab w:leader="none" w:pos="10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Class III director will be Norman Payson, Fred Cohen and Beth Seidenberg, whose terms will expire at the annual meeting of stockholders to be held in 2022.</w:t>
      </w:r>
    </w:p>
    <w:p>
      <w:pPr>
        <w:spacing w:after="0" w:line="171" w:lineRule="exact"/>
        <w:rPr>
          <w:sz w:val="20"/>
          <w:szCs w:val="20"/>
          <w:color w:val="auto"/>
        </w:rPr>
      </w:pPr>
    </w:p>
    <w:p>
      <w:pPr>
        <w:ind w:right="300" w:firstLine="333"/>
        <w:spacing w:after="0" w:line="265" w:lineRule="auto"/>
        <w:rPr>
          <w:sz w:val="20"/>
          <w:szCs w:val="20"/>
          <w:color w:val="auto"/>
        </w:rPr>
      </w:pPr>
      <w:r>
        <w:rPr>
          <w:rFonts w:ascii="Arial" w:cs="Arial" w:eastAsia="Arial" w:hAnsi="Arial"/>
          <w:sz w:val="17"/>
          <w:szCs w:val="17"/>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2" w:lineRule="exact"/>
        <w:rPr>
          <w:sz w:val="20"/>
          <w:szCs w:val="20"/>
          <w:color w:val="auto"/>
        </w:rPr>
      </w:pPr>
    </w:p>
    <w:p>
      <w:pPr>
        <w:ind w:right="100" w:firstLine="336"/>
        <w:spacing w:after="0" w:line="257"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her or his background, employment and affiliations, our board of directors has determined that none of our directors, other than Mr. Schlanger, has any relationships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Our Board of Directors</w:t>
      </w:r>
    </w:p>
    <w:p>
      <w:pPr>
        <w:spacing w:after="0" w:line="222" w:lineRule="exact"/>
        <w:rPr>
          <w:sz w:val="20"/>
          <w:szCs w:val="20"/>
          <w:color w:val="auto"/>
        </w:rPr>
      </w:pPr>
    </w:p>
    <w:p>
      <w:pPr>
        <w:ind w:right="20" w:firstLine="336"/>
        <w:spacing w:after="0" w:line="261" w:lineRule="auto"/>
        <w:rPr>
          <w:sz w:val="20"/>
          <w:szCs w:val="20"/>
          <w:color w:val="auto"/>
        </w:rPr>
      </w:pPr>
      <w:r>
        <w:rPr>
          <w:rFonts w:ascii="Arial" w:cs="Arial" w:eastAsia="Arial" w:hAnsi="Arial"/>
          <w:sz w:val="17"/>
          <w:szCs w:val="17"/>
          <w:color w:val="auto"/>
        </w:rPr>
        <w:t>Our board of directors has established an audit committee and a compensation committee, and a nominating and corporate governance committee. The composition and responsibilities of each of the committees of our board of directors upon completion of this offering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218" w:lineRule="exact"/>
        <w:rPr>
          <w:sz w:val="20"/>
          <w:szCs w:val="20"/>
          <w:color w:val="auto"/>
        </w:rPr>
      </w:pPr>
    </w:p>
    <w:p>
      <w:pPr>
        <w:ind w:right="120" w:firstLine="336"/>
        <w:spacing w:after="0" w:line="258" w:lineRule="auto"/>
        <w:rPr>
          <w:sz w:val="20"/>
          <w:szCs w:val="20"/>
          <w:color w:val="auto"/>
        </w:rPr>
      </w:pPr>
      <w:r>
        <w:rPr>
          <w:rFonts w:ascii="Arial" w:cs="Arial" w:eastAsia="Arial" w:hAnsi="Arial"/>
          <w:sz w:val="17"/>
          <w:szCs w:val="17"/>
          <w:color w:val="auto"/>
        </w:rPr>
        <w:t>Our audit committee consists of Dr. Payson, Mr. Park and Mr. Gordon. Our board of directors has determined that each of Dr. Payson, Mr. Gordon and Mr. Park satisfies the independence requirements under Nasdaq listing standards and Rule 10A-3(b)(1) of the Exchange Act. The chair of our audit committee is Mr. Park, who our board of directors has determined is an "audit committee financial expert" as defined in Item 407(d)(5)(ii) of Regulation S-K promulgated under the Securities Act.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8" w:lineRule="exact"/>
        <w:rPr>
          <w:sz w:val="20"/>
          <w:szCs w:val="20"/>
          <w:color w:val="auto"/>
        </w:rPr>
      </w:pPr>
    </w:p>
    <w:p>
      <w:pPr>
        <w:ind w:firstLine="333"/>
        <w:spacing w:after="0" w:line="265" w:lineRule="auto"/>
        <w:rPr>
          <w:sz w:val="20"/>
          <w:szCs w:val="20"/>
          <w:color w:val="auto"/>
        </w:rPr>
      </w:pPr>
      <w:r>
        <w:rPr>
          <w:rFonts w:ascii="Arial" w:cs="Arial" w:eastAsia="Arial" w:hAnsi="Arial"/>
          <w:sz w:val="17"/>
          <w:szCs w:val="17"/>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93" w:lineRule="exact"/>
        <w:rPr>
          <w:sz w:val="20"/>
          <w:szCs w:val="20"/>
          <w:color w:val="auto"/>
        </w:rPr>
      </w:pPr>
    </w:p>
    <w:p>
      <w:pPr>
        <w:ind w:left="1040" w:hanging="519"/>
        <w:spacing w:after="0"/>
        <w:tabs>
          <w:tab w:leader="none" w:pos="10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helping our board of directors oversee our corporate accounting and financial reporting processes;</w:t>
      </w:r>
    </w:p>
    <w:p>
      <w:pPr>
        <w:spacing w:after="0" w:line="231" w:lineRule="exact"/>
        <w:rPr>
          <w:rFonts w:ascii="Arial" w:cs="Arial" w:eastAsia="Arial" w:hAnsi="Arial"/>
          <w:sz w:val="17"/>
          <w:szCs w:val="17"/>
          <w:color w:val="auto"/>
        </w:rPr>
      </w:pPr>
    </w:p>
    <w:p>
      <w:pPr>
        <w:ind w:left="1040" w:right="400" w:hanging="519"/>
        <w:spacing w:after="0" w:line="276" w:lineRule="auto"/>
        <w:tabs>
          <w:tab w:leader="none" w:pos="10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managing the selection, engagement, qualifications, independence and performance of a qualified firm to serve as the independent registered public accounting firm to audit our financial statements;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1" w:lineRule="exact"/>
        <w:rPr>
          <w:sz w:val="20"/>
          <w:szCs w:val="20"/>
          <w:color w:val="auto"/>
        </w:rPr>
      </w:pPr>
    </w:p>
    <w:p>
      <w:pPr>
        <w:ind w:left="1040" w:right="820" w:hanging="519"/>
        <w:spacing w:after="0" w:line="276" w:lineRule="auto"/>
        <w:tabs>
          <w:tab w:leader="none" w:pos="10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accountants, our interim and year-end operating results;</w:t>
      </w:r>
    </w:p>
    <w:p>
      <w:pPr>
        <w:spacing w:after="0" w:line="197" w:lineRule="exact"/>
        <w:rPr>
          <w:rFonts w:ascii="Arial" w:cs="Arial" w:eastAsia="Arial" w:hAnsi="Arial"/>
          <w:sz w:val="17"/>
          <w:szCs w:val="17"/>
          <w:color w:val="auto"/>
        </w:rPr>
      </w:pPr>
    </w:p>
    <w:p>
      <w:pPr>
        <w:ind w:left="1040" w:hanging="519"/>
        <w:spacing w:after="0"/>
        <w:tabs>
          <w:tab w:leader="none" w:pos="10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related person transactions;</w:t>
      </w:r>
    </w:p>
    <w:p>
      <w:pPr>
        <w:spacing w:after="0" w:line="231" w:lineRule="exact"/>
        <w:rPr>
          <w:rFonts w:ascii="Arial" w:cs="Arial" w:eastAsia="Arial" w:hAnsi="Arial"/>
          <w:sz w:val="17"/>
          <w:szCs w:val="17"/>
          <w:color w:val="auto"/>
        </w:rPr>
      </w:pPr>
    </w:p>
    <w:p>
      <w:pPr>
        <w:ind w:left="1040" w:right="620" w:hanging="519"/>
        <w:spacing w:after="0" w:line="345" w:lineRule="auto"/>
        <w:tabs>
          <w:tab w:leader="none" w:pos="10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50" w:lineRule="exact"/>
        <w:rPr>
          <w:rFonts w:ascii="Arial" w:cs="Arial" w:eastAsia="Arial" w:hAnsi="Arial"/>
          <w:sz w:val="15"/>
          <w:szCs w:val="15"/>
          <w:color w:val="auto"/>
        </w:rPr>
      </w:pPr>
    </w:p>
    <w:p>
      <w:pPr>
        <w:ind w:left="340" w:firstLine="181"/>
        <w:spacing w:after="0" w:line="508" w:lineRule="auto"/>
        <w:tabs>
          <w:tab w:leader="none" w:pos="1038" w:val="left"/>
        </w:tabs>
        <w:numPr>
          <w:ilvl w:val="0"/>
          <w:numId w:val="66"/>
        </w:numPr>
        <w:rPr>
          <w:rFonts w:ascii="Arial" w:cs="Arial" w:eastAsia="Arial" w:hAnsi="Arial"/>
          <w:sz w:val="17"/>
          <w:szCs w:val="17"/>
          <w:color w:val="auto"/>
        </w:rPr>
      </w:pPr>
      <w:r>
        <w:rPr>
          <w:rFonts w:ascii="Arial" w:cs="Arial" w:eastAsia="Arial" w:hAnsi="Arial"/>
          <w:sz w:val="17"/>
          <w:szCs w:val="17"/>
          <w:color w:val="auto"/>
        </w:rPr>
        <w:t>approving or, as permitted, pre-approving, audit and permissible non-audit services to be performed by the independent registered public accounting firm. Our audit committee will operate under a written charter that satisfies the applicable listing standards of Nasdaq.</w:t>
      </w:r>
    </w:p>
    <w:p>
      <w:pPr>
        <w:ind w:left="52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18" w:lineRule="exact"/>
        <w:rPr>
          <w:sz w:val="20"/>
          <w:szCs w:val="20"/>
          <w:color w:val="auto"/>
        </w:rPr>
      </w:pPr>
    </w:p>
    <w:p>
      <w:pPr>
        <w:ind w:right="140" w:firstLine="336"/>
        <w:spacing w:after="0" w:line="265" w:lineRule="auto"/>
        <w:rPr>
          <w:sz w:val="20"/>
          <w:szCs w:val="20"/>
          <w:color w:val="auto"/>
        </w:rPr>
      </w:pPr>
      <w:r>
        <w:rPr>
          <w:rFonts w:ascii="Arial" w:cs="Arial" w:eastAsia="Arial" w:hAnsi="Arial"/>
          <w:sz w:val="17"/>
          <w:szCs w:val="17"/>
          <w:color w:val="auto"/>
        </w:rPr>
        <w:t>Our compensation committee consists of Drs. Cohen and Seidenberg and Mr. Park. The chair of our compensation committee is Dr. Cohen. Our board of directors has determined that each of Drs. Cohen and Seidenberg and Mr. Park is independent under Nasdaq listing standards and a "non-employee director" as defined in Rule 16b-3 promulgated under the Exchange Act.</w:t>
      </w:r>
    </w:p>
    <w:p>
      <w:pPr>
        <w:spacing w:after="0" w:line="180" w:lineRule="exact"/>
        <w:rPr>
          <w:sz w:val="20"/>
          <w:szCs w:val="20"/>
          <w:color w:val="auto"/>
        </w:rPr>
      </w:pPr>
    </w:p>
    <w:p>
      <w:pPr>
        <w:ind w:firstLine="333"/>
        <w:spacing w:after="0" w:line="265" w:lineRule="auto"/>
        <w:rPr>
          <w:sz w:val="20"/>
          <w:szCs w:val="20"/>
          <w:color w:val="auto"/>
        </w:rPr>
      </w:pPr>
      <w:r>
        <w:rPr>
          <w:rFonts w:ascii="Arial" w:cs="Arial" w:eastAsia="Arial" w:hAnsi="Arial"/>
          <w:sz w:val="17"/>
          <w:szCs w:val="17"/>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93" w:lineRule="exact"/>
        <w:rPr>
          <w:sz w:val="20"/>
          <w:szCs w:val="20"/>
          <w:color w:val="auto"/>
        </w:rPr>
      </w:pPr>
    </w:p>
    <w:p>
      <w:pPr>
        <w:ind w:left="1040" w:hanging="519"/>
        <w:spacing w:after="0"/>
        <w:tabs>
          <w:tab w:leader="none" w:pos="10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and approving the compensation of our chief executive officer, other executive officers and senior management;</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evaluating and recommending to our board of directors succession plans for our executive officers;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compensation paid to our directors;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administering our equity incentive plans and other benefits programs;</w:t>
      </w:r>
    </w:p>
    <w:p>
      <w:pPr>
        <w:spacing w:after="0" w:line="231" w:lineRule="exact"/>
        <w:rPr>
          <w:rFonts w:ascii="Arial" w:cs="Arial" w:eastAsia="Arial" w:hAnsi="Arial"/>
          <w:sz w:val="17"/>
          <w:szCs w:val="17"/>
          <w:color w:val="auto"/>
        </w:rPr>
      </w:pPr>
    </w:p>
    <w:p>
      <w:pPr>
        <w:ind w:left="1040" w:right="520" w:hanging="519"/>
        <w:spacing w:after="0" w:line="345" w:lineRule="auto"/>
        <w:tabs>
          <w:tab w:leader="none" w:pos="10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50" w:lineRule="exact"/>
        <w:rPr>
          <w:rFonts w:ascii="Arial" w:cs="Arial" w:eastAsia="Arial" w:hAnsi="Arial"/>
          <w:sz w:val="15"/>
          <w:szCs w:val="15"/>
          <w:color w:val="auto"/>
        </w:rPr>
      </w:pPr>
    </w:p>
    <w:p>
      <w:pPr>
        <w:ind w:left="340" w:right="400" w:firstLine="181"/>
        <w:spacing w:after="0" w:line="539" w:lineRule="auto"/>
        <w:tabs>
          <w:tab w:leader="none" w:pos="1038"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reviewing and establishing general policies relating to compensation and benefits of our employees, including our overall compensation philosophy. Our compensation committee will operate under a written charter that satisfies the applicable listing standards of Nasdaq.</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18" w:lineRule="exact"/>
        <w:rPr>
          <w:sz w:val="20"/>
          <w:szCs w:val="20"/>
          <w:color w:val="auto"/>
        </w:rPr>
      </w:pPr>
    </w:p>
    <w:p>
      <w:pPr>
        <w:ind w:right="100" w:firstLine="336"/>
        <w:spacing w:after="0" w:line="265" w:lineRule="auto"/>
        <w:rPr>
          <w:sz w:val="20"/>
          <w:szCs w:val="20"/>
          <w:color w:val="auto"/>
        </w:rPr>
      </w:pPr>
      <w:r>
        <w:rPr>
          <w:rFonts w:ascii="Arial" w:cs="Arial" w:eastAsia="Arial" w:hAnsi="Arial"/>
          <w:sz w:val="17"/>
          <w:szCs w:val="17"/>
          <w:color w:val="auto"/>
        </w:rPr>
        <w:t>Our nominating and corporate governance committee consists of Dr. Payson, Mr. Gordon and Ms. Scott. The chair of our nominating and corporate governance committee is Dr. Payson. Our board of directors has determined that each member of the nominating and corporate governance committee is independent under Nasdaq listing standards.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Specific responsibilities of our nominating and corporate governance committee will include:</w:t>
      </w:r>
    </w:p>
    <w:p>
      <w:pPr>
        <w:spacing w:after="0" w:line="231" w:lineRule="exact"/>
        <w:rPr>
          <w:sz w:val="20"/>
          <w:szCs w:val="20"/>
          <w:color w:val="auto"/>
        </w:rPr>
      </w:pPr>
    </w:p>
    <w:p>
      <w:pPr>
        <w:ind w:left="1040" w:right="300" w:hanging="519"/>
        <w:spacing w:after="0" w:line="276" w:lineRule="auto"/>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identifying and evaluating candidates, including the nomination of incumbent directors for reelection and nominees recommended by stockholders, to serve on our board of directors;</w:t>
      </w:r>
    </w:p>
    <w:p>
      <w:pPr>
        <w:spacing w:after="0" w:line="197" w:lineRule="exact"/>
        <w:rPr>
          <w:rFonts w:ascii="Arial" w:cs="Arial" w:eastAsia="Arial" w:hAnsi="Arial"/>
          <w:sz w:val="17"/>
          <w:szCs w:val="17"/>
          <w:color w:val="auto"/>
        </w:rPr>
      </w:pPr>
    </w:p>
    <w:p>
      <w:pPr>
        <w:ind w:left="1040" w:right="500" w:hanging="519"/>
        <w:spacing w:after="0" w:line="276" w:lineRule="auto"/>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considering and making recommendations to our board of directors regarding the composition and chairmanship of the committees of our board of directors;</w:t>
      </w:r>
    </w:p>
    <w:p>
      <w:pPr>
        <w:spacing w:after="0" w:line="184" w:lineRule="exact"/>
        <w:rPr>
          <w:rFonts w:ascii="Arial" w:cs="Arial" w:eastAsia="Arial" w:hAnsi="Arial"/>
          <w:sz w:val="17"/>
          <w:szCs w:val="17"/>
          <w:color w:val="auto"/>
        </w:rPr>
      </w:pPr>
    </w:p>
    <w:p>
      <w:pPr>
        <w:ind w:left="1040" w:hanging="519"/>
        <w:spacing w:after="0"/>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instituting plans or programs for the continuing education of our board of directors and orientation of new directors;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overseeing periodic evaluations of the board of directors' performance, including committees of the board of directors.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nominating and corporate governance committee will operate under a written charter that satisfies the applicable listing standards of Nasdaq.</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222" w:lineRule="exact"/>
        <w:rPr>
          <w:sz w:val="20"/>
          <w:szCs w:val="20"/>
          <w:color w:val="auto"/>
        </w:rPr>
      </w:pPr>
    </w:p>
    <w:p>
      <w:pPr>
        <w:ind w:right="40" w:firstLine="333"/>
        <w:spacing w:after="0" w:line="258" w:lineRule="auto"/>
        <w:rPr>
          <w:sz w:val="20"/>
          <w:szCs w:val="20"/>
          <w:color w:val="auto"/>
        </w:rPr>
      </w:pPr>
      <w:r>
        <w:rPr>
          <w:rFonts w:ascii="Arial" w:cs="Arial" w:eastAsia="Arial" w:hAnsi="Arial"/>
          <w:sz w:val="17"/>
          <w:szCs w:val="17"/>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www.progyny.com.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2" w:lineRule="exact"/>
        <w:rPr>
          <w:sz w:val="20"/>
          <w:szCs w:val="20"/>
          <w:color w:val="auto"/>
        </w:rPr>
      </w:pPr>
    </w:p>
    <w:p>
      <w:pPr>
        <w:jc w:val="both"/>
        <w:ind w:right="440" w:firstLine="336"/>
        <w:spacing w:after="0" w:line="265" w:lineRule="auto"/>
        <w:rPr>
          <w:sz w:val="20"/>
          <w:szCs w:val="20"/>
          <w:color w:val="auto"/>
        </w:rPr>
      </w:pPr>
      <w:r>
        <w:rPr>
          <w:rFonts w:ascii="Arial" w:cs="Arial" w:eastAsia="Arial" w:hAnsi="Arial"/>
          <w:sz w:val="17"/>
          <w:szCs w:val="17"/>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222" w:lineRule="exact"/>
        <w:rPr>
          <w:sz w:val="20"/>
          <w:szCs w:val="20"/>
          <w:color w:val="auto"/>
        </w:rPr>
      </w:pPr>
    </w:p>
    <w:p>
      <w:pPr>
        <w:jc w:val="both"/>
        <w:ind w:firstLine="336"/>
        <w:spacing w:after="0" w:line="307" w:lineRule="auto"/>
        <w:rPr>
          <w:sz w:val="20"/>
          <w:szCs w:val="20"/>
          <w:color w:val="auto"/>
        </w:rPr>
      </w:pPr>
      <w:r>
        <w:rPr>
          <w:rFonts w:ascii="Arial" w:cs="Arial" w:eastAsia="Arial" w:hAnsi="Arial"/>
          <w:sz w:val="15"/>
          <w:szCs w:val="15"/>
          <w:color w:val="auto"/>
        </w:rPr>
        <w:t>Our board of directors has adopted a non-employee director compensation policy, effective as of June 2019, which is designed to enable us to attract and retain, on a long-term basis, highly qualified non-employee directors. Previously, we did not pay compensation to any of our non-employee directors for their service on our board of directors. Under the policy, each non-employee director will be paid cash compensation from and after the completion of this offering, as set forth below. All amounts for service as a chairperson of the board of directors or a committee thereof are in addition to the amount for service as a member of our board of directors.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460" w:type="dxa"/>
            <w:vAlign w:val="bottom"/>
            <w:gridSpan w:val="2"/>
          </w:tcPr>
          <w:p>
            <w:pPr>
              <w:jc w:val="center"/>
              <w:ind w:right="1700"/>
              <w:spacing w:after="0"/>
              <w:rPr>
                <w:sz w:val="20"/>
                <w:szCs w:val="20"/>
                <w:color w:val="auto"/>
              </w:rPr>
            </w:pPr>
            <w:r>
              <w:rPr>
                <w:rFonts w:ascii="Arial" w:cs="Arial" w:eastAsia="Arial" w:hAnsi="Arial"/>
                <w:sz w:val="13"/>
                <w:szCs w:val="13"/>
                <w:b w:val="1"/>
                <w:bCs w:val="1"/>
                <w:color w:val="auto"/>
                <w:w w:val="90"/>
              </w:rPr>
              <w:t>Annual</w:t>
            </w: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86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3380" w:type="dxa"/>
            <w:vAlign w:val="bottom"/>
          </w:tcPr>
          <w:p>
            <w:pPr>
              <w:spacing w:after="0"/>
              <w:rPr>
                <w:sz w:val="13"/>
                <w:szCs w:val="13"/>
                <w:color w:val="auto"/>
              </w:rPr>
            </w:pPr>
          </w:p>
        </w:tc>
        <w:tc>
          <w:tcPr>
            <w:tcW w:w="2460" w:type="dxa"/>
            <w:vAlign w:val="bottom"/>
            <w:gridSpan w:val="2"/>
          </w:tcPr>
          <w:p>
            <w:pPr>
              <w:jc w:val="center"/>
              <w:ind w:right="1720"/>
              <w:spacing w:after="0"/>
              <w:rPr>
                <w:sz w:val="20"/>
                <w:szCs w:val="20"/>
                <w:color w:val="auto"/>
              </w:rPr>
            </w:pPr>
            <w:r>
              <w:rPr>
                <w:rFonts w:ascii="Arial" w:cs="Arial" w:eastAsia="Arial" w:hAnsi="Arial"/>
                <w:sz w:val="13"/>
                <w:szCs w:val="13"/>
                <w:b w:val="1"/>
                <w:bCs w:val="1"/>
                <w:color w:val="auto"/>
                <w:w w:val="92"/>
              </w:rPr>
              <w:t xml:space="preserve">Retainer </w:t>
            </w:r>
            <w:r>
              <w:rPr>
                <w:rFonts w:ascii="Arial" w:cs="Arial" w:eastAsia="Arial" w:hAnsi="Arial"/>
                <w:sz w:val="13"/>
                <w:szCs w:val="13"/>
                <w:b w:val="1"/>
                <w:bCs w:val="1"/>
                <w:u w:val="single" w:color="auto"/>
                <w:color w:val="auto"/>
                <w:w w:val="92"/>
              </w:rPr>
              <w:t>($</w:t>
            </w:r>
            <w:r>
              <w:rPr>
                <w:rFonts w:ascii="Arial" w:cs="Arial" w:eastAsia="Arial" w:hAnsi="Arial"/>
                <w:sz w:val="13"/>
                <w:szCs w:val="13"/>
                <w:b w:val="1"/>
                <w:bCs w:val="1"/>
                <w:color w:val="auto"/>
                <w:w w:val="92"/>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Board of Directors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Board of Directors Chair</w:t>
            </w:r>
          </w:p>
        </w:tc>
        <w:tc>
          <w:tcPr>
            <w:tcW w:w="4120" w:type="dxa"/>
            <w:vAlign w:val="bottom"/>
            <w:gridSpan w:val="2"/>
          </w:tcPr>
          <w:p>
            <w:pPr>
              <w:jc w:val="right"/>
              <w:spacing w:after="0"/>
              <w:rPr>
                <w:sz w:val="20"/>
                <w:szCs w:val="20"/>
                <w:color w:val="auto"/>
              </w:rPr>
            </w:pPr>
            <w:r>
              <w:rPr>
                <w:rFonts w:ascii="Arial" w:cs="Arial" w:eastAsia="Arial" w:hAnsi="Arial"/>
                <w:sz w:val="17"/>
                <w:szCs w:val="17"/>
                <w:color w:val="auto"/>
              </w:rPr>
              <w:t>25,000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Committee Chair</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Compensation Committee Chair</w:t>
            </w:r>
          </w:p>
        </w:tc>
        <w:tc>
          <w:tcPr>
            <w:tcW w:w="41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9"/>
              </w:rPr>
              <w:t>Nominating and Corporate Governance Committee Chair</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380" w:type="dxa"/>
            <w:vAlign w:val="bottom"/>
          </w:tcPr>
          <w:p>
            <w:pPr>
              <w:jc w:val="right"/>
              <w:ind w:right="3036"/>
              <w:spacing w:after="0"/>
              <w:rPr>
                <w:sz w:val="20"/>
                <w:szCs w:val="20"/>
                <w:color w:val="auto"/>
              </w:rPr>
            </w:pPr>
            <w:r>
              <w:rPr>
                <w:rFonts w:ascii="Arial" w:cs="Arial" w:eastAsia="Arial" w:hAnsi="Arial"/>
                <w:sz w:val="17"/>
                <w:szCs w:val="17"/>
                <w:color w:val="auto"/>
                <w:w w:val="84"/>
              </w:rPr>
              <w:t>117</w:t>
            </w: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3420" w:type="dxa"/>
            <w:vAlign w:val="bottom"/>
            <w:tcBorders>
              <w:bottom w:val="single" w:sz="8" w:color="808080"/>
            </w:tcBorders>
          </w:tcPr>
          <w:p>
            <w:pPr>
              <w:spacing w:after="0"/>
              <w:rPr>
                <w:sz w:val="18"/>
                <w:szCs w:val="18"/>
                <w:color w:val="auto"/>
              </w:rPr>
            </w:pPr>
          </w:p>
        </w:tc>
        <w:tc>
          <w:tcPr>
            <w:tcW w:w="33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jc w:val="both"/>
        <w:ind w:firstLine="336"/>
        <w:spacing w:after="0" w:line="265" w:lineRule="auto"/>
        <w:rPr>
          <w:sz w:val="20"/>
          <w:szCs w:val="20"/>
          <w:color w:val="auto"/>
        </w:rPr>
      </w:pPr>
      <w:r>
        <w:rPr>
          <w:rFonts w:ascii="Arial" w:cs="Arial" w:eastAsia="Arial" w:hAnsi="Arial"/>
          <w:sz w:val="17"/>
          <w:szCs w:val="17"/>
          <w:color w:val="auto"/>
        </w:rPr>
        <w:t>In addition, each of our non-employee directors will receive an initial option grant in the amounts set forth below upon their election or appointment to our board of directors. All amounts for service as a chairperson of the board of directors or a committee thereof are in addition to the amount for service as a member of our board of directors.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55"/>
        </w:trPr>
        <w:tc>
          <w:tcPr>
            <w:tcW w:w="72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Initial Grant</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Board of Directors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00" w:type="dxa"/>
            <w:vAlign w:val="bottom"/>
            <w:gridSpan w:val="2"/>
          </w:tcPr>
          <w:p>
            <w:pPr>
              <w:spacing w:after="0"/>
              <w:rPr>
                <w:sz w:val="20"/>
                <w:szCs w:val="20"/>
                <w:color w:val="auto"/>
              </w:rPr>
            </w:pPr>
            <w:r>
              <w:rPr>
                <w:rFonts w:ascii="Arial" w:cs="Arial" w:eastAsia="Arial" w:hAnsi="Arial"/>
                <w:sz w:val="17"/>
                <w:szCs w:val="17"/>
                <w:color w:val="auto"/>
              </w:rPr>
              <w:t>Board of Director Chair</w:t>
            </w:r>
          </w:p>
        </w:tc>
        <w:tc>
          <w:tcPr>
            <w:tcW w:w="780" w:type="dxa"/>
            <w:vAlign w:val="bottom"/>
          </w:tcPr>
          <w:p>
            <w:pPr>
              <w:jc w:val="right"/>
              <w:spacing w:after="0"/>
              <w:rPr>
                <w:sz w:val="20"/>
                <w:szCs w:val="20"/>
                <w:color w:val="auto"/>
              </w:rPr>
            </w:pPr>
            <w:r>
              <w:rPr>
                <w:rFonts w:ascii="Arial" w:cs="Arial" w:eastAsia="Arial" w:hAnsi="Arial"/>
                <w:sz w:val="17"/>
                <w:szCs w:val="17"/>
                <w:color w:val="auto"/>
              </w:rPr>
              <w:t>8,800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Committee Chair</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00" w:type="dxa"/>
            <w:vAlign w:val="bottom"/>
            <w:gridSpan w:val="2"/>
          </w:tcPr>
          <w:p>
            <w:pPr>
              <w:spacing w:after="0"/>
              <w:rPr>
                <w:sz w:val="20"/>
                <w:szCs w:val="20"/>
                <w:color w:val="auto"/>
              </w:rPr>
            </w:pPr>
            <w:r>
              <w:rPr>
                <w:rFonts w:ascii="Arial" w:cs="Arial" w:eastAsia="Arial" w:hAnsi="Arial"/>
                <w:sz w:val="17"/>
                <w:szCs w:val="17"/>
                <w:color w:val="auto"/>
              </w:rPr>
              <w:t>Compensation Committee Chair</w:t>
            </w:r>
          </w:p>
        </w:tc>
        <w:tc>
          <w:tcPr>
            <w:tcW w:w="780" w:type="dxa"/>
            <w:vAlign w:val="bottom"/>
          </w:tcPr>
          <w:p>
            <w:pPr>
              <w:jc w:val="right"/>
              <w:spacing w:after="0"/>
              <w:rPr>
                <w:sz w:val="20"/>
                <w:szCs w:val="20"/>
                <w:color w:val="auto"/>
              </w:rPr>
            </w:pPr>
            <w:r>
              <w:rPr>
                <w:rFonts w:ascii="Arial" w:cs="Arial" w:eastAsia="Arial" w:hAnsi="Arial"/>
                <w:sz w:val="17"/>
                <w:szCs w:val="17"/>
                <w:color w:val="auto"/>
              </w:rPr>
              <w:t>4,400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Nominating and Corporate Goveranance Committee Chair</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336"/>
        <w:spacing w:after="0" w:line="307" w:lineRule="auto"/>
        <w:rPr>
          <w:sz w:val="20"/>
          <w:szCs w:val="20"/>
          <w:color w:val="auto"/>
        </w:rPr>
      </w:pPr>
      <w:r>
        <w:rPr>
          <w:rFonts w:ascii="Arial" w:cs="Arial" w:eastAsia="Arial" w:hAnsi="Arial"/>
          <w:sz w:val="15"/>
          <w:szCs w:val="15"/>
          <w:color w:val="auto"/>
        </w:rPr>
        <w:t>For any director elected prior to the completion of this offering, 25% of the shares underlying this option will vest on the first anniversary of the completion of the offering, with the remaining shares vesting in 36 equal monthly installments thereafter. For any director elected after the completion of this offering, 25% of the shares underlying this option will vest on the first anniversary of the grant date, with the remaining shares vesting in 36 equal monthly installments thereafter. All vesting of equity awards under our non-employee director compensation policy is subject to the director's continuous service as of each applicable vesting date.</w:t>
      </w:r>
    </w:p>
    <w:p>
      <w:pPr>
        <w:spacing w:after="0" w:line="152" w:lineRule="exact"/>
        <w:rPr>
          <w:sz w:val="20"/>
          <w:szCs w:val="20"/>
          <w:color w:val="auto"/>
        </w:rPr>
      </w:pPr>
    </w:p>
    <w:p>
      <w:pPr>
        <w:ind w:firstLine="336"/>
        <w:spacing w:after="0" w:line="282" w:lineRule="auto"/>
        <w:rPr>
          <w:sz w:val="20"/>
          <w:szCs w:val="20"/>
          <w:color w:val="auto"/>
        </w:rPr>
      </w:pPr>
      <w:r>
        <w:rPr>
          <w:rFonts w:ascii="Arial" w:cs="Arial" w:eastAsia="Arial" w:hAnsi="Arial"/>
          <w:sz w:val="16"/>
          <w:szCs w:val="16"/>
          <w:color w:val="auto"/>
        </w:rPr>
        <w:t>In accordance with the above policy, on June 4, 2019, we granted options to purchase 48,400, 52,800, and 44,000 shares to Fred Cohen, M.D., D.Phil., Beth Seidenberg, M.D. and Simeon George, M.D., respectively, each at an exercise price of $3.96 per share. In addition, on the effective date of the registration statement of which this prospectus forms a part, we issued options to purchase 44,000, 50,600 and 44,000 shares to Kevin Gordon, Jeff Park and Cheryl Scott, respectively, each at an exercise price equal to the initial public offering price of $13.00 per share set forth on the cover page of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2" w:lineRule="exact"/>
        <w:rPr>
          <w:sz w:val="20"/>
          <w:szCs w:val="20"/>
          <w:color w:val="auto"/>
        </w:rPr>
      </w:pPr>
    </w:p>
    <w:p>
      <w:pPr>
        <w:ind w:right="100" w:firstLine="336"/>
        <w:spacing w:after="0" w:line="276" w:lineRule="auto"/>
        <w:rPr>
          <w:sz w:val="20"/>
          <w:szCs w:val="20"/>
          <w:color w:val="auto"/>
        </w:rPr>
      </w:pPr>
      <w:r>
        <w:rPr>
          <w:rFonts w:ascii="Arial" w:cs="Arial" w:eastAsia="Arial" w:hAnsi="Arial"/>
          <w:sz w:val="17"/>
          <w:szCs w:val="17"/>
          <w:color w:val="auto"/>
        </w:rPr>
        <w:t>Our named executive officers, consisting of our principal executive officer and the next two most highly compensated executive officers, as of December 31, 2018, were:</w:t>
      </w:r>
    </w:p>
    <w:p>
      <w:pPr>
        <w:spacing w:after="0" w:line="184" w:lineRule="exact"/>
        <w:rPr>
          <w:sz w:val="20"/>
          <w:szCs w:val="20"/>
          <w:color w:val="auto"/>
        </w:rPr>
      </w:pPr>
    </w:p>
    <w:p>
      <w:pPr>
        <w:ind w:left="1040" w:hanging="519"/>
        <w:spacing w:after="0"/>
        <w:tabs>
          <w:tab w:leader="none" w:pos="10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David Schlanger, our Chief Executive Officer;</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Peter Anevski, our President, Chief Financial &amp; Operating Officer; and</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Karin Ajmani, our Executive Vice President, Chief of Strategic Development.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Summary Compensation Table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all of the compensation awarded to or earned by or paid to our named executive officers for the year ended December 31, 2018.</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All Other</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260"/>
              <w:spacing w:after="0"/>
              <w:rPr>
                <w:sz w:val="20"/>
                <w:szCs w:val="20"/>
                <w:color w:val="auto"/>
              </w:rPr>
            </w:pPr>
            <w:r>
              <w:rPr>
                <w:rFonts w:ascii="Arial" w:cs="Arial" w:eastAsia="Arial" w:hAnsi="Arial"/>
                <w:sz w:val="13"/>
                <w:szCs w:val="13"/>
                <w:b w:val="1"/>
                <w:bCs w:val="1"/>
                <w:color w:val="auto"/>
              </w:rPr>
              <w:t>Salary</w:t>
            </w: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Bonus</w:t>
            </w: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Option Awards</w:t>
            </w: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Compensation</w:t>
            </w:r>
          </w:p>
        </w:tc>
        <w:tc>
          <w:tcPr>
            <w:tcW w:w="92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w:t>
            </w:r>
          </w:p>
        </w:tc>
      </w:tr>
      <w:tr>
        <w:trPr>
          <w:trHeight w:val="174"/>
        </w:trPr>
        <w:tc>
          <w:tcPr>
            <w:tcW w:w="1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Name and Principal Position</w:t>
            </w:r>
          </w:p>
        </w:tc>
        <w:tc>
          <w:tcPr>
            <w:tcW w:w="23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right"/>
              <w:ind w:right="244"/>
              <w:spacing w:after="0" w:line="17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ind w:right="224"/>
              <w:spacing w:after="0" w:line="17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2"/>
                <w:szCs w:val="12"/>
                <w:b w:val="1"/>
                <w:bCs w:val="1"/>
                <w:color w:val="auto"/>
                <w:w w:val="83"/>
              </w:rPr>
              <w:t>($)</w:t>
            </w:r>
            <w:r>
              <w:rPr>
                <w:rFonts w:ascii="Arial" w:cs="Arial" w:eastAsia="Arial" w:hAnsi="Arial"/>
                <w:sz w:val="20"/>
                <w:szCs w:val="20"/>
                <w:b w:val="1"/>
                <w:bCs w:val="1"/>
                <w:color w:val="auto"/>
                <w:w w:val="83"/>
                <w:vertAlign w:val="superscript"/>
              </w:rPr>
              <w:t>(3)</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5"/>
                <w:szCs w:val="15"/>
                <w:color w:val="auto"/>
              </w:rPr>
            </w:pPr>
          </w:p>
        </w:tc>
      </w:tr>
      <w:tr>
        <w:trPr>
          <w:trHeight w:val="200"/>
        </w:trPr>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David Schlanger</w:t>
            </w:r>
          </w:p>
        </w:tc>
        <w:tc>
          <w:tcPr>
            <w:tcW w:w="122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350,000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1,204,158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74,574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1,803,732</w:t>
            </w:r>
          </w:p>
        </w:tc>
        <w:tc>
          <w:tcPr>
            <w:tcW w:w="20" w:type="dxa"/>
            <w:vAlign w:val="bottom"/>
          </w:tcPr>
          <w:p>
            <w:pPr>
              <w:spacing w:after="0"/>
              <w:rPr>
                <w:sz w:val="17"/>
                <w:szCs w:val="17"/>
                <w:color w:val="auto"/>
              </w:rPr>
            </w:pPr>
          </w:p>
        </w:tc>
      </w:tr>
      <w:tr>
        <w:trPr>
          <w:trHeight w:val="207"/>
        </w:trPr>
        <w:tc>
          <w:tcPr>
            <w:tcW w:w="390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Chief Executive Officer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3900" w:type="dxa"/>
            <w:vAlign w:val="bottom"/>
            <w:gridSpan w:val="3"/>
          </w:tcPr>
          <w:p>
            <w:pPr>
              <w:spacing w:after="0"/>
              <w:rPr>
                <w:sz w:val="20"/>
                <w:szCs w:val="20"/>
                <w:color w:val="auto"/>
              </w:rPr>
            </w:pPr>
            <w:r>
              <w:rPr>
                <w:rFonts w:ascii="Arial" w:cs="Arial" w:eastAsia="Arial" w:hAnsi="Arial"/>
                <w:sz w:val="17"/>
                <w:szCs w:val="17"/>
                <w:color w:val="auto"/>
              </w:rPr>
              <w:t>Peter Anevski</w:t>
            </w:r>
          </w:p>
        </w:tc>
        <w:tc>
          <w:tcPr>
            <w:tcW w:w="1220" w:type="dxa"/>
            <w:vAlign w:val="bottom"/>
            <w:gridSpan w:val="3"/>
          </w:tcPr>
          <w:p>
            <w:pPr>
              <w:ind w:left="520"/>
              <w:spacing w:after="0"/>
              <w:rPr>
                <w:sz w:val="20"/>
                <w:szCs w:val="20"/>
                <w:color w:val="auto"/>
              </w:rPr>
            </w:pPr>
            <w:r>
              <w:rPr>
                <w:rFonts w:ascii="Arial" w:cs="Arial" w:eastAsia="Arial" w:hAnsi="Arial"/>
                <w:sz w:val="17"/>
                <w:szCs w:val="17"/>
                <w:color w:val="auto"/>
              </w:rPr>
              <w:t>325,000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163,000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688,090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53,698</w:t>
            </w:r>
          </w:p>
        </w:tc>
        <w:tc>
          <w:tcPr>
            <w:tcW w:w="900" w:type="dxa"/>
            <w:vAlign w:val="bottom"/>
          </w:tcPr>
          <w:p>
            <w:pPr>
              <w:jc w:val="right"/>
              <w:spacing w:after="0"/>
              <w:rPr>
                <w:sz w:val="20"/>
                <w:szCs w:val="20"/>
                <w:color w:val="auto"/>
              </w:rPr>
            </w:pPr>
            <w:r>
              <w:rPr>
                <w:rFonts w:ascii="Arial" w:cs="Arial" w:eastAsia="Arial" w:hAnsi="Arial"/>
                <w:sz w:val="17"/>
                <w:szCs w:val="17"/>
                <w:color w:val="auto"/>
              </w:rPr>
              <w:t>1,229,788</w:t>
            </w:r>
          </w:p>
        </w:tc>
        <w:tc>
          <w:tcPr>
            <w:tcW w:w="20" w:type="dxa"/>
            <w:vAlign w:val="bottom"/>
          </w:tcPr>
          <w:p>
            <w:pPr>
              <w:spacing w:after="0"/>
              <w:rPr>
                <w:sz w:val="17"/>
                <w:szCs w:val="17"/>
                <w:color w:val="auto"/>
              </w:rPr>
            </w:pPr>
          </w:p>
        </w:tc>
      </w:tr>
      <w:tr>
        <w:trPr>
          <w:trHeight w:val="214"/>
        </w:trPr>
        <w:tc>
          <w:tcPr>
            <w:tcW w:w="3900" w:type="dxa"/>
            <w:vAlign w:val="bottom"/>
            <w:gridSpan w:val="3"/>
          </w:tcPr>
          <w:p>
            <w:pPr>
              <w:ind w:left="180"/>
              <w:spacing w:after="0"/>
              <w:rPr>
                <w:sz w:val="20"/>
                <w:szCs w:val="20"/>
                <w:color w:val="auto"/>
              </w:rPr>
            </w:pPr>
            <w:r>
              <w:rPr>
                <w:rFonts w:ascii="Arial" w:cs="Arial" w:eastAsia="Arial" w:hAnsi="Arial"/>
                <w:sz w:val="17"/>
                <w:szCs w:val="17"/>
                <w:i w:val="1"/>
                <w:iCs w:val="1"/>
                <w:color w:val="auto"/>
              </w:rPr>
              <w:t>President, Chief Financial &amp; Operating Officer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Karin Ajmani</w:t>
            </w:r>
          </w:p>
        </w:tc>
        <w:tc>
          <w:tcPr>
            <w:tcW w:w="122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325,000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260,174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9,520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694,694</w:t>
            </w:r>
          </w:p>
        </w:tc>
        <w:tc>
          <w:tcPr>
            <w:tcW w:w="20" w:type="dxa"/>
            <w:vAlign w:val="bottom"/>
          </w:tcPr>
          <w:p>
            <w:pPr>
              <w:spacing w:after="0"/>
              <w:rPr>
                <w:sz w:val="18"/>
                <w:szCs w:val="18"/>
                <w:color w:val="auto"/>
              </w:rPr>
            </w:pPr>
          </w:p>
        </w:tc>
      </w:tr>
      <w:tr>
        <w:trPr>
          <w:trHeight w:val="198"/>
        </w:trPr>
        <w:tc>
          <w:tcPr>
            <w:tcW w:w="390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Executive Vice President, Chief of Strategic</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90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Development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03"/>
        </w:trPr>
        <w:tc>
          <w:tcPr>
            <w:tcW w:w="1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85" w:lineRule="exact"/>
        <w:rPr>
          <w:sz w:val="20"/>
          <w:szCs w:val="20"/>
          <w:color w:val="auto"/>
        </w:rPr>
      </w:pPr>
    </w:p>
    <w:p>
      <w:pPr>
        <w:ind w:left="1660" w:right="320" w:hanging="514"/>
        <w:spacing w:after="0" w:line="269" w:lineRule="auto"/>
        <w:tabs>
          <w:tab w:leader="none" w:pos="16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Amounts reflect merit-based discretionary bonuses. In 2018, we achieved and exceeded our company-wide financial, sales and operational performance objectives, and as a result, the Board determined to grant discretionary bonuses to certain key employees, including all of our named executive officers. These objectives included revenue, gross margin, adjusted EBITDA and sales targets, as well as operational goals related to client management and retention, member experience and our provider network.</w:t>
      </w:r>
    </w:p>
    <w:p>
      <w:pPr>
        <w:spacing w:after="0" w:line="92" w:lineRule="exact"/>
        <w:rPr>
          <w:rFonts w:ascii="Arial" w:cs="Arial" w:eastAsia="Arial" w:hAnsi="Arial"/>
          <w:sz w:val="12"/>
          <w:szCs w:val="12"/>
          <w:color w:val="auto"/>
        </w:rPr>
      </w:pPr>
    </w:p>
    <w:p>
      <w:pPr>
        <w:ind w:left="1660" w:hanging="514"/>
        <w:spacing w:after="0" w:line="269" w:lineRule="auto"/>
        <w:tabs>
          <w:tab w:leader="none" w:pos="16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Amounts reported represent the aggregate grant date fair value of stock options granted to our executive officers during 2018 under our 2017 Plan, computed in accordance with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executive officer.</w:t>
      </w:r>
    </w:p>
    <w:p>
      <w:pPr>
        <w:spacing w:after="0" w:line="92" w:lineRule="exact"/>
        <w:rPr>
          <w:rFonts w:ascii="Arial" w:cs="Arial" w:eastAsia="Arial" w:hAnsi="Arial"/>
          <w:sz w:val="12"/>
          <w:szCs w:val="12"/>
          <w:color w:val="auto"/>
        </w:rPr>
      </w:pPr>
    </w:p>
    <w:p>
      <w:pPr>
        <w:ind w:left="1660" w:right="60" w:hanging="514"/>
        <w:spacing w:after="0" w:line="269" w:lineRule="auto"/>
        <w:tabs>
          <w:tab w:leader="none" w:pos="16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Amounts include $72,000 and $48,000 in housing expenses provided to Mr. Schlanger and Mr. Anevski, respectively, pursuant to their prior employment agreements. Mr. Schlanger's prior employment agreement provided for a monthly housing allowance of $6,000 and Mr. Anevski's prior employment agreement provided for a monthly housing allowance of $4,000. The remainder of the amounts in this column include 401(k) matching contributions and group term life insurance tax reimbursements made to each of our named executive officers.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as of December 31, 2018</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regarding outstanding equity awards held by our named executive officers as of December 31, 2018.</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3"/>
                <w:szCs w:val="13"/>
                <w:b w:val="1"/>
                <w:bCs w:val="1"/>
                <w:color w:val="auto"/>
                <w:w w:val="89"/>
              </w:rPr>
              <w:t>Option Awards</w:t>
            </w:r>
            <w:r>
              <w:rPr>
                <w:rFonts w:ascii="Arial" w:cs="Arial" w:eastAsia="Arial" w:hAnsi="Arial"/>
                <w:sz w:val="21"/>
                <w:szCs w:val="21"/>
                <w:b w:val="1"/>
                <w:bCs w:val="1"/>
                <w:color w:val="auto"/>
                <w:w w:val="89"/>
                <w:vertAlign w:val="superscript"/>
              </w:rPr>
              <w:t>(1)</w:t>
            </w:r>
          </w:p>
        </w:tc>
        <w:tc>
          <w:tcPr>
            <w:tcW w:w="6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22"/>
        </w:trPr>
        <w:tc>
          <w:tcPr>
            <w:tcW w:w="3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160"/>
              <w:spacing w:after="0" w:line="123" w:lineRule="exact"/>
              <w:rPr>
                <w:sz w:val="20"/>
                <w:szCs w:val="20"/>
                <w:color w:val="auto"/>
              </w:rPr>
            </w:pPr>
            <w:r>
              <w:rPr>
                <w:rFonts w:ascii="Arial" w:cs="Arial" w:eastAsia="Arial" w:hAnsi="Arial"/>
                <w:sz w:val="13"/>
                <w:szCs w:val="13"/>
                <w:b w:val="1"/>
                <w:bCs w:val="1"/>
                <w:color w:val="auto"/>
                <w:w w:val="92"/>
              </w:rPr>
              <w:t>Number of</w:t>
            </w:r>
          </w:p>
        </w:tc>
        <w:tc>
          <w:tcPr>
            <w:tcW w:w="1700" w:type="dxa"/>
            <w:vAlign w:val="bottom"/>
            <w:gridSpan w:val="2"/>
          </w:tcPr>
          <w:p>
            <w:pPr>
              <w:jc w:val="center"/>
              <w:ind w:right="520"/>
              <w:spacing w:after="0" w:line="123" w:lineRule="exact"/>
              <w:rPr>
                <w:sz w:val="20"/>
                <w:szCs w:val="20"/>
                <w:color w:val="auto"/>
              </w:rPr>
            </w:pPr>
            <w:r>
              <w:rPr>
                <w:rFonts w:ascii="Arial" w:cs="Arial" w:eastAsia="Arial" w:hAnsi="Arial"/>
                <w:sz w:val="13"/>
                <w:szCs w:val="13"/>
                <w:b w:val="1"/>
                <w:bCs w:val="1"/>
                <w:color w:val="auto"/>
                <w:w w:val="89"/>
              </w:rPr>
              <w:t>Number of</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2"/>
        </w:trPr>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6"/>
              </w:rPr>
              <w:t>Securities</w:t>
            </w:r>
          </w:p>
        </w:tc>
        <w:tc>
          <w:tcPr>
            <w:tcW w:w="170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86"/>
              </w:rPr>
              <w:t>Securities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1"/>
              </w:rPr>
              <w:t>Underlying</w:t>
            </w:r>
          </w:p>
        </w:tc>
        <w:tc>
          <w:tcPr>
            <w:tcW w:w="170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91"/>
              </w:rPr>
              <w:t>Underlying</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5"/>
              </w:rPr>
              <w:t>Unexercised</w:t>
            </w:r>
          </w:p>
        </w:tc>
        <w:tc>
          <w:tcPr>
            <w:tcW w:w="170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85"/>
              </w:rPr>
              <w:t>Unexercised</w:t>
            </w:r>
          </w:p>
        </w:tc>
        <w:tc>
          <w:tcPr>
            <w:tcW w:w="780" w:type="dxa"/>
            <w:vAlign w:val="bottom"/>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rPr>
              <w:t>Option</w:t>
            </w:r>
          </w:p>
        </w:tc>
        <w:tc>
          <w:tcPr>
            <w:tcW w:w="96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0"/>
              </w:rPr>
              <w:t>Option</w:t>
            </w:r>
          </w:p>
        </w:tc>
      </w:tr>
      <w:tr>
        <w:trPr>
          <w:trHeight w:val="142"/>
        </w:trPr>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9"/>
              </w:rPr>
              <w:t>Options</w:t>
            </w:r>
          </w:p>
        </w:tc>
        <w:tc>
          <w:tcPr>
            <w:tcW w:w="170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85"/>
              </w:rPr>
              <w:t>Options</w:t>
            </w:r>
          </w:p>
        </w:tc>
        <w:tc>
          <w:tcPr>
            <w:tcW w:w="780" w:type="dxa"/>
            <w:vAlign w:val="bottom"/>
            <w:gridSpan w:val="2"/>
          </w:tcPr>
          <w:p>
            <w:pPr>
              <w:jc w:val="right"/>
              <w:ind w:right="240"/>
              <w:spacing w:after="0" w:line="143" w:lineRule="exact"/>
              <w:rPr>
                <w:sz w:val="20"/>
                <w:szCs w:val="20"/>
                <w:color w:val="auto"/>
              </w:rPr>
            </w:pPr>
            <w:r>
              <w:rPr>
                <w:rFonts w:ascii="Arial" w:cs="Arial" w:eastAsia="Arial" w:hAnsi="Arial"/>
                <w:sz w:val="13"/>
                <w:szCs w:val="13"/>
                <w:b w:val="1"/>
                <w:bCs w:val="1"/>
                <w:color w:val="auto"/>
                <w:w w:val="97"/>
              </w:rPr>
              <w:t>Exercise</w:t>
            </w: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4"/>
              </w:rPr>
              <w:t>Expiration</w:t>
            </w:r>
          </w:p>
        </w:tc>
      </w:tr>
      <w:tr>
        <w:trPr>
          <w:trHeight w:val="155"/>
        </w:trPr>
        <w:tc>
          <w:tcPr>
            <w:tcW w:w="346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Grant Date</w:t>
            </w: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Exercisable (#)</w:t>
            </w:r>
          </w:p>
        </w:tc>
        <w:tc>
          <w:tcPr>
            <w:tcW w:w="17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7"/>
              </w:rPr>
              <w:t>Unexercisable (#)</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Price ($)</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r>
      <w:tr>
        <w:trPr>
          <w:trHeight w:val="20"/>
        </w:trPr>
        <w:tc>
          <w:tcPr>
            <w:tcW w:w="3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3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David Schlanger</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8/4/2017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2,862,735</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3,111,668</w:t>
            </w:r>
            <w:r>
              <w:rPr>
                <w:rFonts w:ascii="Arial" w:cs="Arial" w:eastAsia="Arial" w:hAnsi="Arial"/>
                <w:sz w:val="14"/>
                <w:szCs w:val="14"/>
                <w:color w:val="auto"/>
              </w:rPr>
              <w:t>(2)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0.91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8/3/2027</w:t>
            </w:r>
          </w:p>
        </w:tc>
      </w:tr>
      <w:tr>
        <w:trPr>
          <w:trHeight w:val="207"/>
        </w:trPr>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8/17/2018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97,172</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105,621</w:t>
            </w:r>
            <w:r>
              <w:rPr>
                <w:rFonts w:ascii="Arial" w:cs="Arial" w:eastAsia="Arial" w:hAnsi="Arial"/>
                <w:sz w:val="14"/>
                <w:szCs w:val="14"/>
                <w:color w:val="auto"/>
              </w:rPr>
              <w:t>(2)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8/16/2028</w:t>
            </w:r>
          </w:p>
        </w:tc>
      </w:tr>
      <w:tr>
        <w:trPr>
          <w:trHeight w:val="198"/>
        </w:trPr>
        <w:tc>
          <w:tcPr>
            <w:tcW w:w="3460" w:type="dxa"/>
            <w:vAlign w:val="bottom"/>
            <w:gridSpan w:val="3"/>
          </w:tcPr>
          <w:p>
            <w:pPr>
              <w:spacing w:after="0"/>
              <w:rPr>
                <w:sz w:val="20"/>
                <w:szCs w:val="20"/>
                <w:color w:val="auto"/>
              </w:rPr>
            </w:pPr>
            <w:r>
              <w:rPr>
                <w:rFonts w:ascii="Arial" w:cs="Arial" w:eastAsia="Arial" w:hAnsi="Arial"/>
                <w:sz w:val="17"/>
                <w:szCs w:val="17"/>
                <w:color w:val="auto"/>
              </w:rPr>
              <w:t>Peter Anevski</w:t>
            </w:r>
          </w:p>
        </w:tc>
        <w:tc>
          <w:tcPr>
            <w:tcW w:w="1100" w:type="dxa"/>
            <w:vAlign w:val="bottom"/>
            <w:gridSpan w:val="3"/>
          </w:tcPr>
          <w:p>
            <w:pPr>
              <w:jc w:val="right"/>
              <w:ind w:right="140"/>
              <w:spacing w:after="0"/>
              <w:rPr>
                <w:sz w:val="20"/>
                <w:szCs w:val="20"/>
                <w:color w:val="auto"/>
              </w:rPr>
            </w:pPr>
            <w:r>
              <w:rPr>
                <w:rFonts w:ascii="Arial" w:cs="Arial" w:eastAsia="Arial" w:hAnsi="Arial"/>
                <w:sz w:val="17"/>
                <w:szCs w:val="17"/>
                <w:color w:val="auto"/>
              </w:rPr>
              <w:t>8/4/2017</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1,635,848</w:t>
            </w:r>
          </w:p>
        </w:tc>
        <w:tc>
          <w:tcPr>
            <w:tcW w:w="1700" w:type="dxa"/>
            <w:vAlign w:val="bottom"/>
            <w:gridSpan w:val="2"/>
          </w:tcPr>
          <w:p>
            <w:pPr>
              <w:jc w:val="right"/>
              <w:ind w:right="360"/>
              <w:spacing w:after="0"/>
              <w:rPr>
                <w:sz w:val="20"/>
                <w:szCs w:val="20"/>
                <w:color w:val="auto"/>
              </w:rPr>
            </w:pPr>
            <w:r>
              <w:rPr>
                <w:rFonts w:ascii="Arial" w:cs="Arial" w:eastAsia="Arial" w:hAnsi="Arial"/>
                <w:sz w:val="17"/>
                <w:szCs w:val="17"/>
                <w:color w:val="auto"/>
              </w:rPr>
              <w:t>1,778,096</w:t>
            </w:r>
            <w:r>
              <w:rPr>
                <w:rFonts w:ascii="Arial" w:cs="Arial" w:eastAsia="Arial" w:hAnsi="Arial"/>
                <w:sz w:val="14"/>
                <w:szCs w:val="14"/>
                <w:color w:val="auto"/>
              </w:rPr>
              <w:t>(2)</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0.91</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8/3/2027</w:t>
            </w:r>
          </w:p>
        </w:tc>
      </w:tr>
      <w:tr>
        <w:trPr>
          <w:trHeight w:val="215"/>
        </w:trPr>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7"/>
                <w:szCs w:val="17"/>
                <w:color w:val="auto"/>
              </w:rPr>
              <w:t>8/17/2018</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55,526</w:t>
            </w:r>
          </w:p>
        </w:tc>
        <w:tc>
          <w:tcPr>
            <w:tcW w:w="1700" w:type="dxa"/>
            <w:vAlign w:val="bottom"/>
            <w:gridSpan w:val="2"/>
          </w:tcPr>
          <w:p>
            <w:pPr>
              <w:jc w:val="right"/>
              <w:ind w:right="360"/>
              <w:spacing w:after="0"/>
              <w:rPr>
                <w:sz w:val="20"/>
                <w:szCs w:val="20"/>
                <w:color w:val="auto"/>
              </w:rPr>
            </w:pPr>
            <w:r>
              <w:rPr>
                <w:rFonts w:ascii="Arial" w:cs="Arial" w:eastAsia="Arial" w:hAnsi="Arial"/>
                <w:sz w:val="17"/>
                <w:szCs w:val="17"/>
                <w:color w:val="auto"/>
              </w:rPr>
              <w:t>60,355</w:t>
            </w:r>
            <w:r>
              <w:rPr>
                <w:rFonts w:ascii="Arial" w:cs="Arial" w:eastAsia="Arial" w:hAnsi="Arial"/>
                <w:sz w:val="14"/>
                <w:szCs w:val="14"/>
                <w:color w:val="auto"/>
              </w:rPr>
              <w:t>(2)</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1.50</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8/16/2028</w:t>
            </w:r>
          </w:p>
        </w:tc>
      </w:tr>
      <w:tr>
        <w:trPr>
          <w:trHeight w:val="208"/>
        </w:trPr>
        <w:tc>
          <w:tcPr>
            <w:tcW w:w="3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Karin Ajmani</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9/16/2015</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586,303</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100,100</w:t>
            </w:r>
            <w:r>
              <w:rPr>
                <w:rFonts w:ascii="Arial" w:cs="Arial" w:eastAsia="Arial" w:hAnsi="Arial"/>
                <w:sz w:val="14"/>
                <w:szCs w:val="14"/>
                <w:color w:val="auto"/>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9/15/2025</w:t>
            </w:r>
          </w:p>
        </w:tc>
      </w:tr>
      <w:tr>
        <w:trPr>
          <w:trHeight w:val="207"/>
        </w:trPr>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11/3/2016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312,315</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11/2/2026</w:t>
            </w:r>
          </w:p>
        </w:tc>
      </w:tr>
      <w:tr>
        <w:trPr>
          <w:trHeight w:val="207"/>
        </w:trPr>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8/4/2017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430,473</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602,662</w:t>
            </w:r>
            <w:r>
              <w:rPr>
                <w:rFonts w:ascii="Arial" w:cs="Arial" w:eastAsia="Arial" w:hAnsi="Arial"/>
                <w:sz w:val="14"/>
                <w:szCs w:val="14"/>
                <w:color w:val="auto"/>
              </w:rPr>
              <w:t>(4)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0.91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8/3/2027</w:t>
            </w:r>
          </w:p>
        </w:tc>
      </w:tr>
      <w:tr>
        <w:trPr>
          <w:trHeight w:val="103"/>
        </w:trPr>
        <w:tc>
          <w:tcPr>
            <w:tcW w:w="3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5" w:lineRule="exact"/>
        <w:rPr>
          <w:sz w:val="20"/>
          <w:szCs w:val="20"/>
          <w:color w:val="auto"/>
        </w:rPr>
      </w:pPr>
    </w:p>
    <w:p>
      <w:pPr>
        <w:ind w:left="1660" w:right="140" w:hanging="514"/>
        <w:spacing w:after="0" w:line="250" w:lineRule="auto"/>
        <w:tabs>
          <w:tab w:leader="none" w:pos="1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All of the option awards listed in the table above were granted under the 2017 Plan, other than options granted to Ms. Ajmani in 2015 and 2016, which were granted under the 2008 Plan. The terms of both plans are described below under "—Equity Incentive Plans."</w:t>
      </w:r>
    </w:p>
    <w:p>
      <w:pPr>
        <w:spacing w:after="0" w:line="102" w:lineRule="exact"/>
        <w:rPr>
          <w:rFonts w:ascii="Arial" w:cs="Arial" w:eastAsia="Arial" w:hAnsi="Arial"/>
          <w:sz w:val="13"/>
          <w:szCs w:val="13"/>
          <w:color w:val="auto"/>
        </w:rPr>
      </w:pPr>
    </w:p>
    <w:p>
      <w:pPr>
        <w:ind w:left="1660" w:hanging="514"/>
        <w:spacing w:after="0"/>
        <w:tabs>
          <w:tab w:leader="none" w:pos="1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These options vested 25% on January 16, 2018 with the remaining 75% vesting in equal monthly installments over the next three years.</w:t>
      </w:r>
    </w:p>
    <w:p>
      <w:pPr>
        <w:spacing w:after="0" w:line="122" w:lineRule="exact"/>
        <w:rPr>
          <w:rFonts w:ascii="Arial" w:cs="Arial" w:eastAsia="Arial" w:hAnsi="Arial"/>
          <w:sz w:val="13"/>
          <w:szCs w:val="13"/>
          <w:color w:val="auto"/>
        </w:rPr>
      </w:pPr>
    </w:p>
    <w:p>
      <w:pPr>
        <w:ind w:left="1660" w:hanging="514"/>
        <w:spacing w:after="0"/>
        <w:tabs>
          <w:tab w:leader="none" w:pos="1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These options vested 25% on July 1, 2016 with the remaining 75% vesting in equal monthly installments over the next three years.</w:t>
      </w:r>
    </w:p>
    <w:p>
      <w:pPr>
        <w:spacing w:after="0" w:line="122" w:lineRule="exact"/>
        <w:rPr>
          <w:rFonts w:ascii="Arial" w:cs="Arial" w:eastAsia="Arial" w:hAnsi="Arial"/>
          <w:sz w:val="13"/>
          <w:szCs w:val="13"/>
          <w:color w:val="auto"/>
        </w:rPr>
      </w:pPr>
    </w:p>
    <w:p>
      <w:pPr>
        <w:ind w:left="1660" w:hanging="514"/>
        <w:spacing w:after="0"/>
        <w:tabs>
          <w:tab w:leader="none" w:pos="1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These options vested 25% on April 1, 2018 with the remaining 75% vesting in equal monthly installments over the next three years.</w:t>
      </w:r>
    </w:p>
    <w:p>
      <w:pPr>
        <w:spacing w:after="0" w:line="200" w:lineRule="exact"/>
        <w:rPr>
          <w:sz w:val="20"/>
          <w:szCs w:val="20"/>
          <w:color w:val="auto"/>
        </w:rPr>
      </w:pPr>
    </w:p>
    <w:p>
      <w:pPr>
        <w:ind w:right="40" w:firstLine="336"/>
        <w:spacing w:after="0" w:line="289" w:lineRule="auto"/>
        <w:rPr>
          <w:sz w:val="20"/>
          <w:szCs w:val="20"/>
          <w:color w:val="auto"/>
        </w:rPr>
      </w:pPr>
      <w:r>
        <w:rPr>
          <w:rFonts w:ascii="Arial" w:cs="Arial" w:eastAsia="Arial" w:hAnsi="Arial"/>
          <w:sz w:val="16"/>
          <w:szCs w:val="16"/>
          <w:color w:val="auto"/>
        </w:rPr>
        <w:t>In addition to the outstanding equity grants listed in the table above, on May 24, 2019, we issued options to purchase 1,870,022, 1,705,020 and 165,001 shares of common stock to Mr. Schlanger, Mr. Anevski and Ms. Ajmani, respectively, each at an exercise price of $3.96 per share. These options were granted under the 2017 Plan and vest 25% on May 24, 2020 with the remaining 75% vesting in equal monthly installments over the next three years.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w:t>
      </w:r>
    </w:p>
    <w:p>
      <w:pPr>
        <w:spacing w:after="0" w:line="222" w:lineRule="exact"/>
        <w:rPr>
          <w:sz w:val="20"/>
          <w:szCs w:val="20"/>
          <w:color w:val="auto"/>
        </w:rPr>
      </w:pPr>
    </w:p>
    <w:p>
      <w:pPr>
        <w:ind w:firstLine="333"/>
        <w:spacing w:after="0" w:line="265" w:lineRule="auto"/>
        <w:rPr>
          <w:sz w:val="20"/>
          <w:szCs w:val="20"/>
          <w:color w:val="auto"/>
        </w:rPr>
      </w:pPr>
      <w:r>
        <w:rPr>
          <w:rFonts w:ascii="Arial" w:cs="Arial" w:eastAsia="Arial" w:hAnsi="Arial"/>
          <w:sz w:val="17"/>
          <w:szCs w:val="17"/>
          <w:color w:val="auto"/>
        </w:rPr>
        <w:t>We have entered into employment arrangements with each of our named executive officers. The arrangements generally provide for at-will employment without any specific term and set forth the named executive officer's initial base salary, bonus potential, eligibility for employee benefits and severance benefits upon a qualifying termination of employment, subject to such employee executing a separation agreement with us.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David Schlanger</w:t>
      </w:r>
    </w:p>
    <w:p>
      <w:pPr>
        <w:spacing w:after="0" w:line="218" w:lineRule="exact"/>
        <w:rPr>
          <w:sz w:val="20"/>
          <w:szCs w:val="20"/>
          <w:color w:val="auto"/>
        </w:rPr>
      </w:pPr>
    </w:p>
    <w:p>
      <w:pPr>
        <w:ind w:right="40" w:firstLine="336"/>
        <w:spacing w:after="0" w:line="265" w:lineRule="auto"/>
        <w:rPr>
          <w:sz w:val="20"/>
          <w:szCs w:val="20"/>
          <w:color w:val="auto"/>
        </w:rPr>
      </w:pPr>
      <w:r>
        <w:rPr>
          <w:rFonts w:ascii="Arial" w:cs="Arial" w:eastAsia="Arial" w:hAnsi="Arial"/>
          <w:sz w:val="17"/>
          <w:szCs w:val="17"/>
          <w:color w:val="auto"/>
        </w:rPr>
        <w:t>In September 2019, we entered into an amended and restated employment agreement with Mr. Schlanger, our Chief Executive Officer, which was effective as of July 1, 2019. Pursuant to his agreement, Mr. Schlanger is entitled to an annual base salary of $500,000 and is eligible to receive an annual discretionary performance and retention bonus of up to a maximum of 75% of his annual salary.</w:t>
      </w:r>
    </w:p>
    <w:p>
      <w:pPr>
        <w:spacing w:after="0" w:line="180" w:lineRule="exact"/>
        <w:rPr>
          <w:sz w:val="20"/>
          <w:szCs w:val="20"/>
          <w:color w:val="auto"/>
        </w:rPr>
      </w:pPr>
    </w:p>
    <w:p>
      <w:pPr>
        <w:ind w:right="420" w:firstLine="336"/>
        <w:spacing w:after="0" w:line="308" w:lineRule="auto"/>
        <w:rPr>
          <w:sz w:val="20"/>
          <w:szCs w:val="20"/>
          <w:color w:val="auto"/>
        </w:rPr>
      </w:pPr>
      <w:r>
        <w:rPr>
          <w:rFonts w:ascii="Arial" w:cs="Arial" w:eastAsia="Arial" w:hAnsi="Arial"/>
          <w:sz w:val="16"/>
          <w:szCs w:val="16"/>
          <w:color w:val="auto"/>
        </w:rPr>
        <w:t>Pursuant to his agreement, if Mr. Schlanger is terminated by us without "cause" or if Mr. Schlanger resigns for "good reason" outside of the "change in control severance period" (as those terms are defined in his agreement), he is entitled to: (1) continued payment of his then-current base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salary for a period of 12 months, (2) payment of his current year target bonus, prorated based on completed months of service to the date of termination, as well as any bonus relating to the prior year to the extent earned as determined by our board of directors, (3) payment of premiums for continued health benefits to him under COBRA for up to 12 months following his termination, (4) 12 months of accelerated vesting of any of his then-unvested shares subject to outstanding equity awards and</w:t>
      </w:r>
    </w:p>
    <w:p>
      <w:pPr>
        <w:ind w:right="100" w:firstLine="3"/>
        <w:spacing w:after="0" w:line="274" w:lineRule="auto"/>
        <w:tabs>
          <w:tab w:leader="none" w:pos="238" w:val="left"/>
        </w:tabs>
        <w:numPr>
          <w:ilvl w:val="0"/>
          <w:numId w:val="72"/>
        </w:numPr>
        <w:rPr>
          <w:rFonts w:ascii="Arial" w:cs="Arial" w:eastAsia="Arial" w:hAnsi="Arial"/>
          <w:sz w:val="16"/>
          <w:szCs w:val="16"/>
          <w:color w:val="auto"/>
        </w:rPr>
      </w:pPr>
      <w:r>
        <w:rPr>
          <w:rFonts w:ascii="Arial" w:cs="Arial" w:eastAsia="Arial" w:hAnsi="Arial"/>
          <w:sz w:val="16"/>
          <w:szCs w:val="16"/>
          <w:color w:val="auto"/>
        </w:rPr>
        <w:t>his options remaining exercisable for 12 months following his termination. If Mr. Schlanger is terminated without cause or resigns with good reason within one month prior to or within two years following our "acquisition" (or the "change of control severance period," each as defined in his agreement), he is entitled to the aforementioned payments and benefits, except that any then-unvested outstanding equity awards will become vested in their entirety as of the last day of his employment. Good reason within two years of our acquisition includes resignation by Mr. Schlanger for any or no reason after the nine-month anniversary of the acquisition. If Mr. Schlanger resigns without good reason or is terminated for cause or death, he will not be entitled to any severance benefits, his options will no longer vest and all payments, other than those already earned, will terminate. If Mr. Schlanger is terminated because of his disability, then his then-outstanding options will be exercisable for 12 months following his last day of employment. Mr. Schlanger's benefits are conditioned, among other things, on his complying with his post-termination obligations under his agreement and timely signing a general release of claims in our favor.</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Peter Anevski</w:t>
      </w:r>
    </w:p>
    <w:p>
      <w:pPr>
        <w:spacing w:after="0" w:line="218" w:lineRule="exact"/>
        <w:rPr>
          <w:sz w:val="20"/>
          <w:szCs w:val="20"/>
          <w:color w:val="auto"/>
        </w:rPr>
      </w:pPr>
    </w:p>
    <w:p>
      <w:pPr>
        <w:jc w:val="both"/>
        <w:ind w:right="40" w:firstLine="336"/>
        <w:spacing w:after="0" w:line="265" w:lineRule="auto"/>
        <w:rPr>
          <w:sz w:val="20"/>
          <w:szCs w:val="20"/>
          <w:color w:val="auto"/>
        </w:rPr>
      </w:pPr>
      <w:r>
        <w:rPr>
          <w:rFonts w:ascii="Arial" w:cs="Arial" w:eastAsia="Arial" w:hAnsi="Arial"/>
          <w:sz w:val="17"/>
          <w:szCs w:val="17"/>
          <w:color w:val="auto"/>
        </w:rPr>
        <w:t>In September 2019, we entered into an amended and restated employment agreement with Mr. Anevski, our President, Chief Operating &amp; Financial Officer, which was effective as of July 1, 2019. Pursuant to his agreement, Mr. Anevski is entitled to an annual base salary of $425,000 and is eligible to receive an annual discretionary performance and retention bonus of up to a maximum of 75% of his annual salary.</w:t>
      </w:r>
    </w:p>
    <w:p>
      <w:pPr>
        <w:spacing w:after="0" w:line="180" w:lineRule="exact"/>
        <w:rPr>
          <w:sz w:val="20"/>
          <w:szCs w:val="20"/>
          <w:color w:val="auto"/>
        </w:rPr>
      </w:pPr>
    </w:p>
    <w:p>
      <w:pPr>
        <w:ind w:right="120" w:firstLine="336"/>
        <w:spacing w:after="0" w:line="289" w:lineRule="auto"/>
        <w:rPr>
          <w:sz w:val="20"/>
          <w:szCs w:val="20"/>
          <w:color w:val="auto"/>
        </w:rPr>
      </w:pPr>
      <w:r>
        <w:rPr>
          <w:rFonts w:ascii="Arial" w:cs="Arial" w:eastAsia="Arial" w:hAnsi="Arial"/>
          <w:sz w:val="15"/>
          <w:szCs w:val="15"/>
          <w:color w:val="auto"/>
        </w:rPr>
        <w:t>Pursuant to his agreement, if Mr. Anevski is terminated by us without "cause" or if Mr. Anevski resigns for "good reason" outside of the "change of control severance period" (as those terms are defined in his agreement), he is entitled to: (1) continued payment of his then-current base salary for a period of 12 months, (2) payment of his current year target bonus, prorated based on completed months of service to the date of termination, as well as any bonus relating to the prior year to the extent earned as determined by our board of directors, (3) payment of premiums for continued health benefits to him under COBRA for up to 12 months following his termination, (4) 12 months of accelerated vesting of any of his then-unvested shares subject to outstanding equity awards and (5) his options remaining exercisable for</w:t>
      </w:r>
    </w:p>
    <w:p>
      <w:pPr>
        <w:spacing w:after="0" w:line="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12 months following his termination. If Mr. Anevski is terminated without cause or resigns with good reason within one month prior to or within two years following our "acquisition" (or the "change of control severance period," each as defined in his agreement), he is entitled to the aforementioned payments and benefits, except that any then-unvested outstanding equity awards will become vested in their entirety as of the last day of his employment. Good reason within two years of our acquisition includes resignation by Mr. Anevski for any or no reason after the nine-month anniversary of the acquisition. If Mr. Anevski resigns without good reason or is terminated for cause or death, he will not be entitled to any severance benefits, his equity awards will no longer vest and all payments, other than those already earned, will terminate. If Mr. Anevski is terminated because of his disability, then his then-outstanding options will be exercisable for 12 months following his last day of employment. Mr. Anevski's benefits are conditioned, among other things, on his complying with his post-termination obligations under his offer letter and timely signing a general release of claims in our favor.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Karin Ajmani</w:t>
      </w:r>
    </w:p>
    <w:p>
      <w:pPr>
        <w:spacing w:after="0" w:line="218" w:lineRule="exact"/>
        <w:rPr>
          <w:sz w:val="20"/>
          <w:szCs w:val="20"/>
          <w:color w:val="auto"/>
        </w:rPr>
      </w:pPr>
    </w:p>
    <w:p>
      <w:pPr>
        <w:ind w:right="20" w:firstLine="333"/>
        <w:spacing w:after="0" w:line="279" w:lineRule="auto"/>
        <w:rPr>
          <w:sz w:val="20"/>
          <w:szCs w:val="20"/>
          <w:color w:val="auto"/>
        </w:rPr>
      </w:pPr>
      <w:r>
        <w:rPr>
          <w:rFonts w:ascii="Arial" w:cs="Arial" w:eastAsia="Arial" w:hAnsi="Arial"/>
          <w:sz w:val="16"/>
          <w:szCs w:val="16"/>
          <w:color w:val="auto"/>
        </w:rPr>
        <w:t>We entered into a letter agreement with Ms. Ajmani, our Executive Vice President, Chief of Strategic Development in June 2015, which was amended and restated in June 2019 and governs the current terms of her employment with us. Pursuant to her agreement, Ms. Ajmani is entitled to: (1) an annual base salary of $325,000, (2) is eligible to receive an annual discretionary bonus of up to a maximum of 50% of her annual salary, based on the achievement of certain individual performance goals and our achievement of certain performance targets, and (3) was granted options to purchase 165,001 shares of our common stock, which option will vest as to 25% on the one year anniversary of the grant date and the remainder will vest monthly over the following 36 months.</w:t>
      </w:r>
    </w:p>
    <w:p>
      <w:pPr>
        <w:spacing w:after="0" w:line="172" w:lineRule="exact"/>
        <w:rPr>
          <w:sz w:val="20"/>
          <w:szCs w:val="20"/>
          <w:color w:val="auto"/>
        </w:rPr>
      </w:pPr>
    </w:p>
    <w:p>
      <w:pPr>
        <w:ind w:right="20" w:firstLine="336"/>
        <w:spacing w:after="0" w:line="274" w:lineRule="auto"/>
        <w:rPr>
          <w:sz w:val="20"/>
          <w:szCs w:val="20"/>
          <w:color w:val="auto"/>
        </w:rPr>
      </w:pPr>
      <w:r>
        <w:rPr>
          <w:rFonts w:ascii="Arial" w:cs="Arial" w:eastAsia="Arial" w:hAnsi="Arial"/>
          <w:sz w:val="16"/>
          <w:szCs w:val="16"/>
          <w:color w:val="auto"/>
        </w:rPr>
        <w:t>Pursuant to her letter agreement, if Ms. Ajmani is terminated by us without "cause" or if Ms. Ajmani resigns for "good reason" (each as defined in her letter agreement), she is entitled to: (1) continued payment of her base salary for a period of 12 months, (2) payment of premiums for continued health benefits to her under COBRA for up to 12 months following her termination, (3) accelerated vesting of any then-unvested options that would have vested through the 12 month anniversary of her termination, (4) payment of her target bonus for the then-current year, pro-rated to the date of termination and payment of the prior year's bonus to the extent earned as determined by our board of directors and (5) extension of the exercise period of any outstanding non-qualified stock options for a period of six months following her termination. In the event that Ms. Ajmani is terminated by us without cause or she resigns for good reason in connection with our "acquisition" (as defined in her letter agreement), then all of Ms. Ajmani's unvested options will become 100% vested and exercisable as of the date of her last day of employment with us. If Ms. Ajmani is terminated with cause, resigns without good reason, or her employment ends because of her death or disability, then she will not be entitled to any severance benefits, her options will no longer vest and all payments, other than those already earned, will terminate. Ms. Ajmani's benefits are conditioned, among other things, on her signing a general release of claims in our favor.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2019 Equity Incentive Plan</w:t>
      </w:r>
    </w:p>
    <w:p>
      <w:pPr>
        <w:spacing w:after="0" w:line="218" w:lineRule="exact"/>
        <w:rPr>
          <w:sz w:val="20"/>
          <w:szCs w:val="20"/>
          <w:color w:val="auto"/>
        </w:rPr>
      </w:pPr>
    </w:p>
    <w:p>
      <w:pPr>
        <w:jc w:val="both"/>
        <w:ind w:right="120" w:firstLine="336"/>
        <w:spacing w:after="0" w:line="316" w:lineRule="auto"/>
        <w:rPr>
          <w:sz w:val="20"/>
          <w:szCs w:val="20"/>
          <w:color w:val="auto"/>
        </w:rPr>
      </w:pPr>
      <w:r>
        <w:rPr>
          <w:rFonts w:ascii="Arial" w:cs="Arial" w:eastAsia="Arial" w:hAnsi="Arial"/>
          <w:sz w:val="15"/>
          <w:szCs w:val="15"/>
          <w:color w:val="auto"/>
        </w:rPr>
        <w:t>Our board of directors and stockholders adopted and approved our 2019 Plan in October 2019. Our 2019 Plan is a successor to and continuation of our 2017 Plan. Our 2019 Plan became effective on the date of the underwriting agreement related to this offering. The 2019 Plan came into existence upon its adoption by our board of directors, but no grants will be made under the 2019 Plan prior to its effectiveness. Once the 2019 Plan is effective, no further grants will be made under the 2017 Plan.</w:t>
      </w:r>
    </w:p>
    <w:p>
      <w:pPr>
        <w:spacing w:after="0" w:line="146" w:lineRule="exact"/>
        <w:rPr>
          <w:sz w:val="20"/>
          <w:szCs w:val="20"/>
          <w:color w:val="auto"/>
        </w:rPr>
      </w:pPr>
    </w:p>
    <w:p>
      <w:pPr>
        <w:ind w:firstLine="333"/>
        <w:spacing w:after="0" w:line="261"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Our 2019 Plan provides for the grant of incentive stock options, or ISOs, within the meaning of Section 422 of the Internal Revenue Code of 1986, as</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or the Code, to employees, including employees of any parent or subsidiary, and for the grant of nonstatutory stock options, or NSOs, stock appreciation rights, restricted stock awards, restricted stock unit awards, performance awards and other forms of awards to employees, directors and consultants, including employees and consultants of our affiliates.</w:t>
      </w:r>
    </w:p>
    <w:p>
      <w:pPr>
        <w:spacing w:after="0" w:line="184" w:lineRule="exact"/>
        <w:rPr>
          <w:sz w:val="20"/>
          <w:szCs w:val="20"/>
          <w:color w:val="auto"/>
        </w:rPr>
      </w:pPr>
    </w:p>
    <w:p>
      <w:pPr>
        <w:ind w:right="260" w:firstLine="333"/>
        <w:spacing w:after="0" w:line="291" w:lineRule="auto"/>
        <w:rPr>
          <w:sz w:val="20"/>
          <w:szCs w:val="20"/>
          <w:color w:val="auto"/>
        </w:rPr>
      </w:pPr>
      <w:r>
        <w:rPr>
          <w:rFonts w:ascii="Arial" w:cs="Arial" w:eastAsia="Arial" w:hAnsi="Arial"/>
          <w:sz w:val="15"/>
          <w:szCs w:val="15"/>
          <w:i w:val="1"/>
          <w:iCs w:val="1"/>
          <w:color w:val="auto"/>
        </w:rPr>
        <w:t xml:space="preserve">Authorized Shares. </w:t>
      </w:r>
      <w:r>
        <w:rPr>
          <w:rFonts w:ascii="Arial" w:cs="Arial" w:eastAsia="Arial" w:hAnsi="Arial"/>
          <w:sz w:val="15"/>
          <w:szCs w:val="15"/>
          <w:color w:val="auto"/>
        </w:rPr>
        <w:t>Initially, the maximum number of shares of our common stock that may be issued under our 2019 Plan after it becomes effective will not</w:t>
      </w:r>
      <w:r>
        <w:rPr>
          <w:rFonts w:ascii="Arial" w:cs="Arial" w:eastAsia="Arial" w:hAnsi="Arial"/>
          <w:sz w:val="15"/>
          <w:szCs w:val="15"/>
          <w:i w:val="1"/>
          <w:iCs w:val="1"/>
          <w:color w:val="auto"/>
        </w:rPr>
        <w:t xml:space="preserve"> </w:t>
      </w:r>
      <w:r>
        <w:rPr>
          <w:rFonts w:ascii="Arial" w:cs="Arial" w:eastAsia="Arial" w:hAnsi="Arial"/>
          <w:sz w:val="15"/>
          <w:szCs w:val="15"/>
          <w:color w:val="auto"/>
        </w:rPr>
        <w:t>exceed 19,198,875 shares of our common stock, which is the sum of (1) 2,640,031 new shares, plus (2) an additional number of shares not to exceed 16,558,844, consisting of (A) shares that remain available for the issuance of awards under our 2017 Plan as of immediately prior to the time our 2019 Plan becomes effective and</w:t>
      </w:r>
    </w:p>
    <w:p>
      <w:pPr>
        <w:ind w:right="20" w:firstLine="3"/>
        <w:spacing w:after="0" w:line="261" w:lineRule="auto"/>
        <w:tabs>
          <w:tab w:leader="none" w:pos="266" w:val="left"/>
        </w:tabs>
        <w:numPr>
          <w:ilvl w:val="0"/>
          <w:numId w:val="73"/>
        </w:numPr>
        <w:rPr>
          <w:rFonts w:ascii="Arial" w:cs="Arial" w:eastAsia="Arial" w:hAnsi="Arial"/>
          <w:sz w:val="17"/>
          <w:szCs w:val="17"/>
          <w:color w:val="auto"/>
        </w:rPr>
      </w:pPr>
      <w:r>
        <w:rPr>
          <w:rFonts w:ascii="Arial" w:cs="Arial" w:eastAsia="Arial" w:hAnsi="Arial"/>
          <w:sz w:val="17"/>
          <w:szCs w:val="17"/>
          <w:color w:val="auto"/>
        </w:rPr>
        <w:t>shares of our common stock subject to outstanding stock options or other stock awards granted under our 2017 Plan that, on or after the 2019 Plan becomes effective, terminate or expire prior to exercise or settlement; are forfeited because of the failure to vest; or are reacquired or withheld (or not issued) to satisfy a tax withholding obligation or the purchase or exercise price, if any, as such shares become available from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jc w:val="both"/>
        <w:ind w:right="60"/>
        <w:spacing w:after="0" w:line="307" w:lineRule="auto"/>
        <w:rPr>
          <w:sz w:val="20"/>
          <w:szCs w:val="20"/>
          <w:color w:val="auto"/>
        </w:rPr>
      </w:pPr>
      <w:r>
        <w:rPr>
          <w:rFonts w:ascii="Arial" w:cs="Arial" w:eastAsia="Arial" w:hAnsi="Arial"/>
          <w:sz w:val="15"/>
          <w:szCs w:val="15"/>
          <w:color w:val="auto"/>
        </w:rPr>
        <w:t>time to time. In addition, the number of shares of our common stock reserved for issuance under our 2019 Plan will automatically increase on January 1 of each calendar year, starting on January 1, 2020 through January 1, 2029, in an amount equal to (i) 4% of the total number of shares of our common stock outstanding on December 31 of the fiscal year before the date of each automatic increase, or (ii) a lesser number of shares determined by our board of directors prior to the applicable January 1. The maximum number of shares of our common stock that may be issued on the exercise of ISOs under our 2019 Plan is 40,000,000 shares.</w:t>
      </w:r>
    </w:p>
    <w:p>
      <w:pPr>
        <w:spacing w:after="0" w:line="152" w:lineRule="exact"/>
        <w:rPr>
          <w:sz w:val="20"/>
          <w:szCs w:val="20"/>
          <w:color w:val="auto"/>
        </w:rPr>
      </w:pPr>
    </w:p>
    <w:p>
      <w:pPr>
        <w:ind w:right="60" w:firstLine="336"/>
        <w:spacing w:after="0" w:line="297" w:lineRule="auto"/>
        <w:rPr>
          <w:sz w:val="20"/>
          <w:szCs w:val="20"/>
          <w:color w:val="auto"/>
        </w:rPr>
      </w:pPr>
      <w:r>
        <w:rPr>
          <w:rFonts w:ascii="Arial" w:cs="Arial" w:eastAsia="Arial" w:hAnsi="Arial"/>
          <w:sz w:val="15"/>
          <w:szCs w:val="15"/>
          <w:color w:val="auto"/>
        </w:rPr>
        <w:t>Shares subject to stock awards granted under our 2019 Plan that expire or terminate without being exercised in full do not reduce the number of shares available for issuance under our 2019 Plan. Shares withheld under a stock award to satisfy the exercise, strike or purchase price of a stock award or to satisfy a tax withholding obligation do not reduce the number of shares available for issuance under our 2019 Plan. If any shares of our common stock issued pursuant to a stock award are forfeited back to or repurchased or reacquired by us (1) because of a failure to meet a contingency or condition required for the vesting of such shares, (2) to satisfy the exercise, strike or purchase price of an award or (3) to satisfy a tax withholding obligation in connection with an award, the shares that are forfeited or repurchased or reacquired will revert to and again become available for issuance under the 2019 Plan. Any shares previously issued which are reacquired in satisfaction of tax withholding obligations or as consideration for the exercise or purchase price of a stock award will again become available for issuance under the 2019 Plan.</w:t>
      </w:r>
    </w:p>
    <w:p>
      <w:pPr>
        <w:spacing w:after="0" w:line="161" w:lineRule="exact"/>
        <w:rPr>
          <w:sz w:val="20"/>
          <w:szCs w:val="20"/>
          <w:color w:val="auto"/>
        </w:rPr>
      </w:pPr>
    </w:p>
    <w:p>
      <w:pPr>
        <w:ind w:firstLine="336"/>
        <w:spacing w:after="0" w:line="25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Our board of directors, or a duly authorized committee of our board of directors, will administer our 2019 Plan and is referred to as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herein. Our board of directors may also delegate to one or more of our officers the authority to (1) designate employees (other than officers) to receive specified stock awards and (2) determine the number of shares subject to such stock awards. Under our 2019 Plan, our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7" w:lineRule="exact"/>
        <w:rPr>
          <w:sz w:val="20"/>
          <w:szCs w:val="20"/>
          <w:color w:val="auto"/>
        </w:rPr>
      </w:pPr>
    </w:p>
    <w:p>
      <w:pPr>
        <w:ind w:right="20" w:firstLine="336"/>
        <w:spacing w:after="0" w:line="261"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ISOs and NSOs are granted under stock option agreements adopted by the plan administrator. The plan administrator determines the exercise price</w:t>
      </w:r>
      <w:r>
        <w:rPr>
          <w:rFonts w:ascii="Arial" w:cs="Arial" w:eastAsia="Arial" w:hAnsi="Arial"/>
          <w:sz w:val="17"/>
          <w:szCs w:val="17"/>
          <w:i w:val="1"/>
          <w:iCs w:val="1"/>
          <w:color w:val="auto"/>
        </w:rPr>
        <w:t xml:space="preserve"> </w:t>
      </w:r>
      <w:r>
        <w:rPr>
          <w:rFonts w:ascii="Arial" w:cs="Arial" w:eastAsia="Arial" w:hAnsi="Arial"/>
          <w:sz w:val="17"/>
          <w:szCs w:val="17"/>
          <w:color w:val="auto"/>
        </w:rPr>
        <w:t>for stock options, within the terms and conditions of the 2019 Plan, provided that the exercise price of a stock option generally cannot be less than 100% of the fair market value of our common stock on the date of grant. Options granted under the 2019 Plan vest at the rate specified in the stock option agreement as determined by the plan administrator.</w:t>
      </w:r>
    </w:p>
    <w:p>
      <w:pPr>
        <w:spacing w:after="0" w:line="184" w:lineRule="exact"/>
        <w:rPr>
          <w:sz w:val="20"/>
          <w:szCs w:val="20"/>
          <w:color w:val="auto"/>
        </w:rPr>
      </w:pPr>
    </w:p>
    <w:p>
      <w:pPr>
        <w:ind w:firstLine="333"/>
        <w:spacing w:after="0" w:line="256" w:lineRule="auto"/>
        <w:rPr>
          <w:sz w:val="20"/>
          <w:szCs w:val="20"/>
          <w:color w:val="auto"/>
        </w:rPr>
      </w:pPr>
      <w:r>
        <w:rPr>
          <w:rFonts w:ascii="Arial" w:cs="Arial" w:eastAsia="Arial" w:hAnsi="Arial"/>
          <w:sz w:val="17"/>
          <w:szCs w:val="17"/>
          <w:color w:val="auto"/>
        </w:rPr>
        <w:t>The plan administrator determines the term of stock options granted under the 2019 Plan, up to a maximum of 10 years. Unless the terms of an optionholder's stock option agreement, or other written agreement between us and the recipient approved by the plan administrator,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Acceptable consideration for the purchase of common stock issued upon the exercise of a stock option will be determined by the plan administrator and may include</w:t>
      </w:r>
    </w:p>
    <w:p>
      <w:pPr>
        <w:spacing w:after="0" w:line="41" w:lineRule="exact"/>
        <w:rPr>
          <w:sz w:val="20"/>
          <w:szCs w:val="20"/>
          <w:color w:val="auto"/>
        </w:rPr>
      </w:pPr>
    </w:p>
    <w:p>
      <w:pPr>
        <w:ind w:left="240" w:hanging="237"/>
        <w:spacing w:after="0"/>
        <w:tabs>
          <w:tab w:leader="none" w:pos="2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cash, check, bank draft or money order, (2) a broker-assisted cashless exercise, (3) the tender of shares of our common stock previously owned by the optionholder,</w:t>
      </w:r>
    </w:p>
    <w:p>
      <w:pPr>
        <w:spacing w:after="0" w:line="34" w:lineRule="exact"/>
        <w:rPr>
          <w:rFonts w:ascii="Arial" w:cs="Arial" w:eastAsia="Arial" w:hAnsi="Arial"/>
          <w:sz w:val="15"/>
          <w:szCs w:val="15"/>
          <w:color w:val="auto"/>
        </w:rPr>
      </w:pPr>
    </w:p>
    <w:p>
      <w:pPr>
        <w:ind w:left="240" w:hanging="237"/>
        <w:spacing w:after="0"/>
        <w:tabs>
          <w:tab w:leader="none" w:pos="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net exercise of the option if it is an NSO, or (5) other legal consideration approved by the plan administrator.</w:t>
      </w:r>
    </w:p>
    <w:p>
      <w:pPr>
        <w:spacing w:after="0" w:line="212" w:lineRule="exact"/>
        <w:rPr>
          <w:sz w:val="20"/>
          <w:szCs w:val="20"/>
          <w:color w:val="auto"/>
        </w:rPr>
      </w:pPr>
    </w:p>
    <w:p>
      <w:pPr>
        <w:ind w:firstLine="336"/>
        <w:spacing w:after="0" w:line="265" w:lineRule="auto"/>
        <w:rPr>
          <w:sz w:val="20"/>
          <w:szCs w:val="20"/>
          <w:color w:val="auto"/>
        </w:rPr>
      </w:pPr>
      <w:r>
        <w:rPr>
          <w:rFonts w:ascii="Arial" w:cs="Arial" w:eastAsia="Arial" w:hAnsi="Arial"/>
          <w:sz w:val="17"/>
          <w:szCs w:val="17"/>
          <w:color w:val="auto"/>
        </w:rPr>
        <w:t>Unless the plan administrator provides otherwise, options or stock appreciation rights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w:t>
      </w:r>
    </w:p>
    <w:p>
      <w:pPr>
        <w:spacing w:after="0" w:line="180" w:lineRule="exact"/>
        <w:rPr>
          <w:sz w:val="20"/>
          <w:szCs w:val="20"/>
          <w:color w:val="auto"/>
        </w:rPr>
      </w:pPr>
    </w:p>
    <w:p>
      <w:pPr>
        <w:ind w:right="40" w:firstLine="336"/>
        <w:spacing w:after="0" w:line="279" w:lineRule="auto"/>
        <w:rPr>
          <w:sz w:val="20"/>
          <w:szCs w:val="20"/>
          <w:color w:val="auto"/>
        </w:rPr>
      </w:pPr>
      <w:r>
        <w:rPr>
          <w:rFonts w:ascii="Arial" w:cs="Arial" w:eastAsia="Arial" w:hAnsi="Arial"/>
          <w:sz w:val="16"/>
          <w:szCs w:val="16"/>
          <w:i w:val="1"/>
          <w:iCs w:val="1"/>
          <w:color w:val="auto"/>
        </w:rPr>
        <w:t xml:space="preserve">Tax Limitations on ISOs. </w:t>
      </w:r>
      <w:r>
        <w:rPr>
          <w:rFonts w:ascii="Arial" w:cs="Arial" w:eastAsia="Arial" w:hAnsi="Arial"/>
          <w:sz w:val="16"/>
          <w:szCs w:val="16"/>
          <w:color w:val="auto"/>
        </w:rPr>
        <w:t>The aggregate fair market value, determined at the time of grant, of our common stock with respect to ISOs that are exercisable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72" w:lineRule="exact"/>
        <w:rPr>
          <w:sz w:val="20"/>
          <w:szCs w:val="20"/>
          <w:color w:val="auto"/>
        </w:rPr>
      </w:pPr>
    </w:p>
    <w:p>
      <w:pPr>
        <w:ind w:right="100" w:firstLine="336"/>
        <w:spacing w:after="0" w:line="299" w:lineRule="auto"/>
        <w:rPr>
          <w:sz w:val="20"/>
          <w:szCs w:val="20"/>
          <w:color w:val="auto"/>
        </w:rPr>
      </w:pPr>
      <w:r>
        <w:rPr>
          <w:rFonts w:ascii="Arial" w:cs="Arial" w:eastAsia="Arial" w:hAnsi="Arial"/>
          <w:sz w:val="15"/>
          <w:szCs w:val="15"/>
          <w:i w:val="1"/>
          <w:iCs w:val="1"/>
          <w:color w:val="auto"/>
        </w:rPr>
        <w:t xml:space="preserve">Restricted Stock Unit Awards. </w:t>
      </w:r>
      <w:r>
        <w:rPr>
          <w:rFonts w:ascii="Arial" w:cs="Arial" w:eastAsia="Arial" w:hAnsi="Arial"/>
          <w:sz w:val="15"/>
          <w:szCs w:val="15"/>
          <w:color w:val="auto"/>
        </w:rPr>
        <w:t>Restricted stock unit awards are granted under restricted stock unit award agreements adopted by the plan administrator.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other written agreement between us and the recipient approved by the plan administrator, restricted stock unit awards that have not vested will be forfeited once the participant's continuous service ends for any reason.</w:t>
      </w:r>
    </w:p>
    <w:p>
      <w:pPr>
        <w:spacing w:after="0" w:line="159" w:lineRule="exact"/>
        <w:rPr>
          <w:sz w:val="20"/>
          <w:szCs w:val="20"/>
          <w:color w:val="auto"/>
        </w:rPr>
      </w:pPr>
    </w:p>
    <w:p>
      <w:pPr>
        <w:ind w:right="20" w:firstLine="336"/>
        <w:spacing w:after="0" w:line="302" w:lineRule="auto"/>
        <w:rPr>
          <w:sz w:val="20"/>
          <w:szCs w:val="20"/>
          <w:color w:val="auto"/>
        </w:rPr>
      </w:pPr>
      <w:r>
        <w:rPr>
          <w:rFonts w:ascii="Arial" w:cs="Arial" w:eastAsia="Arial" w:hAnsi="Arial"/>
          <w:sz w:val="15"/>
          <w:szCs w:val="15"/>
          <w:i w:val="1"/>
          <w:iCs w:val="1"/>
          <w:color w:val="auto"/>
        </w:rPr>
        <w:t xml:space="preserve">Restricted Stock Awards. </w:t>
      </w:r>
      <w:r>
        <w:rPr>
          <w:rFonts w:ascii="Arial" w:cs="Arial" w:eastAsia="Arial" w:hAnsi="Arial"/>
          <w:sz w:val="15"/>
          <w:szCs w:val="15"/>
          <w:color w:val="auto"/>
        </w:rPr>
        <w:t>Restricted stock awards are granted under restricted stock award agreements adopted by the plan administrator. A restricted stock award</w:t>
      </w:r>
      <w:r>
        <w:rPr>
          <w:rFonts w:ascii="Arial" w:cs="Arial" w:eastAsia="Arial" w:hAnsi="Arial"/>
          <w:sz w:val="15"/>
          <w:szCs w:val="15"/>
          <w:i w:val="1"/>
          <w:iCs w:val="1"/>
          <w:color w:val="auto"/>
        </w:rPr>
        <w:t xml:space="preserve"> </w:t>
      </w:r>
      <w:r>
        <w:rPr>
          <w:rFonts w:ascii="Arial" w:cs="Arial" w:eastAsia="Arial" w:hAnsi="Arial"/>
          <w:sz w:val="15"/>
          <w:szCs w:val="15"/>
          <w:color w:val="auto"/>
        </w:rPr>
        <w:t>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56" w:lineRule="exact"/>
        <w:rPr>
          <w:sz w:val="20"/>
          <w:szCs w:val="20"/>
          <w:color w:val="auto"/>
        </w:rPr>
      </w:pPr>
    </w:p>
    <w:p>
      <w:pPr>
        <w:ind w:right="160" w:firstLine="336"/>
        <w:spacing w:after="0" w:line="259"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Stock appreciation rights are granted under stock appreciation right agreements adopted by the plan administrator.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determines the purchase price or strike price for a stock appreciation right, which generally cannot be less than 100% of the fair market value of our common stock on the date of grant. A stock appreciation right granted under the 2019 Plan vests at the rate specified in the stock appreciation right agreement as determined by the plan administrator. Stock appreciation rights may be settled in cash or shares of common stock or in any other form of payment as determined by the Board and specified in the stock appreciation right agreement.</w:t>
      </w:r>
    </w:p>
    <w:p>
      <w:pPr>
        <w:spacing w:after="0" w:line="187" w:lineRule="exact"/>
        <w:rPr>
          <w:sz w:val="20"/>
          <w:szCs w:val="20"/>
          <w:color w:val="auto"/>
        </w:rPr>
      </w:pPr>
    </w:p>
    <w:p>
      <w:pPr>
        <w:ind w:right="620" w:firstLine="333"/>
        <w:spacing w:after="0" w:line="308" w:lineRule="auto"/>
        <w:rPr>
          <w:sz w:val="20"/>
          <w:szCs w:val="20"/>
          <w:color w:val="auto"/>
        </w:rPr>
      </w:pPr>
      <w:r>
        <w:rPr>
          <w:rFonts w:ascii="Arial" w:cs="Arial" w:eastAsia="Arial" w:hAnsi="Arial"/>
          <w:sz w:val="16"/>
          <w:szCs w:val="16"/>
          <w:color w:val="auto"/>
        </w:rPr>
        <w:t>The plan administrator determines the term of stock appreciation rights granted under the 2019 Plan, up to a maximum of 10 years. If a participant's service relationship with us or any of our affiliates ceases for any reason other than cause, disability, or death, the participant may generally exercise 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75" w:lineRule="exact"/>
        <w:rPr>
          <w:sz w:val="20"/>
          <w:szCs w:val="20"/>
          <w:color w:val="auto"/>
        </w:rPr>
      </w:pPr>
    </w:p>
    <w:p>
      <w:pPr>
        <w:ind w:right="20" w:firstLine="336"/>
        <w:spacing w:after="0" w:line="261" w:lineRule="auto"/>
        <w:rPr>
          <w:sz w:val="20"/>
          <w:szCs w:val="20"/>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The 2019 Plan permits the grant of performance awards that may be settled in stock, cash or other property. Performance awards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common stock.</w:t>
      </w:r>
    </w:p>
    <w:p>
      <w:pPr>
        <w:spacing w:after="0" w:line="184" w:lineRule="exact"/>
        <w:rPr>
          <w:sz w:val="20"/>
          <w:szCs w:val="20"/>
          <w:color w:val="auto"/>
        </w:rPr>
      </w:pPr>
    </w:p>
    <w:p>
      <w:pPr>
        <w:ind w:right="40" w:firstLine="333"/>
        <w:spacing w:after="0" w:line="292" w:lineRule="auto"/>
        <w:rPr>
          <w:sz w:val="20"/>
          <w:szCs w:val="20"/>
          <w:color w:val="auto"/>
        </w:rPr>
      </w:pPr>
      <w:r>
        <w:rPr>
          <w:rFonts w:ascii="Arial" w:cs="Arial" w:eastAsia="Arial" w:hAnsi="Arial"/>
          <w:sz w:val="15"/>
          <w:szCs w:val="15"/>
          <w:color w:val="auto"/>
        </w:rPr>
        <w:t>The performance goals may be based on any measure of performance selected by the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board of directors at the time the performance award is granted, the board will appropriately make adjustments in the method of calculating the attainment of performance goals as follows: (i) to exclude restructuring and/or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portion of our business which is divested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69" w:lineRule="exact"/>
        <w:rPr>
          <w:sz w:val="20"/>
          <w:szCs w:val="20"/>
          <w:color w:val="auto"/>
        </w:rPr>
      </w:pPr>
    </w:p>
    <w:p>
      <w:pPr>
        <w:ind w:right="180" w:firstLine="336"/>
        <w:spacing w:after="0" w:line="276" w:lineRule="auto"/>
        <w:rPr>
          <w:sz w:val="20"/>
          <w:szCs w:val="20"/>
          <w:color w:val="auto"/>
        </w:rPr>
      </w:pPr>
      <w:r>
        <w:rPr>
          <w:rFonts w:ascii="Arial" w:cs="Arial" w:eastAsia="Arial" w:hAnsi="Arial"/>
          <w:sz w:val="17"/>
          <w:szCs w:val="17"/>
          <w:i w:val="1"/>
          <w:iCs w:val="1"/>
          <w:color w:val="auto"/>
        </w:rPr>
        <w:t xml:space="preserve">Other Stock Awards. </w:t>
      </w:r>
      <w:r>
        <w:rPr>
          <w:rFonts w:ascii="Arial" w:cs="Arial" w:eastAsia="Arial" w:hAnsi="Arial"/>
          <w:sz w:val="17"/>
          <w:szCs w:val="17"/>
          <w:color w:val="auto"/>
        </w:rPr>
        <w:t>The plan administrator may grant other awards based in whole or in part by reference to our common stock. The plan administrator will set</w:t>
      </w:r>
      <w:r>
        <w:rPr>
          <w:rFonts w:ascii="Arial" w:cs="Arial" w:eastAsia="Arial" w:hAnsi="Arial"/>
          <w:sz w:val="17"/>
          <w:szCs w:val="17"/>
          <w:i w:val="1"/>
          <w:iCs w:val="1"/>
          <w:color w:val="auto"/>
        </w:rPr>
        <w:t xml:space="preserve"> </w:t>
      </w:r>
      <w:r>
        <w:rPr>
          <w:rFonts w:ascii="Arial" w:cs="Arial" w:eastAsia="Arial" w:hAnsi="Arial"/>
          <w:sz w:val="17"/>
          <w:szCs w:val="17"/>
          <w:color w:val="auto"/>
        </w:rPr>
        <w:t>the number of shares under the stock award (or cash equivalent) and all other terms and conditions of such awards.</w:t>
      </w:r>
    </w:p>
    <w:p>
      <w:pPr>
        <w:spacing w:after="0" w:line="171" w:lineRule="exact"/>
        <w:rPr>
          <w:sz w:val="20"/>
          <w:szCs w:val="20"/>
          <w:color w:val="auto"/>
        </w:rPr>
      </w:pPr>
    </w:p>
    <w:p>
      <w:pPr>
        <w:jc w:val="both"/>
        <w:ind w:right="100" w:firstLine="336"/>
        <w:spacing w:after="0" w:line="265" w:lineRule="auto"/>
        <w:rPr>
          <w:sz w:val="20"/>
          <w:szCs w:val="20"/>
          <w:color w:val="auto"/>
        </w:rPr>
      </w:pPr>
      <w:r>
        <w:rPr>
          <w:rFonts w:ascii="Arial" w:cs="Arial" w:eastAsia="Arial" w:hAnsi="Arial"/>
          <w:sz w:val="17"/>
          <w:szCs w:val="17"/>
          <w:i w:val="1"/>
          <w:iCs w:val="1"/>
          <w:color w:val="auto"/>
        </w:rPr>
        <w:t xml:space="preserve">Non-Employee Director Compensation Limit. </w:t>
      </w:r>
      <w:r>
        <w:rPr>
          <w:rFonts w:ascii="Arial" w:cs="Arial" w:eastAsia="Arial" w:hAnsi="Arial"/>
          <w:sz w:val="17"/>
          <w:szCs w:val="17"/>
          <w:color w:val="auto"/>
        </w:rPr>
        <w:t>The aggregate value of all compensation granted or paid to any non-employee director with respect to any calendar</w:t>
      </w:r>
      <w:r>
        <w:rPr>
          <w:rFonts w:ascii="Arial" w:cs="Arial" w:eastAsia="Arial" w:hAnsi="Arial"/>
          <w:sz w:val="17"/>
          <w:szCs w:val="17"/>
          <w:i w:val="1"/>
          <w:iCs w:val="1"/>
          <w:color w:val="auto"/>
        </w:rPr>
        <w:t xml:space="preserve"> </w:t>
      </w:r>
      <w:r>
        <w:rPr>
          <w:rFonts w:ascii="Arial" w:cs="Arial" w:eastAsia="Arial" w:hAnsi="Arial"/>
          <w:sz w:val="17"/>
          <w:szCs w:val="17"/>
          <w:color w:val="auto"/>
        </w:rPr>
        <w:t>year, including awards granted and cash fees paid by us to such non-employee director, will not exceed $750,000 in total value; provided that such amount will increase to $1.0 million for the first year for newly appointed or elected non-employee directors.</w:t>
      </w:r>
    </w:p>
    <w:p>
      <w:pPr>
        <w:spacing w:after="0" w:line="180" w:lineRule="exact"/>
        <w:rPr>
          <w:sz w:val="20"/>
          <w:szCs w:val="20"/>
          <w:color w:val="auto"/>
        </w:rPr>
      </w:pPr>
    </w:p>
    <w:p>
      <w:pPr>
        <w:jc w:val="both"/>
        <w:ind w:right="160" w:firstLine="336"/>
        <w:spacing w:after="0" w:line="316" w:lineRule="auto"/>
        <w:rPr>
          <w:sz w:val="20"/>
          <w:szCs w:val="20"/>
          <w:color w:val="auto"/>
        </w:rPr>
      </w:pPr>
      <w:r>
        <w:rPr>
          <w:rFonts w:ascii="Arial" w:cs="Arial" w:eastAsia="Arial" w:hAnsi="Arial"/>
          <w:sz w:val="15"/>
          <w:szCs w:val="15"/>
          <w:i w:val="1"/>
          <w:iCs w:val="1"/>
          <w:color w:val="auto"/>
        </w:rPr>
        <w:t xml:space="preserve">Changes to Capital Structure. </w:t>
      </w:r>
      <w:r>
        <w:rPr>
          <w:rFonts w:ascii="Arial" w:cs="Arial" w:eastAsia="Arial" w:hAnsi="Arial"/>
          <w:sz w:val="15"/>
          <w:szCs w:val="15"/>
          <w:color w:val="auto"/>
        </w:rPr>
        <w:t>In the event there is a specified type of change in our capital structure, such as a stock split, reverse stock split, or recapitalization,</w:t>
      </w:r>
      <w:r>
        <w:rPr>
          <w:rFonts w:ascii="Arial" w:cs="Arial" w:eastAsia="Arial" w:hAnsi="Arial"/>
          <w:sz w:val="15"/>
          <w:szCs w:val="15"/>
          <w:i w:val="1"/>
          <w:iCs w:val="1"/>
          <w:color w:val="auto"/>
        </w:rPr>
        <w:t xml:space="preserve"> </w:t>
      </w:r>
      <w:r>
        <w:rPr>
          <w:rFonts w:ascii="Arial" w:cs="Arial" w:eastAsia="Arial" w:hAnsi="Arial"/>
          <w:sz w:val="15"/>
          <w:szCs w:val="15"/>
          <w:color w:val="auto"/>
        </w:rPr>
        <w:t>appropriate adjustments will be made to (1) the class and maximum number of shares reserved for issuance under the 2019 Plan, (2) the class and maximum number of shares by which the share reserve may increase automatically each year, (3) the class and maximum number of shares that may be issued on the exercise of ISOs,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and (4) the class and number of shares and exercise price, strike price, or purchase price, if applicable, of all outstanding stock awards.</w:t>
      </w:r>
    </w:p>
    <w:p>
      <w:pPr>
        <w:spacing w:after="0" w:line="218" w:lineRule="exact"/>
        <w:rPr>
          <w:sz w:val="20"/>
          <w:szCs w:val="20"/>
          <w:color w:val="auto"/>
        </w:rPr>
      </w:pPr>
    </w:p>
    <w:p>
      <w:pPr>
        <w:ind w:firstLine="336"/>
        <w:spacing w:after="0" w:line="265"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The following applies to stock awards under the 2019 Plan in the event of a corporate transaction (as defined in the 2019 Plan), unless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provided in a participant's stock award agreement or other written agreement with us or one of our affiliates or unless otherwise expressly provided by the plan administrator at the time of grant.</w:t>
      </w:r>
    </w:p>
    <w:p>
      <w:pPr>
        <w:spacing w:after="0" w:line="180" w:lineRule="exact"/>
        <w:rPr>
          <w:sz w:val="20"/>
          <w:szCs w:val="20"/>
          <w:color w:val="auto"/>
        </w:rPr>
      </w:pPr>
    </w:p>
    <w:p>
      <w:pPr>
        <w:ind w:right="20" w:firstLine="336"/>
        <w:spacing w:after="0" w:line="274" w:lineRule="auto"/>
        <w:rPr>
          <w:sz w:val="20"/>
          <w:szCs w:val="20"/>
          <w:color w:val="auto"/>
        </w:rPr>
      </w:pPr>
      <w:r>
        <w:rPr>
          <w:rFonts w:ascii="Arial" w:cs="Arial" w:eastAsia="Arial" w:hAnsi="Arial"/>
          <w:sz w:val="16"/>
          <w:szCs w:val="16"/>
          <w:color w:val="auto"/>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76" w:lineRule="exact"/>
        <w:rPr>
          <w:sz w:val="20"/>
          <w:szCs w:val="20"/>
          <w:color w:val="auto"/>
        </w:rPr>
      </w:pPr>
    </w:p>
    <w:p>
      <w:pPr>
        <w:ind w:right="160" w:firstLine="336"/>
        <w:spacing w:after="0" w:line="279" w:lineRule="auto"/>
        <w:rPr>
          <w:sz w:val="20"/>
          <w:szCs w:val="20"/>
          <w:color w:val="auto"/>
        </w:rPr>
      </w:pPr>
      <w:r>
        <w:rPr>
          <w:rFonts w:ascii="Arial" w:cs="Arial" w:eastAsia="Arial" w:hAnsi="Arial"/>
          <w:sz w:val="16"/>
          <w:szCs w:val="16"/>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common stock in connection with the corporate transaction,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common stock.</w:t>
      </w:r>
    </w:p>
    <w:p>
      <w:pPr>
        <w:spacing w:after="0" w:line="172" w:lineRule="exact"/>
        <w:rPr>
          <w:sz w:val="20"/>
          <w:szCs w:val="20"/>
          <w:color w:val="auto"/>
        </w:rPr>
      </w:pPr>
    </w:p>
    <w:p>
      <w:pPr>
        <w:ind w:firstLine="336"/>
        <w:spacing w:after="0" w:line="265"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Awards granted under the 2019 Plan may be subject to acceleration of vesting and exercisability upon or after a change in control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2019 Plan) as may be provided in the applicable stock award agreement or in any other written agreement between us or any affiliate and the participant, but in the absence of such provision, no such acceleration will automatically occur.</w:t>
      </w:r>
    </w:p>
    <w:p>
      <w:pPr>
        <w:spacing w:after="0" w:line="180" w:lineRule="exact"/>
        <w:rPr>
          <w:sz w:val="20"/>
          <w:szCs w:val="20"/>
          <w:color w:val="auto"/>
        </w:rPr>
      </w:pPr>
    </w:p>
    <w:p>
      <w:pPr>
        <w:ind w:right="280" w:firstLine="336"/>
        <w:spacing w:after="0" w:line="261"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2019 Plan, provided that such action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impair the existing rights of any participant without such participant's written consent. Certain material amendments also require the approval of our stockholders. No ISOs may be granted after the tenth anniversary of the date our board of directors adopts our 2019 Plan. No stock awards may be granted under our 2019 Plan while it is suspended or after it is terminated.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2019 Employee Stock Purchase Plan</w:t>
      </w:r>
    </w:p>
    <w:p>
      <w:pPr>
        <w:spacing w:after="0" w:line="218" w:lineRule="exact"/>
        <w:rPr>
          <w:sz w:val="20"/>
          <w:szCs w:val="20"/>
          <w:color w:val="auto"/>
        </w:rPr>
      </w:pPr>
    </w:p>
    <w:p>
      <w:pPr>
        <w:ind w:right="320" w:firstLine="336"/>
        <w:spacing w:after="0" w:line="261" w:lineRule="auto"/>
        <w:rPr>
          <w:sz w:val="20"/>
          <w:szCs w:val="20"/>
          <w:color w:val="auto"/>
        </w:rPr>
      </w:pPr>
      <w:r>
        <w:rPr>
          <w:rFonts w:ascii="Arial" w:cs="Arial" w:eastAsia="Arial" w:hAnsi="Arial"/>
          <w:sz w:val="17"/>
          <w:szCs w:val="17"/>
          <w:color w:val="auto"/>
        </w:rPr>
        <w:t>Our board of directors and stockholders adopted and approved the 2019 Employee Stock Purchase Plan, or ESPP, in October 2019. The ESPP became effective immediately prior to 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intended to qualify as an "employee stock purchase plan" within the meaning of Section 423 of the Code.</w:t>
      </w:r>
    </w:p>
    <w:p>
      <w:pPr>
        <w:spacing w:after="0" w:line="218" w:lineRule="exact"/>
        <w:rPr>
          <w:sz w:val="20"/>
          <w:szCs w:val="20"/>
          <w:color w:val="auto"/>
        </w:rPr>
      </w:pPr>
    </w:p>
    <w:p>
      <w:pPr>
        <w:ind w:right="40" w:firstLine="336"/>
        <w:spacing w:after="0" w:line="279"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Following this offering, the ESPP will authorize the issuance of 1,700,000 shares of our common stock pursuant to purchase rights granted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or to employees of any of our designated affiliates. The number of shares of our common stock reserved for issuance will automatically increase on January 1 of each calendar year, from January 1, 2021 (assuming the ESPP becomes effective in 2019) through January 1, 2029, by the lesser of (1) 1% of the total number of shares of our common stock outstanding on December 31 of the preceding calendar year, and (2) 2,500,000 shares; provided that prior to the date of any such increase, our board of directors may determine that such increase will be less than the amount set forth in clauses (1) and (2).</w:t>
      </w:r>
    </w:p>
    <w:p>
      <w:pPr>
        <w:spacing w:after="0" w:line="172" w:lineRule="exact"/>
        <w:rPr>
          <w:sz w:val="20"/>
          <w:szCs w:val="20"/>
          <w:color w:val="auto"/>
        </w:rPr>
      </w:pPr>
    </w:p>
    <w:p>
      <w:pPr>
        <w:ind w:right="100" w:firstLine="333"/>
        <w:spacing w:after="0" w:line="259"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has delegated concurrent authority to administer the ESPP to our compensation committee. The ESPP is implemented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series of offerings under which eligible employees are granted purchase rights to purchase shares of our common stock on specified dates during such offerings. Under the ESPP, we may specify offerings with durations of not more than 27 months. It is contemplated that each of the purchase periods will be six months, except that the first offering period will commence on the date of the underwriting agreement related to this offering and end on July 31, 2020. An offering under the ESPP may be terminated under certain circumstances.</w:t>
      </w:r>
    </w:p>
    <w:p>
      <w:pPr>
        <w:spacing w:after="0" w:line="187" w:lineRule="exact"/>
        <w:rPr>
          <w:sz w:val="20"/>
          <w:szCs w:val="20"/>
          <w:color w:val="auto"/>
        </w:rPr>
      </w:pPr>
    </w:p>
    <w:p>
      <w:pPr>
        <w:ind w:firstLine="336"/>
        <w:spacing w:after="0" w:line="258" w:lineRule="auto"/>
        <w:rPr>
          <w:sz w:val="20"/>
          <w:szCs w:val="20"/>
          <w:color w:val="auto"/>
        </w:rPr>
      </w:pPr>
      <w:r>
        <w:rPr>
          <w:rFonts w:ascii="Arial" w:cs="Arial" w:eastAsia="Arial" w:hAnsi="Arial"/>
          <w:sz w:val="17"/>
          <w:szCs w:val="17"/>
          <w:i w:val="1"/>
          <w:iCs w:val="1"/>
          <w:color w:val="auto"/>
        </w:rPr>
        <w:t xml:space="preserve">Payroll Deductions. </w:t>
      </w:r>
      <w:r>
        <w:rPr>
          <w:rFonts w:ascii="Arial" w:cs="Arial" w:eastAsia="Arial" w:hAnsi="Arial"/>
          <w:sz w:val="17"/>
          <w:szCs w:val="17"/>
          <w:color w:val="auto"/>
        </w:rPr>
        <w:t>Generally, all regular employees, including executive officers, employed by us or by any of our designated affiliates, may participate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(a) 85% of the fair market value of a share of our common stock on the first trading date of an offering, which shall be deemed to be the initial public offering price of $13.00 per share set forth on the cover page of this prospectus for the first offering, or (b) 85% of the fair market value of a share of our common stock on the date of purchase.</w:t>
      </w:r>
    </w:p>
    <w:p>
      <w:pPr>
        <w:spacing w:after="0" w:line="188" w:lineRule="exact"/>
        <w:rPr>
          <w:sz w:val="20"/>
          <w:szCs w:val="20"/>
          <w:color w:val="auto"/>
        </w:rPr>
      </w:pPr>
    </w:p>
    <w:p>
      <w:pPr>
        <w:ind w:right="160" w:firstLine="336"/>
        <w:spacing w:after="0" w:line="292" w:lineRule="auto"/>
        <w:rPr>
          <w:sz w:val="20"/>
          <w:szCs w:val="20"/>
          <w:color w:val="auto"/>
        </w:rPr>
      </w:pPr>
      <w:r>
        <w:rPr>
          <w:rFonts w:ascii="Arial" w:cs="Arial" w:eastAsia="Arial" w:hAnsi="Arial"/>
          <w:sz w:val="15"/>
          <w:szCs w:val="15"/>
          <w:i w:val="1"/>
          <w:iCs w:val="1"/>
          <w:color w:val="auto"/>
        </w:rPr>
        <w:t xml:space="preserve">Limitations. </w:t>
      </w:r>
      <w:r>
        <w:rPr>
          <w:rFonts w:ascii="Arial" w:cs="Arial" w:eastAsia="Arial" w:hAnsi="Arial"/>
          <w:sz w:val="15"/>
          <w:szCs w:val="15"/>
          <w:color w:val="auto"/>
        </w:rPr>
        <w:t>Employees may have to satisfy one or more of the following service requirements before participating in the ESPP, as determined by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including: (1) being customarily employed for more than 20 hours per week; (2) being customarily employed for more than five months per calendar year; or</w:t>
      </w:r>
    </w:p>
    <w:p>
      <w:pPr>
        <w:spacing w:after="0" w:line="1" w:lineRule="exact"/>
        <w:rPr>
          <w:sz w:val="20"/>
          <w:szCs w:val="20"/>
          <w:color w:val="auto"/>
        </w:rPr>
      </w:pPr>
    </w:p>
    <w:p>
      <w:pPr>
        <w:ind w:right="20" w:firstLine="3"/>
        <w:spacing w:after="0" w:line="257" w:lineRule="auto"/>
        <w:tabs>
          <w:tab w:leader="none" w:pos="238"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continuous employment with us or one of our affiliates for six months. No employee may purchase shares under the ESPP at a rate in excess of $25,000 worth of our common stock based on the fair market value per share of our common stock at the beginning of an offering for each year such a purchase right is outstanding and may not purchase more than 2,500 shares in any offering period.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88" w:lineRule="exact"/>
        <w:rPr>
          <w:sz w:val="20"/>
          <w:szCs w:val="20"/>
          <w:color w:val="auto"/>
        </w:rPr>
      </w:pPr>
    </w:p>
    <w:p>
      <w:pPr>
        <w:ind w:firstLine="336"/>
        <w:spacing w:after="0" w:line="279"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there occurs a change in our capital structure through such actions as a stock split, merger,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80" w:firstLine="336"/>
        <w:spacing w:after="0" w:line="282"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a corporate transaction (as defined in the ESPP), any then-outstanding rights to purchase our stock under the ESPP may</w:t>
      </w:r>
      <w:r>
        <w:rPr>
          <w:rFonts w:ascii="Arial" w:cs="Arial" w:eastAsia="Arial" w:hAnsi="Arial"/>
          <w:sz w:val="16"/>
          <w:szCs w:val="16"/>
          <w:i w:val="1"/>
          <w:iCs w:val="1"/>
          <w:color w:val="auto"/>
        </w:rPr>
        <w:t xml:space="preserve"> </w:t>
      </w:r>
      <w:r>
        <w:rPr>
          <w:rFonts w:ascii="Arial" w:cs="Arial" w:eastAsia="Arial" w:hAnsi="Arial"/>
          <w:sz w:val="16"/>
          <w:szCs w:val="16"/>
          <w:color w:val="auto"/>
        </w:rPr>
        <w:t>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prior to such corporate transaction, and such purchase rights will terminate immediately.</w:t>
      </w:r>
    </w:p>
    <w:p>
      <w:pPr>
        <w:spacing w:after="0" w:line="170" w:lineRule="exact"/>
        <w:rPr>
          <w:sz w:val="20"/>
          <w:szCs w:val="20"/>
          <w:color w:val="auto"/>
        </w:rPr>
      </w:pPr>
    </w:p>
    <w:p>
      <w:pPr>
        <w:ind w:right="340" w:firstLine="336"/>
        <w:spacing w:after="0" w:line="265" w:lineRule="auto"/>
        <w:rPr>
          <w:sz w:val="20"/>
          <w:szCs w:val="20"/>
          <w:color w:val="auto"/>
        </w:rPr>
      </w:pPr>
      <w:r>
        <w:rPr>
          <w:rFonts w:ascii="Arial" w:cs="Arial" w:eastAsia="Arial" w:hAnsi="Arial"/>
          <w:sz w:val="17"/>
          <w:szCs w:val="17"/>
          <w:i w:val="1"/>
          <w:iCs w:val="1"/>
          <w:color w:val="auto"/>
        </w:rPr>
        <w:t xml:space="preserve">ESPP Amendments, Termination. </w:t>
      </w:r>
      <w:r>
        <w:rPr>
          <w:rFonts w:ascii="Arial" w:cs="Arial" w:eastAsia="Arial" w:hAnsi="Arial"/>
          <w:sz w:val="17"/>
          <w:szCs w:val="17"/>
          <w:color w:val="auto"/>
        </w:rPr>
        <w:t>Our board of directors has the authority to amend or terminate our ESPP, provided that except in certain circumstances such</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or termination may not materially impair any outstanding purchase rights without the holder's consent. We will obtain stockholder approval of any amendment to our ESPP, as required by applicable law or listing requirements.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2017 Equity Incentive Plan</w:t>
      </w:r>
    </w:p>
    <w:p>
      <w:pPr>
        <w:spacing w:after="0" w:line="218" w:lineRule="exact"/>
        <w:rPr>
          <w:sz w:val="20"/>
          <w:szCs w:val="20"/>
          <w:color w:val="auto"/>
        </w:rPr>
      </w:pPr>
    </w:p>
    <w:p>
      <w:pPr>
        <w:jc w:val="both"/>
        <w:ind w:right="160" w:firstLine="336"/>
        <w:spacing w:after="0" w:line="265" w:lineRule="auto"/>
        <w:rPr>
          <w:sz w:val="20"/>
          <w:szCs w:val="20"/>
          <w:color w:val="auto"/>
        </w:rPr>
      </w:pPr>
      <w:r>
        <w:rPr>
          <w:rFonts w:ascii="Arial" w:cs="Arial" w:eastAsia="Arial" w:hAnsi="Arial"/>
          <w:sz w:val="17"/>
          <w:szCs w:val="17"/>
          <w:color w:val="auto"/>
        </w:rPr>
        <w:t>Our 2017 Plan was adopted by our board of directors and approved by our stockholders in June 2017, and was last amended in February 2019. Our 2017 Plan was terminated upon the effectiveness of the 2019 Plan we will not grant any additional stock awards under our 2017 Plan. However, our 2017 Plan will continue to govern the terms and conditions of the outstanding stock awards previously granted thereunder.</w:t>
      </w:r>
    </w:p>
    <w:p>
      <w:pPr>
        <w:spacing w:after="0" w:line="180" w:lineRule="exact"/>
        <w:rPr>
          <w:sz w:val="20"/>
          <w:szCs w:val="20"/>
          <w:color w:val="auto"/>
        </w:rPr>
      </w:pPr>
    </w:p>
    <w:p>
      <w:pPr>
        <w:ind w:right="60" w:firstLine="327"/>
        <w:spacing w:after="0" w:line="289" w:lineRule="auto"/>
        <w:rPr>
          <w:sz w:val="20"/>
          <w:szCs w:val="20"/>
          <w:color w:val="auto"/>
        </w:rPr>
      </w:pPr>
      <w:r>
        <w:rPr>
          <w:rFonts w:ascii="Arial" w:cs="Arial" w:eastAsia="Arial" w:hAnsi="Arial"/>
          <w:sz w:val="16"/>
          <w:szCs w:val="16"/>
          <w:color w:val="auto"/>
        </w:rPr>
        <w:t>As of September 30, 2019, stock options covering 15,933,954 shares of our common stock with a weighted-average exercise price of $2.22 per share were outstanding, and 645,290 shares of our common stock remained available for the future grant of stock awards under our 2017 Plan. Options granted under our 2017 Plan are subject to terms and conditions generally similar to those described above with respect to options that may be granted under our 2019 Plan.</w:t>
      </w:r>
    </w:p>
    <w:p>
      <w:pPr>
        <w:spacing w:after="0" w:line="163" w:lineRule="exact"/>
        <w:rPr>
          <w:sz w:val="20"/>
          <w:szCs w:val="20"/>
          <w:color w:val="auto"/>
        </w:rPr>
      </w:pPr>
    </w:p>
    <w:p>
      <w:pPr>
        <w:ind w:right="60" w:firstLine="336"/>
        <w:spacing w:after="0" w:line="265" w:lineRule="auto"/>
        <w:rPr>
          <w:sz w:val="20"/>
          <w:szCs w:val="20"/>
          <w:color w:val="auto"/>
        </w:rPr>
      </w:pPr>
      <w:r>
        <w:rPr>
          <w:rFonts w:ascii="Arial" w:cs="Arial" w:eastAsia="Arial" w:hAnsi="Arial"/>
          <w:sz w:val="17"/>
          <w:szCs w:val="17"/>
          <w:color w:val="auto"/>
        </w:rPr>
        <w:t>Our board of directors, or a committee of our board of directors, administers our 2017 Plan. The administrator, among other things, generally has the authority to construe and interpret our 2017 Plan and stock awards granted thereunder, and to make all other determinations necessary or advisable for the administration of the 2017 Plan.</w:t>
      </w:r>
    </w:p>
    <w:p>
      <w:pPr>
        <w:spacing w:after="0" w:line="180" w:lineRule="exact"/>
        <w:rPr>
          <w:sz w:val="20"/>
          <w:szCs w:val="20"/>
          <w:color w:val="auto"/>
        </w:rPr>
      </w:pPr>
    </w:p>
    <w:p>
      <w:pPr>
        <w:jc w:val="both"/>
        <w:ind w:right="180" w:firstLine="336"/>
        <w:spacing w:after="0" w:line="265" w:lineRule="auto"/>
        <w:rPr>
          <w:sz w:val="20"/>
          <w:szCs w:val="20"/>
          <w:color w:val="auto"/>
        </w:rPr>
      </w:pPr>
      <w:r>
        <w:rPr>
          <w:rFonts w:ascii="Arial" w:cs="Arial" w:eastAsia="Arial" w:hAnsi="Arial"/>
          <w:sz w:val="17"/>
          <w:szCs w:val="17"/>
          <w:color w:val="auto"/>
        </w:rPr>
        <w:t>In the event there is a specified type of change in our capital structure, such as a stock split, reverse stock split, or recapitalization, appropriate adjustments will be made to (i) the class and maximum number of shares reserved for issuance under the 2017 Plan, (ii) the class and maximum number of shares that may be issued upon the exercise of ISOs and (iii) the class, number, and price of shares subject to outstanding stock awards.</w:t>
      </w:r>
    </w:p>
    <w:p>
      <w:pPr>
        <w:spacing w:after="0" w:line="180" w:lineRule="exact"/>
        <w:rPr>
          <w:sz w:val="20"/>
          <w:szCs w:val="20"/>
          <w:color w:val="auto"/>
        </w:rPr>
      </w:pPr>
    </w:p>
    <w:p>
      <w:pPr>
        <w:ind w:right="100" w:firstLine="336"/>
        <w:spacing w:after="0" w:line="292" w:lineRule="auto"/>
        <w:rPr>
          <w:sz w:val="20"/>
          <w:szCs w:val="20"/>
          <w:color w:val="auto"/>
        </w:rPr>
      </w:pPr>
      <w:r>
        <w:rPr>
          <w:rFonts w:ascii="Arial" w:cs="Arial" w:eastAsia="Arial" w:hAnsi="Arial"/>
          <w:sz w:val="15"/>
          <w:szCs w:val="15"/>
          <w:color w:val="auto"/>
        </w:rPr>
        <w:t>Our 2017 Plan provides that in the event of a corporate transaction (as defined in the 2017 Plan), the administrator generally may take one or more of the following actions with respect to outstanding stock awards: (i) arrange for the assumption, continuation, or substitution of a stock award by a surviving or acquiring corporation;</w:t>
      </w:r>
    </w:p>
    <w:p>
      <w:pPr>
        <w:spacing w:after="0" w:line="1" w:lineRule="exact"/>
        <w:rPr>
          <w:sz w:val="20"/>
          <w:szCs w:val="20"/>
          <w:color w:val="auto"/>
        </w:rPr>
      </w:pPr>
    </w:p>
    <w:p>
      <w:pPr>
        <w:ind w:left="260" w:hanging="257"/>
        <w:spacing w:after="0"/>
        <w:tabs>
          <w:tab w:leader="none" w:pos="2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arrange for the assignment of any reacquisition or repurchase rights held by us to the surviving or acquiring corporation; (iii) accelerate the vesting, in whole or in</w:t>
      </w:r>
    </w:p>
    <w:p>
      <w:pPr>
        <w:spacing w:after="0" w:line="34" w:lineRule="exact"/>
        <w:rPr>
          <w:rFonts w:ascii="Arial" w:cs="Arial" w:eastAsia="Arial" w:hAnsi="Arial"/>
          <w:sz w:val="15"/>
          <w:szCs w:val="15"/>
          <w:color w:val="auto"/>
        </w:rPr>
      </w:pPr>
    </w:p>
    <w:p>
      <w:pPr>
        <w:spacing w:after="0" w:line="299" w:lineRule="auto"/>
        <w:rPr>
          <w:rFonts w:ascii="Arial" w:cs="Arial" w:eastAsia="Arial" w:hAnsi="Arial"/>
          <w:sz w:val="15"/>
          <w:szCs w:val="15"/>
          <w:color w:val="auto"/>
        </w:rPr>
      </w:pPr>
      <w:r>
        <w:rPr>
          <w:rFonts w:ascii="Arial" w:cs="Arial" w:eastAsia="Arial" w:hAnsi="Arial"/>
          <w:sz w:val="15"/>
          <w:szCs w:val="15"/>
          <w:color w:val="auto"/>
        </w:rPr>
        <w:t>part, of the stock award and provide for its termination if not exercised (if applicable) at or before the effective time of the transaction; (iv) arrange for the lapse, in whole or in part, of any reacquisition or repurchase rights held by us; (v) cancel or arrange for the cancellation of the stock award, to the extent not vested or not exercised before the effective time of the transaction, in exchange for a cash payment (including no consideration); or (vi) make a payment equal to the excess, if any, of (a) the value of the property the participant would have received on exercise of the award immediately before the effective time of the transaction, over (b) any exercise price payable by the participant in connection with the exercise. Our board of directors is not obligated to treat all awards or participants in the same manner.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2008 Stock Plan</w:t>
      </w:r>
    </w:p>
    <w:p>
      <w:pPr>
        <w:spacing w:after="0" w:line="218" w:lineRule="exact"/>
        <w:rPr>
          <w:sz w:val="20"/>
          <w:szCs w:val="20"/>
          <w:color w:val="auto"/>
        </w:rPr>
      </w:pPr>
    </w:p>
    <w:p>
      <w:pPr>
        <w:ind w:right="60" w:firstLine="336"/>
        <w:spacing w:after="0" w:line="265" w:lineRule="auto"/>
        <w:rPr>
          <w:sz w:val="20"/>
          <w:szCs w:val="20"/>
          <w:color w:val="auto"/>
        </w:rPr>
      </w:pPr>
      <w:r>
        <w:rPr>
          <w:rFonts w:ascii="Arial" w:cs="Arial" w:eastAsia="Arial" w:hAnsi="Arial"/>
          <w:sz w:val="17"/>
          <w:szCs w:val="17"/>
          <w:color w:val="auto"/>
        </w:rPr>
        <w:t>Our 2008 Plan was adopted by our board of directors and approved by our stockholders in 2008, and was last amended in 2016. Our 2008 Plan was terminated in connection with our adoption of the 2017 Plan, and no new awards may be granted under it. However, our 2008 Plan continues to govern the terms and conditions of the outstanding awards previously granted thereunder.</w:t>
      </w:r>
    </w:p>
    <w:p>
      <w:pPr>
        <w:spacing w:after="0" w:line="180" w:lineRule="exact"/>
        <w:rPr>
          <w:sz w:val="20"/>
          <w:szCs w:val="20"/>
          <w:color w:val="auto"/>
        </w:rPr>
      </w:pPr>
    </w:p>
    <w:p>
      <w:pPr>
        <w:ind w:right="220" w:firstLine="327"/>
        <w:spacing w:after="0" w:line="261" w:lineRule="auto"/>
        <w:rPr>
          <w:sz w:val="20"/>
          <w:szCs w:val="20"/>
          <w:color w:val="auto"/>
        </w:rPr>
      </w:pPr>
      <w:r>
        <w:rPr>
          <w:rFonts w:ascii="Arial" w:cs="Arial" w:eastAsia="Arial" w:hAnsi="Arial"/>
          <w:sz w:val="17"/>
          <w:szCs w:val="17"/>
          <w:color w:val="auto"/>
        </w:rPr>
        <w:t>As of September 30, 2019, stock options covering 1,475,712 shares of our common stock with a weighted-average exercise price of $0.97 per share were outstanding. Options granted under our 2008 Plan are subject to terms and conditions generally similar to those described above with respect to options that may be granted under our 2019 Plan, except the period following termination that an option may remain exercisable in the event of death or disability is generally shorter than the corresponding period under the 2019 Plan.</w:t>
      </w:r>
    </w:p>
    <w:p>
      <w:pPr>
        <w:spacing w:after="0" w:line="184" w:lineRule="exact"/>
        <w:rPr>
          <w:sz w:val="20"/>
          <w:szCs w:val="20"/>
          <w:color w:val="auto"/>
        </w:rPr>
      </w:pPr>
    </w:p>
    <w:p>
      <w:pPr>
        <w:ind w:right="80" w:firstLine="336"/>
        <w:spacing w:after="0" w:line="345" w:lineRule="auto"/>
        <w:rPr>
          <w:sz w:val="20"/>
          <w:szCs w:val="20"/>
          <w:color w:val="auto"/>
        </w:rPr>
      </w:pPr>
      <w:r>
        <w:rPr>
          <w:rFonts w:ascii="Arial" w:cs="Arial" w:eastAsia="Arial" w:hAnsi="Arial"/>
          <w:sz w:val="15"/>
          <w:szCs w:val="15"/>
          <w:color w:val="auto"/>
        </w:rPr>
        <w:t>Our board of directors, or a committee of our board of directors, administers our 2008 Plan. The administrator, among other things, generally has the authority to construe and interpret our 2008 Plan and awards granted thereunder, and to make all other determinations necessary or advisable for the administration of the 2008 Plan.</w:t>
      </w:r>
    </w:p>
    <w:p>
      <w:pPr>
        <w:spacing w:after="0" w:line="125" w:lineRule="exact"/>
        <w:rPr>
          <w:sz w:val="20"/>
          <w:szCs w:val="20"/>
          <w:color w:val="auto"/>
        </w:rPr>
      </w:pPr>
    </w:p>
    <w:p>
      <w:pPr>
        <w:ind w:right="660" w:firstLine="336"/>
        <w:spacing w:after="0" w:line="276" w:lineRule="auto"/>
        <w:rPr>
          <w:sz w:val="20"/>
          <w:szCs w:val="20"/>
          <w:color w:val="auto"/>
        </w:rPr>
      </w:pPr>
      <w:r>
        <w:rPr>
          <w:rFonts w:ascii="Arial" w:cs="Arial" w:eastAsia="Arial" w:hAnsi="Arial"/>
          <w:sz w:val="17"/>
          <w:szCs w:val="17"/>
          <w:color w:val="auto"/>
        </w:rPr>
        <w:t>In the event there is a specified type of change in our capital structure, such as a stock split, reverse stock split, or recapitalization of our outstanding stock, proportionate adjustments will be made to the number, class, and price of shares covered by each outstanding award.</w:t>
      </w:r>
    </w:p>
    <w:p>
      <w:pPr>
        <w:spacing w:after="0" w:line="171" w:lineRule="exact"/>
        <w:rPr>
          <w:sz w:val="20"/>
          <w:szCs w:val="20"/>
          <w:color w:val="auto"/>
        </w:rPr>
      </w:pPr>
    </w:p>
    <w:p>
      <w:pPr>
        <w:ind w:firstLine="336"/>
        <w:spacing w:after="0" w:line="257" w:lineRule="auto"/>
        <w:rPr>
          <w:sz w:val="20"/>
          <w:szCs w:val="20"/>
          <w:color w:val="auto"/>
        </w:rPr>
      </w:pPr>
      <w:r>
        <w:rPr>
          <w:rFonts w:ascii="Arial" w:cs="Arial" w:eastAsia="Arial" w:hAnsi="Arial"/>
          <w:sz w:val="17"/>
          <w:szCs w:val="17"/>
          <w:color w:val="auto"/>
        </w:rPr>
        <w:t>Our 2008 Plan provides that in the event of a corporate transaction (as defined in the 2008 Plan), our board of directors will take one or more of the following actions with respect to outstanding awards: (i) arrange for the assumption, continuation, or substitution of an award by a surviving or acquiring corporation; (ii) arrange for the assignment of any reacquisition or repurchase rights held by us to the surviving or acquiring corporation; (iii) accelerate the vesting, in whole or in part, of the award and provide for its termination if not exercised (if applicable) at or before the effective time of the transaction; (iv) arrange for the lapse of any reacquisition or repurchase rights held by us; (v) cancel or arrange for the cancellation of the award, to the extent not vested or not exercised before the effective time of the transaction, in exchange for a cash payment, if any; or (vi) make a payment equal to the excess, if any, of (a) the value of the property the participant would have received on exercise of the award, over (b) any exercise price payable by the participant in connection with the exercise. Our board of directors is not obligated to treat all awards or participants in the same manner.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401(k) Plan</w:t>
      </w:r>
    </w:p>
    <w:p>
      <w:pPr>
        <w:spacing w:after="0" w:line="218" w:lineRule="exact"/>
        <w:rPr>
          <w:sz w:val="20"/>
          <w:szCs w:val="20"/>
          <w:color w:val="auto"/>
        </w:rPr>
      </w:pPr>
    </w:p>
    <w:p>
      <w:pPr>
        <w:ind w:firstLine="333"/>
        <w:spacing w:after="0" w:line="302" w:lineRule="auto"/>
        <w:rPr>
          <w:sz w:val="20"/>
          <w:szCs w:val="20"/>
          <w:color w:val="auto"/>
        </w:rPr>
      </w:pPr>
      <w:r>
        <w:rPr>
          <w:rFonts w:ascii="Arial" w:cs="Arial" w:eastAsia="Arial" w:hAnsi="Arial"/>
          <w:sz w:val="15"/>
          <w:szCs w:val="15"/>
          <w:color w:val="auto"/>
        </w:rPr>
        <w:t>We maintain a 401(k) plan that provides eligible U.S. employees with an opportunity to save for retirement on a tax advantaged basis. Eligible employees are able to defer eligible compensation up to certain Code limits, which are updated annually. Currently, we match 50% of the contributions that eligible employees make to the 401(k) plan up to 6% of the employee's eligible compensation.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of Liability and Indemnification Matters</w:t>
      </w:r>
    </w:p>
    <w:p>
      <w:pPr>
        <w:spacing w:after="0" w:line="222" w:lineRule="exact"/>
        <w:rPr>
          <w:sz w:val="20"/>
          <w:szCs w:val="20"/>
          <w:color w:val="auto"/>
        </w:rPr>
      </w:pPr>
    </w:p>
    <w:p>
      <w:pPr>
        <w:ind w:right="320" w:firstLine="336"/>
        <w:spacing w:after="0" w:line="308" w:lineRule="auto"/>
        <w:rPr>
          <w:sz w:val="20"/>
          <w:szCs w:val="20"/>
          <w:color w:val="auto"/>
        </w:rPr>
      </w:pPr>
      <w:r>
        <w:rPr>
          <w:rFonts w:ascii="Arial" w:cs="Arial" w:eastAsia="Arial" w:hAnsi="Arial"/>
          <w:sz w:val="16"/>
          <w:szCs w:val="16"/>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not be personally liable for monetary damages for any breach of fiduciary duties as directors, except liability for:</w:t>
      </w:r>
    </w:p>
    <w:p>
      <w:pPr>
        <w:spacing w:after="0" w:line="231" w:lineRule="exact"/>
        <w:rPr>
          <w:sz w:val="20"/>
          <w:szCs w:val="20"/>
          <w:color w:val="auto"/>
        </w:rPr>
      </w:pPr>
    </w:p>
    <w:p>
      <w:pPr>
        <w:ind w:left="1040" w:hanging="519"/>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or</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18" w:lineRule="exact"/>
        <w:rPr>
          <w:sz w:val="20"/>
          <w:szCs w:val="20"/>
          <w:color w:val="auto"/>
        </w:rPr>
      </w:pPr>
    </w:p>
    <w:p>
      <w:pPr>
        <w:ind w:right="600" w:firstLine="336"/>
        <w:spacing w:after="0" w:line="276" w:lineRule="auto"/>
        <w:rPr>
          <w:sz w:val="20"/>
          <w:szCs w:val="20"/>
          <w:color w:val="auto"/>
        </w:rPr>
      </w:pPr>
      <w:r>
        <w:rPr>
          <w:rFonts w:ascii="Arial" w:cs="Arial" w:eastAsia="Arial" w:hAnsi="Arial"/>
          <w:sz w:val="17"/>
          <w:szCs w:val="17"/>
          <w:color w:val="auto"/>
        </w:rPr>
        <w:t>Such limitation of liability does not apply to liabilities arising under federal securities laws and does not affect the availability of equitable remedies such as injunctive relief or rescission.</w:t>
      </w:r>
    </w:p>
    <w:p>
      <w:pPr>
        <w:spacing w:after="0" w:line="171" w:lineRule="exact"/>
        <w:rPr>
          <w:sz w:val="20"/>
          <w:szCs w:val="20"/>
          <w:color w:val="auto"/>
        </w:rPr>
      </w:pPr>
    </w:p>
    <w:p>
      <w:pPr>
        <w:ind w:firstLine="336"/>
        <w:spacing w:after="0" w:line="273" w:lineRule="auto"/>
        <w:rPr>
          <w:sz w:val="20"/>
          <w:szCs w:val="20"/>
          <w:color w:val="auto"/>
        </w:rPr>
      </w:pPr>
      <w:r>
        <w:rPr>
          <w:rFonts w:ascii="Arial" w:cs="Arial" w:eastAsia="Arial" w:hAnsi="Arial"/>
          <w:sz w:val="16"/>
          <w:szCs w:val="16"/>
          <w:color w:val="auto"/>
        </w:rPr>
        <w:t>Our amended and restated certificate of incorporation that will be in effect on the completion of this offering will authorize us to indemnify our directors, officers, employees and other agents to the fullest extent permitted by Delaware law. 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1" w:lineRule="exact"/>
        <w:rPr>
          <w:sz w:val="20"/>
          <w:szCs w:val="20"/>
          <w:color w:val="auto"/>
        </w:rPr>
      </w:pPr>
    </w:p>
    <w:p>
      <w:pPr>
        <w:ind w:right="60" w:firstLine="333"/>
        <w:spacing w:after="0" w:line="307" w:lineRule="auto"/>
        <w:rPr>
          <w:sz w:val="20"/>
          <w:szCs w:val="20"/>
          <w:color w:val="auto"/>
        </w:rPr>
      </w:pPr>
      <w:r>
        <w:rPr>
          <w:rFonts w:ascii="Arial" w:cs="Arial" w:eastAsia="Arial" w:hAnsi="Arial"/>
          <w:sz w:val="15"/>
          <w:szCs w:val="15"/>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52" w:lineRule="exact"/>
        <w:rPr>
          <w:sz w:val="20"/>
          <w:szCs w:val="20"/>
          <w:color w:val="auto"/>
        </w:rPr>
      </w:pPr>
    </w:p>
    <w:p>
      <w:pPr>
        <w:ind w:right="180" w:firstLine="336"/>
        <w:spacing w:after="0" w:line="345" w:lineRule="auto"/>
        <w:rPr>
          <w:sz w:val="20"/>
          <w:szCs w:val="20"/>
          <w:color w:val="auto"/>
        </w:rPr>
      </w:pPr>
      <w:r>
        <w:rPr>
          <w:rFonts w:ascii="Arial" w:cs="Arial" w:eastAsia="Arial" w:hAnsi="Arial"/>
          <w:sz w:val="15"/>
          <w:szCs w:val="15"/>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222" w:lineRule="exact"/>
        <w:rPr>
          <w:sz w:val="20"/>
          <w:szCs w:val="20"/>
          <w:color w:val="auto"/>
        </w:rPr>
      </w:pPr>
    </w:p>
    <w:p>
      <w:pPr>
        <w:ind w:firstLine="336"/>
        <w:spacing w:after="0" w:line="259" w:lineRule="auto"/>
        <w:rPr>
          <w:sz w:val="20"/>
          <w:szCs w:val="20"/>
          <w:color w:val="auto"/>
        </w:rPr>
      </w:pPr>
      <w:r>
        <w:rPr>
          <w:rFonts w:ascii="Arial" w:cs="Arial" w:eastAsia="Arial" w:hAnsi="Arial"/>
          <w:sz w:val="17"/>
          <w:szCs w:val="17"/>
          <w:color w:val="auto"/>
        </w:rPr>
        <w:t>Our directors and officers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2" w:lineRule="exact"/>
        <w:rPr>
          <w:sz w:val="20"/>
          <w:szCs w:val="20"/>
          <w:color w:val="auto"/>
        </w:rPr>
      </w:pPr>
    </w:p>
    <w:p>
      <w:pPr>
        <w:ind w:right="560" w:firstLine="336"/>
        <w:spacing w:after="0" w:line="276" w:lineRule="auto"/>
        <w:rPr>
          <w:sz w:val="20"/>
          <w:szCs w:val="20"/>
          <w:color w:val="auto"/>
        </w:rPr>
      </w:pPr>
      <w:r>
        <w:rPr>
          <w:rFonts w:ascii="Arial" w:cs="Arial" w:eastAsia="Arial" w:hAnsi="Arial"/>
          <w:sz w:val="17"/>
          <w:szCs w:val="17"/>
          <w:color w:val="auto"/>
        </w:rPr>
        <w:t>Other than compensation arrangements for our directors and named executive officers, which are described elsewhere in this prospectus, below we describe transactions since January 1, 2016 to which we were a party or will be a party, in which:</w:t>
      </w:r>
    </w:p>
    <w:p>
      <w:pPr>
        <w:spacing w:after="0" w:line="184" w:lineRule="exact"/>
        <w:rPr>
          <w:sz w:val="20"/>
          <w:szCs w:val="20"/>
          <w:color w:val="auto"/>
        </w:rPr>
      </w:pPr>
    </w:p>
    <w:p>
      <w:pPr>
        <w:ind w:left="1040" w:hanging="519"/>
        <w:spacing w:after="0"/>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244" w:lineRule="exact"/>
        <w:rPr>
          <w:rFonts w:ascii="Arial" w:cs="Arial" w:eastAsia="Arial" w:hAnsi="Arial"/>
          <w:sz w:val="17"/>
          <w:szCs w:val="17"/>
          <w:color w:val="auto"/>
        </w:rPr>
      </w:pPr>
    </w:p>
    <w:p>
      <w:pPr>
        <w:ind w:left="1040" w:right="120" w:hanging="519"/>
        <w:spacing w:after="0" w:line="276" w:lineRule="auto"/>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any affiliate or member of the immediate family of, or person sharing the household with, the foregoing persons,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B Preferred Stock Financing</w:t>
      </w:r>
    </w:p>
    <w:p>
      <w:pPr>
        <w:spacing w:after="0" w:line="222" w:lineRule="exact"/>
        <w:rPr>
          <w:sz w:val="20"/>
          <w:szCs w:val="20"/>
          <w:color w:val="auto"/>
        </w:rPr>
      </w:pPr>
    </w:p>
    <w:p>
      <w:pPr>
        <w:ind w:right="60" w:firstLine="336"/>
        <w:spacing w:after="0" w:line="299" w:lineRule="auto"/>
        <w:rPr>
          <w:sz w:val="20"/>
          <w:szCs w:val="20"/>
          <w:color w:val="auto"/>
        </w:rPr>
      </w:pPr>
      <w:r>
        <w:rPr>
          <w:rFonts w:ascii="Arial" w:cs="Arial" w:eastAsia="Arial" w:hAnsi="Arial"/>
          <w:sz w:val="15"/>
          <w:szCs w:val="15"/>
          <w:color w:val="auto"/>
        </w:rPr>
        <w:t>Between June 2016 and November 2017, we sold an aggregate of approximately 18,000,000 shares of our Series B Preferred Stock at a price per share of $1.73 for an aggregate purchase price of approximately $31 million in private placements to accredited investors. The table below sets forth the number of shares of our Series B Preferred Stock and warrants exercisable for shares of our Series B Preferred Stock purchased by our executive officers, directors, holders of more than 5% of our share capital and their affiliated entities or immediate family members. Each share of Series B Preferred Stock in the table below will automatically convert into one common share upon the completion of this offering. The holders of our Series B Preferred Stock listed below are entitled to specified registration rights. See the section titled "Description of Capital Stock—Registration Rights" for more information regarding these registration rights.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Shares of Series B</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Total Purchase</w:t>
            </w:r>
          </w:p>
        </w:tc>
      </w:tr>
      <w:tr>
        <w:trPr>
          <w:trHeight w:val="155"/>
        </w:trPr>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7"/>
              </w:rPr>
              <w:t>Stockholder</w:t>
            </w:r>
          </w:p>
        </w:tc>
        <w:tc>
          <w:tcPr>
            <w:tcW w:w="5940" w:type="dxa"/>
            <w:vAlign w:val="bottom"/>
            <w:gridSpan w:val="2"/>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Price ($)</w:t>
            </w:r>
          </w:p>
        </w:tc>
        <w:tc>
          <w:tcPr>
            <w:tcW w:w="160" w:type="dxa"/>
            <w:vAlign w:val="bottom"/>
          </w:tcPr>
          <w:p>
            <w:pPr>
              <w:spacing w:after="0"/>
              <w:rPr>
                <w:sz w:val="13"/>
                <w:szCs w:val="13"/>
                <w:color w:val="auto"/>
              </w:rPr>
            </w:pPr>
          </w:p>
        </w:tc>
      </w:tr>
      <w:tr>
        <w:trPr>
          <w:trHeight w:val="239"/>
        </w:trPr>
        <w:tc>
          <w:tcPr>
            <w:tcW w:w="6620" w:type="dxa"/>
            <w:vAlign w:val="bottom"/>
            <w:gridSpan w:val="3"/>
            <w:shd w:val="clear" w:color="auto" w:fill="CCEEFF"/>
          </w:tcPr>
          <w:p>
            <w:pPr>
              <w:spacing w:after="0" w:line="239" w:lineRule="exact"/>
              <w:rPr>
                <w:sz w:val="20"/>
                <w:szCs w:val="20"/>
                <w:color w:val="auto"/>
              </w:rPr>
            </w:pPr>
            <w:r>
              <w:rPr>
                <w:rFonts w:ascii="Arial" w:cs="Arial" w:eastAsia="Arial" w:hAnsi="Arial"/>
                <w:sz w:val="16"/>
                <w:szCs w:val="16"/>
                <w:color w:val="auto"/>
              </w:rPr>
              <w:t>TPG Biotechnology Partners III, L.P.</w:t>
            </w:r>
            <w:r>
              <w:rPr>
                <w:rFonts w:ascii="Arial" w:cs="Arial" w:eastAsia="Arial" w:hAnsi="Arial"/>
                <w:sz w:val="27"/>
                <w:szCs w:val="27"/>
                <w:color w:val="auto"/>
                <w:vertAlign w:val="superscript"/>
              </w:rPr>
              <w:t>(1)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4,388,689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7,574,388</w:t>
            </w:r>
          </w:p>
        </w:tc>
      </w:tr>
      <w:tr>
        <w:trPr>
          <w:trHeight w:val="246"/>
        </w:trPr>
        <w:tc>
          <w:tcPr>
            <w:tcW w:w="6620" w:type="dxa"/>
            <w:vAlign w:val="bottom"/>
            <w:gridSpan w:val="3"/>
          </w:tcPr>
          <w:p>
            <w:pPr>
              <w:spacing w:after="0" w:line="246" w:lineRule="exact"/>
              <w:rPr>
                <w:sz w:val="20"/>
                <w:szCs w:val="20"/>
                <w:color w:val="auto"/>
              </w:rPr>
            </w:pPr>
            <w:r>
              <w:rPr>
                <w:rFonts w:ascii="Arial" w:cs="Arial" w:eastAsia="Arial" w:hAnsi="Arial"/>
                <w:sz w:val="17"/>
                <w:szCs w:val="17"/>
                <w:color w:val="auto"/>
              </w:rPr>
              <w:t>KPCB Holdings, Inc., as nominee</w:t>
            </w:r>
            <w:r>
              <w:rPr>
                <w:rFonts w:ascii="Arial" w:cs="Arial" w:eastAsia="Arial" w:hAnsi="Arial"/>
                <w:sz w:val="28"/>
                <w:szCs w:val="28"/>
                <w:color w:val="auto"/>
                <w:vertAlign w:val="superscript"/>
              </w:rPr>
              <w:t>(2)</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3,635,950</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6,274,106</w:t>
            </w:r>
          </w:p>
        </w:tc>
      </w:tr>
      <w:tr>
        <w:trPr>
          <w:trHeight w:val="246"/>
        </w:trPr>
        <w:tc>
          <w:tcPr>
            <w:tcW w:w="662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S.R. One, Limited</w:t>
            </w:r>
            <w:r>
              <w:rPr>
                <w:rFonts w:ascii="Arial" w:cs="Arial" w:eastAsia="Arial" w:hAnsi="Arial"/>
                <w:sz w:val="28"/>
                <w:szCs w:val="28"/>
                <w:color w:val="auto"/>
                <w:vertAlign w:val="superscript"/>
              </w:rPr>
              <w:t>(3)</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2,408,065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4,156,052</w:t>
            </w:r>
          </w:p>
        </w:tc>
      </w:tr>
      <w:tr>
        <w:trPr>
          <w:trHeight w:val="349"/>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EVO Eagle, LLC</w:t>
            </w:r>
            <w:r>
              <w:rPr>
                <w:rFonts w:ascii="Arial" w:cs="Arial" w:eastAsia="Arial" w:hAnsi="Arial"/>
                <w:sz w:val="28"/>
                <w:szCs w:val="28"/>
                <w:color w:val="auto"/>
                <w:vertAlign w:val="superscript"/>
              </w:rPr>
              <w:t>(4)</w:t>
            </w:r>
          </w:p>
        </w:tc>
        <w:tc>
          <w:tcPr>
            <w:tcW w:w="42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2,897,058</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5,000,000</w:t>
            </w:r>
          </w:p>
        </w:tc>
      </w:tr>
    </w:tbl>
    <w:p>
      <w:pPr>
        <w:spacing w:after="0" w:line="185" w:lineRule="exact"/>
        <w:rPr>
          <w:sz w:val="20"/>
          <w:szCs w:val="20"/>
          <w:color w:val="auto"/>
        </w:rPr>
      </w:pPr>
    </w:p>
    <w:p>
      <w:pPr>
        <w:ind w:left="1660" w:right="380" w:hanging="514"/>
        <w:spacing w:after="0" w:line="250" w:lineRule="auto"/>
        <w:tabs>
          <w:tab w:leader="none" w:pos="16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Dr. Cohen, a member of our board of directors, is a Senior Advisor to TPG, which is an affiliate of TPG Biotechnology Partners III, L.P. See the section titled "Principal and Selling Stockholders" for additional information regarding TPG Biotechnology Partners III, L.P.</w:t>
      </w:r>
    </w:p>
    <w:p>
      <w:pPr>
        <w:spacing w:after="0" w:line="102" w:lineRule="exact"/>
        <w:rPr>
          <w:rFonts w:ascii="Arial" w:cs="Arial" w:eastAsia="Arial" w:hAnsi="Arial"/>
          <w:sz w:val="13"/>
          <w:szCs w:val="13"/>
          <w:color w:val="auto"/>
        </w:rPr>
      </w:pPr>
    </w:p>
    <w:p>
      <w:pPr>
        <w:ind w:left="1660" w:right="120" w:hanging="514"/>
        <w:spacing w:after="0" w:line="250" w:lineRule="auto"/>
        <w:tabs>
          <w:tab w:leader="none" w:pos="16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Dr. Seidenberg, a member of our board of directors, is a partner at Kleiner Perkins. See the section titled "Principal and Selling Stockholders" for additional information regarding KPCB Holdings, Inc.</w:t>
      </w:r>
    </w:p>
    <w:p>
      <w:pPr>
        <w:spacing w:after="0" w:line="102" w:lineRule="exact"/>
        <w:rPr>
          <w:rFonts w:ascii="Arial" w:cs="Arial" w:eastAsia="Arial" w:hAnsi="Arial"/>
          <w:sz w:val="13"/>
          <w:szCs w:val="13"/>
          <w:color w:val="auto"/>
        </w:rPr>
      </w:pPr>
    </w:p>
    <w:p>
      <w:pPr>
        <w:ind w:left="1660" w:right="20" w:hanging="514"/>
        <w:spacing w:after="0" w:line="250" w:lineRule="auto"/>
        <w:tabs>
          <w:tab w:leader="none" w:pos="16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Dr. George, a member of our board of directors, is a partner at S.R. One, Limited. See the section titled "Principal and Selling Stockholders" for additional information regarding S.R. One, Limited.</w:t>
      </w:r>
    </w:p>
    <w:p>
      <w:pPr>
        <w:spacing w:after="0" w:line="102" w:lineRule="exact"/>
        <w:rPr>
          <w:rFonts w:ascii="Arial" w:cs="Arial" w:eastAsia="Arial" w:hAnsi="Arial"/>
          <w:sz w:val="13"/>
          <w:szCs w:val="13"/>
          <w:color w:val="auto"/>
        </w:rPr>
      </w:pPr>
    </w:p>
    <w:p>
      <w:pPr>
        <w:ind w:left="1660" w:hanging="514"/>
        <w:spacing w:after="0"/>
        <w:tabs>
          <w:tab w:leader="none" w:pos="16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Dr. Payson, a member of our board of directors, and his spouse share voting and dispositive power over the shares held by EVO Eagle, LLC.</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 Rights, Voting, and Co-Sale Agreements</w:t>
      </w:r>
    </w:p>
    <w:p>
      <w:pPr>
        <w:spacing w:after="0" w:line="222" w:lineRule="exact"/>
        <w:rPr>
          <w:sz w:val="20"/>
          <w:szCs w:val="20"/>
          <w:color w:val="auto"/>
        </w:rPr>
      </w:pPr>
    </w:p>
    <w:p>
      <w:pPr>
        <w:ind w:firstLine="336"/>
        <w:spacing w:after="0" w:line="299" w:lineRule="auto"/>
        <w:rPr>
          <w:sz w:val="20"/>
          <w:szCs w:val="20"/>
          <w:color w:val="auto"/>
        </w:rPr>
      </w:pPr>
      <w:r>
        <w:rPr>
          <w:rFonts w:ascii="Arial" w:cs="Arial" w:eastAsia="Arial" w:hAnsi="Arial"/>
          <w:sz w:val="15"/>
          <w:szCs w:val="15"/>
          <w:color w:val="auto"/>
        </w:rPr>
        <w:t>In connection with our convertible preferred stock financings, we entered into investors' rights, voting, and right of first refusal and co-sale agreements containing registration rights, information rights, voting rights with respect to the election of directors, co-sale rights and rights of first refusal, among other things, with certain holders of our capital stock. The parties to the investors' rights agreement include KPCB Holdings, Inc., S.R. One, Limited, TPG Biotechnology Partners III, L.P., Merck Ventures B.V. and EVO Eagle, LLC, an entity owned by Dr. Payson and his wife. The parties to the voting agreement include Mr. Schlanger, Mr. Anevski, KPCB Holdings, Inc., S.R. One, Limited, TPG Biotechnology Partners III, L.P., Merck Ventures B.V. and EVO Eagle, LLC. The parties to the co-sale agreement include KPCB Holdings, Inc., S.R. One, Limited, TPG Biotechnology Partners III, L.P. and Merck Ventures B.V. These stockholder agreements will terminate upon the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completion of this offering, except for the registration rights granted under our investors' rights agreement, as more fully described in "Description of Capital Stock— Stockholder Registration Rights." Since January 1, 2016, we have waived our right of first refusal in connection with the sale of certain shares of our capital stock, including sales by certain of our directors, executive officers, and principal stockholders, resulting in the purchase of such shares by certain of our stockholders, including related persons. See also the section titled "Principal and Selling Stockholders" for additional information regarding beneficial ownership of our capital stock.</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Purchase Agreement</w:t>
      </w:r>
    </w:p>
    <w:p>
      <w:pPr>
        <w:spacing w:after="0" w:line="222" w:lineRule="exact"/>
        <w:rPr>
          <w:sz w:val="20"/>
          <w:szCs w:val="20"/>
          <w:color w:val="auto"/>
        </w:rPr>
      </w:pPr>
    </w:p>
    <w:p>
      <w:pPr>
        <w:ind w:right="20" w:firstLine="336"/>
        <w:spacing w:after="0" w:line="259" w:lineRule="auto"/>
        <w:rPr>
          <w:sz w:val="20"/>
          <w:szCs w:val="20"/>
          <w:color w:val="auto"/>
        </w:rPr>
      </w:pPr>
      <w:r>
        <w:rPr>
          <w:rFonts w:ascii="Arial" w:cs="Arial" w:eastAsia="Arial" w:hAnsi="Arial"/>
          <w:sz w:val="17"/>
          <w:szCs w:val="17"/>
          <w:color w:val="auto"/>
        </w:rPr>
        <w:t>In June 2018, we entered into a Stock Purchase Agreement with our former Chief Executive Officer, and certain other holders of our capital stock, including KPCB Holdings, Inc., S.R. One, Limited and TPG Biotechnology Partners III, L.P., pursuant to which we and the other holders purchased our former Chief Executive Officer's entire equity interest in us for an aggregate purchase price of approximately $10.0 million; $2.5 million of which was paid by us. In connection with the stock purchase agreement, we and the other purchasers waived all claims against our former Chief Executive Officer and our former Chief Executive Officer waived all claims against us and the other purchasers.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EEVA Technology</w:t>
      </w:r>
    </w:p>
    <w:p>
      <w:pPr>
        <w:spacing w:after="0" w:line="222" w:lineRule="exact"/>
        <w:rPr>
          <w:sz w:val="20"/>
          <w:szCs w:val="20"/>
          <w:color w:val="auto"/>
        </w:rPr>
      </w:pPr>
    </w:p>
    <w:p>
      <w:pPr>
        <w:ind w:right="140" w:firstLine="336"/>
        <w:spacing w:after="0" w:line="292" w:lineRule="auto"/>
        <w:rPr>
          <w:sz w:val="20"/>
          <w:szCs w:val="20"/>
          <w:color w:val="auto"/>
        </w:rPr>
      </w:pPr>
      <w:r>
        <w:rPr>
          <w:rFonts w:ascii="Arial" w:cs="Arial" w:eastAsia="Arial" w:hAnsi="Arial"/>
          <w:sz w:val="15"/>
          <w:szCs w:val="15"/>
          <w:color w:val="auto"/>
        </w:rPr>
        <w:t>In January 2018, we entered into an Asset Purchase Agreement with Ares Trading S.A., or Ares, an affiliate of Merck Ventures B.V., a holder of our capital stock, pursuant to which we sold all of the intellectual property related to our early embryo viability assessment, or EEVA, technology for $7.9 million, consisting of</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$3.0 million in cash and the forgiveness of a $4.9 million liability remaining from the previous license agreement with Ares for the Eeva product. The cash consideration included $0.3 million of deferred consideration, of which the last payment was received by us in March 2019.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Grants to Directors and Executive Officers</w:t>
      </w:r>
    </w:p>
    <w:p>
      <w:pPr>
        <w:spacing w:after="0" w:line="222" w:lineRule="exact"/>
        <w:rPr>
          <w:sz w:val="20"/>
          <w:szCs w:val="20"/>
          <w:color w:val="auto"/>
        </w:rPr>
      </w:pPr>
    </w:p>
    <w:p>
      <w:pPr>
        <w:ind w:right="120" w:firstLine="333"/>
        <w:spacing w:after="0" w:line="276" w:lineRule="auto"/>
        <w:rPr>
          <w:sz w:val="20"/>
          <w:szCs w:val="20"/>
          <w:color w:val="auto"/>
        </w:rPr>
      </w:pPr>
      <w:r>
        <w:rPr>
          <w:rFonts w:ascii="Arial" w:cs="Arial" w:eastAsia="Arial" w:hAnsi="Arial"/>
          <w:sz w:val="17"/>
          <w:szCs w:val="17"/>
          <w:color w:val="auto"/>
        </w:rPr>
        <w:t>We have granted stock options to certain of our directors and executive officers. For more information regarding the stock options and stock awards granted to our directors and named executive officers, see "Management—Director Compensation" and "Executive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2" w:lineRule="exact"/>
        <w:rPr>
          <w:sz w:val="20"/>
          <w:szCs w:val="20"/>
          <w:color w:val="auto"/>
        </w:rPr>
      </w:pPr>
    </w:p>
    <w:p>
      <w:pPr>
        <w:ind w:right="80" w:firstLine="336"/>
        <w:spacing w:after="0" w:line="299" w:lineRule="auto"/>
        <w:rPr>
          <w:sz w:val="20"/>
          <w:szCs w:val="20"/>
          <w:color w:val="auto"/>
        </w:rPr>
      </w:pPr>
      <w:r>
        <w:rPr>
          <w:rFonts w:ascii="Arial" w:cs="Arial" w:eastAsia="Arial" w:hAnsi="Arial"/>
          <w:sz w:val="15"/>
          <w:szCs w:val="15"/>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Transactions with Related Persons</w:t>
      </w:r>
    </w:p>
    <w:p>
      <w:pPr>
        <w:spacing w:after="0" w:line="222" w:lineRule="exact"/>
        <w:rPr>
          <w:sz w:val="20"/>
          <w:szCs w:val="20"/>
          <w:color w:val="auto"/>
        </w:rPr>
      </w:pPr>
    </w:p>
    <w:p>
      <w:pPr>
        <w:ind w:right="220" w:firstLine="333"/>
        <w:spacing w:after="0" w:line="261" w:lineRule="auto"/>
        <w:rPr>
          <w:sz w:val="20"/>
          <w:szCs w:val="20"/>
          <w:color w:val="auto"/>
        </w:rPr>
      </w:pPr>
      <w:r>
        <w:rPr>
          <w:rFonts w:ascii="Arial" w:cs="Arial" w:eastAsia="Arial" w:hAnsi="Arial"/>
          <w:sz w:val="17"/>
          <w:szCs w:val="17"/>
          <w:color w:val="auto"/>
        </w:rPr>
        <w:t>We have adopted a policy that our executive officers, directors, nominees for election as a director, beneficial owners of more than 5%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beneficial owner of more than 5%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PRINCIPAL AND SELLING STOCKHOLDERS</w:t>
      </w:r>
    </w:p>
    <w:p>
      <w:pPr>
        <w:spacing w:after="0" w:line="222" w:lineRule="exact"/>
        <w:rPr>
          <w:sz w:val="20"/>
          <w:szCs w:val="20"/>
          <w:color w:val="auto"/>
        </w:rPr>
      </w:pPr>
    </w:p>
    <w:p>
      <w:pPr>
        <w:ind w:right="80" w:firstLine="333"/>
        <w:spacing w:after="0" w:line="276" w:lineRule="auto"/>
        <w:rPr>
          <w:sz w:val="20"/>
          <w:szCs w:val="20"/>
          <w:color w:val="auto"/>
        </w:rPr>
      </w:pPr>
      <w:r>
        <w:rPr>
          <w:rFonts w:ascii="Arial" w:cs="Arial" w:eastAsia="Arial" w:hAnsi="Arial"/>
          <w:sz w:val="17"/>
          <w:szCs w:val="17"/>
          <w:color w:val="auto"/>
        </w:rPr>
        <w:t>The following table sets forth information with respect to the beneficial ownership of our shares as of September 30, 2019, as adjusted to reflect our and the selling stockholders' sale of common stock in this offering, by:</w:t>
      </w:r>
    </w:p>
    <w:p>
      <w:pPr>
        <w:spacing w:after="0" w:line="184" w:lineRule="exact"/>
        <w:rPr>
          <w:sz w:val="20"/>
          <w:szCs w:val="20"/>
          <w:color w:val="auto"/>
        </w:rPr>
      </w:pPr>
    </w:p>
    <w:p>
      <w:pPr>
        <w:ind w:left="1040" w:hanging="519"/>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the selling stockholders; and</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person or entity known by us to own beneficially more than 5% of our common stock (by number or by voting power).</w:t>
      </w:r>
    </w:p>
    <w:p>
      <w:pPr>
        <w:spacing w:after="0" w:line="218" w:lineRule="exact"/>
        <w:rPr>
          <w:sz w:val="20"/>
          <w:szCs w:val="20"/>
          <w:color w:val="auto"/>
        </w:rPr>
      </w:pPr>
    </w:p>
    <w:p>
      <w:pPr>
        <w:ind w:right="20" w:firstLine="333"/>
        <w:spacing w:after="0" w:line="316" w:lineRule="auto"/>
        <w:rPr>
          <w:sz w:val="20"/>
          <w:szCs w:val="20"/>
          <w:color w:val="auto"/>
        </w:rPr>
      </w:pPr>
      <w:r>
        <w:rPr>
          <w:rFonts w:ascii="Arial" w:cs="Arial" w:eastAsia="Arial" w:hAnsi="Arial"/>
          <w:sz w:val="15"/>
          <w:szCs w:val="15"/>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46" w:lineRule="exact"/>
        <w:rPr>
          <w:sz w:val="20"/>
          <w:szCs w:val="20"/>
          <w:color w:val="auto"/>
        </w:rPr>
      </w:pPr>
    </w:p>
    <w:p>
      <w:pPr>
        <w:jc w:val="both"/>
        <w:ind w:firstLine="327"/>
        <w:spacing w:after="0" w:line="291" w:lineRule="auto"/>
        <w:rPr>
          <w:sz w:val="20"/>
          <w:szCs w:val="20"/>
          <w:color w:val="auto"/>
        </w:rPr>
      </w:pPr>
      <w:r>
        <w:rPr>
          <w:rFonts w:ascii="Arial" w:cs="Arial" w:eastAsia="Arial" w:hAnsi="Arial"/>
          <w:sz w:val="15"/>
          <w:szCs w:val="15"/>
          <w:color w:val="auto"/>
        </w:rPr>
        <w:t>Applicable percentage ownership before the offering is based on 75,474,794 shares of common stock outstanding as of September 30, 2019, assuming the automatic conversion of all outstanding shares of preferred stock into shares of common stock. Applicable percentage ownership after the offering is based on 82,174,794 shares of common stock outstanding immediately after the completion of this offering, giving effect to the sale of 6,700,000 shares of our common stock by us and</w:t>
      </w:r>
    </w:p>
    <w:p>
      <w:pPr>
        <w:ind w:right="120"/>
        <w:spacing w:after="0" w:line="303" w:lineRule="auto"/>
        <w:rPr>
          <w:sz w:val="20"/>
          <w:szCs w:val="20"/>
          <w:color w:val="auto"/>
        </w:rPr>
      </w:pPr>
      <w:r>
        <w:rPr>
          <w:rFonts w:ascii="Arial" w:cs="Arial" w:eastAsia="Arial" w:hAnsi="Arial"/>
          <w:sz w:val="15"/>
          <w:szCs w:val="15"/>
          <w:color w:val="auto"/>
        </w:rPr>
        <w:t>3,300,000 shares of our common stock by the selling stockholders and excluding any potential purchases in this offering by the persons and entities named in the table below.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September 30, 2019. However, except as described above, we did not deem such shares outstanding for the purpose of computing the percentage ownership of any other person.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Unless otherwise indicated, the address for each beneficial owner listed in the table below is c/o Progyny, Inc., 245 5th Avenue, New York, New York 10016.</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940" w:type="dxa"/>
            <w:vAlign w:val="bottom"/>
            <w:gridSpan w:val="4"/>
          </w:tcPr>
          <w:p>
            <w:pPr>
              <w:jc w:val="right"/>
              <w:ind w:right="520"/>
              <w:spacing w:after="0" w:line="143" w:lineRule="exact"/>
              <w:rPr>
                <w:sz w:val="20"/>
                <w:szCs w:val="20"/>
                <w:color w:val="auto"/>
              </w:rPr>
            </w:pPr>
            <w:r>
              <w:rPr>
                <w:rFonts w:ascii="Arial" w:cs="Arial" w:eastAsia="Arial" w:hAnsi="Arial"/>
                <w:sz w:val="13"/>
                <w:szCs w:val="13"/>
                <w:b w:val="1"/>
                <w:bCs w:val="1"/>
                <w:color w:val="auto"/>
              </w:rPr>
              <w:t>Shares Beneficially</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2"/>
              </w:rPr>
              <w:t>Number of</w:t>
            </w:r>
          </w:p>
        </w:tc>
        <w:tc>
          <w:tcPr>
            <w:tcW w:w="1940" w:type="dxa"/>
            <w:vAlign w:val="bottom"/>
            <w:gridSpan w:val="4"/>
          </w:tcPr>
          <w:p>
            <w:pPr>
              <w:jc w:val="center"/>
              <w:ind w:right="180"/>
              <w:spacing w:after="0" w:line="143" w:lineRule="exact"/>
              <w:rPr>
                <w:sz w:val="20"/>
                <w:szCs w:val="20"/>
                <w:color w:val="auto"/>
              </w:rPr>
            </w:pPr>
            <w:r>
              <w:rPr>
                <w:rFonts w:ascii="Arial" w:cs="Arial" w:eastAsia="Arial" w:hAnsi="Arial"/>
                <w:sz w:val="13"/>
                <w:szCs w:val="13"/>
                <w:b w:val="1"/>
                <w:bCs w:val="1"/>
                <w:color w:val="auto"/>
                <w:w w:val="93"/>
              </w:rPr>
              <w:t>Owned After</w:t>
            </w:r>
          </w:p>
        </w:tc>
        <w:tc>
          <w:tcPr>
            <w:tcW w:w="0" w:type="dxa"/>
            <w:vAlign w:val="bottom"/>
          </w:tcPr>
          <w:p>
            <w:pPr>
              <w:spacing w:after="0"/>
              <w:rPr>
                <w:sz w:val="1"/>
                <w:szCs w:val="1"/>
                <w:color w:val="auto"/>
              </w:rPr>
            </w:pPr>
          </w:p>
        </w:tc>
      </w:tr>
      <w:tr>
        <w:trPr>
          <w:trHeight w:val="65"/>
        </w:trPr>
        <w:tc>
          <w:tcPr>
            <w:tcW w:w="1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940" w:type="dxa"/>
            <w:vAlign w:val="bottom"/>
            <w:gridSpan w:val="4"/>
            <w:vMerge w:val="restart"/>
          </w:tcPr>
          <w:p>
            <w:pPr>
              <w:jc w:val="right"/>
              <w:ind w:right="360"/>
              <w:spacing w:after="0"/>
              <w:rPr>
                <w:sz w:val="20"/>
                <w:szCs w:val="20"/>
                <w:color w:val="auto"/>
              </w:rPr>
            </w:pPr>
            <w:r>
              <w:rPr>
                <w:rFonts w:ascii="Arial" w:cs="Arial" w:eastAsia="Arial" w:hAnsi="Arial"/>
                <w:sz w:val="13"/>
                <w:szCs w:val="13"/>
                <w:b w:val="1"/>
                <w:bCs w:val="1"/>
                <w:color w:val="auto"/>
              </w:rPr>
              <w:t>Owned Prior to Offering</w:t>
            </w:r>
          </w:p>
        </w:tc>
        <w:tc>
          <w:tcPr>
            <w:tcW w:w="960" w:type="dxa"/>
            <w:vAlign w:val="bottom"/>
            <w:gridSpan w:val="2"/>
            <w:vMerge w:val="continue"/>
          </w:tcPr>
          <w:p>
            <w:pPr>
              <w:spacing w:after="0"/>
              <w:rPr>
                <w:sz w:val="5"/>
                <w:szCs w:val="5"/>
                <w:color w:val="auto"/>
              </w:rPr>
            </w:pPr>
          </w:p>
        </w:tc>
        <w:tc>
          <w:tcPr>
            <w:tcW w:w="194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0"/>
              </w:rPr>
              <w:t>Offering</w:t>
            </w:r>
          </w:p>
        </w:tc>
        <w:tc>
          <w:tcPr>
            <w:tcW w:w="0" w:type="dxa"/>
            <w:vAlign w:val="bottom"/>
          </w:tcPr>
          <w:p>
            <w:pPr>
              <w:spacing w:after="0"/>
              <w:rPr>
                <w:sz w:val="1"/>
                <w:szCs w:val="1"/>
                <w:color w:val="auto"/>
              </w:rPr>
            </w:pPr>
          </w:p>
        </w:tc>
      </w:tr>
      <w:tr>
        <w:trPr>
          <w:trHeight w:val="90"/>
        </w:trPr>
        <w:tc>
          <w:tcPr>
            <w:tcW w:w="1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940" w:type="dxa"/>
            <w:vAlign w:val="bottom"/>
            <w:gridSpan w:val="4"/>
            <w:vMerge w:val="continue"/>
          </w:tcPr>
          <w:p>
            <w:pPr>
              <w:spacing w:after="0"/>
              <w:rPr>
                <w:sz w:val="7"/>
                <w:szCs w:val="7"/>
                <w:color w:val="auto"/>
              </w:rPr>
            </w:pPr>
          </w:p>
        </w:tc>
        <w:tc>
          <w:tcPr>
            <w:tcW w:w="960" w:type="dxa"/>
            <w:vAlign w:val="bottom"/>
            <w:gridSpan w:val="2"/>
            <w:vMerge w:val="restart"/>
          </w:tcPr>
          <w:p>
            <w:pPr>
              <w:jc w:val="center"/>
              <w:ind w:right="160"/>
              <w:spacing w:after="0" w:line="143" w:lineRule="exact"/>
              <w:rPr>
                <w:sz w:val="20"/>
                <w:szCs w:val="20"/>
                <w:color w:val="auto"/>
              </w:rPr>
            </w:pPr>
            <w:r>
              <w:rPr>
                <w:rFonts w:ascii="Arial" w:cs="Arial" w:eastAsia="Arial" w:hAnsi="Arial"/>
                <w:sz w:val="13"/>
                <w:szCs w:val="13"/>
                <w:b w:val="1"/>
                <w:bCs w:val="1"/>
                <w:color w:val="auto"/>
                <w:w w:val="82"/>
              </w:rPr>
              <w:t>Shares</w:t>
            </w:r>
          </w:p>
        </w:tc>
        <w:tc>
          <w:tcPr>
            <w:tcW w:w="1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340" w:type="dxa"/>
            <w:vAlign w:val="bottom"/>
            <w:gridSpan w:val="3"/>
          </w:tcPr>
          <w:p>
            <w:pPr>
              <w:spacing w:after="0"/>
              <w:rPr>
                <w:sz w:val="20"/>
                <w:szCs w:val="20"/>
                <w:color w:val="auto"/>
              </w:rPr>
            </w:pPr>
            <w:r>
              <w:rPr>
                <w:rFonts w:ascii="Arial" w:cs="Arial" w:eastAsia="Arial" w:hAnsi="Arial"/>
                <w:sz w:val="13"/>
                <w:szCs w:val="13"/>
                <w:b w:val="1"/>
                <w:bCs w:val="1"/>
                <w:color w:val="auto"/>
              </w:rPr>
              <w:t>Name of Beneficial Owner</w:t>
            </w: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6"/>
              </w:rPr>
              <w:t>Percentage</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Offered</w:t>
            </w: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4"/>
              </w:rPr>
              <w:t>Percentage</w:t>
            </w:r>
          </w:p>
        </w:tc>
        <w:tc>
          <w:tcPr>
            <w:tcW w:w="0" w:type="dxa"/>
            <w:vAlign w:val="bottom"/>
          </w:tcPr>
          <w:p>
            <w:pPr>
              <w:spacing w:after="0"/>
              <w:rPr>
                <w:sz w:val="1"/>
                <w:szCs w:val="1"/>
                <w:color w:val="auto"/>
              </w:rPr>
            </w:pPr>
          </w:p>
        </w:tc>
      </w:tr>
      <w:tr>
        <w:trPr>
          <w:trHeight w:val="200"/>
        </w:trPr>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5% Stockholders</w:t>
            </w:r>
          </w:p>
        </w:tc>
        <w:tc>
          <w:tcPr>
            <w:tcW w:w="2880" w:type="dxa"/>
            <w:vAlign w:val="bottom"/>
            <w:gridSpan w:val="2"/>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line="246" w:lineRule="exact"/>
              <w:rPr>
                <w:sz w:val="20"/>
                <w:szCs w:val="20"/>
                <w:color w:val="auto"/>
              </w:rPr>
            </w:pPr>
            <w:r>
              <w:rPr>
                <w:rFonts w:ascii="Arial" w:cs="Arial" w:eastAsia="Arial" w:hAnsi="Arial"/>
                <w:sz w:val="17"/>
                <w:szCs w:val="17"/>
                <w:color w:val="auto"/>
              </w:rPr>
              <w:t>TPG Biotechnology Partners III, L.P.</w:t>
            </w:r>
            <w:r>
              <w:rPr>
                <w:rFonts w:ascii="Arial" w:cs="Arial" w:eastAsia="Arial" w:hAnsi="Arial"/>
                <w:sz w:val="28"/>
                <w:szCs w:val="28"/>
                <w:color w:val="auto"/>
                <w:vertAlign w:val="superscript"/>
              </w:rPr>
              <w:t>(1)</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20,661,413</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27.2%</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20,661,413</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46"/>
        </w:trPr>
        <w:tc>
          <w:tcPr>
            <w:tcW w:w="434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KPCB Holdings, Inc., as nominee</w:t>
            </w:r>
            <w:r>
              <w:rPr>
                <w:rFonts w:ascii="Arial" w:cs="Arial" w:eastAsia="Arial" w:hAnsi="Arial"/>
                <w:sz w:val="28"/>
                <w:szCs w:val="28"/>
                <w:color w:val="auto"/>
                <w:vertAlign w:val="superscript"/>
              </w:rPr>
              <w:t>(2)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19,460,800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19,460,800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line="246" w:lineRule="exact"/>
              <w:rPr>
                <w:sz w:val="20"/>
                <w:szCs w:val="20"/>
                <w:color w:val="auto"/>
              </w:rPr>
            </w:pPr>
            <w:r>
              <w:rPr>
                <w:rFonts w:ascii="Arial" w:cs="Arial" w:eastAsia="Arial" w:hAnsi="Arial"/>
                <w:sz w:val="17"/>
                <w:szCs w:val="17"/>
                <w:color w:val="auto"/>
              </w:rPr>
              <w:t>S.R. One, Limited</w:t>
            </w:r>
            <w:r>
              <w:rPr>
                <w:rFonts w:ascii="Arial" w:cs="Arial" w:eastAsia="Arial" w:hAnsi="Arial"/>
                <w:sz w:val="28"/>
                <w:szCs w:val="28"/>
                <w:color w:val="auto"/>
                <w:vertAlign w:val="superscript"/>
              </w:rPr>
              <w:t>(3)</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10,526,957</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13.9</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10,526,957</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46"/>
        </w:trPr>
        <w:tc>
          <w:tcPr>
            <w:tcW w:w="434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Merck Ventures B.V.</w:t>
            </w:r>
            <w:r>
              <w:rPr>
                <w:rFonts w:ascii="Arial" w:cs="Arial" w:eastAsia="Arial" w:hAnsi="Arial"/>
                <w:sz w:val="28"/>
                <w:szCs w:val="28"/>
                <w:color w:val="auto"/>
                <w:vertAlign w:val="superscript"/>
              </w:rPr>
              <w:t>(4)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4,866,408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373,994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4,492,414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line="246" w:lineRule="exact"/>
              <w:rPr>
                <w:sz w:val="20"/>
                <w:szCs w:val="20"/>
                <w:color w:val="auto"/>
              </w:rPr>
            </w:pPr>
            <w:r>
              <w:rPr>
                <w:rFonts w:ascii="Arial" w:cs="Arial" w:eastAsia="Arial" w:hAnsi="Arial"/>
                <w:sz w:val="17"/>
                <w:szCs w:val="17"/>
                <w:color w:val="auto"/>
              </w:rPr>
              <w:t>David Schlanger</w:t>
            </w:r>
            <w:r>
              <w:rPr>
                <w:rFonts w:ascii="Arial" w:cs="Arial" w:eastAsia="Arial" w:hAnsi="Arial"/>
                <w:sz w:val="28"/>
                <w:szCs w:val="28"/>
                <w:color w:val="auto"/>
                <w:vertAlign w:val="superscript"/>
              </w:rPr>
              <w:t>(5)</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4,375,514</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660,007</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3,715,507</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414"/>
        </w:trPr>
        <w:tc>
          <w:tcPr>
            <w:tcW w:w="43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Other Named Executive Officers and Directors</w:t>
            </w: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line="246" w:lineRule="exact"/>
              <w:rPr>
                <w:sz w:val="20"/>
                <w:szCs w:val="20"/>
                <w:color w:val="auto"/>
              </w:rPr>
            </w:pPr>
            <w:r>
              <w:rPr>
                <w:rFonts w:ascii="Arial" w:cs="Arial" w:eastAsia="Arial" w:hAnsi="Arial"/>
                <w:sz w:val="17"/>
                <w:szCs w:val="17"/>
                <w:color w:val="auto"/>
              </w:rPr>
              <w:t>Peter Anevski</w:t>
            </w:r>
            <w:r>
              <w:rPr>
                <w:rFonts w:ascii="Arial" w:cs="Arial" w:eastAsia="Arial" w:hAnsi="Arial"/>
                <w:sz w:val="28"/>
                <w:szCs w:val="28"/>
                <w:color w:val="auto"/>
                <w:vertAlign w:val="superscript"/>
              </w:rPr>
              <w:t>(6)</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2,500,293</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660,007</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1,840,286</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46"/>
        </w:trPr>
        <w:tc>
          <w:tcPr>
            <w:tcW w:w="434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Karin Ajmani</w:t>
            </w:r>
            <w:r>
              <w:rPr>
                <w:rFonts w:ascii="Arial" w:cs="Arial" w:eastAsia="Arial" w:hAnsi="Arial"/>
                <w:sz w:val="28"/>
                <w:szCs w:val="28"/>
                <w:color w:val="auto"/>
                <w:vertAlign w:val="superscript"/>
              </w:rPr>
              <w:t>(7)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1,665,952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264,003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1,401,949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line="246" w:lineRule="exact"/>
              <w:rPr>
                <w:sz w:val="20"/>
                <w:szCs w:val="20"/>
                <w:color w:val="auto"/>
              </w:rPr>
            </w:pPr>
            <w:r>
              <w:rPr>
                <w:rFonts w:ascii="Arial" w:cs="Arial" w:eastAsia="Arial" w:hAnsi="Arial"/>
                <w:sz w:val="17"/>
                <w:szCs w:val="17"/>
                <w:color w:val="auto"/>
              </w:rPr>
              <w:t>Fred Cohen, M.D., D.Phil.</w:t>
            </w:r>
            <w:r>
              <w:rPr>
                <w:rFonts w:ascii="Arial" w:cs="Arial" w:eastAsia="Arial" w:hAnsi="Arial"/>
                <w:sz w:val="28"/>
                <w:szCs w:val="28"/>
                <w:color w:val="auto"/>
                <w:vertAlign w:val="superscript"/>
              </w:rPr>
              <w:t>(8)</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6"/>
        </w:trPr>
        <w:tc>
          <w:tcPr>
            <w:tcW w:w="434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Beth Seidenberg, M.D.</w:t>
            </w:r>
            <w:r>
              <w:rPr>
                <w:rFonts w:ascii="Arial" w:cs="Arial" w:eastAsia="Arial" w:hAnsi="Arial"/>
                <w:sz w:val="28"/>
                <w:szCs w:val="28"/>
                <w:color w:val="auto"/>
                <w:vertAlign w:val="superscript"/>
              </w:rPr>
              <w:t>(2)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19,460,800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19,460,800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line="246" w:lineRule="exact"/>
              <w:rPr>
                <w:sz w:val="20"/>
                <w:szCs w:val="20"/>
                <w:color w:val="auto"/>
              </w:rPr>
            </w:pPr>
            <w:r>
              <w:rPr>
                <w:rFonts w:ascii="Arial" w:cs="Arial" w:eastAsia="Arial" w:hAnsi="Arial"/>
                <w:sz w:val="17"/>
                <w:szCs w:val="17"/>
                <w:color w:val="auto"/>
              </w:rPr>
              <w:t>Simeon George, M.D.</w:t>
            </w:r>
            <w:r>
              <w:rPr>
                <w:rFonts w:ascii="Arial" w:cs="Arial" w:eastAsia="Arial" w:hAnsi="Arial"/>
                <w:sz w:val="28"/>
                <w:szCs w:val="28"/>
                <w:color w:val="auto"/>
                <w:vertAlign w:val="superscript"/>
              </w:rPr>
              <w:t>(3)</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10,526,957</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13.9</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10,526,957</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46"/>
        </w:trPr>
        <w:tc>
          <w:tcPr>
            <w:tcW w:w="434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Norm Payson</w:t>
            </w:r>
            <w:r>
              <w:rPr>
                <w:rFonts w:ascii="Arial" w:cs="Arial" w:eastAsia="Arial" w:hAnsi="Arial"/>
                <w:sz w:val="28"/>
                <w:szCs w:val="28"/>
                <w:color w:val="auto"/>
                <w:vertAlign w:val="superscript"/>
              </w:rPr>
              <w:t>(9)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3,663,310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373,994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3,289,316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95"/>
        </w:trPr>
        <w:tc>
          <w:tcPr>
            <w:tcW w:w="4340" w:type="dxa"/>
            <w:vAlign w:val="bottom"/>
            <w:gridSpan w:val="3"/>
          </w:tcPr>
          <w:p>
            <w:pPr>
              <w:spacing w:after="0"/>
              <w:rPr>
                <w:sz w:val="20"/>
                <w:szCs w:val="20"/>
                <w:color w:val="auto"/>
              </w:rPr>
            </w:pPr>
            <w:r>
              <w:rPr>
                <w:rFonts w:ascii="Arial" w:cs="Arial" w:eastAsia="Arial" w:hAnsi="Arial"/>
                <w:sz w:val="17"/>
                <w:szCs w:val="17"/>
                <w:b w:val="1"/>
                <w:bCs w:val="1"/>
                <w:color w:val="auto"/>
                <w:w w:val="91"/>
              </w:rPr>
              <w:t>All executive officers and directors as a group (9 persons)</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42,247,826</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52.2</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1,994,772</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40,253,054</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45.9</w:t>
            </w:r>
          </w:p>
        </w:tc>
        <w:tc>
          <w:tcPr>
            <w:tcW w:w="0" w:type="dxa"/>
            <w:vAlign w:val="bottom"/>
          </w:tcPr>
          <w:p>
            <w:pPr>
              <w:spacing w:after="0"/>
              <w:rPr>
                <w:sz w:val="1"/>
                <w:szCs w:val="1"/>
                <w:color w:val="auto"/>
              </w:rPr>
            </w:pPr>
          </w:p>
        </w:tc>
      </w:tr>
      <w:tr>
        <w:trPr>
          <w:trHeight w:val="205"/>
        </w:trPr>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(10)</w:t>
            </w:r>
          </w:p>
        </w:tc>
        <w:tc>
          <w:tcPr>
            <w:tcW w:w="7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43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Other Selling Stockholders</w:t>
            </w: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line="246" w:lineRule="exact"/>
              <w:rPr>
                <w:sz w:val="20"/>
                <w:szCs w:val="20"/>
                <w:color w:val="auto"/>
              </w:rPr>
            </w:pPr>
            <w:r>
              <w:rPr>
                <w:rFonts w:ascii="Arial" w:cs="Arial" w:eastAsia="Arial" w:hAnsi="Arial"/>
                <w:sz w:val="17"/>
                <w:szCs w:val="17"/>
                <w:color w:val="auto"/>
              </w:rPr>
              <w:t>Entities affiliated with the Mellon Family</w:t>
            </w:r>
            <w:r>
              <w:rPr>
                <w:rFonts w:ascii="Arial" w:cs="Arial" w:eastAsia="Arial" w:hAnsi="Arial"/>
                <w:sz w:val="28"/>
                <w:szCs w:val="28"/>
                <w:color w:val="auto"/>
                <w:vertAlign w:val="superscript"/>
              </w:rPr>
              <w:t>(11)</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2,646,601</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373,994</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2,272,607</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46"/>
        </w:trPr>
        <w:tc>
          <w:tcPr>
            <w:tcW w:w="434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rPr>
              <w:t>Entities affiliated with Union Grove Partners</w:t>
            </w:r>
            <w:r>
              <w:rPr>
                <w:rFonts w:ascii="Arial" w:cs="Arial" w:eastAsia="Arial" w:hAnsi="Arial"/>
                <w:sz w:val="28"/>
                <w:szCs w:val="28"/>
                <w:color w:val="auto"/>
                <w:vertAlign w:val="superscript"/>
              </w:rPr>
              <w:t>(12)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1,521,211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373,994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1,147,217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49"/>
        </w:trPr>
        <w:tc>
          <w:tcPr>
            <w:tcW w:w="4340" w:type="dxa"/>
            <w:vAlign w:val="bottom"/>
            <w:gridSpan w:val="3"/>
          </w:tcPr>
          <w:p>
            <w:pPr>
              <w:spacing w:after="0"/>
              <w:rPr>
                <w:sz w:val="20"/>
                <w:szCs w:val="20"/>
                <w:color w:val="auto"/>
              </w:rPr>
            </w:pPr>
            <w:r>
              <w:rPr>
                <w:rFonts w:ascii="Arial" w:cs="Arial" w:eastAsia="Arial" w:hAnsi="Arial"/>
                <w:sz w:val="17"/>
                <w:szCs w:val="17"/>
                <w:color w:val="auto"/>
              </w:rPr>
              <w:t>All other selling stockholders</w:t>
            </w:r>
            <w:r>
              <w:rPr>
                <w:rFonts w:ascii="Arial" w:cs="Arial" w:eastAsia="Arial" w:hAnsi="Arial"/>
                <w:sz w:val="28"/>
                <w:szCs w:val="28"/>
                <w:color w:val="auto"/>
                <w:vertAlign w:val="superscript"/>
              </w:rPr>
              <w:t>(13)</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376,501</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183,246</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193,255</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60" w:hanging="514"/>
        <w:spacing w:after="0"/>
        <w:tabs>
          <w:tab w:leader="none" w:pos="16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122" w:lineRule="exact"/>
        <w:rPr>
          <w:sz w:val="20"/>
          <w:szCs w:val="20"/>
          <w:color w:val="auto"/>
        </w:rPr>
      </w:pPr>
    </w:p>
    <w:p>
      <w:pPr>
        <w:ind w:left="1660" w:hanging="514"/>
        <w:spacing w:after="0" w:line="253" w:lineRule="auto"/>
        <w:tabs>
          <w:tab w:leader="none" w:pos="1660" w:val="left"/>
        </w:tabs>
        <w:numPr>
          <w:ilvl w:val="0"/>
          <w:numId w:val="83"/>
        </w:numPr>
        <w:rPr>
          <w:rFonts w:ascii="Arial" w:cs="Arial" w:eastAsia="Arial" w:hAnsi="Arial"/>
          <w:sz w:val="12"/>
          <w:szCs w:val="12"/>
          <w:color w:val="auto"/>
        </w:rPr>
      </w:pPr>
      <w:r>
        <w:rPr>
          <w:rFonts w:ascii="Arial" w:cs="Arial" w:eastAsia="Arial" w:hAnsi="Arial"/>
          <w:sz w:val="12"/>
          <w:szCs w:val="12"/>
          <w:color w:val="auto"/>
        </w:rPr>
        <w:t>Consists of (a) 20,096,062 shares and (b) warrants to purchase 565,351 shares held by TPG Biotechnology Partners III, L.P., a Delaware limited partnership. The general partner of TPG Biotechnology Partners III, L.P. is TPG Biotechnology GenPar III, L.P., a Delaware limited partnership, whose general partner is TPG Biotechnology GenPar III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TPG Group Holdings (SBS) Advisors, LLC, a Delaware limited liability company, whose sole member is TPG Group Holdings (SBS) Advisors, Inc., a Delaware corporation. David Bonderman and James G. Coulter are sole stockholders of TPG Group Holdings (SBS) Advisors, Inc. and may therefore be deemed to be the beneficial owners of the securities held by TPG Biotechnology Partners III, L.P. Messrs. Bonderman and Coulter disclaim beneficial ownership of the securities held by TPG Biotechnology Partners III, L.P. except to the extent of their pecuniary interest therein. The address of TPG Biotechnology Partners III, L.P. is c/o TPG Global, LLC, 301 Commerce Street, Suite 3300, Fort Worth, Texas 76102.</w:t>
      </w:r>
    </w:p>
    <w:p>
      <w:pPr>
        <w:spacing w:after="0" w:line="103" w:lineRule="exact"/>
        <w:rPr>
          <w:rFonts w:ascii="Arial" w:cs="Arial" w:eastAsia="Arial" w:hAnsi="Arial"/>
          <w:sz w:val="12"/>
          <w:szCs w:val="12"/>
          <w:color w:val="auto"/>
        </w:rPr>
      </w:pPr>
    </w:p>
    <w:p>
      <w:pPr>
        <w:ind w:left="1660" w:hanging="514"/>
        <w:spacing w:after="0" w:line="233" w:lineRule="auto"/>
        <w:tabs>
          <w:tab w:leader="none" w:pos="16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(a) 17,621,896 shares held by Kleiner Perkins Caufield &amp; Byers XIII, LLC ("KPCB XIII"), (b) 1,273,553 shares held by individuals and entities associated with Kleiner Perkins Caufield and Byers ("KPCB"), (c) warrants to purchase 527,247 shares held by KPCB XIII and (d) warrants to purchase 38,104 and shares held by individuals and entities associated with KPCB. All shares are held for convenience in the name of "KPCB Holdings, Inc., as nominee" for the accounts of such individuals and entities. The managing member of KPCB XIII is KPCB XIII Associated, LLC ("KPCB XIII Associates"). L., John Doerr, Raymond J. Lane, Theodore E. Schlein and Brook H. Byers, the managing members of KPCB XIII Associates, exercise shared voting and dispositive control over the shares held by KPCB XIII. Such managing members and Dr. Seidenberg disclaim beneficial ownership of all shares held by KPCB XIII except to the extent of their pecuniary interest therein. The principal business address for Kleiner Perkins Caufield &amp; Byers, LLC, is 2750 Sand Hill Road, Menlo Park, CA 94025.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ind w:left="1660" w:right="240" w:hanging="514"/>
        <w:spacing w:after="0" w:line="239" w:lineRule="auto"/>
        <w:tabs>
          <w:tab w:leader="none" w:pos="16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Consists of (a) 10,238,244 shares and (b) warrants to purchase 288,713 shares held by S.R. One, Limited, an indirect wholly owned subsidiary of GlaxoSmithKline plc. Dr. George, the President at S.R. One Limited, is a member of our board of directors and disclaims beneficial ownership of the shares held by S.R. One, Limited, except to the extent of his pecuniary interest therein. The address of S.R. One, Limited is 161 Washington Street, Suite 500, Conshohocken, PA 19428.</w:t>
      </w:r>
    </w:p>
    <w:p>
      <w:pPr>
        <w:spacing w:after="0" w:line="109" w:lineRule="exact"/>
        <w:rPr>
          <w:rFonts w:ascii="Arial" w:cs="Arial" w:eastAsia="Arial" w:hAnsi="Arial"/>
          <w:sz w:val="13"/>
          <w:szCs w:val="13"/>
          <w:color w:val="auto"/>
        </w:rPr>
      </w:pPr>
    </w:p>
    <w:p>
      <w:pPr>
        <w:ind w:left="1660" w:right="80" w:hanging="514"/>
        <w:spacing w:after="0" w:line="236" w:lineRule="auto"/>
        <w:tabs>
          <w:tab w:leader="none" w:pos="16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Consists of (a) 4,677,959 shares and (b) warrants to purchase 188,449 shares held by Merck Ventures B.V., a wholly owned subsidiary of Merck B.V. Merck B.V. is a wholly owned indirect subsidiary of Merck KGaA, a publicly traded company. The address of Merck Ventures B.V. is Gustav Mahlerplein 102, Toyo Ito Building, 20th Floor, 1082 MA Amsterdam, The Netherlands. If the underwriters exercise their option to purchase additional shares in full, Merck Ventures B.V. would sell an additional 195,000 shares, resulting in 4,297,414 shares, or 5.2%, beneficially owned after the offering.</w:t>
      </w:r>
    </w:p>
    <w:p>
      <w:pPr>
        <w:spacing w:after="0" w:line="110" w:lineRule="exact"/>
        <w:rPr>
          <w:rFonts w:ascii="Arial" w:cs="Arial" w:eastAsia="Arial" w:hAnsi="Arial"/>
          <w:sz w:val="13"/>
          <w:szCs w:val="13"/>
          <w:color w:val="auto"/>
        </w:rPr>
      </w:pPr>
    </w:p>
    <w:p>
      <w:pPr>
        <w:ind w:left="1660" w:right="20" w:hanging="514"/>
        <w:spacing w:after="0" w:line="250" w:lineRule="auto"/>
        <w:tabs>
          <w:tab w:leader="none" w:pos="16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Consists of (a) 3,275,501 shares issuable upon the exercise of options and (b) 1,100,013 shares held by Mr. Schlanger. If the underwriters exercise their option to purchase additional shares in full, Mr. Schlanger would sell an additional 300,000 shares, resulting in 3,415,507 shares, or 4.0%, beneficially owned after the offering.</w:t>
      </w:r>
    </w:p>
    <w:p>
      <w:pPr>
        <w:spacing w:after="0" w:line="102" w:lineRule="exact"/>
        <w:rPr>
          <w:rFonts w:ascii="Arial" w:cs="Arial" w:eastAsia="Arial" w:hAnsi="Arial"/>
          <w:sz w:val="13"/>
          <w:szCs w:val="13"/>
          <w:color w:val="auto"/>
        </w:rPr>
      </w:pPr>
    </w:p>
    <w:p>
      <w:pPr>
        <w:ind w:left="1660" w:right="80" w:hanging="514"/>
        <w:spacing w:after="0" w:line="250" w:lineRule="auto"/>
        <w:tabs>
          <w:tab w:leader="none" w:pos="16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Consists of (a) 294,151 shares issuable upon the exercise of options and (b) 2,206,142 shares held by Mr. Anevski. If the underwriters exercise their option to purchase additional shares in full, Mr. Anevski would sell an additional 300,000 shares, resulting in 1,540,286 shares, or 1.9%, beneficially owned after the offering.</w:t>
      </w:r>
    </w:p>
    <w:p>
      <w:pPr>
        <w:spacing w:after="0" w:line="102" w:lineRule="exact"/>
        <w:rPr>
          <w:rFonts w:ascii="Arial" w:cs="Arial" w:eastAsia="Arial" w:hAnsi="Arial"/>
          <w:sz w:val="13"/>
          <w:szCs w:val="13"/>
          <w:color w:val="auto"/>
        </w:rPr>
      </w:pPr>
    </w:p>
    <w:p>
      <w:pPr>
        <w:ind w:left="1660" w:right="200" w:hanging="514"/>
        <w:spacing w:after="0" w:line="250" w:lineRule="auto"/>
        <w:tabs>
          <w:tab w:leader="none" w:pos="16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Consists of (a) 907,911 shares issuable upon the exercise of options and (b) 758,041 shares held by Ms. Ajmani. If the underwriters exercise their option to purchase additional shares in full, Ms. Ajmani would sell an additional 120,000 shares, resulting in 1,281,949 shares, or 1.5%, beneficially owned after the offering.</w:t>
      </w:r>
    </w:p>
    <w:p>
      <w:pPr>
        <w:spacing w:after="0" w:line="102" w:lineRule="exact"/>
        <w:rPr>
          <w:rFonts w:ascii="Arial" w:cs="Arial" w:eastAsia="Arial" w:hAnsi="Arial"/>
          <w:sz w:val="13"/>
          <w:szCs w:val="13"/>
          <w:color w:val="auto"/>
        </w:rPr>
      </w:pPr>
    </w:p>
    <w:p>
      <w:pPr>
        <w:ind w:left="1660" w:right="100" w:hanging="514"/>
        <w:spacing w:after="0" w:line="250" w:lineRule="auto"/>
        <w:tabs>
          <w:tab w:leader="none" w:pos="16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Dr. Cohen, one of our directors, is a TPG Senior Advisor. Dr. Cohen has no voting or investment power over and disclaims beneficial ownership of the shares held by TPG Biotechnology Partners III, L.P., except to the extent of his pecuniary interest therein.</w:t>
      </w:r>
    </w:p>
    <w:p>
      <w:pPr>
        <w:spacing w:after="0" w:line="102" w:lineRule="exact"/>
        <w:rPr>
          <w:rFonts w:ascii="Arial" w:cs="Arial" w:eastAsia="Arial" w:hAnsi="Arial"/>
          <w:sz w:val="13"/>
          <w:szCs w:val="13"/>
          <w:color w:val="auto"/>
        </w:rPr>
      </w:pPr>
    </w:p>
    <w:p>
      <w:pPr>
        <w:ind w:left="1660" w:right="40" w:hanging="514"/>
        <w:spacing w:after="0" w:line="256" w:lineRule="auto"/>
        <w:tabs>
          <w:tab w:leader="none" w:pos="16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Consists of (a) 48,979 shares issuable to Dr. Payson upon the exercise of options, (b) 1,484,696 shares held by Melinda B. Payson and Robert L. Carson, Trustee of The Melinda B. Payson 2018 Grantor Retained Annuity Trust dated November 28, 2018, (c) 1,484,696 shares held by Norman C. Payson and Robert L. Carson, Trustee of The Norman C. Payson 2018 Grantor Retained Annuity Trust dated November 28, 2018, (d) 522,446 shares held by Dr. Payson and (e) 122,493 shares held by EVO Eagle, LLC. Mr. Payson and his spouse share voting and dispositive power over the shares held by EVO Eagle, LLC. If the underwriters exercise their option to purchase additional shares in full, The Melinda B. Payson 2018 Grantor Retained Annuity Trust dated November 28, 2018 and The Norman C. Payson 2018 Grantor Retained Annuity Trust dated November 28, 2018 would sell an aggregate of an additional 195,000 shares, resulting in an aggregate of 3,094,316 shares, or 3.8%, beneficially owned after the offering.</w:t>
      </w:r>
    </w:p>
    <w:p>
      <w:pPr>
        <w:spacing w:after="0" w:line="99" w:lineRule="exact"/>
        <w:rPr>
          <w:rFonts w:ascii="Arial" w:cs="Arial" w:eastAsia="Arial" w:hAnsi="Arial"/>
          <w:sz w:val="12"/>
          <w:szCs w:val="12"/>
          <w:color w:val="auto"/>
        </w:rPr>
      </w:pPr>
    </w:p>
    <w:p>
      <w:pPr>
        <w:jc w:val="both"/>
        <w:ind w:left="1660" w:right="120" w:hanging="514"/>
        <w:spacing w:after="0" w:line="269" w:lineRule="auto"/>
        <w:tabs>
          <w:tab w:leader="none" w:pos="16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Consists of (a) 36,812,220 shares, (b) 4,581,542 shares issuable upon the exercise of options and (c) warrants to purchase 854,064 shares. Includes 36,761 shares offered by Ms. Bealer. If the underwriters exercise their option to purchase additional shares in full, certain of our executive officers and directors would sell an aggregate of additional 915,000 shares, resulting in an aggregate of 39,338,054 shares, or 44.9%, beneficially owned after the offering. See footnotes (5), (6), (7) and (9).</w:t>
      </w:r>
    </w:p>
    <w:p>
      <w:pPr>
        <w:spacing w:after="0" w:line="92" w:lineRule="exact"/>
        <w:rPr>
          <w:rFonts w:ascii="Arial" w:cs="Arial" w:eastAsia="Arial" w:hAnsi="Arial"/>
          <w:sz w:val="12"/>
          <w:szCs w:val="12"/>
          <w:color w:val="auto"/>
        </w:rPr>
      </w:pPr>
    </w:p>
    <w:p>
      <w:pPr>
        <w:ind w:left="1660" w:right="80" w:hanging="514"/>
        <w:spacing w:after="0" w:line="258" w:lineRule="auto"/>
        <w:tabs>
          <w:tab w:leader="none" w:pos="16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Consists of (a) 1,587,961 shares held by the Richard King Mellon Foundation, a Pennsylvania nonprofit corporation and (b) 1,058,640 shares held by the Mellon Family Investment Company V, a limited partnership formed in Pennsylvania, whose general partner is MFIC V LLC, a Pennsylvania limited liability company. The address of Mellon Family Investment Company V is 352 Horner Hill Road, Laughlintown, PA 15655. The address of Richard King Mellon Foundation is 500 Grant Street, Suite 4106, Pittsburgh, PA 15219. If the underwriters exercise their option to purchase additional shares in full, the Richard King Mellon Foundation and the Mellon Family Investment Company V would sell an aggregate of an additional 195,000 shares, resulting in an aggregate of 2,077,607 shares, or 2.5%, beneficially owned after the offering.</w:t>
      </w:r>
    </w:p>
    <w:p>
      <w:pPr>
        <w:spacing w:after="0" w:line="99" w:lineRule="exact"/>
        <w:rPr>
          <w:rFonts w:ascii="Arial" w:cs="Arial" w:eastAsia="Arial" w:hAnsi="Arial"/>
          <w:sz w:val="12"/>
          <w:szCs w:val="12"/>
          <w:color w:val="auto"/>
        </w:rPr>
      </w:pPr>
    </w:p>
    <w:p>
      <w:pPr>
        <w:ind w:left="1660" w:hanging="514"/>
        <w:spacing w:after="0" w:line="287" w:lineRule="auto"/>
        <w:tabs>
          <w:tab w:leader="none" w:pos="1660" w:val="left"/>
        </w:tabs>
        <w:numPr>
          <w:ilvl w:val="0"/>
          <w:numId w:val="84"/>
        </w:numPr>
        <w:rPr>
          <w:rFonts w:ascii="Arial" w:cs="Arial" w:eastAsia="Arial" w:hAnsi="Arial"/>
          <w:sz w:val="11"/>
          <w:szCs w:val="11"/>
          <w:color w:val="auto"/>
        </w:rPr>
      </w:pPr>
      <w:r>
        <w:rPr>
          <w:rFonts w:ascii="Arial" w:cs="Arial" w:eastAsia="Arial" w:hAnsi="Arial"/>
          <w:sz w:val="11"/>
          <w:szCs w:val="11"/>
          <w:color w:val="auto"/>
        </w:rPr>
        <w:t>Consists of (a) 1,355,520 shares held by Union Grove Partners Direct Venture Fund, LP, a Delaware limited partnership, whose general partner is Union Grove Venture Partners 2014, LLC, a North Carolina limited liability company and (b) 165,691 shares held by Union Grove Partners Venture Access Fund II, LP, a Delaware limited partnership, whose general partner is Union Grove Venture Partners 2015, LLC, a North Carolina limited liability company. The address of these entities affiliated with Union Grove Partners is 7203 Union Grove Church Rd Chapel Hill, NC 27516. If the underwriters exercise their option to purchase additional shares in full, the Union Grove Partners Direct Venture Fund, LP and the Union Grove Partners Venture Access Fund II, LP would sell an aggregate of an additional 195,000 shares, resulting in an aggregate of 952,217 shares, or 1.2%, beneficially owned after the offering.</w:t>
      </w:r>
    </w:p>
    <w:p>
      <w:pPr>
        <w:spacing w:after="0" w:line="84" w:lineRule="exact"/>
        <w:rPr>
          <w:rFonts w:ascii="Arial" w:cs="Arial" w:eastAsia="Arial" w:hAnsi="Arial"/>
          <w:sz w:val="11"/>
          <w:szCs w:val="11"/>
          <w:color w:val="auto"/>
        </w:rPr>
      </w:pPr>
    </w:p>
    <w:p>
      <w:pPr>
        <w:ind w:left="1660" w:right="140" w:hanging="514"/>
        <w:spacing w:after="0" w:line="250" w:lineRule="auto"/>
        <w:tabs>
          <w:tab w:leader="none" w:pos="16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Represents shares and options to purchase shares held by nine selling stockholders not listed above, all of whom are current employees of ours and who, as a group, beneficially own less than 1% of our outstanding common stock prior to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DESCRIPTION OF CAPITAL STOCK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2" w:lineRule="exact"/>
        <w:rPr>
          <w:sz w:val="20"/>
          <w:szCs w:val="20"/>
          <w:color w:val="auto"/>
        </w:rPr>
      </w:pPr>
    </w:p>
    <w:p>
      <w:pPr>
        <w:ind w:right="20" w:firstLine="333"/>
        <w:spacing w:after="0" w:line="307" w:lineRule="auto"/>
        <w:rPr>
          <w:sz w:val="20"/>
          <w:szCs w:val="20"/>
          <w:color w:val="auto"/>
        </w:rPr>
      </w:pPr>
      <w:r>
        <w:rPr>
          <w:rFonts w:ascii="Arial" w:cs="Arial" w:eastAsia="Arial" w:hAnsi="Arial"/>
          <w:sz w:val="15"/>
          <w:szCs w:val="15"/>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completion of this offering.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152" w:lineRule="exact"/>
        <w:rPr>
          <w:sz w:val="20"/>
          <w:szCs w:val="20"/>
          <w:color w:val="auto"/>
        </w:rPr>
      </w:pPr>
    </w:p>
    <w:p>
      <w:pPr>
        <w:ind w:right="700" w:firstLine="336"/>
        <w:spacing w:after="0" w:line="276" w:lineRule="auto"/>
        <w:rPr>
          <w:sz w:val="20"/>
          <w:szCs w:val="20"/>
          <w:color w:val="auto"/>
        </w:rPr>
      </w:pPr>
      <w:r>
        <w:rPr>
          <w:rFonts w:ascii="Arial" w:cs="Arial" w:eastAsia="Arial" w:hAnsi="Arial"/>
          <w:sz w:val="17"/>
          <w:szCs w:val="17"/>
          <w:color w:val="auto"/>
        </w:rPr>
        <w:t>On the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the completion of this offering, our authorized capital stock will consist of 1,100,000,000 shares, all with a par value of $0.0001 per share, of which:</w:t>
      </w:r>
    </w:p>
    <w:p>
      <w:pPr>
        <w:spacing w:after="0" w:line="243" w:lineRule="exact"/>
        <w:rPr>
          <w:sz w:val="20"/>
          <w:szCs w:val="20"/>
          <w:color w:val="auto"/>
        </w:rPr>
      </w:pPr>
    </w:p>
    <w:p>
      <w:pPr>
        <w:ind w:left="1040" w:hanging="519"/>
        <w:spacing w:after="0"/>
        <w:tabs>
          <w:tab w:leader="none" w:pos="10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1,000,000,000 shares are designated common stock; and</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100,000,000 shares are designated preferred stock.</w:t>
      </w:r>
    </w:p>
    <w:p>
      <w:pPr>
        <w:spacing w:after="0" w:line="218" w:lineRule="exact"/>
        <w:rPr>
          <w:sz w:val="20"/>
          <w:szCs w:val="20"/>
          <w:color w:val="auto"/>
        </w:rPr>
      </w:pPr>
    </w:p>
    <w:p>
      <w:pPr>
        <w:ind w:right="100" w:firstLine="327"/>
        <w:spacing w:after="0" w:line="276" w:lineRule="auto"/>
        <w:rPr>
          <w:sz w:val="20"/>
          <w:szCs w:val="20"/>
          <w:color w:val="auto"/>
        </w:rPr>
      </w:pPr>
      <w:r>
        <w:rPr>
          <w:rFonts w:ascii="Arial" w:cs="Arial" w:eastAsia="Arial" w:hAnsi="Arial"/>
          <w:sz w:val="17"/>
          <w:szCs w:val="17"/>
          <w:color w:val="auto"/>
        </w:rPr>
        <w:t>As of September 30, 2019, we had outstanding 75,474,794 shares of common stock, which assumes the automatic conversion of 65,428,088 outstanding shares of preferred stock into shares of common stock.</w:t>
      </w:r>
    </w:p>
    <w:p>
      <w:pPr>
        <w:spacing w:after="0" w:line="171" w:lineRule="exact"/>
        <w:rPr>
          <w:sz w:val="20"/>
          <w:szCs w:val="20"/>
          <w:color w:val="auto"/>
        </w:rPr>
      </w:pPr>
    </w:p>
    <w:p>
      <w:pPr>
        <w:ind w:right="40" w:firstLine="336"/>
        <w:spacing w:after="0" w:line="276" w:lineRule="auto"/>
        <w:rPr>
          <w:sz w:val="20"/>
          <w:szCs w:val="20"/>
          <w:color w:val="auto"/>
        </w:rPr>
      </w:pPr>
      <w:r>
        <w:rPr>
          <w:rFonts w:ascii="Arial" w:cs="Arial" w:eastAsia="Arial" w:hAnsi="Arial"/>
          <w:sz w:val="17"/>
          <w:szCs w:val="17"/>
          <w:color w:val="auto"/>
        </w:rPr>
        <w:t>Our outstanding capital stock was held by 123 stockholders of record as of September 30, 2019. Our board of directors is authorized, without stockholder approval except as required by the listing standards of Nasdaq, to issue additional shares of our capital stock.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2" w:lineRule="exact"/>
        <w:rPr>
          <w:sz w:val="20"/>
          <w:szCs w:val="20"/>
          <w:color w:val="auto"/>
        </w:rPr>
      </w:pPr>
    </w:p>
    <w:p>
      <w:pPr>
        <w:ind w:firstLine="336"/>
        <w:spacing w:after="0" w:line="307" w:lineRule="auto"/>
        <w:rPr>
          <w:sz w:val="20"/>
          <w:szCs w:val="20"/>
          <w:color w:val="auto"/>
        </w:rPr>
      </w:pPr>
      <w:r>
        <w:rPr>
          <w:rFonts w:ascii="Arial" w:cs="Arial" w:eastAsia="Arial" w:hAnsi="Arial"/>
          <w:sz w:val="15"/>
          <w:szCs w:val="15"/>
          <w:b w:val="1"/>
          <w:bCs w:val="1"/>
          <w:i w:val="1"/>
          <w:iCs w:val="1"/>
          <w:color w:val="auto"/>
        </w:rPr>
        <w:t xml:space="preserve">Voting rights. </w:t>
      </w:r>
      <w:r>
        <w:rPr>
          <w:rFonts w:ascii="Arial" w:cs="Arial" w:eastAsia="Arial" w:hAnsi="Arial"/>
          <w:sz w:val="15"/>
          <w:szCs w:val="15"/>
          <w:color w:val="auto"/>
        </w:rPr>
        <w:t>The common stock is entitled to one vote per share on any matter that is submitted to a vote of our stockholders, including the election of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amended and restated certificate of incorporation that will be in effect on the completion of this offering will not provide for cumulative voting for the election of directors. Accordingly, the holders of a majority of the outstanding shares of common stock entitled to vote in any election of directors can elect all of the directors standing for election, if they so choose, other than any directors that holders of any redeemable convertible preferred stock we may issue may be entitled to elect.</w:t>
      </w:r>
    </w:p>
    <w:p>
      <w:pPr>
        <w:spacing w:after="0" w:line="152" w:lineRule="exact"/>
        <w:rPr>
          <w:sz w:val="20"/>
          <w:szCs w:val="20"/>
          <w:color w:val="auto"/>
        </w:rPr>
      </w:pPr>
    </w:p>
    <w:p>
      <w:pPr>
        <w:ind w:right="340" w:firstLine="336"/>
        <w:spacing w:after="0" w:line="276" w:lineRule="auto"/>
        <w:rPr>
          <w:sz w:val="20"/>
          <w:szCs w:val="20"/>
          <w:color w:val="auto"/>
        </w:rPr>
      </w:pPr>
      <w:r>
        <w:rPr>
          <w:rFonts w:ascii="Arial" w:cs="Arial" w:eastAsia="Arial" w:hAnsi="Arial"/>
          <w:sz w:val="17"/>
          <w:szCs w:val="17"/>
          <w:b w:val="1"/>
          <w:bCs w:val="1"/>
          <w:i w:val="1"/>
          <w:iCs w:val="1"/>
          <w:color w:val="auto"/>
        </w:rPr>
        <w:t xml:space="preserve">Dividend rights. </w:t>
      </w:r>
      <w:r>
        <w:rPr>
          <w:rFonts w:ascii="Arial" w:cs="Arial" w:eastAsia="Arial" w:hAnsi="Arial"/>
          <w:sz w:val="17"/>
          <w:szCs w:val="17"/>
          <w:color w:val="auto"/>
        </w:rPr>
        <w:t>Subject to preferences that may be applicable to any then outstanding redeemable convertible preferred stock, holders of common stock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entitled to receive ratably those dividends, if any, as may be declared by the board of directors out of legally available funds.</w:t>
      </w:r>
    </w:p>
    <w:p>
      <w:pPr>
        <w:spacing w:after="0" w:line="171" w:lineRule="exact"/>
        <w:rPr>
          <w:sz w:val="20"/>
          <w:szCs w:val="20"/>
          <w:color w:val="auto"/>
        </w:rPr>
      </w:pPr>
    </w:p>
    <w:p>
      <w:pPr>
        <w:ind w:right="160" w:firstLine="336"/>
        <w:spacing w:after="0" w:line="265" w:lineRule="auto"/>
        <w:rPr>
          <w:sz w:val="20"/>
          <w:szCs w:val="20"/>
          <w:color w:val="auto"/>
        </w:rPr>
      </w:pPr>
      <w:r>
        <w:rPr>
          <w:rFonts w:ascii="Arial" w:cs="Arial" w:eastAsia="Arial" w:hAnsi="Arial"/>
          <w:sz w:val="17"/>
          <w:szCs w:val="17"/>
          <w:b w:val="1"/>
          <w:bCs w:val="1"/>
          <w:i w:val="1"/>
          <w:iCs w:val="1"/>
          <w:color w:val="auto"/>
        </w:rPr>
        <w:t xml:space="preserve">Rights upon liquidation. </w:t>
      </w:r>
      <w:r>
        <w:rPr>
          <w:rFonts w:ascii="Arial" w:cs="Arial" w:eastAsia="Arial" w:hAnsi="Arial"/>
          <w:sz w:val="17"/>
          <w:szCs w:val="17"/>
          <w:color w:val="auto"/>
        </w:rPr>
        <w:t>In the event of our liquidation, dissolution, or winding up, the holders of common stock will be entitled to share ratably in the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legally available for distribution to stockholders after the payment of or provision for all of our debts and other liabilities, subject to the prior rights of any redeemable convertible preferred stock then outstanding.</w:t>
      </w:r>
    </w:p>
    <w:p>
      <w:pPr>
        <w:spacing w:after="0" w:line="180" w:lineRule="exact"/>
        <w:rPr>
          <w:sz w:val="20"/>
          <w:szCs w:val="20"/>
          <w:color w:val="auto"/>
        </w:rPr>
      </w:pPr>
    </w:p>
    <w:p>
      <w:pPr>
        <w:ind w:right="140" w:firstLine="336"/>
        <w:spacing w:after="0" w:line="307" w:lineRule="auto"/>
        <w:rPr>
          <w:sz w:val="20"/>
          <w:szCs w:val="20"/>
          <w:color w:val="auto"/>
        </w:rPr>
      </w:pPr>
      <w:r>
        <w:rPr>
          <w:rFonts w:ascii="Arial" w:cs="Arial" w:eastAsia="Arial" w:hAnsi="Arial"/>
          <w:sz w:val="15"/>
          <w:szCs w:val="15"/>
          <w:b w:val="1"/>
          <w:bCs w:val="1"/>
          <w:i w:val="1"/>
          <w:iCs w:val="1"/>
          <w:color w:val="auto"/>
        </w:rPr>
        <w:t xml:space="preserve">Other rights. </w:t>
      </w:r>
      <w:r>
        <w:rPr>
          <w:rFonts w:ascii="Arial" w:cs="Arial" w:eastAsia="Arial" w:hAnsi="Arial"/>
          <w:sz w:val="15"/>
          <w:szCs w:val="15"/>
          <w:color w:val="auto"/>
        </w:rPr>
        <w:t>Holders of common stock have no preemptive or conversion rights or other subscription rights and there are no redemption or sinking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provisions applicable to the common stock. All outstanding shares of common stock are, and the common stock to be outstanding upon the completion of this offering will be, duly authorized, validly issued, fully paid, and nonassessable. The rights, preferences and privileges of holders of common stock are subject to and may be adversely affected by the rights of the holders of shares of any series of redeemable convertible preferred stock that we may designate and issue in the future.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2" w:lineRule="exact"/>
        <w:rPr>
          <w:sz w:val="20"/>
          <w:szCs w:val="20"/>
          <w:color w:val="auto"/>
        </w:rPr>
      </w:pPr>
    </w:p>
    <w:p>
      <w:pPr>
        <w:ind w:firstLine="327"/>
        <w:spacing w:after="0" w:line="276" w:lineRule="auto"/>
        <w:rPr>
          <w:sz w:val="20"/>
          <w:szCs w:val="20"/>
          <w:color w:val="auto"/>
        </w:rPr>
      </w:pPr>
      <w:r>
        <w:rPr>
          <w:rFonts w:ascii="Arial" w:cs="Arial" w:eastAsia="Arial" w:hAnsi="Arial"/>
          <w:sz w:val="17"/>
          <w:szCs w:val="17"/>
          <w:color w:val="auto"/>
        </w:rPr>
        <w:t>As of September 30, 2019, there were 65,428,088 shares of our preferred stock outstanding. In connection with this offering, each outstanding share of our preferred stock will convert into one share of our common stock.</w:t>
      </w:r>
    </w:p>
    <w:p>
      <w:pPr>
        <w:spacing w:after="0" w:line="171" w:lineRule="exact"/>
        <w:rPr>
          <w:sz w:val="20"/>
          <w:szCs w:val="20"/>
          <w:color w:val="auto"/>
        </w:rPr>
      </w:pPr>
    </w:p>
    <w:p>
      <w:pPr>
        <w:ind w:right="20" w:firstLine="336"/>
        <w:spacing w:after="0" w:line="275" w:lineRule="auto"/>
        <w:rPr>
          <w:sz w:val="20"/>
          <w:szCs w:val="20"/>
          <w:color w:val="auto"/>
        </w:rPr>
      </w:pPr>
      <w:r>
        <w:rPr>
          <w:rFonts w:ascii="Arial" w:cs="Arial" w:eastAsia="Arial" w:hAnsi="Arial"/>
          <w:sz w:val="16"/>
          <w:szCs w:val="16"/>
          <w:color w:val="auto"/>
        </w:rPr>
        <w:t>On the completion of this offering and under our amended and restated certificate of incorporation that will be in effect on the completion of this offering, our board of directors may, without further action by our stockholders, fix the rights, preferences, privileges and restrictions of up to an aggregate of 100,000,000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have no present plan to issue any shares of preferred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222" w:lineRule="exact"/>
        <w:rPr>
          <w:sz w:val="20"/>
          <w:szCs w:val="20"/>
          <w:color w:val="auto"/>
        </w:rPr>
      </w:pPr>
    </w:p>
    <w:p>
      <w:pPr>
        <w:ind w:right="940" w:firstLine="327"/>
        <w:spacing w:after="0" w:line="276" w:lineRule="auto"/>
        <w:rPr>
          <w:sz w:val="20"/>
          <w:szCs w:val="20"/>
          <w:color w:val="auto"/>
        </w:rPr>
      </w:pPr>
      <w:r>
        <w:rPr>
          <w:rFonts w:ascii="Arial" w:cs="Arial" w:eastAsia="Arial" w:hAnsi="Arial"/>
          <w:sz w:val="17"/>
          <w:szCs w:val="17"/>
          <w:color w:val="auto"/>
        </w:rPr>
        <w:t>As of September 30, 2019, we had outstanding options to purchase 17,409,666 shares of our common stock, with a weighted-average exercise price of approximately $2.12 per share, under our 2008 Plan and 2017 Plan.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22" w:lineRule="exact"/>
        <w:rPr>
          <w:sz w:val="20"/>
          <w:szCs w:val="20"/>
          <w:color w:val="auto"/>
        </w:rPr>
      </w:pPr>
    </w:p>
    <w:p>
      <w:pPr>
        <w:jc w:val="both"/>
        <w:ind w:right="80" w:firstLine="327"/>
        <w:spacing w:after="0" w:line="259" w:lineRule="auto"/>
        <w:rPr>
          <w:sz w:val="20"/>
          <w:szCs w:val="20"/>
          <w:color w:val="auto"/>
        </w:rPr>
      </w:pPr>
      <w:r>
        <w:rPr>
          <w:rFonts w:ascii="Arial" w:cs="Arial" w:eastAsia="Arial" w:hAnsi="Arial"/>
          <w:sz w:val="17"/>
          <w:szCs w:val="17"/>
          <w:color w:val="auto"/>
        </w:rPr>
        <w:t>As of September 30, 2019, we had outstanding warrants exercisable for an aggregate of 2,159,639 shares of our common stock, with a weighted-average exercise price of $1.69 per share, which assumes the conversion of all outstanding convertible preferred stock warrants to warrants to purchase 2,019,245 shares of our common stock. All of the warrants to purchase shares of our convertible preferred stock will become exercisable for shares of our common stock on a one-for-one basis upon the closing of this offering. Warrants exercisable for an aggregate of 140,394 shares of our common stock will expire upon the closing of this offering, if not exercised prior to such date.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Stockholder Registration Rights</w:t>
      </w:r>
    </w:p>
    <w:p>
      <w:pPr>
        <w:spacing w:after="0" w:line="218" w:lineRule="exact"/>
        <w:rPr>
          <w:sz w:val="20"/>
          <w:szCs w:val="20"/>
          <w:color w:val="auto"/>
        </w:rPr>
      </w:pPr>
    </w:p>
    <w:p>
      <w:pPr>
        <w:ind w:firstLine="333"/>
        <w:spacing w:after="0" w:line="279" w:lineRule="auto"/>
        <w:rPr>
          <w:sz w:val="20"/>
          <w:szCs w:val="20"/>
          <w:color w:val="auto"/>
        </w:rPr>
      </w:pPr>
      <w:r>
        <w:rPr>
          <w:rFonts w:ascii="Arial" w:cs="Arial" w:eastAsia="Arial" w:hAnsi="Arial"/>
          <w:sz w:val="16"/>
          <w:szCs w:val="16"/>
          <w:color w:val="auto"/>
        </w:rPr>
        <w:t>We are party to an investor rights agreement that provides that certain holders of our preferred stock, including certain holders of at least 5% of our capital stock and entities affiliated with certain of our directors, have certain registration rights, as set forth below. This investor rights agreement was entered into in 2015.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and legal fees in excess of $30,000, of the shares registered by the demand, piggyback and Form S-3 registrations described below.</w:t>
      </w:r>
    </w:p>
    <w:p>
      <w:pPr>
        <w:spacing w:after="0" w:line="172" w:lineRule="exact"/>
        <w:rPr>
          <w:sz w:val="20"/>
          <w:szCs w:val="20"/>
          <w:color w:val="auto"/>
        </w:rPr>
      </w:pPr>
    </w:p>
    <w:p>
      <w:pPr>
        <w:ind w:right="60" w:firstLine="336"/>
        <w:spacing w:after="0" w:line="259"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(1) the three year anniversary of the effective date of the registration statement, of which this prospectus is a part, (2) a deemed liquidation event, as such term is defined in our then-current certificate of incorporation and (3) with respect to any particular stockholder, such time that such stockholder can sell all of its shares under Rule 144 of the Securities Act during any 90-day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18" w:lineRule="exact"/>
        <w:rPr>
          <w:sz w:val="20"/>
          <w:szCs w:val="20"/>
          <w:color w:val="auto"/>
        </w:rPr>
      </w:pPr>
    </w:p>
    <w:p>
      <w:pPr>
        <w:ind w:right="40" w:firstLine="336"/>
        <w:spacing w:after="0" w:line="282" w:lineRule="auto"/>
        <w:rPr>
          <w:sz w:val="20"/>
          <w:szCs w:val="20"/>
          <w:color w:val="auto"/>
        </w:rPr>
      </w:pPr>
      <w:r>
        <w:rPr>
          <w:rFonts w:ascii="Arial" w:cs="Arial" w:eastAsia="Arial" w:hAnsi="Arial"/>
          <w:sz w:val="16"/>
          <w:szCs w:val="16"/>
          <w:color w:val="auto"/>
        </w:rPr>
        <w:t>Following the completion of this offering, the holders of an aggregate of 62,034,844 shares of our common stock will be entitled to certain demand registration rights. At any time after the earlier of March 4, 2020 or the period beginning 180 days after the completion of this offering, the holders of a majority of these shares may, on not more than two occasions, request that we register all or a portion of their shares on a registration statement on Form S-1. Such request for registration must cover shares with an anticipated aggregate offering price, net of underwriting discounts and commissions, of at least $15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18" w:lineRule="exact"/>
        <w:rPr>
          <w:sz w:val="20"/>
          <w:szCs w:val="20"/>
          <w:color w:val="auto"/>
        </w:rPr>
      </w:pPr>
    </w:p>
    <w:p>
      <w:pPr>
        <w:ind w:firstLine="336"/>
        <w:spacing w:after="0" w:line="293" w:lineRule="auto"/>
        <w:rPr>
          <w:sz w:val="20"/>
          <w:szCs w:val="20"/>
          <w:color w:val="auto"/>
        </w:rPr>
      </w:pPr>
      <w:r>
        <w:rPr>
          <w:rFonts w:ascii="Arial" w:cs="Arial" w:eastAsia="Arial" w:hAnsi="Arial"/>
          <w:sz w:val="15"/>
          <w:szCs w:val="15"/>
          <w:color w:val="auto"/>
        </w:rPr>
        <w:t>In connection with this offering, the holders of an aggregate of 62,034,844 shares of our common stock, on an as-converted basis, were entitled to, and the necessary percentage of holders waived, their rights to notice of this offering and to include their shares of registrable securities in this offering. After this offering, in the event that we propose to register any of our common stock for the purposes of a public offering of such common stock, solely for cash,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to register sales of our common stock for the purposes of a public offering of such common stock, solely for cash, under the Securities Act, other than with respect to (i) a registration relating to the sale of securities to our employees pursuant to an equity incentive, stock option, stock purchase, or similar plan, (ii) a registration relating to an SEC Rule 145 transaction, (iii) a registration on any form that does not include substantially the same information as would be required to be included in a registration statement covering the sale of our securities, or (iv) a registration in which the only common stock being registered is common stock issuable upon conversion of debt securities that are also being registered, the holders of these shares are entitled to notice of the registration and have the right to include their shares in the registration, subject to limitations that the underwriters may impose on the number of shares included in the offering.</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18" w:lineRule="exact"/>
        <w:rPr>
          <w:sz w:val="20"/>
          <w:szCs w:val="20"/>
          <w:color w:val="auto"/>
        </w:rPr>
      </w:pPr>
    </w:p>
    <w:p>
      <w:pPr>
        <w:ind w:right="60" w:firstLine="336"/>
        <w:spacing w:after="0" w:line="282" w:lineRule="auto"/>
        <w:rPr>
          <w:sz w:val="20"/>
          <w:szCs w:val="20"/>
          <w:color w:val="auto"/>
        </w:rPr>
      </w:pPr>
      <w:r>
        <w:rPr>
          <w:rFonts w:ascii="Arial" w:cs="Arial" w:eastAsia="Arial" w:hAnsi="Arial"/>
          <w:sz w:val="16"/>
          <w:szCs w:val="16"/>
          <w:color w:val="auto"/>
        </w:rPr>
        <w:t>Following the completion of this offering, the holders of an aggregate of 62,034,844 shares of common stock will be entitled to certain Form S-3 registration rights. The holders of at least 20% of these shares can make a request that we register their shares on a registration statement on Form S-3 if we are qualified to file a registration statement on Form S-3 and if the reasonably anticipated aggregate gross proceeds of the shares offered, net of underwriting discounts and commissions, would equal or exceed $3.0 million. We will not be required to effect more than two registrations on Form S-3 within any 12-month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Certificate of Incorporation and Bylaws to be in Effect on the Completion of this Offering</w:t>
      </w:r>
    </w:p>
    <w:p>
      <w:pPr>
        <w:spacing w:after="0" w:line="218" w:lineRule="exact"/>
        <w:rPr>
          <w:sz w:val="20"/>
          <w:szCs w:val="20"/>
          <w:color w:val="auto"/>
        </w:rPr>
      </w:pPr>
    </w:p>
    <w:p>
      <w:pPr>
        <w:ind w:right="140" w:firstLine="336"/>
        <w:spacing w:after="0" w:line="258" w:lineRule="auto"/>
        <w:rPr>
          <w:sz w:val="20"/>
          <w:szCs w:val="20"/>
          <w:color w:val="auto"/>
        </w:rPr>
      </w:pPr>
      <w:r>
        <w:rPr>
          <w:rFonts w:ascii="Arial" w:cs="Arial" w:eastAsia="Arial" w:hAnsi="Arial"/>
          <w:sz w:val="17"/>
          <w:szCs w:val="17"/>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completion of this offering will provide for stockholder actions at a duly called meeting of stockholders. A special meeting of stockholders may be called by a majority of our board of directors, the chair of our board of directors, our chief executive officer or our lead independent director. Our amended and restated bylaws to be effective on the completion of this offering will establish an advance notice procedure for stockholder proposals to be brought before an annual meeting of our stockholders, including proposed nominations of persons for election to our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firstLine="336"/>
        <w:spacing w:after="0" w:line="276" w:lineRule="auto"/>
        <w:rPr>
          <w:sz w:val="20"/>
          <w:szCs w:val="20"/>
          <w:color w:val="auto"/>
        </w:rPr>
      </w:pPr>
      <w:r>
        <w:rPr>
          <w:rFonts w:ascii="Arial" w:cs="Arial" w:eastAsia="Arial" w:hAnsi="Arial"/>
          <w:sz w:val="17"/>
          <w:szCs w:val="17"/>
          <w:color w:val="auto"/>
        </w:rPr>
        <w:t>In accordance with our amended and restated certificate of incorporation to be effective on the completion of this offering, immediately after this offering, our board of directors will be divided into three classes with staggered three-year terms.</w:t>
      </w:r>
    </w:p>
    <w:p>
      <w:pPr>
        <w:spacing w:after="0" w:line="171" w:lineRule="exact"/>
        <w:rPr>
          <w:sz w:val="20"/>
          <w:szCs w:val="20"/>
          <w:color w:val="auto"/>
        </w:rPr>
      </w:pPr>
    </w:p>
    <w:p>
      <w:pPr>
        <w:ind w:right="20" w:firstLine="333"/>
        <w:spacing w:after="0" w:line="261" w:lineRule="auto"/>
        <w:rPr>
          <w:sz w:val="20"/>
          <w:szCs w:val="20"/>
          <w:color w:val="auto"/>
        </w:rPr>
      </w:pPr>
      <w:r>
        <w:rPr>
          <w:rFonts w:ascii="Arial" w:cs="Arial" w:eastAsia="Arial" w:hAnsi="Arial"/>
          <w:sz w:val="17"/>
          <w:szCs w:val="17"/>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4" w:lineRule="exact"/>
        <w:rPr>
          <w:sz w:val="20"/>
          <w:szCs w:val="20"/>
          <w:color w:val="auto"/>
        </w:rPr>
      </w:pPr>
    </w:p>
    <w:p>
      <w:pPr>
        <w:ind w:right="100" w:firstLine="333"/>
        <w:spacing w:after="0" w:line="257" w:lineRule="auto"/>
        <w:rPr>
          <w:sz w:val="20"/>
          <w:szCs w:val="20"/>
          <w:color w:val="auto"/>
        </w:rPr>
      </w:pPr>
      <w:r>
        <w:rPr>
          <w:rFonts w:ascii="Arial" w:cs="Arial" w:eastAsia="Arial" w:hAnsi="Arial"/>
          <w:sz w:val="17"/>
          <w:szCs w:val="17"/>
          <w:color w:val="auto"/>
        </w:rPr>
        <w:t>These provisions are intended to preserve our existing control structure after completion of this offering, facilitate our continued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218" w:lineRule="exact"/>
        <w:rPr>
          <w:sz w:val="20"/>
          <w:szCs w:val="20"/>
          <w:color w:val="auto"/>
        </w:rPr>
      </w:pPr>
    </w:p>
    <w:p>
      <w:pPr>
        <w:ind w:right="120" w:firstLine="333"/>
        <w:spacing w:after="0" w:line="289" w:lineRule="auto"/>
        <w:rPr>
          <w:sz w:val="20"/>
          <w:szCs w:val="20"/>
          <w:color w:val="auto"/>
        </w:rPr>
      </w:pPr>
      <w:r>
        <w:rPr>
          <w:rFonts w:ascii="Arial" w:cs="Arial" w:eastAsia="Arial" w:hAnsi="Arial"/>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22" w:lineRule="exact"/>
        <w:rPr>
          <w:sz w:val="20"/>
          <w:szCs w:val="20"/>
          <w:color w:val="auto"/>
        </w:rPr>
      </w:pPr>
    </w:p>
    <w:p>
      <w:pPr>
        <w:ind w:firstLine="336"/>
        <w:spacing w:after="0" w:line="275" w:lineRule="auto"/>
        <w:rPr>
          <w:sz w:val="20"/>
          <w:szCs w:val="20"/>
          <w:color w:val="auto"/>
        </w:rPr>
      </w:pPr>
      <w:r>
        <w:rPr>
          <w:rFonts w:ascii="Arial" w:cs="Arial" w:eastAsia="Arial" w:hAnsi="Arial"/>
          <w:sz w:val="16"/>
          <w:szCs w:val="16"/>
          <w:color w:val="auto"/>
        </w:rPr>
        <w:t>Our amended and restated certificate of incorporation to be effective on the completion of this offering will provide that the Court of Chancery of the State of Delaware be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would not apply to claims brought to enforce a duty or liability created by the Securities Act, the Exchange Act or any other claim for which the federal courts have exclusive jurisdiction. Our amended and restated certificate of incorporation will further provide that the federal district courts of the United States of America will be the exclusive forum for resolving any complaint asserting a cause of action arising under the Securities Act.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of Liability and Indemnification</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the section titled "Executive Compensation—Limitations on Liability and Indemnification Matters."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Listing</w:t>
      </w:r>
    </w:p>
    <w:p>
      <w:pPr>
        <w:spacing w:after="0" w:line="222" w:lineRule="exact"/>
        <w:rPr>
          <w:sz w:val="20"/>
          <w:szCs w:val="20"/>
          <w:color w:val="auto"/>
        </w:rPr>
      </w:pPr>
    </w:p>
    <w:p>
      <w:pPr>
        <w:ind w:right="200" w:firstLine="336"/>
        <w:spacing w:after="0" w:line="276" w:lineRule="auto"/>
        <w:rPr>
          <w:sz w:val="20"/>
          <w:szCs w:val="20"/>
          <w:color w:val="auto"/>
        </w:rPr>
      </w:pPr>
      <w:r>
        <w:rPr>
          <w:rFonts w:ascii="Arial" w:cs="Arial" w:eastAsia="Arial" w:hAnsi="Arial"/>
          <w:sz w:val="17"/>
          <w:szCs w:val="17"/>
          <w:color w:val="auto"/>
        </w:rPr>
        <w:t>Our common stock is currently not listed on any securities exchange. Our common stock has been approved for listing on the Nasdaq Global Select Market under the symbol "PGNY."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2" w:lineRule="exact"/>
        <w:rPr>
          <w:sz w:val="20"/>
          <w:szCs w:val="20"/>
          <w:color w:val="auto"/>
        </w:rPr>
      </w:pPr>
    </w:p>
    <w:p>
      <w:pPr>
        <w:ind w:right="140" w:firstLine="336"/>
        <w:spacing w:after="0" w:line="276" w:lineRule="auto"/>
        <w:rPr>
          <w:sz w:val="20"/>
          <w:szCs w:val="20"/>
          <w:color w:val="auto"/>
        </w:rPr>
      </w:pPr>
      <w:r>
        <w:rPr>
          <w:rFonts w:ascii="Arial" w:cs="Arial" w:eastAsia="Arial" w:hAnsi="Arial"/>
          <w:sz w:val="17"/>
          <w:szCs w:val="17"/>
          <w:color w:val="auto"/>
        </w:rPr>
        <w:t>On the completion of this offering, the transfer agent and registrar for our common stock will be Computershare Trust Company, N.A. The transfer agent's address is 250 Royall Street, Canton, MA 02021.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222" w:lineRule="exact"/>
        <w:rPr>
          <w:sz w:val="20"/>
          <w:szCs w:val="20"/>
          <w:color w:val="auto"/>
        </w:rPr>
      </w:pPr>
    </w:p>
    <w:p>
      <w:pPr>
        <w:jc w:val="both"/>
        <w:ind w:right="120" w:firstLine="336"/>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w:t>
      </w:r>
    </w:p>
    <w:p>
      <w:pPr>
        <w:spacing w:after="0" w:line="180" w:lineRule="exact"/>
        <w:rPr>
          <w:sz w:val="20"/>
          <w:szCs w:val="20"/>
          <w:color w:val="auto"/>
        </w:rPr>
      </w:pPr>
    </w:p>
    <w:p>
      <w:pPr>
        <w:ind w:firstLine="336"/>
        <w:spacing w:after="0" w:line="279" w:lineRule="auto"/>
        <w:rPr>
          <w:sz w:val="20"/>
          <w:szCs w:val="20"/>
          <w:color w:val="auto"/>
        </w:rPr>
      </w:pPr>
      <w:r>
        <w:rPr>
          <w:rFonts w:ascii="Arial" w:cs="Arial" w:eastAsia="Arial" w:hAnsi="Arial"/>
          <w:sz w:val="16"/>
          <w:szCs w:val="16"/>
          <w:color w:val="auto"/>
        </w:rPr>
        <w:t>Based on our shares outstanding as of September 30, 2019, on the completion of this offering, a total of 82,174,794 shares of common stock will be outstanding, assuming the automatic conversion of all of our outstanding shares of preferred stock into an aggregate of 65,428,088 shares of common stock. Of these shares, all of the common stock sold in this offering by us and the selling stockholders, plus any shares sold by the selling stockholders on exercise of the underwriters' option to purchase additional common stock from certain selling stockholders, will be freely tradable in the public market without restriction or further registration under the Securities Act, unless these shares are held by "affiliates," as that term is defined in Rule 144 under the Securities Act.</w:t>
      </w:r>
    </w:p>
    <w:p>
      <w:pPr>
        <w:spacing w:after="0" w:line="172" w:lineRule="exact"/>
        <w:rPr>
          <w:sz w:val="20"/>
          <w:szCs w:val="20"/>
          <w:color w:val="auto"/>
        </w:rPr>
      </w:pPr>
    </w:p>
    <w:p>
      <w:pPr>
        <w:ind w:right="140" w:firstLine="333"/>
        <w:spacing w:after="0" w:line="261" w:lineRule="auto"/>
        <w:rPr>
          <w:sz w:val="20"/>
          <w:szCs w:val="20"/>
          <w:color w:val="auto"/>
        </w:rPr>
      </w:pPr>
      <w:r>
        <w:rPr>
          <w:rFonts w:ascii="Arial" w:cs="Arial" w:eastAsia="Arial" w:hAnsi="Arial"/>
          <w:sz w:val="17"/>
          <w:szCs w:val="17"/>
          <w:color w:val="auto"/>
        </w:rPr>
        <w:t>The remaining shares of common stock will be, and shares of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4" w:lineRule="exact"/>
        <w:rPr>
          <w:sz w:val="20"/>
          <w:szCs w:val="20"/>
          <w:color w:val="auto"/>
        </w:rPr>
      </w:pPr>
    </w:p>
    <w:p>
      <w:pPr>
        <w:ind w:right="220" w:firstLine="336"/>
        <w:spacing w:after="0" w:line="276" w:lineRule="auto"/>
        <w:rPr>
          <w:sz w:val="20"/>
          <w:szCs w:val="20"/>
          <w:color w:val="auto"/>
        </w:rPr>
      </w:pPr>
      <w:r>
        <w:rPr>
          <w:rFonts w:ascii="Arial" w:cs="Arial" w:eastAsia="Arial" w:hAnsi="Arial"/>
          <w:sz w:val="17"/>
          <w:szCs w:val="17"/>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2" w:lineRule="exact"/>
        <w:rPr>
          <w:sz w:val="20"/>
          <w:szCs w:val="20"/>
          <w:color w:val="auto"/>
        </w:rPr>
      </w:pPr>
    </w:p>
    <w:p>
      <w:pPr>
        <w:ind w:right="180" w:firstLine="336"/>
        <w:spacing w:after="0" w:line="297" w:lineRule="auto"/>
        <w:rPr>
          <w:sz w:val="20"/>
          <w:szCs w:val="20"/>
          <w:color w:val="auto"/>
        </w:rPr>
      </w:pPr>
      <w:r>
        <w:rPr>
          <w:rFonts w:ascii="Arial" w:cs="Arial" w:eastAsia="Arial" w:hAnsi="Arial"/>
          <w:sz w:val="15"/>
          <w:szCs w:val="15"/>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61" w:lineRule="exact"/>
        <w:rPr>
          <w:sz w:val="20"/>
          <w:szCs w:val="20"/>
          <w:color w:val="auto"/>
        </w:rPr>
      </w:pPr>
    </w:p>
    <w:p>
      <w:pPr>
        <w:ind w:right="100" w:firstLine="336"/>
        <w:spacing w:after="0" w:line="265"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193" w:lineRule="exact"/>
        <w:rPr>
          <w:sz w:val="20"/>
          <w:szCs w:val="20"/>
          <w:color w:val="auto"/>
        </w:rPr>
      </w:pPr>
    </w:p>
    <w:p>
      <w:pPr>
        <w:ind w:left="1040" w:right="460" w:hanging="519"/>
        <w:spacing w:after="0" w:line="308" w:lineRule="auto"/>
        <w:tabs>
          <w:tab w:leader="none" w:pos="10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1% of the number of common stock then outstanding, which will equal approximately 821,748 shares immediately after this offering, assuming no exercise of the underwriters' option to purchase additional shares of common stock from certain selling stockholders; or</w:t>
      </w:r>
    </w:p>
    <w:p>
      <w:pPr>
        <w:spacing w:after="0" w:line="174" w:lineRule="exact"/>
        <w:rPr>
          <w:rFonts w:ascii="Arial" w:cs="Arial" w:eastAsia="Arial" w:hAnsi="Arial"/>
          <w:sz w:val="16"/>
          <w:szCs w:val="16"/>
          <w:color w:val="auto"/>
        </w:rPr>
      </w:pPr>
    </w:p>
    <w:p>
      <w:pPr>
        <w:ind w:left="1040" w:right="240" w:hanging="519"/>
        <w:spacing w:after="0" w:line="276" w:lineRule="auto"/>
        <w:tabs>
          <w:tab w:leader="none" w:pos="10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Select Market during the four calendar weeks preceding the filing of a notice on Form 144 with respect to such sale.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820" w:firstLine="336"/>
        <w:spacing w:after="0" w:line="276"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2" w:lineRule="exact"/>
        <w:rPr>
          <w:sz w:val="20"/>
          <w:szCs w:val="20"/>
          <w:color w:val="auto"/>
        </w:rPr>
      </w:pPr>
    </w:p>
    <w:p>
      <w:pPr>
        <w:ind w:right="120" w:firstLine="336"/>
        <w:spacing w:after="0" w:line="279" w:lineRule="auto"/>
        <w:rPr>
          <w:sz w:val="20"/>
          <w:szCs w:val="20"/>
          <w:color w:val="auto"/>
        </w:rPr>
      </w:pPr>
      <w:r>
        <w:rPr>
          <w:rFonts w:ascii="Arial" w:cs="Arial" w:eastAsia="Arial" w:hAnsi="Arial"/>
          <w:sz w:val="16"/>
          <w:szCs w:val="16"/>
          <w:color w:val="auto"/>
        </w:rPr>
        <w:t>Rule 701 generally allows a stockholder who was issued shares under a written compensatory plan or contract and who is not deemed to have been an affiliate of ours during the immediately preceding 90 days, to sell these shares in reliance on Rule 144, but without being required to comply with the public information, holding period, volume limitation or notice provisions of Rule 144. Rule 701 also permits affiliates of ours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S-8 Registration Statements</w:t>
      </w:r>
    </w:p>
    <w:p>
      <w:pPr>
        <w:spacing w:after="0" w:line="222" w:lineRule="exact"/>
        <w:rPr>
          <w:sz w:val="20"/>
          <w:szCs w:val="20"/>
          <w:color w:val="auto"/>
        </w:rPr>
      </w:pPr>
    </w:p>
    <w:p>
      <w:pPr>
        <w:ind w:firstLine="333"/>
        <w:spacing w:after="0" w:line="261" w:lineRule="auto"/>
        <w:rPr>
          <w:sz w:val="20"/>
          <w:szCs w:val="20"/>
          <w:color w:val="auto"/>
        </w:rPr>
      </w:pPr>
      <w:r>
        <w:rPr>
          <w:rFonts w:ascii="Arial" w:cs="Arial" w:eastAsia="Arial" w:hAnsi="Arial"/>
          <w:sz w:val="17"/>
          <w:szCs w:val="17"/>
          <w:color w:val="auto"/>
        </w:rPr>
        <w:t>We intend to file one or more registration statements on Form S-8 under the Securities Act with the SEC to register the offer and sale of shares of our common stock that are issuable under our 2008 Plan, 2017 Plan, 2019 Plan and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Arrangements</w:t>
      </w:r>
    </w:p>
    <w:p>
      <w:pPr>
        <w:spacing w:after="0" w:line="222" w:lineRule="exact"/>
        <w:rPr>
          <w:sz w:val="20"/>
          <w:szCs w:val="20"/>
          <w:color w:val="auto"/>
        </w:rPr>
      </w:pPr>
    </w:p>
    <w:p>
      <w:pPr>
        <w:ind w:firstLine="333"/>
        <w:spacing w:after="0" w:line="276" w:lineRule="auto"/>
        <w:rPr>
          <w:sz w:val="20"/>
          <w:szCs w:val="20"/>
          <w:color w:val="auto"/>
        </w:rPr>
      </w:pPr>
      <w:r>
        <w:rPr>
          <w:rFonts w:ascii="Arial" w:cs="Arial" w:eastAsia="Arial" w:hAnsi="Arial"/>
          <w:sz w:val="16"/>
          <w:szCs w:val="16"/>
          <w:color w:val="auto"/>
        </w:rPr>
        <w:t>We, the selling stockholders and all of our directors, executive officers and the holders of substantially all of our common stock and securities exercisable for or convertible into our common stock outstanding immediately on the completion of this offering, have agreed, or will agree, with the underwriters that, until 180 days after the date of this prospectus, we and they will not, without the prior written consent of J.P. Morgan Securities, LLC, Goldman Sachs &amp; Co. LLC and BofA Securities, Inc.,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(Conflicts of Interest)." J.P. Morgan Securities LLC, Goldman Sachs &amp; Co. LLC and BofA Securities, Inc. may, in their sole discretion, release any of the securities subject to these lock-up agreements at any time.</w:t>
      </w:r>
    </w:p>
    <w:p>
      <w:pPr>
        <w:spacing w:after="0" w:line="175" w:lineRule="exact"/>
        <w:rPr>
          <w:sz w:val="20"/>
          <w:szCs w:val="20"/>
          <w:color w:val="auto"/>
        </w:rPr>
      </w:pPr>
    </w:p>
    <w:p>
      <w:pPr>
        <w:ind w:right="160" w:firstLine="336"/>
        <w:spacing w:after="0" w:line="265"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with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2" w:lineRule="exact"/>
        <w:rPr>
          <w:sz w:val="20"/>
          <w:szCs w:val="20"/>
          <w:color w:val="auto"/>
        </w:rPr>
      </w:pPr>
    </w:p>
    <w:p>
      <w:pPr>
        <w:ind w:right="80" w:firstLine="336"/>
        <w:spacing w:after="0" w:line="261" w:lineRule="auto"/>
        <w:rPr>
          <w:sz w:val="20"/>
          <w:szCs w:val="20"/>
          <w:color w:val="auto"/>
        </w:rPr>
      </w:pPr>
      <w:r>
        <w:rPr>
          <w:rFonts w:ascii="Arial" w:cs="Arial" w:eastAsia="Arial" w:hAnsi="Arial"/>
          <w:sz w:val="17"/>
          <w:szCs w:val="17"/>
          <w:color w:val="auto"/>
        </w:rPr>
        <w:t>Upon the completion of this offering, the holders of 62,034,844 shares of our common stock or their transferees,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 Registration Rights" for additional information.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MATERIAL U.S. FEDERAL INCOME TAX CONSEQUENCES TO NON-U.S. HOLDERS OF OUR</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COMMON STOCK</w:t>
      </w:r>
    </w:p>
    <w:p>
      <w:pPr>
        <w:spacing w:after="0" w:line="212" w:lineRule="exact"/>
        <w:rPr>
          <w:sz w:val="20"/>
          <w:szCs w:val="20"/>
          <w:color w:val="auto"/>
        </w:rPr>
      </w:pPr>
    </w:p>
    <w:p>
      <w:pPr>
        <w:ind w:firstLine="333"/>
        <w:spacing w:after="0" w:line="291" w:lineRule="auto"/>
        <w:rPr>
          <w:sz w:val="20"/>
          <w:szCs w:val="20"/>
          <w:color w:val="auto"/>
        </w:rPr>
      </w:pPr>
      <w:r>
        <w:rPr>
          <w:rFonts w:ascii="Arial" w:cs="Arial" w:eastAsia="Arial" w:hAnsi="Arial"/>
          <w:sz w:val="15"/>
          <w:szCs w:val="15"/>
          <w:color w:val="auto"/>
        </w:rPr>
        <w:t>The following summary describes the material U.S. federal income tax consequences of the acquisition, ownership, and disposition of our common stock acquired in this offering by Non-U.S. Holders (as defined below). This discussion is not a complete analysis of all potential U.S. federal income tax consequences relating thereto, does not address the potential application of the Medicare contribution tax or the alternative minimum tax and does not deal with foreign, state, and local consequences that may be relevant to Non-U.S. Holders in light of their particular circumstances, nor does it address U.S. federal tax consequences (such as gift and estate taxes) other than income taxes. Special rules different from those described below may apply to certain Non-U.S. Holders that are subject to special treatment under the Internal Revenue Code of 1986, as amended (the "Code"), such as financial institutions, insurance companies, tax-exempt organizations, broker-dealers and traders in securities, persons who use or are required to use mark-to-market accounting, U.S. expatriates or former U.S. permanent residents,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common stock as part of a "straddle," "hedge," "conversion transaction," "synthetic security" or integrated investment or other risk reduction strategy, persons who acquire our common stock through the exercise of an option or otherwise as compensation, persons subject to special tax accounting rules under Section 451(b) of the Code,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65" w:lineRule="exact"/>
        <w:rPr>
          <w:sz w:val="20"/>
          <w:szCs w:val="20"/>
          <w:color w:val="auto"/>
        </w:rPr>
      </w:pPr>
    </w:p>
    <w:p>
      <w:pPr>
        <w:ind w:right="100" w:firstLine="333"/>
        <w:spacing w:after="0" w:line="316" w:lineRule="auto"/>
        <w:rPr>
          <w:sz w:val="20"/>
          <w:szCs w:val="20"/>
          <w:color w:val="auto"/>
        </w:rPr>
      </w:pPr>
      <w:r>
        <w:rPr>
          <w:rFonts w:ascii="Arial" w:cs="Arial" w:eastAsia="Arial" w:hAnsi="Arial"/>
          <w:sz w:val="15"/>
          <w:szCs w:val="15"/>
          <w:color w:val="auto"/>
        </w:rPr>
        <w:t>This discussion is for informational purposes only and is not tax advice. Persons considering the purchase of our common stock pursuant to this offering should consult their own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foreign tax consequences.</w:t>
      </w:r>
    </w:p>
    <w:p>
      <w:pPr>
        <w:spacing w:after="0" w:line="146" w:lineRule="exact"/>
        <w:rPr>
          <w:sz w:val="20"/>
          <w:szCs w:val="20"/>
          <w:color w:val="auto"/>
        </w:rPr>
      </w:pPr>
    </w:p>
    <w:p>
      <w:pPr>
        <w:ind w:right="40" w:firstLine="336"/>
        <w:spacing w:after="0" w:line="289" w:lineRule="auto"/>
        <w:rPr>
          <w:sz w:val="20"/>
          <w:szCs w:val="20"/>
          <w:color w:val="auto"/>
        </w:rPr>
      </w:pPr>
      <w:r>
        <w:rPr>
          <w:rFonts w:ascii="Arial" w:cs="Arial" w:eastAsia="Arial" w:hAnsi="Arial"/>
          <w:sz w:val="16"/>
          <w:szCs w:val="16"/>
          <w:color w:val="auto"/>
        </w:rPr>
        <w:t>For the purposes of this discussion, a "Non-U.S. Holder" is, for U.S. federal income tax purposes, a beneficial owner of common stock that is neither a U.S. Holder, nor a partnership (or other entity treated as a partnership for U.S. federal income tax purposes regardless of its place of organization or formation). A "U.S. Holder" means a beneficial owner of our common stock that is for U.S. federal income tax purposes any of the following:</w:t>
      </w:r>
    </w:p>
    <w:p>
      <w:pPr>
        <w:spacing w:after="0" w:line="176" w:lineRule="exact"/>
        <w:rPr>
          <w:sz w:val="20"/>
          <w:szCs w:val="20"/>
          <w:color w:val="auto"/>
        </w:rPr>
      </w:pPr>
    </w:p>
    <w:p>
      <w:pPr>
        <w:ind w:left="1040" w:hanging="519"/>
        <w:spacing w:after="0"/>
        <w:tabs>
          <w:tab w:leader="none" w:pos="1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44" w:lineRule="exact"/>
        <w:rPr>
          <w:rFonts w:ascii="Arial" w:cs="Arial" w:eastAsia="Arial" w:hAnsi="Arial"/>
          <w:sz w:val="17"/>
          <w:szCs w:val="17"/>
          <w:color w:val="auto"/>
        </w:rPr>
      </w:pPr>
    </w:p>
    <w:p>
      <w:pPr>
        <w:ind w:left="1040" w:right="140" w:hanging="519"/>
        <w:spacing w:after="0" w:line="276" w:lineRule="auto"/>
        <w:tabs>
          <w:tab w:leader="none" w:pos="1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1" w:lineRule="exact"/>
        <w:rPr>
          <w:sz w:val="20"/>
          <w:szCs w:val="20"/>
          <w:color w:val="auto"/>
        </w:rPr>
      </w:pPr>
    </w:p>
    <w:p>
      <w:pPr>
        <w:ind w:left="1040" w:hanging="519"/>
        <w:spacing w:after="0"/>
        <w:tabs>
          <w:tab w:leader="none" w:pos="10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244" w:lineRule="exact"/>
        <w:rPr>
          <w:rFonts w:ascii="Arial" w:cs="Arial" w:eastAsia="Arial" w:hAnsi="Arial"/>
          <w:sz w:val="17"/>
          <w:szCs w:val="17"/>
          <w:color w:val="auto"/>
        </w:rPr>
      </w:pPr>
    </w:p>
    <w:p>
      <w:pPr>
        <w:ind w:left="1040" w:right="420" w:hanging="519"/>
        <w:spacing w:after="0" w:line="345" w:lineRule="auto"/>
        <w:tabs>
          <w:tab w:leader="none" w:pos="10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2" w:lineRule="exact"/>
        <w:rPr>
          <w:sz w:val="20"/>
          <w:szCs w:val="20"/>
          <w:color w:val="auto"/>
        </w:rPr>
      </w:pPr>
    </w:p>
    <w:p>
      <w:pPr>
        <w:ind w:firstLine="336"/>
        <w:spacing w:after="0" w:line="273" w:lineRule="auto"/>
        <w:rPr>
          <w:sz w:val="20"/>
          <w:szCs w:val="20"/>
          <w:color w:val="auto"/>
        </w:rPr>
      </w:pPr>
      <w:r>
        <w:rPr>
          <w:rFonts w:ascii="Arial" w:cs="Arial" w:eastAsia="Arial" w:hAnsi="Arial"/>
          <w:sz w:val="16"/>
          <w:szCs w:val="16"/>
          <w:color w:val="auto"/>
        </w:rPr>
        <w:t>Distributions, if any, made on our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179" w:lineRule="exact"/>
        <w:rPr>
          <w:sz w:val="20"/>
          <w:szCs w:val="20"/>
          <w:color w:val="auto"/>
        </w:rPr>
      </w:pPr>
    </w:p>
    <w:p>
      <w:pPr>
        <w:ind w:firstLine="333"/>
        <w:spacing w:after="0" w:line="275" w:lineRule="auto"/>
        <w:rPr>
          <w:sz w:val="20"/>
          <w:szCs w:val="20"/>
          <w:color w:val="auto"/>
        </w:rPr>
      </w:pPr>
      <w:r>
        <w:rPr>
          <w:rFonts w:ascii="Arial" w:cs="Arial" w:eastAsia="Arial" w:hAnsi="Arial"/>
          <w:sz w:val="16"/>
          <w:szCs w:val="16"/>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residents.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76" w:lineRule="exact"/>
        <w:rPr>
          <w:sz w:val="20"/>
          <w:szCs w:val="20"/>
          <w:color w:val="auto"/>
        </w:rPr>
      </w:pPr>
    </w:p>
    <w:p>
      <w:pPr>
        <w:ind w:right="100" w:firstLine="333"/>
        <w:spacing w:after="0" w:line="265" w:lineRule="auto"/>
        <w:rPr>
          <w:sz w:val="20"/>
          <w:szCs w:val="20"/>
          <w:color w:val="auto"/>
        </w:rPr>
      </w:pPr>
      <w:r>
        <w:rPr>
          <w:rFonts w:ascii="Arial" w:cs="Arial" w:eastAsia="Arial" w:hAnsi="Arial"/>
          <w:sz w:val="17"/>
          <w:szCs w:val="17"/>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amount distributed, and taxed in the same manner as gain realized from a sale or other disposition of common stock as described in the next section.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Our Common Stock</w:t>
      </w:r>
    </w:p>
    <w:p>
      <w:pPr>
        <w:spacing w:after="0" w:line="222" w:lineRule="exact"/>
        <w:rPr>
          <w:sz w:val="20"/>
          <w:szCs w:val="20"/>
          <w:color w:val="auto"/>
        </w:rPr>
      </w:pPr>
    </w:p>
    <w:p>
      <w:pPr>
        <w:ind w:firstLine="336"/>
        <w:spacing w:after="0" w:line="292" w:lineRule="auto"/>
        <w:rPr>
          <w:sz w:val="20"/>
          <w:szCs w:val="20"/>
          <w:color w:val="auto"/>
        </w:rPr>
      </w:pPr>
      <w:r>
        <w:rPr>
          <w:rFonts w:ascii="Arial" w:cs="Arial" w:eastAsia="Arial" w:hAnsi="Arial"/>
          <w:sz w:val="15"/>
          <w:szCs w:val="15"/>
          <w:color w:val="auto"/>
        </w:rPr>
        <w:t>Subject to the discussions below regarding backup withholding and foreign accounts, a Non-U.S. Holder generally will not be subject to U.S. federal income tax with respect to gain realized on a sale or other disposition of our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general, we would be a United States real property holding corporation if our interests in U.S. real estate comprise (by fair market value) at least half of our business assets. We believe that we have not been and we are not, and do not anticipate becoming, a United States real property holding corporation. Even if we are treated as a United States real property holding corporation, gain realized by a Non-U.S. Holder on a disposition of our common stock will not be subject to U.S. federal income tax so long as (1) the Non-U.S. Holder owned, directly, indirectly and constructively, no more than 5% of our common stock at all times within the shorter of (i) the five-year period preceding the disposition or (ii) the holder's holding period and (2) our common stock is regularly traded on an established securities market. There can be no assurance that our common stock will continue to qualify as regularly traded on an established securities market. If any gain on your disposition is taxable because we are a United States real property holding corporation and your ownership of our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166" w:lineRule="exact"/>
        <w:rPr>
          <w:sz w:val="20"/>
          <w:szCs w:val="20"/>
          <w:color w:val="auto"/>
        </w:rPr>
      </w:pPr>
    </w:p>
    <w:p>
      <w:pPr>
        <w:ind w:right="220" w:firstLine="336"/>
        <w:spacing w:after="0" w:line="279"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regular U.S. federal income tax rates, and corporate Non-U.S. Holders described in (a) above may be subject to the additional branch profits tax at a 30% rate or such lower rate as may be specified by an applicable income tax treaty. Gain described in (b) above will be subject to U.S. federal income tax at a flat 30% rate or such lower rate as may be specified by an applicable income tax treaty, which gain may be offset by certain U.S.-source capital losses (even though you are not considered a resident of the United States), provided that the Non-U.S. Holder has timely filed U.S. federal income tax returns with respect to such losses.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Requirements and Backup Withholding</w:t>
      </w:r>
    </w:p>
    <w:p>
      <w:pPr>
        <w:spacing w:after="0" w:line="222" w:lineRule="exact"/>
        <w:rPr>
          <w:sz w:val="20"/>
          <w:szCs w:val="20"/>
          <w:color w:val="auto"/>
        </w:rPr>
      </w:pPr>
    </w:p>
    <w:p>
      <w:pPr>
        <w:ind w:right="60" w:firstLine="336"/>
        <w:spacing w:after="0" w:line="261" w:lineRule="auto"/>
        <w:rPr>
          <w:sz w:val="20"/>
          <w:szCs w:val="20"/>
          <w:color w:val="auto"/>
        </w:rPr>
      </w:pPr>
      <w:r>
        <w:rPr>
          <w:rFonts w:ascii="Arial" w:cs="Arial" w:eastAsia="Arial" w:hAnsi="Arial"/>
          <w:sz w:val="17"/>
          <w:szCs w:val="17"/>
          <w:color w:val="auto"/>
        </w:rPr>
        <w:t>Generally, we must report information to the IRS with respect to any dividends we pay on our common stock (even if the payments are exempt from withholding),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ind w:right="160" w:firstLine="336"/>
        <w:spacing w:after="0" w:line="261" w:lineRule="auto"/>
        <w:rPr>
          <w:sz w:val="20"/>
          <w:szCs w:val="20"/>
          <w:color w:val="auto"/>
        </w:rPr>
      </w:pPr>
      <w:r>
        <w:rPr>
          <w:rFonts w:ascii="Arial" w:cs="Arial" w:eastAsia="Arial" w:hAnsi="Arial"/>
          <w:sz w:val="17"/>
          <w:szCs w:val="17"/>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20" w:firstLine="336"/>
        <w:spacing w:after="0" w:line="297" w:lineRule="auto"/>
        <w:rPr>
          <w:sz w:val="20"/>
          <w:szCs w:val="20"/>
          <w:color w:val="auto"/>
        </w:rPr>
      </w:pPr>
      <w:r>
        <w:rPr>
          <w:rFonts w:ascii="Arial" w:cs="Arial" w:eastAsia="Arial" w:hAnsi="Arial"/>
          <w:sz w:val="15"/>
          <w:szCs w:val="15"/>
          <w:color w:val="auto"/>
        </w:rPr>
        <w:t>U.S. information reporting and backup withholding requirements generally will apply to the proceeds of a disposition of our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61" w:lineRule="exact"/>
        <w:rPr>
          <w:sz w:val="20"/>
          <w:szCs w:val="20"/>
          <w:color w:val="auto"/>
        </w:rPr>
      </w:pPr>
    </w:p>
    <w:p>
      <w:pPr>
        <w:ind w:right="120" w:firstLine="336"/>
        <w:spacing w:after="0" w:line="27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Accounts</w:t>
      </w:r>
    </w:p>
    <w:p>
      <w:pPr>
        <w:spacing w:after="0" w:line="222" w:lineRule="exact"/>
        <w:rPr>
          <w:sz w:val="20"/>
          <w:szCs w:val="20"/>
          <w:color w:val="auto"/>
        </w:rPr>
      </w:pPr>
    </w:p>
    <w:p>
      <w:pPr>
        <w:ind w:firstLine="336"/>
        <w:spacing w:after="0" w:line="295" w:lineRule="auto"/>
        <w:rPr>
          <w:sz w:val="20"/>
          <w:szCs w:val="20"/>
          <w:color w:val="auto"/>
        </w:rPr>
      </w:pPr>
      <w:r>
        <w:rPr>
          <w:rFonts w:ascii="Arial" w:cs="Arial" w:eastAsia="Arial" w:hAnsi="Arial"/>
          <w:sz w:val="15"/>
          <w:szCs w:val="15"/>
          <w:color w:val="auto"/>
        </w:rPr>
        <w:t>Sections 1471 through 1474 of the Code (commonly referred to as FATCA) impose a U.S. federal withholding tax of 30% on certain payments, including dividends paid on, and, for dispositions on or after January 1, 2019, the gross proceeds of a disposition of, our common stock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including dividends paid on, and the gross proceeds of a disposition of, our common stock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ind w:right="120" w:firstLine="333"/>
        <w:spacing w:after="0" w:line="261" w:lineRule="auto"/>
        <w:rPr>
          <w:sz w:val="20"/>
          <w:szCs w:val="20"/>
          <w:color w:val="auto"/>
        </w:rPr>
      </w:pPr>
      <w:r>
        <w:rPr>
          <w:rFonts w:ascii="Arial" w:cs="Arial" w:eastAsia="Arial" w:hAnsi="Arial"/>
          <w:sz w:val="17"/>
          <w:szCs w:val="17"/>
          <w:color w:val="auto"/>
        </w:rPr>
        <w:t>The U.S. Treasury Department recently released proposed regulations which, if finalized in their present form, would eliminate the federal withholding tax of 30% applicable to the gross proceeds of a disposition of our common stock. In its preamble to such proposed regulations, the U.S. Treasury Department stated that taxpayers may generally rely on the proposed regulations until final regulations are issued. Holders are encouraged to consult with their own tax advisors regarding the possible implications of FATCA on their investment in our common stock.</w:t>
      </w:r>
    </w:p>
    <w:p>
      <w:pPr>
        <w:spacing w:after="0" w:line="180" w:lineRule="exact"/>
        <w:rPr>
          <w:sz w:val="20"/>
          <w:szCs w:val="20"/>
          <w:color w:val="auto"/>
        </w:rPr>
      </w:pPr>
    </w:p>
    <w:p>
      <w:pPr>
        <w:ind w:right="60" w:firstLine="336"/>
        <w:spacing w:after="0" w:line="267" w:lineRule="auto"/>
        <w:rPr>
          <w:sz w:val="20"/>
          <w:szCs w:val="20"/>
          <w:color w:val="auto"/>
        </w:rPr>
      </w:pPr>
      <w:r>
        <w:rPr>
          <w:rFonts w:ascii="Arial" w:cs="Arial" w:eastAsia="Arial" w:hAnsi="Arial"/>
          <w:sz w:val="17"/>
          <w:szCs w:val="17"/>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UNDERWRITING (CONFLICTS OF INTEREST)</w:t>
      </w:r>
    </w:p>
    <w:p>
      <w:pPr>
        <w:spacing w:after="0" w:line="222" w:lineRule="exact"/>
        <w:rPr>
          <w:sz w:val="20"/>
          <w:szCs w:val="20"/>
          <w:color w:val="auto"/>
        </w:rPr>
      </w:pPr>
    </w:p>
    <w:p>
      <w:pPr>
        <w:ind w:firstLine="333"/>
        <w:spacing w:after="0" w:line="302" w:lineRule="auto"/>
        <w:rPr>
          <w:sz w:val="20"/>
          <w:szCs w:val="20"/>
          <w:color w:val="auto"/>
        </w:rPr>
      </w:pPr>
      <w:r>
        <w:rPr>
          <w:rFonts w:ascii="Arial" w:cs="Arial" w:eastAsia="Arial" w:hAnsi="Arial"/>
          <w:sz w:val="15"/>
          <w:szCs w:val="15"/>
          <w:color w:val="auto"/>
        </w:rPr>
        <w:t>We and the selling stockholders are offering the shares of common stock described in this prospectus through a number of underwriters. J.P. Morgan Securities LLC, Goldman Sachs &amp; Co. LLC and BofA Securities, Inc. are acting as joint book-running managers of the offering and as representatives of the underwriters. We and the selling stockholders have entered into an underwriting agreement with the underwriters.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4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040" w:type="dxa"/>
            <w:vAlign w:val="bottom"/>
            <w:gridSpan w:val="3"/>
          </w:tcPr>
          <w:p>
            <w:pPr>
              <w:ind w:left="160"/>
              <w:spacing w:after="0"/>
              <w:rPr>
                <w:sz w:val="20"/>
                <w:szCs w:val="20"/>
                <w:color w:val="auto"/>
              </w:rPr>
            </w:pPr>
            <w:r>
              <w:rPr>
                <w:rFonts w:ascii="Arial" w:cs="Arial" w:eastAsia="Arial" w:hAnsi="Arial"/>
                <w:sz w:val="13"/>
                <w:szCs w:val="13"/>
                <w:b w:val="1"/>
                <w:bCs w:val="1"/>
                <w:color w:val="auto"/>
              </w:rPr>
              <w:t>Number of</w:t>
            </w:r>
          </w:p>
        </w:tc>
      </w:tr>
      <w:tr>
        <w:trPr>
          <w:trHeight w:val="155"/>
        </w:trPr>
        <w:tc>
          <w:tcPr>
            <w:tcW w:w="69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040" w:type="dxa"/>
            <w:vAlign w:val="bottom"/>
            <w:gridSpan w:val="3"/>
          </w:tcPr>
          <w:p>
            <w:pPr>
              <w:ind w:left="260"/>
              <w:spacing w:after="0"/>
              <w:rPr>
                <w:sz w:val="20"/>
                <w:szCs w:val="20"/>
                <w:color w:val="auto"/>
              </w:rPr>
            </w:pPr>
            <w:r>
              <w:rPr>
                <w:rFonts w:ascii="Arial" w:cs="Arial" w:eastAsia="Arial" w:hAnsi="Arial"/>
                <w:sz w:val="13"/>
                <w:szCs w:val="13"/>
                <w:b w:val="1"/>
                <w:bCs w:val="1"/>
                <w:color w:val="auto"/>
              </w:rPr>
              <w:t>Shares</w:t>
            </w:r>
          </w:p>
        </w:tc>
      </w:tr>
      <w:tr>
        <w:trPr>
          <w:trHeight w:val="20"/>
        </w:trPr>
        <w:tc>
          <w:tcPr>
            <w:tcW w:w="32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0"/>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J.P. Morgan Securities LLC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2,750,000</w:t>
            </w:r>
          </w:p>
        </w:tc>
        <w:tc>
          <w:tcPr>
            <w:tcW w:w="140" w:type="dxa"/>
            <w:vAlign w:val="bottom"/>
            <w:shd w:val="clear" w:color="auto" w:fill="CCEEFF"/>
          </w:tcPr>
          <w:p>
            <w:pPr>
              <w:spacing w:after="0"/>
              <w:rPr>
                <w:sz w:val="17"/>
                <w:szCs w:val="17"/>
                <w:color w:val="auto"/>
              </w:rPr>
            </w:pPr>
          </w:p>
        </w:tc>
      </w:tr>
      <w:tr>
        <w:trPr>
          <w:trHeight w:val="207"/>
        </w:trPr>
        <w:tc>
          <w:tcPr>
            <w:tcW w:w="6940" w:type="dxa"/>
            <w:vAlign w:val="bottom"/>
            <w:gridSpan w:val="2"/>
          </w:tcPr>
          <w:p>
            <w:pPr>
              <w:spacing w:after="0"/>
              <w:rPr>
                <w:sz w:val="20"/>
                <w:szCs w:val="20"/>
                <w:color w:val="auto"/>
              </w:rPr>
            </w:pPr>
            <w:r>
              <w:rPr>
                <w:rFonts w:ascii="Arial" w:cs="Arial" w:eastAsia="Arial" w:hAnsi="Arial"/>
                <w:sz w:val="17"/>
                <w:szCs w:val="17"/>
                <w:color w:val="auto"/>
              </w:rPr>
              <w:t>Goldman Sachs &amp; Co. LLC</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2,550,000</w:t>
            </w:r>
          </w:p>
        </w:tc>
        <w:tc>
          <w:tcPr>
            <w:tcW w:w="140" w:type="dxa"/>
            <w:vAlign w:val="bottom"/>
          </w:tcPr>
          <w:p>
            <w:pPr>
              <w:spacing w:after="0"/>
              <w:rPr>
                <w:sz w:val="17"/>
                <w:szCs w:val="17"/>
                <w:color w:val="auto"/>
              </w:rPr>
            </w:pPr>
          </w:p>
        </w:tc>
      </w:tr>
      <w:tr>
        <w:trPr>
          <w:trHeight w:val="207"/>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BofA Securities, Inc.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2,550,000</w:t>
            </w:r>
          </w:p>
        </w:tc>
        <w:tc>
          <w:tcPr>
            <w:tcW w:w="140" w:type="dxa"/>
            <w:vAlign w:val="bottom"/>
            <w:shd w:val="clear" w:color="auto" w:fill="CCEEFF"/>
          </w:tcPr>
          <w:p>
            <w:pPr>
              <w:spacing w:after="0"/>
              <w:rPr>
                <w:sz w:val="17"/>
                <w:szCs w:val="17"/>
                <w:color w:val="auto"/>
              </w:rPr>
            </w:pPr>
          </w:p>
        </w:tc>
      </w:tr>
      <w:tr>
        <w:trPr>
          <w:trHeight w:val="207"/>
        </w:trPr>
        <w:tc>
          <w:tcPr>
            <w:tcW w:w="6940" w:type="dxa"/>
            <w:vAlign w:val="bottom"/>
            <w:gridSpan w:val="2"/>
          </w:tcPr>
          <w:p>
            <w:pPr>
              <w:spacing w:after="0"/>
              <w:rPr>
                <w:sz w:val="20"/>
                <w:szCs w:val="20"/>
                <w:color w:val="auto"/>
              </w:rPr>
            </w:pPr>
            <w:r>
              <w:rPr>
                <w:rFonts w:ascii="Arial" w:cs="Arial" w:eastAsia="Arial" w:hAnsi="Arial"/>
                <w:sz w:val="17"/>
                <w:szCs w:val="17"/>
                <w:color w:val="auto"/>
              </w:rPr>
              <w:t>Citigroup Global Markets Inc.</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1,000,000</w:t>
            </w:r>
          </w:p>
        </w:tc>
        <w:tc>
          <w:tcPr>
            <w:tcW w:w="140" w:type="dxa"/>
            <w:vAlign w:val="bottom"/>
          </w:tcPr>
          <w:p>
            <w:pPr>
              <w:spacing w:after="0"/>
              <w:rPr>
                <w:sz w:val="17"/>
                <w:szCs w:val="17"/>
                <w:color w:val="auto"/>
              </w:rPr>
            </w:pPr>
          </w:p>
        </w:tc>
      </w:tr>
      <w:tr>
        <w:trPr>
          <w:trHeight w:val="207"/>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Piper Jaffray &amp; Co.</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140" w:type="dxa"/>
            <w:vAlign w:val="bottom"/>
            <w:shd w:val="clear" w:color="auto" w:fill="CCEEFF"/>
          </w:tcPr>
          <w:p>
            <w:pPr>
              <w:spacing w:after="0"/>
              <w:rPr>
                <w:sz w:val="17"/>
                <w:szCs w:val="17"/>
                <w:color w:val="auto"/>
              </w:rPr>
            </w:pPr>
          </w:p>
        </w:tc>
      </w:tr>
      <w:tr>
        <w:trPr>
          <w:trHeight w:val="207"/>
        </w:trPr>
        <w:tc>
          <w:tcPr>
            <w:tcW w:w="6940" w:type="dxa"/>
            <w:vAlign w:val="bottom"/>
            <w:gridSpan w:val="2"/>
          </w:tcPr>
          <w:p>
            <w:pPr>
              <w:spacing w:after="0"/>
              <w:rPr>
                <w:sz w:val="20"/>
                <w:szCs w:val="20"/>
                <w:color w:val="auto"/>
              </w:rPr>
            </w:pPr>
            <w:r>
              <w:rPr>
                <w:rFonts w:ascii="Arial" w:cs="Arial" w:eastAsia="Arial" w:hAnsi="Arial"/>
                <w:sz w:val="17"/>
                <w:szCs w:val="17"/>
                <w:color w:val="auto"/>
              </w:rPr>
              <w:t>SVB Leerink LLC</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400,000</w:t>
            </w:r>
          </w:p>
        </w:tc>
        <w:tc>
          <w:tcPr>
            <w:tcW w:w="140" w:type="dxa"/>
            <w:vAlign w:val="bottom"/>
          </w:tcPr>
          <w:p>
            <w:pPr>
              <w:spacing w:after="0"/>
              <w:rPr>
                <w:sz w:val="17"/>
                <w:szCs w:val="17"/>
                <w:color w:val="auto"/>
              </w:rPr>
            </w:pPr>
          </w:p>
        </w:tc>
      </w:tr>
      <w:tr>
        <w:trPr>
          <w:trHeight w:val="207"/>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TPG Capital BD, LLC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350,000</w:t>
            </w:r>
          </w:p>
        </w:tc>
        <w:tc>
          <w:tcPr>
            <w:tcW w:w="140" w:type="dxa"/>
            <w:vAlign w:val="bottom"/>
            <w:shd w:val="clear" w:color="auto" w:fill="CCEEFF"/>
          </w:tcPr>
          <w:p>
            <w:pPr>
              <w:spacing w:after="0"/>
              <w:rPr>
                <w:sz w:val="17"/>
                <w:szCs w:val="17"/>
                <w:color w:val="auto"/>
              </w:rPr>
            </w:pPr>
          </w:p>
        </w:tc>
      </w:tr>
      <w:tr>
        <w:trPr>
          <w:trHeight w:val="200"/>
        </w:trPr>
        <w:tc>
          <w:tcPr>
            <w:tcW w:w="6940" w:type="dxa"/>
            <w:vAlign w:val="bottom"/>
            <w:gridSpan w:val="2"/>
          </w:tcPr>
          <w:p>
            <w:pPr>
              <w:spacing w:after="0"/>
              <w:rPr>
                <w:sz w:val="20"/>
                <w:szCs w:val="20"/>
                <w:color w:val="auto"/>
              </w:rPr>
            </w:pPr>
            <w:r>
              <w:rPr>
                <w:rFonts w:ascii="Arial" w:cs="Arial" w:eastAsia="Arial" w:hAnsi="Arial"/>
                <w:sz w:val="17"/>
                <w:szCs w:val="17"/>
                <w:color w:val="auto"/>
              </w:rPr>
              <w:t>Total</w:t>
            </w: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w w:val="84"/>
              </w:rPr>
              <w:t>10,000,000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0" w:firstLine="333"/>
        <w:spacing w:after="0" w:line="265" w:lineRule="auto"/>
        <w:rPr>
          <w:sz w:val="20"/>
          <w:szCs w:val="20"/>
          <w:color w:val="auto"/>
        </w:rPr>
      </w:pPr>
      <w:r>
        <w:rPr>
          <w:rFonts w:ascii="Arial" w:cs="Arial" w:eastAsia="Arial" w:hAnsi="Arial"/>
          <w:sz w:val="17"/>
          <w:szCs w:val="17"/>
          <w:color w:val="auto"/>
        </w:rPr>
        <w:t>The underwriters are committed to purchase all the common shares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80" w:lineRule="exact"/>
        <w:rPr>
          <w:sz w:val="20"/>
          <w:szCs w:val="20"/>
          <w:color w:val="auto"/>
        </w:rPr>
      </w:pPr>
    </w:p>
    <w:p>
      <w:pPr>
        <w:ind w:right="80" w:firstLine="333"/>
        <w:spacing w:after="0" w:line="261" w:lineRule="auto"/>
        <w:rPr>
          <w:sz w:val="20"/>
          <w:szCs w:val="20"/>
          <w:color w:val="auto"/>
        </w:rPr>
      </w:pPr>
      <w:r>
        <w:rPr>
          <w:rFonts w:ascii="Arial" w:cs="Arial" w:eastAsia="Arial" w:hAnsi="Arial"/>
          <w:sz w:val="17"/>
          <w:szCs w:val="17"/>
          <w:color w:val="auto"/>
        </w:rPr>
        <w:t>The underwriters propose to offer the common shares directly to the public at the initial public offering price set forth on the cover page of this prospectus and to certain dealers at that price less a concession not in excess of $0.5070 per share. After the initial offering of the shares to the public, if all of the common shares are not sold at the initial public offering price, the underwriters may change the offering price and the other selling terms. Sales of shares made outside of the United States may be made by affiliates of the underwriters.</w:t>
      </w:r>
    </w:p>
    <w:p>
      <w:pPr>
        <w:spacing w:after="0" w:line="184" w:lineRule="exact"/>
        <w:rPr>
          <w:sz w:val="20"/>
          <w:szCs w:val="20"/>
          <w:color w:val="auto"/>
        </w:rPr>
      </w:pPr>
    </w:p>
    <w:p>
      <w:pPr>
        <w:ind w:right="240" w:firstLine="333"/>
        <w:spacing w:after="0" w:line="259" w:lineRule="auto"/>
        <w:rPr>
          <w:sz w:val="20"/>
          <w:szCs w:val="20"/>
          <w:color w:val="auto"/>
        </w:rPr>
      </w:pPr>
      <w:r>
        <w:rPr>
          <w:rFonts w:ascii="Arial" w:cs="Arial" w:eastAsia="Arial" w:hAnsi="Arial"/>
          <w:sz w:val="17"/>
          <w:szCs w:val="17"/>
          <w:color w:val="auto"/>
        </w:rPr>
        <w:t>The underwriters have an option to buy up to 1,500,000 additional shares of common stock from certain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87" w:lineRule="exact"/>
        <w:rPr>
          <w:sz w:val="20"/>
          <w:szCs w:val="20"/>
          <w:color w:val="auto"/>
        </w:rPr>
      </w:pPr>
    </w:p>
    <w:p>
      <w:pPr>
        <w:ind w:right="60" w:firstLine="333"/>
        <w:spacing w:after="0" w:line="276" w:lineRule="auto"/>
        <w:rPr>
          <w:sz w:val="20"/>
          <w:szCs w:val="20"/>
          <w:color w:val="auto"/>
        </w:rPr>
      </w:pPr>
      <w:r>
        <w:rPr>
          <w:rFonts w:ascii="Arial" w:cs="Arial" w:eastAsia="Arial" w:hAnsi="Arial"/>
          <w:sz w:val="17"/>
          <w:szCs w:val="17"/>
          <w:color w:val="auto"/>
        </w:rPr>
        <w:t>The underwriting fee is equal to the public offering price per share of common stock less the amount paid by the underwriters to us per share of common stock. The following table shows the per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share and total underwriting discounts and commissions to be paid to the underwriters assuming both no exercise and full exercise of the underwriters' option to purchase additional shares.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Total Without</w:t>
            </w:r>
          </w:p>
        </w:tc>
        <w:tc>
          <w:tcPr>
            <w:tcW w:w="8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Total With Full</w:t>
            </w:r>
          </w:p>
        </w:tc>
      </w:tr>
      <w:tr>
        <w:trPr>
          <w:trHeight w:val="142"/>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6"/>
              </w:rPr>
              <w:t>Exercise of</w:t>
            </w:r>
          </w:p>
        </w:tc>
        <w:tc>
          <w:tcPr>
            <w:tcW w:w="80" w:type="dxa"/>
            <w:vAlign w:val="bottom"/>
          </w:tcPr>
          <w:p>
            <w:pPr>
              <w:spacing w:after="0"/>
              <w:rPr>
                <w:sz w:val="12"/>
                <w:szCs w:val="12"/>
                <w:color w:val="auto"/>
              </w:rPr>
            </w:pP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6"/>
              </w:rPr>
              <w:t>Exercise of</w:t>
            </w:r>
          </w:p>
        </w:tc>
      </w:tr>
      <w:tr>
        <w:trPr>
          <w:trHeight w:val="142"/>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9"/>
              </w:rPr>
              <w:t>Option to</w:t>
            </w:r>
          </w:p>
        </w:tc>
        <w:tc>
          <w:tcPr>
            <w:tcW w:w="80" w:type="dxa"/>
            <w:vAlign w:val="bottom"/>
          </w:tcPr>
          <w:p>
            <w:pPr>
              <w:spacing w:after="0"/>
              <w:rPr>
                <w:sz w:val="12"/>
                <w:szCs w:val="12"/>
                <w:color w:val="auto"/>
              </w:rPr>
            </w:pP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9"/>
              </w:rPr>
              <w:t>Option to</w:t>
            </w:r>
          </w:p>
        </w:tc>
      </w:tr>
      <w:tr>
        <w:trPr>
          <w:trHeight w:val="142"/>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8"/>
              </w:rPr>
              <w:t>Purchase</w:t>
            </w:r>
          </w:p>
        </w:tc>
        <w:tc>
          <w:tcPr>
            <w:tcW w:w="80" w:type="dxa"/>
            <w:vAlign w:val="bottom"/>
          </w:tcPr>
          <w:p>
            <w:pPr>
              <w:spacing w:after="0"/>
              <w:rPr>
                <w:sz w:val="12"/>
                <w:szCs w:val="12"/>
                <w:color w:val="auto"/>
              </w:rPr>
            </w:pP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8"/>
              </w:rPr>
              <w:t>Purchase</w:t>
            </w:r>
          </w:p>
        </w:tc>
      </w:tr>
      <w:tr>
        <w:trPr>
          <w:trHeight w:val="155"/>
        </w:trPr>
        <w:tc>
          <w:tcPr>
            <w:tcW w:w="5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Per Share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0"/>
              </w:rPr>
              <w:t>Additional Shares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0"/>
              </w:rPr>
              <w:t>Additional Shares</w:t>
            </w:r>
          </w:p>
        </w:tc>
        <w:tc>
          <w:tcPr>
            <w:tcW w:w="160" w:type="dxa"/>
            <w:vAlign w:val="bottom"/>
          </w:tcPr>
          <w:p>
            <w:pPr>
              <w:spacing w:after="0"/>
              <w:rPr>
                <w:sz w:val="13"/>
                <w:szCs w:val="13"/>
                <w:color w:val="auto"/>
              </w:rPr>
            </w:pP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Shares sold by us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0.8775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5,879,250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5,879,250</w:t>
            </w:r>
          </w:p>
        </w:tc>
      </w:tr>
      <w:tr>
        <w:trPr>
          <w:trHeight w:val="207"/>
        </w:trPr>
        <w:tc>
          <w:tcPr>
            <w:tcW w:w="5180" w:type="dxa"/>
            <w:vAlign w:val="bottom"/>
          </w:tcPr>
          <w:p>
            <w:pPr>
              <w:spacing w:after="0"/>
              <w:rPr>
                <w:sz w:val="20"/>
                <w:szCs w:val="20"/>
                <w:color w:val="auto"/>
              </w:rPr>
            </w:pPr>
            <w:r>
              <w:rPr>
                <w:rFonts w:ascii="Arial" w:cs="Arial" w:eastAsia="Arial" w:hAnsi="Arial"/>
                <w:sz w:val="17"/>
                <w:szCs w:val="17"/>
                <w:color w:val="auto"/>
              </w:rPr>
              <w:t>Shares sold by the selling stockholders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0.7800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2,574,000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3,744,000</w:t>
            </w:r>
          </w:p>
        </w:tc>
      </w:tr>
      <w:tr>
        <w:trPr>
          <w:trHeight w:val="207"/>
        </w:trPr>
        <w:tc>
          <w:tcPr>
            <w:tcW w:w="5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8,453,250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9,623,250</w:t>
            </w:r>
          </w:p>
        </w:tc>
      </w:tr>
    </w:tbl>
    <w:p>
      <w:pPr>
        <w:spacing w:after="0" w:line="198" w:lineRule="exact"/>
        <w:rPr>
          <w:sz w:val="20"/>
          <w:szCs w:val="20"/>
          <w:color w:val="auto"/>
        </w:rPr>
      </w:pPr>
    </w:p>
    <w:p>
      <w:pPr>
        <w:ind w:right="80" w:firstLine="333"/>
        <w:spacing w:after="0" w:line="261"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the underwriting discounts and commissions, will be approximately $3.5 million. We have agreed to reimburse the underwriters for reasonable fees and expenses related to the clearance of this offering by the Financial Industry Regulatory Authority in an amount not to exceed $40,000. The underwriters have agreed to reimburse us for certain out-of-pocket expenses incurred in connection with this offering.</w:t>
      </w:r>
    </w:p>
    <w:p>
      <w:pPr>
        <w:spacing w:after="0" w:line="184" w:lineRule="exact"/>
        <w:rPr>
          <w:sz w:val="20"/>
          <w:szCs w:val="20"/>
          <w:color w:val="auto"/>
        </w:rPr>
      </w:pPr>
    </w:p>
    <w:p>
      <w:pPr>
        <w:ind w:firstLine="327"/>
        <w:spacing w:after="0" w:line="261"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4" w:lineRule="exact"/>
        <w:rPr>
          <w:sz w:val="20"/>
          <w:szCs w:val="20"/>
          <w:color w:val="auto"/>
        </w:rPr>
      </w:pPr>
    </w:p>
    <w:p>
      <w:pPr>
        <w:ind w:right="40" w:firstLine="336"/>
        <w:spacing w:after="0" w:line="297" w:lineRule="auto"/>
        <w:rPr>
          <w:sz w:val="20"/>
          <w:szCs w:val="20"/>
          <w:color w:val="auto"/>
        </w:rPr>
      </w:pPr>
      <w:r>
        <w:rPr>
          <w:rFonts w:ascii="Arial" w:cs="Arial" w:eastAsia="Arial" w:hAnsi="Arial"/>
          <w:sz w:val="15"/>
          <w:szCs w:val="15"/>
          <w:color w:val="auto"/>
        </w:rPr>
        <w:t>We have agreed, subject to certain exceptions, that we will not (1)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Goldman Sachs &amp; Co. LLC and BofA Securities, Inc. for a period of 180 days after the date of this prospectus.</w:t>
      </w:r>
    </w:p>
    <w:p>
      <w:pPr>
        <w:spacing w:after="0" w:line="161" w:lineRule="exact"/>
        <w:rPr>
          <w:sz w:val="20"/>
          <w:szCs w:val="20"/>
          <w:color w:val="auto"/>
        </w:rPr>
      </w:pPr>
    </w:p>
    <w:p>
      <w:pPr>
        <w:ind w:right="20" w:firstLine="336"/>
        <w:spacing w:after="0" w:line="274" w:lineRule="auto"/>
        <w:rPr>
          <w:sz w:val="20"/>
          <w:szCs w:val="20"/>
          <w:color w:val="auto"/>
        </w:rPr>
      </w:pPr>
      <w:r>
        <w:rPr>
          <w:rFonts w:ascii="Arial" w:cs="Arial" w:eastAsia="Arial" w:hAnsi="Arial"/>
          <w:sz w:val="16"/>
          <w:szCs w:val="16"/>
          <w:color w:val="auto"/>
        </w:rPr>
        <w:t>Our directors and executive officers, and certain of our significant shareholders have entered into lock-up agreements with the underwriters prior to the commencement of this offering pursuant to which each of these persons or entities, for a period of 180 days after the date of this prospectus, may not, without the prior written consent of J.P. Morgan Securities, LLC, Goldman Sachs &amp; Co. LLC and BofA Securities, Inc., or pursuant to certain limited exceptions,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or exercise any right with respect to the registration of any shares of our common stock or any security convertible into or exercisable or exchangeable for our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"PGNY."</w:t>
      </w:r>
    </w:p>
    <w:p>
      <w:pPr>
        <w:spacing w:after="0" w:line="218" w:lineRule="exact"/>
        <w:rPr>
          <w:sz w:val="20"/>
          <w:szCs w:val="20"/>
          <w:color w:val="auto"/>
        </w:rPr>
      </w:pPr>
    </w:p>
    <w:p>
      <w:pPr>
        <w:ind w:right="40" w:firstLine="336"/>
        <w:spacing w:after="0" w:line="273"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81" w:lineRule="exact"/>
        <w:rPr>
          <w:sz w:val="20"/>
          <w:szCs w:val="20"/>
          <w:color w:val="auto"/>
        </w:rPr>
      </w:pPr>
    </w:p>
    <w:p>
      <w:pPr>
        <w:ind w:firstLine="333"/>
        <w:spacing w:after="0" w:line="261"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4" w:lineRule="exact"/>
        <w:rPr>
          <w:sz w:val="20"/>
          <w:szCs w:val="20"/>
          <w:color w:val="auto"/>
        </w:rPr>
      </w:pPr>
    </w:p>
    <w:p>
      <w:pPr>
        <w:ind w:right="40" w:firstLine="333"/>
        <w:spacing w:after="0" w:line="261" w:lineRule="auto"/>
        <w:rPr>
          <w:sz w:val="20"/>
          <w:szCs w:val="20"/>
          <w:color w:val="auto"/>
        </w:rPr>
      </w:pPr>
      <w:r>
        <w:rPr>
          <w:rFonts w:ascii="Arial" w:cs="Arial" w:eastAsia="Arial" w:hAnsi="Arial"/>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4" w:lineRule="exact"/>
        <w:rPr>
          <w:sz w:val="20"/>
          <w:szCs w:val="20"/>
          <w:color w:val="auto"/>
        </w:rPr>
      </w:pPr>
    </w:p>
    <w:p>
      <w:pPr>
        <w:jc w:val="both"/>
        <w:ind w:firstLine="336"/>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93" w:lineRule="exact"/>
        <w:rPr>
          <w:sz w:val="20"/>
          <w:szCs w:val="20"/>
          <w:color w:val="auto"/>
        </w:rPr>
      </w:pPr>
    </w:p>
    <w:p>
      <w:pPr>
        <w:ind w:left="1040" w:hanging="519"/>
        <w:spacing w:after="0"/>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set forth in this prospectus and otherwise available to the representatives;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prospects and the history and prospects for the industry in which we compete;</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assessment of our management;</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prospects for future earnings;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general condition of the securities markets at the time of this offering;</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1" w:lineRule="exact"/>
        <w:rPr>
          <w:sz w:val="20"/>
          <w:szCs w:val="20"/>
          <w:color w:val="auto"/>
        </w:rPr>
      </w:pPr>
    </w:p>
    <w:p>
      <w:pPr>
        <w:ind w:left="1040" w:hanging="519"/>
        <w:spacing w:after="0"/>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recent market prices of, and demand for, publicly traded common stock of generally comparable companies; and</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other factors deemed relevant by the underwriters and us.</w:t>
      </w:r>
    </w:p>
    <w:p>
      <w:pPr>
        <w:spacing w:after="0" w:line="218" w:lineRule="exact"/>
        <w:rPr>
          <w:sz w:val="20"/>
          <w:szCs w:val="20"/>
          <w:color w:val="auto"/>
        </w:rPr>
      </w:pPr>
    </w:p>
    <w:p>
      <w:pPr>
        <w:ind w:right="300" w:firstLine="336"/>
        <w:spacing w:after="0" w:line="276" w:lineRule="auto"/>
        <w:rPr>
          <w:sz w:val="20"/>
          <w:szCs w:val="20"/>
          <w:color w:val="auto"/>
        </w:rPr>
      </w:pPr>
      <w:r>
        <w:rPr>
          <w:rFonts w:ascii="Arial" w:cs="Arial" w:eastAsia="Arial" w:hAnsi="Arial"/>
          <w:sz w:val="17"/>
          <w:szCs w:val="17"/>
          <w:color w:val="auto"/>
        </w:rPr>
        <w:t>None of us, the selling stockholders or the underwriters can assure investors that an active trading market will develop for our common shares, or that the shares will trade in the public market at or above the initial public offering price.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Relationships</w:t>
      </w:r>
    </w:p>
    <w:p>
      <w:pPr>
        <w:spacing w:after="0" w:line="222" w:lineRule="exact"/>
        <w:rPr>
          <w:sz w:val="20"/>
          <w:szCs w:val="20"/>
          <w:color w:val="auto"/>
        </w:rPr>
      </w:pPr>
    </w:p>
    <w:p>
      <w:pPr>
        <w:ind w:right="80" w:firstLine="333"/>
        <w:spacing w:after="0" w:line="345"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25" w:lineRule="exact"/>
        <w:rPr>
          <w:sz w:val="20"/>
          <w:szCs w:val="20"/>
          <w:color w:val="auto"/>
        </w:rPr>
      </w:pPr>
    </w:p>
    <w:p>
      <w:pPr>
        <w:ind w:right="640" w:firstLine="336"/>
        <w:spacing w:after="0" w:line="276" w:lineRule="auto"/>
        <w:rPr>
          <w:sz w:val="20"/>
          <w:szCs w:val="20"/>
          <w:color w:val="auto"/>
        </w:rPr>
      </w:pPr>
      <w:r>
        <w:rPr>
          <w:rFonts w:ascii="Arial" w:cs="Arial" w:eastAsia="Arial" w:hAnsi="Arial"/>
          <w:sz w:val="17"/>
          <w:szCs w:val="17"/>
          <w:color w:val="auto"/>
        </w:rPr>
        <w:t>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420" w:firstLine="336"/>
        <w:spacing w:after="0" w:line="289" w:lineRule="auto"/>
        <w:rPr>
          <w:sz w:val="20"/>
          <w:szCs w:val="20"/>
          <w:color w:val="auto"/>
        </w:rPr>
      </w:pPr>
      <w:r>
        <w:rPr>
          <w:rFonts w:ascii="Arial" w:cs="Arial" w:eastAsia="Arial" w:hAnsi="Arial"/>
          <w:sz w:val="16"/>
          <w:szCs w:val="16"/>
          <w:color w:val="auto"/>
        </w:rPr>
        <w:t>In addition, from time to time, certain of the underwriters and their respective affiliates may effect transactions for their own account or for the account of customers, and hold on behalf of themselves or their customers, long or short positions in our debt or equity securities or loans, and may do so in the future. Silicon Valley Bank, the lender under our revolving line of credit, is an affiliate of SVB Leerink LLC, one of the underwriters in this offering.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222" w:lineRule="exact"/>
        <w:rPr>
          <w:sz w:val="20"/>
          <w:szCs w:val="20"/>
          <w:color w:val="auto"/>
        </w:rPr>
      </w:pPr>
    </w:p>
    <w:p>
      <w:pPr>
        <w:ind w:right="240" w:firstLine="333"/>
        <w:spacing w:after="0" w:line="279" w:lineRule="auto"/>
        <w:rPr>
          <w:sz w:val="20"/>
          <w:szCs w:val="20"/>
          <w:color w:val="auto"/>
        </w:rPr>
      </w:pPr>
      <w:r>
        <w:rPr>
          <w:rFonts w:ascii="Arial" w:cs="Arial" w:eastAsia="Arial" w:hAnsi="Arial"/>
          <w:sz w:val="16"/>
          <w:szCs w:val="16"/>
          <w:color w:val="auto"/>
        </w:rPr>
        <w:t>TPG Biotechnology Partners III, L.P., an affiliate of TPG Capital BD, LLC, one of the underwriters in this offering, owns more than 10% of our outstanding common stock. Accordingly, TPG Capital BD, LLC is deemed to have a "conflict of interest" within the meaning of FINRA Rule 5121 and this offering will be conducted in accordance with the applicable provisions of FINRA Rule 5121. Pursuant to that rule, the appointment of a qualified independent underwriter is not necessary in connection with this offering. In accordance with FINRA Rule 5121(c), no sales of the shares will be made to any discretionary account over which TPG Capital BD, LLC exercises discretion without the prior specific written approval of the account holder.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2" w:lineRule="exact"/>
        <w:rPr>
          <w:sz w:val="20"/>
          <w:szCs w:val="20"/>
          <w:color w:val="auto"/>
        </w:rPr>
      </w:pPr>
    </w:p>
    <w:p>
      <w:pPr>
        <w:ind w:firstLine="336"/>
        <w:spacing w:after="0" w:line="257" w:lineRule="auto"/>
        <w:rPr>
          <w:sz w:val="20"/>
          <w:szCs w:val="20"/>
          <w:color w:val="auto"/>
        </w:rPr>
      </w:pPr>
      <w:r>
        <w:rPr>
          <w:rFonts w:ascii="Arial" w:cs="Arial" w:eastAsia="Arial" w:hAnsi="Arial"/>
          <w:sz w:val="17"/>
          <w:szCs w:val="17"/>
          <w:color w:val="auto"/>
        </w:rPr>
        <w:t>Other than in the United States, no action has been taken by us, the selling stockholders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the European Economic Area</w:t>
      </w:r>
    </w:p>
    <w:p>
      <w:pPr>
        <w:spacing w:after="0" w:line="218" w:lineRule="exact"/>
        <w:rPr>
          <w:sz w:val="20"/>
          <w:szCs w:val="20"/>
          <w:color w:val="auto"/>
        </w:rPr>
      </w:pPr>
    </w:p>
    <w:p>
      <w:pPr>
        <w:ind w:right="100" w:firstLine="336"/>
        <w:spacing w:after="0" w:line="276" w:lineRule="auto"/>
        <w:rPr>
          <w:sz w:val="20"/>
          <w:szCs w:val="20"/>
          <w:color w:val="auto"/>
        </w:rPr>
      </w:pPr>
      <w:r>
        <w:rPr>
          <w:rFonts w:ascii="Arial" w:cs="Arial" w:eastAsia="Arial" w:hAnsi="Arial"/>
          <w:sz w:val="17"/>
          <w:szCs w:val="17"/>
          <w:color w:val="auto"/>
        </w:rPr>
        <w:t>In relation to each Member State of the European Economic Area (each a "Member State") no shares of common stock has been offered or will be offered pursuant to the offering to the public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jc w:val="both"/>
        <w:ind w:right="200"/>
        <w:spacing w:after="0" w:line="316" w:lineRule="auto"/>
        <w:rPr>
          <w:sz w:val="20"/>
          <w:szCs w:val="20"/>
          <w:color w:val="auto"/>
        </w:rPr>
      </w:pPr>
      <w:r>
        <w:rPr>
          <w:rFonts w:ascii="Arial" w:cs="Arial" w:eastAsia="Arial" w:hAnsi="Arial"/>
          <w:sz w:val="15"/>
          <w:szCs w:val="15"/>
          <w:color w:val="auto"/>
        </w:rPr>
        <w:t>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the shares may be made to the public in that Member State at any time under the following exemptions under the Prospectus Regulation:</w:t>
      </w:r>
    </w:p>
    <w:p>
      <w:pPr>
        <w:spacing w:after="0" w:line="159" w:lineRule="exact"/>
        <w:rPr>
          <w:sz w:val="20"/>
          <w:szCs w:val="20"/>
          <w:color w:val="auto"/>
        </w:rPr>
      </w:pPr>
    </w:p>
    <w:p>
      <w:pPr>
        <w:ind w:left="1040" w:hanging="519"/>
        <w:spacing w:after="0"/>
        <w:tabs>
          <w:tab w:leader="none" w:pos="10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244" w:lineRule="exact"/>
        <w:rPr>
          <w:rFonts w:ascii="Arial" w:cs="Arial" w:eastAsia="Arial" w:hAnsi="Arial"/>
          <w:sz w:val="17"/>
          <w:szCs w:val="17"/>
          <w:color w:val="auto"/>
        </w:rPr>
      </w:pPr>
    </w:p>
    <w:p>
      <w:pPr>
        <w:ind w:left="1040" w:right="480" w:hanging="519"/>
        <w:spacing w:after="0" w:line="276" w:lineRule="auto"/>
        <w:tabs>
          <w:tab w:leader="none" w:pos="10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for any such offer; or</w:t>
      </w:r>
    </w:p>
    <w:p>
      <w:pPr>
        <w:spacing w:after="0" w:line="184" w:lineRule="exact"/>
        <w:rPr>
          <w:rFonts w:ascii="Arial" w:cs="Arial" w:eastAsia="Arial" w:hAnsi="Arial"/>
          <w:sz w:val="17"/>
          <w:szCs w:val="17"/>
          <w:color w:val="auto"/>
        </w:rPr>
      </w:pPr>
    </w:p>
    <w:p>
      <w:pPr>
        <w:ind w:left="1040" w:hanging="519"/>
        <w:spacing w:after="0"/>
        <w:tabs>
          <w:tab w:leader="none" w:pos="10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218"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Article 3 of the Prospectus Regulation or supplement a prospectus pursuant to Article 23 of the Prospectus Regulation.</w:t>
      </w:r>
    </w:p>
    <w:p>
      <w:pPr>
        <w:spacing w:after="0" w:line="171" w:lineRule="exact"/>
        <w:rPr>
          <w:sz w:val="20"/>
          <w:szCs w:val="20"/>
          <w:color w:val="auto"/>
        </w:rPr>
      </w:pPr>
    </w:p>
    <w:p>
      <w:pPr>
        <w:ind w:right="140" w:firstLine="336"/>
        <w:spacing w:after="0" w:line="265" w:lineRule="auto"/>
        <w:rPr>
          <w:sz w:val="20"/>
          <w:szCs w:val="20"/>
          <w:color w:val="auto"/>
        </w:rPr>
      </w:pPr>
      <w:r>
        <w:rPr>
          <w:rFonts w:ascii="Arial" w:cs="Arial" w:eastAsia="Arial" w:hAnsi="Arial"/>
          <w:sz w:val="17"/>
          <w:szCs w:val="17"/>
          <w:color w:val="auto"/>
        </w:rPr>
        <w:t>For the purposes of this provision, the expression an "offer to the public" in relation to any Class A common stock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80" w:lineRule="exact"/>
        <w:rPr>
          <w:sz w:val="20"/>
          <w:szCs w:val="20"/>
          <w:color w:val="auto"/>
        </w:rPr>
      </w:pPr>
    </w:p>
    <w:p>
      <w:pPr>
        <w:ind w:firstLine="333"/>
        <w:spacing w:after="0" w:line="297" w:lineRule="auto"/>
        <w:rPr>
          <w:sz w:val="20"/>
          <w:szCs w:val="20"/>
          <w:color w:val="auto"/>
        </w:rPr>
      </w:pPr>
      <w:r>
        <w:rPr>
          <w:rFonts w:ascii="Arial" w:cs="Arial" w:eastAsia="Arial" w:hAnsi="Arial"/>
          <w:sz w:val="15"/>
          <w:szCs w:val="15"/>
          <w:color w:val="auto"/>
        </w:rPr>
        <w:t>The shares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shares or otherwise making them available to retail investors in the EEA has been prepared and therefore offering or selling the securities or otherwise making them available to any retail investor in the EEA may be unlawful under the PRIIPS Regulation.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the United Kingdom</w:t>
      </w:r>
    </w:p>
    <w:p>
      <w:pPr>
        <w:spacing w:after="0" w:line="218" w:lineRule="exact"/>
        <w:rPr>
          <w:sz w:val="20"/>
          <w:szCs w:val="20"/>
          <w:color w:val="auto"/>
        </w:rPr>
      </w:pPr>
    </w:p>
    <w:p>
      <w:pPr>
        <w:ind w:right="20" w:firstLine="336"/>
        <w:spacing w:after="0" w:line="259"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87" w:lineRule="exact"/>
        <w:rPr>
          <w:sz w:val="20"/>
          <w:szCs w:val="20"/>
          <w:color w:val="auto"/>
        </w:rPr>
      </w:pPr>
    </w:p>
    <w:p>
      <w:pPr>
        <w:jc w:val="both"/>
        <w:ind w:right="80" w:firstLine="327"/>
        <w:spacing w:after="0" w:line="289"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Canada</w:t>
      </w:r>
    </w:p>
    <w:p>
      <w:pPr>
        <w:spacing w:after="0" w:line="218" w:lineRule="exact"/>
        <w:rPr>
          <w:sz w:val="20"/>
          <w:szCs w:val="20"/>
          <w:color w:val="auto"/>
        </w:rPr>
      </w:pPr>
    </w:p>
    <w:p>
      <w:pPr>
        <w:ind w:right="120" w:firstLine="333"/>
        <w:spacing w:after="0" w:line="261"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4" w:lineRule="exact"/>
        <w:rPr>
          <w:sz w:val="20"/>
          <w:szCs w:val="20"/>
          <w:color w:val="auto"/>
        </w:rPr>
      </w:pPr>
    </w:p>
    <w:p>
      <w:pPr>
        <w:ind w:right="40" w:firstLine="336"/>
        <w:spacing w:after="0" w:line="261"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ind w:right="560" w:firstLine="336"/>
        <w:spacing w:after="0" w:line="276"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Switzerland</w:t>
      </w:r>
    </w:p>
    <w:p>
      <w:pPr>
        <w:spacing w:after="0" w:line="218" w:lineRule="exact"/>
        <w:rPr>
          <w:sz w:val="20"/>
          <w:szCs w:val="20"/>
          <w:color w:val="auto"/>
        </w:rPr>
      </w:pPr>
    </w:p>
    <w:p>
      <w:pPr>
        <w:ind w:firstLine="333"/>
        <w:spacing w:after="0" w:line="279"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2" w:lineRule="exact"/>
        <w:rPr>
          <w:sz w:val="20"/>
          <w:szCs w:val="20"/>
          <w:color w:val="auto"/>
        </w:rPr>
      </w:pPr>
    </w:p>
    <w:p>
      <w:pPr>
        <w:ind w:right="60" w:firstLine="336"/>
        <w:spacing w:after="0" w:line="307"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the Dubai International Financial Centre ("DIFC")</w:t>
      </w:r>
    </w:p>
    <w:p>
      <w:pPr>
        <w:spacing w:after="0" w:line="218" w:lineRule="exact"/>
        <w:rPr>
          <w:sz w:val="20"/>
          <w:szCs w:val="20"/>
          <w:color w:val="auto"/>
        </w:rPr>
      </w:pPr>
    </w:p>
    <w:p>
      <w:pPr>
        <w:ind w:right="160" w:firstLine="333"/>
        <w:spacing w:after="0" w:line="277"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75" w:lineRule="exact"/>
        <w:rPr>
          <w:sz w:val="20"/>
          <w:szCs w:val="20"/>
          <w:color w:val="auto"/>
        </w:rPr>
      </w:pPr>
    </w:p>
    <w:p>
      <w:pPr>
        <w:ind w:firstLine="336"/>
        <w:spacing w:after="0" w:line="276" w:lineRule="auto"/>
        <w:rPr>
          <w:sz w:val="20"/>
          <w:szCs w:val="20"/>
          <w:color w:val="auto"/>
        </w:rPr>
      </w:pPr>
      <w:r>
        <w:rPr>
          <w:rFonts w:ascii="Arial" w:cs="Arial" w:eastAsia="Arial" w:hAnsi="Arial"/>
          <w:sz w:val="17"/>
          <w:szCs w:val="17"/>
          <w:color w:val="auto"/>
        </w:rPr>
        <w:t>In relation to its use in the DIFC, this document is strictly private and confidential and is being distributed to a limited number of investors and must not be provided to any person other than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original recipient, and may not be reproduced or used for any other purpose. The interests in the securities may not be offered or sold directly or indirectly to the public in the DIFC.</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the United Arab Emirates</w:t>
      </w:r>
    </w:p>
    <w:p>
      <w:pPr>
        <w:spacing w:after="0" w:line="218" w:lineRule="exact"/>
        <w:rPr>
          <w:sz w:val="20"/>
          <w:szCs w:val="20"/>
          <w:color w:val="auto"/>
        </w:rPr>
      </w:pPr>
    </w:p>
    <w:p>
      <w:pPr>
        <w:ind w:firstLine="333"/>
        <w:spacing w:after="0" w:line="259" w:lineRule="auto"/>
        <w:rPr>
          <w:sz w:val="20"/>
          <w:szCs w:val="20"/>
          <w:color w:val="auto"/>
        </w:rPr>
      </w:pPr>
      <w:r>
        <w:rPr>
          <w:rFonts w:ascii="Arial" w:cs="Arial" w:eastAsia="Arial" w:hAnsi="Arial"/>
          <w:sz w:val="17"/>
          <w:szCs w:val="17"/>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Australia</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prospectus:</w:t>
      </w:r>
    </w:p>
    <w:p>
      <w:pPr>
        <w:spacing w:after="0" w:line="231" w:lineRule="exact"/>
        <w:rPr>
          <w:sz w:val="20"/>
          <w:szCs w:val="20"/>
          <w:color w:val="auto"/>
        </w:rPr>
      </w:pPr>
    </w:p>
    <w:p>
      <w:pPr>
        <w:ind w:left="1040" w:hanging="519"/>
        <w:spacing w:after="0"/>
        <w:tabs>
          <w:tab w:leader="none" w:pos="10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does not constitute a product disclosure document or a prospectus under Chapter 6D.2 of the Corporations Act 2001 (Cth) (the "Corporations Act");</w:t>
      </w:r>
    </w:p>
    <w:p>
      <w:pPr>
        <w:spacing w:after="0" w:line="267" w:lineRule="exact"/>
        <w:rPr>
          <w:rFonts w:ascii="Arial" w:cs="Arial" w:eastAsia="Arial" w:hAnsi="Arial"/>
          <w:sz w:val="15"/>
          <w:szCs w:val="15"/>
          <w:color w:val="auto"/>
        </w:rPr>
      </w:pPr>
    </w:p>
    <w:p>
      <w:pPr>
        <w:ind w:left="1040" w:right="80" w:hanging="519"/>
        <w:spacing w:after="0" w:line="345" w:lineRule="auto"/>
        <w:tabs>
          <w:tab w:leader="none" w:pos="10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37" w:lineRule="exact"/>
        <w:rPr>
          <w:rFonts w:ascii="Arial" w:cs="Arial" w:eastAsia="Arial" w:hAnsi="Arial"/>
          <w:sz w:val="15"/>
          <w:szCs w:val="15"/>
          <w:color w:val="auto"/>
        </w:rPr>
      </w:pPr>
    </w:p>
    <w:p>
      <w:pPr>
        <w:ind w:left="1040" w:right="60" w:hanging="519"/>
        <w:spacing w:after="0" w:line="345" w:lineRule="auto"/>
        <w:tabs>
          <w:tab w:leader="none" w:pos="10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37" w:lineRule="exact"/>
        <w:rPr>
          <w:rFonts w:ascii="Arial" w:cs="Arial" w:eastAsia="Arial" w:hAnsi="Arial"/>
          <w:sz w:val="15"/>
          <w:szCs w:val="15"/>
          <w:color w:val="auto"/>
        </w:rPr>
      </w:pPr>
    </w:p>
    <w:p>
      <w:pPr>
        <w:ind w:left="1040" w:right="440" w:hanging="519"/>
        <w:spacing w:after="0" w:line="276" w:lineRule="auto"/>
        <w:tabs>
          <w:tab w:leader="none" w:pos="10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1" w:lineRule="exact"/>
        <w:rPr>
          <w:sz w:val="20"/>
          <w:szCs w:val="20"/>
          <w:color w:val="auto"/>
        </w:rPr>
      </w:pPr>
    </w:p>
    <w:p>
      <w:pPr>
        <w:ind w:firstLine="333"/>
        <w:spacing w:after="0" w:line="282"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70" w:lineRule="exact"/>
        <w:rPr>
          <w:sz w:val="20"/>
          <w:szCs w:val="20"/>
          <w:color w:val="auto"/>
        </w:rPr>
      </w:pPr>
    </w:p>
    <w:p>
      <w:pPr>
        <w:ind w:firstLine="327"/>
        <w:spacing w:after="0" w:line="279"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Japan</w:t>
      </w:r>
    </w:p>
    <w:p>
      <w:pPr>
        <w:spacing w:after="0" w:line="218" w:lineRule="exact"/>
        <w:rPr>
          <w:sz w:val="20"/>
          <w:szCs w:val="20"/>
          <w:color w:val="auto"/>
        </w:rPr>
      </w:pPr>
    </w:p>
    <w:p>
      <w:pPr>
        <w:ind w:right="340" w:firstLine="333"/>
        <w:spacing w:after="0" w:line="276" w:lineRule="auto"/>
        <w:rPr>
          <w:sz w:val="20"/>
          <w:szCs w:val="20"/>
          <w:color w:val="auto"/>
        </w:rPr>
      </w:pPr>
      <w:r>
        <w:rPr>
          <w:rFonts w:ascii="Arial" w:cs="Arial" w:eastAsia="Arial" w:hAnsi="Arial"/>
          <w:sz w:val="17"/>
          <w:szCs w:val="17"/>
          <w:color w:val="auto"/>
        </w:rPr>
        <w:t>The shares have not been and will not be registered pursuant to Article 4, Paragraph 1 of the Financial Instruments and Exchange Act. Accordingly, none of the shares nor any interest therein may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Hong Kong</w:t>
      </w:r>
    </w:p>
    <w:p>
      <w:pPr>
        <w:spacing w:after="0" w:line="218" w:lineRule="exact"/>
        <w:rPr>
          <w:sz w:val="20"/>
          <w:szCs w:val="20"/>
          <w:color w:val="auto"/>
        </w:rPr>
      </w:pPr>
    </w:p>
    <w:p>
      <w:pPr>
        <w:ind w:right="60" w:firstLine="333"/>
        <w:spacing w:after="0" w:line="275"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6" w:lineRule="exact"/>
        <w:rPr>
          <w:sz w:val="20"/>
          <w:szCs w:val="20"/>
          <w:color w:val="auto"/>
        </w:rPr>
      </w:pPr>
    </w:p>
    <w:p>
      <w:pPr>
        <w:ind w:right="60" w:firstLine="333"/>
        <w:spacing w:after="0" w:line="276" w:lineRule="auto"/>
        <w:rPr>
          <w:sz w:val="20"/>
          <w:szCs w:val="20"/>
          <w:color w:val="auto"/>
        </w:rPr>
      </w:pPr>
      <w:r>
        <w:rPr>
          <w:rFonts w:ascii="Arial" w:cs="Arial" w:eastAsia="Arial" w:hAnsi="Arial"/>
          <w:sz w:val="17"/>
          <w:szCs w:val="17"/>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Singapore</w:t>
      </w:r>
    </w:p>
    <w:p>
      <w:pPr>
        <w:spacing w:after="0" w:line="218" w:lineRule="exact"/>
        <w:rPr>
          <w:sz w:val="20"/>
          <w:szCs w:val="20"/>
          <w:color w:val="auto"/>
        </w:rPr>
      </w:pPr>
    </w:p>
    <w:p>
      <w:pPr>
        <w:ind w:right="40" w:firstLine="333"/>
        <w:spacing w:after="0" w:line="258"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231" w:lineRule="exact"/>
        <w:rPr>
          <w:sz w:val="20"/>
          <w:szCs w:val="20"/>
          <w:color w:val="auto"/>
        </w:rPr>
      </w:pPr>
    </w:p>
    <w:p>
      <w:pPr>
        <w:ind w:left="1040" w:right="120" w:hanging="519"/>
        <w:spacing w:after="0" w:line="276" w:lineRule="auto"/>
        <w:tabs>
          <w:tab w:leader="none" w:pos="10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97" w:lineRule="exact"/>
        <w:rPr>
          <w:rFonts w:ascii="Arial" w:cs="Arial" w:eastAsia="Arial" w:hAnsi="Arial"/>
          <w:sz w:val="17"/>
          <w:szCs w:val="17"/>
          <w:color w:val="auto"/>
        </w:rPr>
      </w:pPr>
    </w:p>
    <w:p>
      <w:pPr>
        <w:ind w:left="1040" w:right="80" w:hanging="519"/>
        <w:spacing w:after="0" w:line="276" w:lineRule="auto"/>
        <w:tabs>
          <w:tab w:leader="none" w:pos="10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71" w:lineRule="exact"/>
        <w:rPr>
          <w:sz w:val="20"/>
          <w:szCs w:val="20"/>
          <w:color w:val="auto"/>
        </w:rPr>
      </w:pPr>
    </w:p>
    <w:p>
      <w:pPr>
        <w:ind w:right="520" w:firstLine="336"/>
        <w:spacing w:after="0" w:line="27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corporation or that trust has acquired the shares pursuant to an offer made under Section 275 of the SFA except:</w:t>
      </w:r>
    </w:p>
    <w:p>
      <w:pPr>
        <w:spacing w:after="0" w:line="231" w:lineRule="exact"/>
        <w:rPr>
          <w:sz w:val="20"/>
          <w:szCs w:val="20"/>
          <w:color w:val="auto"/>
        </w:rPr>
      </w:pPr>
    </w:p>
    <w:p>
      <w:pPr>
        <w:ind w:left="1040" w:right="980" w:hanging="519"/>
        <w:spacing w:after="0" w:line="276" w:lineRule="auto"/>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97" w:lineRule="exact"/>
        <w:rPr>
          <w:rFonts w:ascii="Arial" w:cs="Arial" w:eastAsia="Arial" w:hAnsi="Arial"/>
          <w:sz w:val="17"/>
          <w:szCs w:val="17"/>
          <w:color w:val="auto"/>
        </w:rPr>
      </w:pPr>
    </w:p>
    <w:p>
      <w:pPr>
        <w:ind w:left="1040" w:hanging="519"/>
        <w:spacing w:after="0"/>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Bermuda</w:t>
      </w:r>
    </w:p>
    <w:p>
      <w:pPr>
        <w:spacing w:after="0" w:line="218" w:lineRule="exact"/>
        <w:rPr>
          <w:sz w:val="20"/>
          <w:szCs w:val="20"/>
          <w:color w:val="auto"/>
        </w:rPr>
      </w:pPr>
    </w:p>
    <w:p>
      <w:pPr>
        <w:ind w:right="20" w:firstLine="336"/>
        <w:spacing w:after="0" w:line="265" w:lineRule="auto"/>
        <w:rPr>
          <w:sz w:val="20"/>
          <w:szCs w:val="20"/>
          <w:color w:val="auto"/>
        </w:rPr>
      </w:pPr>
      <w:r>
        <w:rPr>
          <w:rFonts w:ascii="Arial" w:cs="Arial" w:eastAsia="Arial" w:hAnsi="Arial"/>
          <w:sz w:val="17"/>
          <w:szCs w:val="17"/>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Saudi Arabia</w:t>
      </w:r>
    </w:p>
    <w:p>
      <w:pPr>
        <w:spacing w:after="0" w:line="218" w:lineRule="exact"/>
        <w:rPr>
          <w:sz w:val="20"/>
          <w:szCs w:val="20"/>
          <w:color w:val="auto"/>
        </w:rPr>
      </w:pPr>
    </w:p>
    <w:p>
      <w:pPr>
        <w:ind w:right="100" w:firstLine="333"/>
        <w:spacing w:after="0" w:line="258"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the British Virgin Islands</w:t>
      </w:r>
    </w:p>
    <w:p>
      <w:pPr>
        <w:spacing w:after="0" w:line="218" w:lineRule="exact"/>
        <w:rPr>
          <w:sz w:val="20"/>
          <w:szCs w:val="20"/>
          <w:color w:val="auto"/>
        </w:rPr>
      </w:pPr>
    </w:p>
    <w:p>
      <w:pPr>
        <w:ind w:firstLine="333"/>
        <w:spacing w:after="0" w:line="265" w:lineRule="auto"/>
        <w:rPr>
          <w:sz w:val="20"/>
          <w:szCs w:val="20"/>
          <w:color w:val="auto"/>
        </w:rPr>
      </w:pPr>
      <w:r>
        <w:rPr>
          <w:rFonts w:ascii="Arial" w:cs="Arial" w:eastAsia="Arial" w:hAnsi="Arial"/>
          <w:sz w:val="17"/>
          <w:szCs w:val="17"/>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180" w:lineRule="exact"/>
        <w:rPr>
          <w:sz w:val="20"/>
          <w:szCs w:val="20"/>
          <w:color w:val="auto"/>
        </w:rPr>
      </w:pPr>
    </w:p>
    <w:p>
      <w:pPr>
        <w:ind w:right="20" w:firstLine="333"/>
        <w:spacing w:after="0" w:line="265" w:lineRule="auto"/>
        <w:rPr>
          <w:sz w:val="20"/>
          <w:szCs w:val="20"/>
          <w:color w:val="auto"/>
        </w:rPr>
      </w:pPr>
      <w:r>
        <w:rPr>
          <w:rFonts w:ascii="Arial" w:cs="Arial" w:eastAsia="Arial" w:hAnsi="Arial"/>
          <w:sz w:val="17"/>
          <w:szCs w:val="17"/>
          <w:color w:val="auto"/>
        </w:rPr>
        <w:t>This prospectus has not been, and will not be, registered with the Financial Services Commission of the British Virgin Islands. No registered prospectus has been or will be prepared in respect of the shares for the purposes of the Securities and Investment Business Act, 2010 ("SIBA") or the Public Issuers Code of the British Virgin Islands.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China</w:t>
      </w:r>
    </w:p>
    <w:p>
      <w:pPr>
        <w:spacing w:after="0" w:line="218" w:lineRule="exact"/>
        <w:rPr>
          <w:sz w:val="20"/>
          <w:szCs w:val="20"/>
          <w:color w:val="auto"/>
        </w:rPr>
      </w:pPr>
    </w:p>
    <w:p>
      <w:pPr>
        <w:ind w:firstLine="333"/>
        <w:spacing w:after="0" w:line="276" w:lineRule="auto"/>
        <w:rPr>
          <w:sz w:val="20"/>
          <w:szCs w:val="20"/>
          <w:color w:val="auto"/>
        </w:rPr>
      </w:pPr>
      <w:r>
        <w:rPr>
          <w:rFonts w:ascii="Arial" w:cs="Arial" w:eastAsia="Arial" w:hAnsi="Arial"/>
          <w:sz w:val="17"/>
          <w:szCs w:val="17"/>
          <w:color w:val="auto"/>
        </w:rPr>
        <w:t>This prospectus does not constitute a public offer of shares, whether by sale or subscription, in the People's Republic of China (the "PRC"). The shares are not being offered or sold directly or indirectly in the PRC to or for the benefit of, legal or natural persons of the PRC.</w:t>
      </w:r>
    </w:p>
    <w:p>
      <w:pPr>
        <w:spacing w:after="0" w:line="171" w:lineRule="exact"/>
        <w:rPr>
          <w:sz w:val="20"/>
          <w:szCs w:val="20"/>
          <w:color w:val="auto"/>
        </w:rPr>
      </w:pPr>
    </w:p>
    <w:p>
      <w:pPr>
        <w:ind w:right="300" w:firstLine="336"/>
        <w:spacing w:after="0" w:line="276" w:lineRule="auto"/>
        <w:rPr>
          <w:sz w:val="20"/>
          <w:szCs w:val="20"/>
          <w:color w:val="auto"/>
        </w:rPr>
      </w:pPr>
      <w:r>
        <w:rPr>
          <w:rFonts w:ascii="Arial" w:cs="Arial" w:eastAsia="Arial" w:hAnsi="Arial"/>
          <w:sz w:val="17"/>
          <w:szCs w:val="17"/>
          <w:color w:val="auto"/>
        </w:rPr>
        <w:t>Further, no legal or natural persons of the PRC may directly or indirectly purchase any of the shares or any beneficial interest therein without obtaining all prior PRC's governmental approvals that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are required, whether statutorily or otherwise. Persons who come into possession of this document are required by the issuer and its representatives to observe these restrictions.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Korea</w:t>
      </w:r>
    </w:p>
    <w:p>
      <w:pPr>
        <w:spacing w:after="0" w:line="218" w:lineRule="exact"/>
        <w:rPr>
          <w:sz w:val="20"/>
          <w:szCs w:val="20"/>
          <w:color w:val="auto"/>
        </w:rPr>
      </w:pPr>
    </w:p>
    <w:p>
      <w:pPr>
        <w:ind w:right="20" w:firstLine="333"/>
        <w:spacing w:after="0" w:line="276"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Malaysia</w:t>
      </w:r>
    </w:p>
    <w:p>
      <w:pPr>
        <w:spacing w:after="0" w:line="218" w:lineRule="exact"/>
        <w:rPr>
          <w:sz w:val="20"/>
          <w:szCs w:val="20"/>
          <w:color w:val="auto"/>
        </w:rPr>
      </w:pPr>
    </w:p>
    <w:p>
      <w:pPr>
        <w:ind w:firstLine="336"/>
        <w:spacing w:after="0" w:line="288" w:lineRule="auto"/>
        <w:rPr>
          <w:sz w:val="20"/>
          <w:szCs w:val="20"/>
          <w:color w:val="auto"/>
        </w:rPr>
      </w:pPr>
      <w:r>
        <w:rPr>
          <w:rFonts w:ascii="Arial" w:cs="Arial" w:eastAsia="Arial" w:hAnsi="Arial"/>
          <w:sz w:val="15"/>
          <w:szCs w:val="15"/>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7" w:lineRule="exact"/>
        <w:rPr>
          <w:sz w:val="20"/>
          <w:szCs w:val="20"/>
          <w:color w:val="auto"/>
        </w:rPr>
      </w:pPr>
    </w:p>
    <w:p>
      <w:pPr>
        <w:ind w:right="40" w:firstLine="3"/>
        <w:spacing w:after="0" w:line="297" w:lineRule="auto"/>
        <w:tabs>
          <w:tab w:leader="none" w:pos="378" w:val="left"/>
        </w:tabs>
        <w:numPr>
          <w:ilvl w:val="0"/>
          <w:numId w:val="95"/>
        </w:numPr>
        <w:rPr>
          <w:rFonts w:ascii="Arial" w:cs="Arial" w:eastAsia="Arial" w:hAnsi="Arial"/>
          <w:sz w:val="15"/>
          <w:szCs w:val="15"/>
          <w:color w:val="auto"/>
        </w:rPr>
      </w:pPr>
      <w:r>
        <w:rPr>
          <w:rFonts w:ascii="Arial" w:cs="Arial" w:eastAsia="Arial" w:hAnsi="Arial"/>
          <w:sz w:val="15"/>
          <w:szCs w:val="15"/>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Taiwan</w:t>
      </w:r>
    </w:p>
    <w:p>
      <w:pPr>
        <w:spacing w:after="0" w:line="218" w:lineRule="exact"/>
        <w:rPr>
          <w:sz w:val="20"/>
          <w:szCs w:val="20"/>
          <w:color w:val="auto"/>
        </w:rPr>
      </w:pPr>
    </w:p>
    <w:p>
      <w:pPr>
        <w:ind w:right="120" w:firstLine="333"/>
        <w:spacing w:after="0" w:line="308"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Notice to Prospective Investors in South Africa</w:t>
      </w:r>
    </w:p>
    <w:p>
      <w:pPr>
        <w:spacing w:after="0" w:line="218" w:lineRule="exact"/>
        <w:rPr>
          <w:sz w:val="20"/>
          <w:szCs w:val="20"/>
          <w:color w:val="auto"/>
        </w:rPr>
      </w:pPr>
    </w:p>
    <w:p>
      <w:pPr>
        <w:ind w:right="80" w:firstLine="336"/>
        <w:spacing w:after="0" w:line="276" w:lineRule="auto"/>
        <w:rPr>
          <w:sz w:val="20"/>
          <w:szCs w:val="20"/>
          <w:color w:val="auto"/>
        </w:rPr>
      </w:pPr>
      <w:r>
        <w:rPr>
          <w:rFonts w:ascii="Arial" w:cs="Arial" w:eastAsia="Arial" w:hAnsi="Arial"/>
          <w:sz w:val="17"/>
          <w:szCs w:val="17"/>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184" w:lineRule="exact"/>
        <w:rPr>
          <w:sz w:val="20"/>
          <w:szCs w:val="20"/>
          <w:color w:val="auto"/>
        </w:rPr>
      </w:pPr>
    </w:p>
    <w:p>
      <w:pPr>
        <w:ind w:left="1040" w:hanging="519"/>
        <w:spacing w:after="0"/>
        <w:tabs>
          <w:tab w:leader="none" w:pos="10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offer, transfer, sale, renunciation or delivery is to:</w:t>
      </w: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ind w:left="1560" w:hanging="522"/>
        <w:spacing w:after="0"/>
        <w:tabs>
          <w:tab w:leader="none" w:pos="15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persons whose ordinary business is to deal in securities, as principal or agent;</w:t>
      </w:r>
    </w:p>
    <w:p>
      <w:pPr>
        <w:spacing w:after="0" w:line="231" w:lineRule="exact"/>
        <w:rPr>
          <w:rFonts w:ascii="Arial" w:cs="Arial" w:eastAsia="Arial" w:hAnsi="Arial"/>
          <w:sz w:val="17"/>
          <w:szCs w:val="17"/>
          <w:color w:val="auto"/>
        </w:rPr>
      </w:pPr>
    </w:p>
    <w:p>
      <w:pPr>
        <w:ind w:left="1560" w:hanging="522"/>
        <w:spacing w:after="0"/>
        <w:tabs>
          <w:tab w:leader="none" w:pos="15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South African Public Investment Corporation;</w:t>
      </w:r>
    </w:p>
    <w:p>
      <w:pPr>
        <w:spacing w:after="0" w:line="231" w:lineRule="exact"/>
        <w:rPr>
          <w:rFonts w:ascii="Arial" w:cs="Arial" w:eastAsia="Arial" w:hAnsi="Arial"/>
          <w:sz w:val="17"/>
          <w:szCs w:val="17"/>
          <w:color w:val="auto"/>
        </w:rPr>
      </w:pPr>
    </w:p>
    <w:p>
      <w:pPr>
        <w:ind w:left="1560" w:hanging="522"/>
        <w:spacing w:after="0"/>
        <w:tabs>
          <w:tab w:leader="none" w:pos="15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persons or entities regulated by the Reserve Bank of South Africa;</w:t>
      </w:r>
    </w:p>
    <w:p>
      <w:pPr>
        <w:spacing w:after="0" w:line="244" w:lineRule="exact"/>
        <w:rPr>
          <w:rFonts w:ascii="Arial" w:cs="Arial" w:eastAsia="Arial" w:hAnsi="Arial"/>
          <w:sz w:val="17"/>
          <w:szCs w:val="17"/>
          <w:color w:val="auto"/>
        </w:rPr>
      </w:pPr>
    </w:p>
    <w:p>
      <w:pPr>
        <w:ind w:left="1560" w:hanging="522"/>
        <w:spacing w:after="0"/>
        <w:tabs>
          <w:tab w:leader="none" w:pos="15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authorised financial service providers under South African law;</w:t>
      </w:r>
    </w:p>
    <w:p>
      <w:pPr>
        <w:spacing w:after="0" w:line="231" w:lineRule="exact"/>
        <w:rPr>
          <w:rFonts w:ascii="Arial" w:cs="Arial" w:eastAsia="Arial" w:hAnsi="Arial"/>
          <w:sz w:val="17"/>
          <w:szCs w:val="17"/>
          <w:color w:val="auto"/>
        </w:rPr>
      </w:pPr>
    </w:p>
    <w:p>
      <w:pPr>
        <w:ind w:left="1560" w:hanging="522"/>
        <w:spacing w:after="0"/>
        <w:tabs>
          <w:tab w:leader="none" w:pos="15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financial institutions recognised as such under South African law;</w:t>
      </w:r>
    </w:p>
    <w:p>
      <w:pPr>
        <w:spacing w:after="0" w:line="231" w:lineRule="exact"/>
        <w:rPr>
          <w:rFonts w:ascii="Arial" w:cs="Arial" w:eastAsia="Arial" w:hAnsi="Arial"/>
          <w:sz w:val="17"/>
          <w:szCs w:val="17"/>
          <w:color w:val="auto"/>
        </w:rPr>
      </w:pPr>
    </w:p>
    <w:p>
      <w:pPr>
        <w:ind w:left="1560" w:right="560" w:hanging="522"/>
        <w:spacing w:after="0" w:line="345" w:lineRule="auto"/>
        <w:tabs>
          <w:tab w:leader="none" w:pos="1560" w:val="left"/>
        </w:tabs>
        <w:numPr>
          <w:ilvl w:val="1"/>
          <w:numId w:val="96"/>
        </w:numPr>
        <w:rPr>
          <w:rFonts w:ascii="Arial" w:cs="Arial" w:eastAsia="Arial" w:hAnsi="Arial"/>
          <w:sz w:val="15"/>
          <w:szCs w:val="15"/>
          <w:color w:val="auto"/>
        </w:rPr>
      </w:pPr>
      <w:r>
        <w:rPr>
          <w:rFonts w:ascii="Arial" w:cs="Arial" w:eastAsia="Arial" w:hAnsi="Arial"/>
          <w:sz w:val="15"/>
          <w:szCs w:val="15"/>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150" w:lineRule="exact"/>
        <w:rPr>
          <w:rFonts w:ascii="Arial" w:cs="Arial" w:eastAsia="Arial" w:hAnsi="Arial"/>
          <w:sz w:val="15"/>
          <w:szCs w:val="15"/>
          <w:color w:val="auto"/>
        </w:rPr>
      </w:pPr>
    </w:p>
    <w:p>
      <w:pPr>
        <w:ind w:left="1560" w:hanging="522"/>
        <w:spacing w:after="0"/>
        <w:tabs>
          <w:tab w:leader="none" w:pos="15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any combination of the person in (a) to (f); or</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1040" w:hanging="519"/>
        <w:spacing w:after="0"/>
        <w:tabs>
          <w:tab w:leader="none" w:pos="10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total contemplated acquisition cost of the securities, for any single addressee acting as principal is equal to or greater than ZAR1,000,000.</w:t>
      </w:r>
    </w:p>
    <w:p>
      <w:pPr>
        <w:spacing w:after="0" w:line="230" w:lineRule="exact"/>
        <w:rPr>
          <w:sz w:val="20"/>
          <w:szCs w:val="20"/>
          <w:color w:val="auto"/>
        </w:rPr>
      </w:pPr>
    </w:p>
    <w:p>
      <w:pPr>
        <w:ind w:right="40" w:firstLine="336"/>
        <w:spacing w:after="0" w:line="256" w:lineRule="auto"/>
        <w:rPr>
          <w:sz w:val="20"/>
          <w:szCs w:val="20"/>
          <w:color w:val="auto"/>
        </w:rPr>
      </w:pPr>
      <w:r>
        <w:rPr>
          <w:rFonts w:ascii="Arial" w:cs="Arial" w:eastAsia="Arial" w:hAnsi="Arial"/>
          <w:sz w:val="17"/>
          <w:szCs w:val="17"/>
          <w:color w:val="auto"/>
        </w:rPr>
        <w:t>No "offer to the public" (as such term is defined in the South African Companies Act, No. 71 of 2008 (as amended or re-enacted)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193" w:lineRule="exact"/>
        <w:rPr>
          <w:sz w:val="20"/>
          <w:szCs w:val="20"/>
          <w:color w:val="auto"/>
        </w:rPr>
      </w:pPr>
    </w:p>
    <w:p>
      <w:pPr>
        <w:ind w:firstLine="336"/>
        <w:spacing w:after="0" w:line="279" w:lineRule="auto"/>
        <w:rPr>
          <w:sz w:val="20"/>
          <w:szCs w:val="20"/>
          <w:color w:val="auto"/>
        </w:rPr>
      </w:pPr>
      <w:r>
        <w:rPr>
          <w:rFonts w:ascii="Arial" w:cs="Arial" w:eastAsia="Arial" w:hAnsi="Arial"/>
          <w:sz w:val="16"/>
          <w:szCs w:val="16"/>
          <w:color w:val="auto"/>
        </w:rPr>
        <w:t>If Exchange Controls are applicable, add: No South African residents or offshore subsidiary of a South African resident may subscribe for or purchase any of the shares or beneficially own or hold any of the shares unless specific approval has been obtained from the financial surveillance department of the South African Reserve Bank (the "SARB") by such persons or such subscription, purchase or beneficial holding or ownership is otherwise permitted under the South African Exchange Control Regulations or the rulings promulgated thereunder (including, without limitation, the rulings issued by the SARB providing for foreign investment allowances applicable to persons who are residents of South Africa under the applicable exchange control laws of South Africa).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22" w:lineRule="exact"/>
        <w:rPr>
          <w:sz w:val="20"/>
          <w:szCs w:val="20"/>
          <w:color w:val="auto"/>
        </w:rPr>
      </w:pPr>
    </w:p>
    <w:p>
      <w:pPr>
        <w:ind w:right="40" w:firstLine="333"/>
        <w:spacing w:after="0" w:line="265" w:lineRule="auto"/>
        <w:rPr>
          <w:sz w:val="20"/>
          <w:szCs w:val="20"/>
          <w:color w:val="auto"/>
        </w:rPr>
      </w:pPr>
      <w:r>
        <w:rPr>
          <w:rFonts w:ascii="Arial" w:cs="Arial" w:eastAsia="Arial" w:hAnsi="Arial"/>
          <w:sz w:val="17"/>
          <w:szCs w:val="17"/>
          <w:color w:val="auto"/>
        </w:rPr>
        <w:t>The validity of the issuance of the shares of common stock being offered by this prospectus will be passed upon for us and the selling stockholders by Cooley LLP, New York, New York. Certain legal matters in connection with this offering will be passed upon for the underwriters by Davis Polk &amp; Wardwell LLP, New York, New York.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22" w:lineRule="exact"/>
        <w:rPr>
          <w:sz w:val="20"/>
          <w:szCs w:val="20"/>
          <w:color w:val="auto"/>
        </w:rPr>
      </w:pPr>
    </w:p>
    <w:p>
      <w:pPr>
        <w:jc w:val="both"/>
        <w:ind w:right="20" w:firstLine="336"/>
        <w:spacing w:after="0" w:line="316" w:lineRule="auto"/>
        <w:rPr>
          <w:sz w:val="20"/>
          <w:szCs w:val="20"/>
          <w:color w:val="auto"/>
        </w:rPr>
      </w:pPr>
      <w:r>
        <w:rPr>
          <w:rFonts w:ascii="Arial" w:cs="Arial" w:eastAsia="Arial" w:hAnsi="Arial"/>
          <w:sz w:val="15"/>
          <w:szCs w:val="15"/>
          <w:color w:val="auto"/>
        </w:rPr>
        <w:t>Ernst &amp; Young LLP, independent registered public accounting firm, has audited our consolidated financial statements at December 31, 2017 and 2018, and for each of the two fiscal years in the period ended December 31, 2018,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2" w:lineRule="exact"/>
        <w:rPr>
          <w:sz w:val="20"/>
          <w:szCs w:val="20"/>
          <w:color w:val="auto"/>
        </w:rPr>
      </w:pPr>
    </w:p>
    <w:p>
      <w:pPr>
        <w:ind w:firstLine="333"/>
        <w:spacing w:after="0" w:line="275"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76" w:lineRule="exact"/>
        <w:rPr>
          <w:sz w:val="20"/>
          <w:szCs w:val="20"/>
          <w:color w:val="auto"/>
        </w:rPr>
      </w:pPr>
    </w:p>
    <w:p>
      <w:pPr>
        <w:ind w:firstLine="336"/>
        <w:spacing w:after="0" w:line="276" w:lineRule="auto"/>
        <w:rPr>
          <w:sz w:val="20"/>
          <w:szCs w:val="20"/>
          <w:color w:val="auto"/>
        </w:rPr>
      </w:pPr>
      <w:r>
        <w:rPr>
          <w:rFonts w:ascii="Arial" w:cs="Arial" w:eastAsia="Arial" w:hAnsi="Arial"/>
          <w:sz w:val="17"/>
          <w:szCs w:val="17"/>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1" w:lineRule="exact"/>
        <w:rPr>
          <w:sz w:val="20"/>
          <w:szCs w:val="20"/>
          <w:color w:val="auto"/>
        </w:rPr>
      </w:pPr>
    </w:p>
    <w:p>
      <w:pPr>
        <w:ind w:right="100" w:firstLine="333"/>
        <w:spacing w:after="0" w:line="276" w:lineRule="auto"/>
        <w:rPr>
          <w:sz w:val="20"/>
          <w:szCs w:val="20"/>
          <w:color w:val="auto"/>
        </w:rPr>
      </w:pPr>
      <w:r>
        <w:rPr>
          <w:rFonts w:ascii="Arial" w:cs="Arial" w:eastAsia="Arial" w:hAnsi="Arial"/>
          <w:sz w:val="17"/>
          <w:szCs w:val="17"/>
          <w:color w:val="auto"/>
        </w:rPr>
        <w:t>We also maintain a website at www.progyny.com. Information contained in, or accessible through, our website is not a part of this prospectus, and the inclusion of our website address in this prospectus is only as an inactive textual reference.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40" w:type="dxa"/>
            <w:vAlign w:val="bottom"/>
          </w:tcPr>
          <w:p>
            <w:pPr>
              <w:spacing w:after="0"/>
              <w:rPr>
                <w:sz w:val="13"/>
                <w:szCs w:val="13"/>
                <w:color w:val="auto"/>
              </w:rPr>
            </w:pPr>
          </w:p>
        </w:tc>
        <w:tc>
          <w:tcPr>
            <w:tcW w:w="8820" w:type="dxa"/>
            <w:vAlign w:val="bottom"/>
            <w:gridSpan w:val="8"/>
            <w:vMerge w:val="restart"/>
          </w:tcPr>
          <w:p>
            <w:pPr>
              <w:spacing w:after="0"/>
              <w:rPr>
                <w:sz w:val="20"/>
                <w:szCs w:val="20"/>
                <w:color w:val="auto"/>
              </w:rPr>
            </w:pPr>
            <w:r>
              <w:rPr>
                <w:rFonts w:ascii="Arial" w:cs="Arial" w:eastAsia="Arial" w:hAnsi="Arial"/>
                <w:sz w:val="17"/>
                <w:szCs w:val="17"/>
                <w:b w:val="1"/>
                <w:bCs w:val="1"/>
                <w:color w:val="auto"/>
              </w:rPr>
              <w:t>Index to Audited Consolidated Financial Statements</w:t>
            </w:r>
          </w:p>
        </w:tc>
        <w:tc>
          <w:tcPr>
            <w:tcW w:w="1460" w:type="dxa"/>
            <w:vAlign w:val="bottom"/>
            <w:gridSpan w:val="3"/>
          </w:tcPr>
          <w:p>
            <w:pPr>
              <w:ind w:left="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8820" w:type="dxa"/>
            <w:vAlign w:val="bottom"/>
            <w:gridSpan w:val="8"/>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8820" w:type="dxa"/>
            <w:vAlign w:val="bottom"/>
            <w:gridSpan w:val="8"/>
          </w:tcPr>
          <w:p>
            <w:pPr>
              <w:spacing w:after="0" w:line="177" w:lineRule="exact"/>
              <w:rPr>
                <w:rFonts w:ascii="Arial" w:cs="Arial" w:eastAsia="Arial" w:hAnsi="Arial"/>
                <w:sz w:val="17"/>
                <w:szCs w:val="17"/>
                <w:color w:val="0000EE"/>
              </w:rPr>
            </w:pPr>
            <w:hyperlink w:anchor="page163">
              <w:r>
                <w:rPr>
                  <w:rFonts w:ascii="Arial" w:cs="Arial" w:eastAsia="Arial" w:hAnsi="Arial"/>
                  <w:sz w:val="17"/>
                  <w:szCs w:val="17"/>
                  <w:color w:val="0000EE"/>
                </w:rPr>
                <w:t>Report of Independent Registered Public Accounting Firm</w:t>
              </w:r>
            </w:hyperlink>
          </w:p>
        </w:tc>
        <w:tc>
          <w:tcPr>
            <w:tcW w:w="1460" w:type="dxa"/>
            <w:vAlign w:val="bottom"/>
            <w:gridSpan w:val="3"/>
          </w:tcPr>
          <w:p>
            <w:pPr>
              <w:ind w:left="80"/>
              <w:spacing w:after="0" w:line="177" w:lineRule="exact"/>
              <w:rPr>
                <w:rFonts w:ascii="Arial" w:cs="Arial" w:eastAsia="Arial" w:hAnsi="Arial"/>
                <w:sz w:val="17"/>
                <w:szCs w:val="17"/>
                <w:color w:val="0000EE"/>
              </w:rPr>
            </w:pPr>
            <w:hyperlink w:anchor="page163">
              <w:r>
                <w:rPr>
                  <w:rFonts w:ascii="Arial" w:cs="Arial" w:eastAsia="Arial" w:hAnsi="Arial"/>
                  <w:sz w:val="17"/>
                  <w:szCs w:val="17"/>
                  <w:color w:val="0000EE"/>
                </w:rPr>
                <w:t>F-2</w:t>
              </w:r>
            </w:hyperlink>
          </w:p>
        </w:tc>
        <w:tc>
          <w:tcPr>
            <w:tcW w:w="0" w:type="dxa"/>
            <w:vAlign w:val="bottom"/>
          </w:tcPr>
          <w:p>
            <w:pPr>
              <w:spacing w:after="0"/>
              <w:rPr>
                <w:sz w:val="1"/>
                <w:szCs w:val="1"/>
                <w:color w:val="auto"/>
              </w:rPr>
            </w:pPr>
          </w:p>
        </w:tc>
      </w:tr>
      <w:tr>
        <w:trPr>
          <w:trHeight w:val="424"/>
        </w:trPr>
        <w:tc>
          <w:tcPr>
            <w:tcW w:w="1140" w:type="dxa"/>
            <w:vAlign w:val="bottom"/>
          </w:tcPr>
          <w:p>
            <w:pPr>
              <w:spacing w:after="0"/>
              <w:rPr>
                <w:sz w:val="24"/>
                <w:szCs w:val="24"/>
                <w:color w:val="auto"/>
              </w:rPr>
            </w:pPr>
          </w:p>
        </w:tc>
        <w:tc>
          <w:tcPr>
            <w:tcW w:w="3940" w:type="dxa"/>
            <w:vAlign w:val="bottom"/>
            <w:tcBorders>
              <w:top w:val="single" w:sz="8" w:color="0000EE"/>
            </w:tcBorders>
            <w:gridSpan w:val="5"/>
          </w:tcPr>
          <w:p>
            <w:pPr>
              <w:spacing w:after="0"/>
              <w:rPr>
                <w:sz w:val="20"/>
                <w:szCs w:val="20"/>
                <w:color w:val="auto"/>
              </w:rPr>
            </w:pPr>
            <w:r>
              <w:rPr>
                <w:rFonts w:ascii="Arial" w:cs="Arial" w:eastAsia="Arial" w:hAnsi="Arial"/>
                <w:sz w:val="17"/>
                <w:szCs w:val="17"/>
                <w:color w:val="auto"/>
              </w:rPr>
              <w:t>Financial Statements:</w:t>
            </w:r>
          </w:p>
        </w:tc>
        <w:tc>
          <w:tcPr>
            <w:tcW w:w="48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bottom w:val="single" w:sz="8" w:color="0000EE"/>
            </w:tcBorders>
          </w:tcPr>
          <w:p>
            <w:pPr>
              <w:spacing w:after="0" w:line="177" w:lineRule="exact"/>
              <w:rPr>
                <w:rFonts w:ascii="Arial" w:cs="Arial" w:eastAsia="Arial" w:hAnsi="Arial"/>
                <w:sz w:val="17"/>
                <w:szCs w:val="17"/>
                <w:color w:val="0000EE"/>
                <w:w w:val="86"/>
              </w:rPr>
            </w:pPr>
            <w:hyperlink w:anchor="page164">
              <w:r>
                <w:rPr>
                  <w:rFonts w:ascii="Arial" w:cs="Arial" w:eastAsia="Arial" w:hAnsi="Arial"/>
                  <w:sz w:val="17"/>
                  <w:szCs w:val="17"/>
                  <w:color w:val="0000EE"/>
                  <w:w w:val="86"/>
                </w:rPr>
                <w:t>Consolidated Balance Sheets</w:t>
              </w:r>
            </w:hyperlink>
          </w:p>
        </w:tc>
        <w:tc>
          <w:tcPr>
            <w:tcW w:w="6680" w:type="dxa"/>
            <w:vAlign w:val="bottom"/>
            <w:gridSpan w:val="6"/>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0000EE"/>
            </w:tcBorders>
          </w:tcPr>
          <w:p>
            <w:pPr>
              <w:spacing w:after="0" w:line="177" w:lineRule="exact"/>
              <w:rPr>
                <w:rFonts w:ascii="Arial" w:cs="Arial" w:eastAsia="Arial" w:hAnsi="Arial"/>
                <w:sz w:val="17"/>
                <w:szCs w:val="17"/>
                <w:color w:val="0000EE"/>
                <w:w w:val="86"/>
              </w:rPr>
            </w:pPr>
            <w:hyperlink w:anchor="page164">
              <w:r>
                <w:rPr>
                  <w:rFonts w:ascii="Arial" w:cs="Arial" w:eastAsia="Arial" w:hAnsi="Arial"/>
                  <w:sz w:val="17"/>
                  <w:szCs w:val="17"/>
                  <w:color w:val="0000EE"/>
                  <w:w w:val="86"/>
                </w:rPr>
                <w:t>F-3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40" w:type="dxa"/>
            <w:vAlign w:val="bottom"/>
            <w:tcBorders>
              <w:bottom w:val="single" w:sz="8" w:color="0000EE"/>
            </w:tcBorders>
            <w:gridSpan w:val="5"/>
          </w:tcPr>
          <w:p>
            <w:pPr>
              <w:spacing w:after="0" w:line="187" w:lineRule="exact"/>
              <w:rPr>
                <w:rFonts w:ascii="Arial" w:cs="Arial" w:eastAsia="Arial" w:hAnsi="Arial"/>
                <w:sz w:val="17"/>
                <w:szCs w:val="17"/>
                <w:color w:val="0000EE"/>
                <w:w w:val="88"/>
              </w:rPr>
            </w:pPr>
            <w:hyperlink w:anchor="page165">
              <w:r>
                <w:rPr>
                  <w:rFonts w:ascii="Arial" w:cs="Arial" w:eastAsia="Arial" w:hAnsi="Arial"/>
                  <w:sz w:val="17"/>
                  <w:szCs w:val="17"/>
                  <w:color w:val="0000EE"/>
                  <w:w w:val="88"/>
                </w:rPr>
                <w:t>Consolidated Statements of Operations and Comprehensive Income (Loss)</w:t>
              </w:r>
            </w:hyperlink>
          </w:p>
        </w:tc>
        <w:tc>
          <w:tcPr>
            <w:tcW w:w="36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0000EE"/>
            </w:tcBorders>
          </w:tcPr>
          <w:p>
            <w:pPr>
              <w:spacing w:after="0" w:line="187" w:lineRule="exact"/>
              <w:rPr>
                <w:rFonts w:ascii="Arial" w:cs="Arial" w:eastAsia="Arial" w:hAnsi="Arial"/>
                <w:sz w:val="17"/>
                <w:szCs w:val="17"/>
                <w:color w:val="0000EE"/>
                <w:w w:val="86"/>
              </w:rPr>
            </w:pPr>
            <w:hyperlink w:anchor="page165">
              <w:r>
                <w:rPr>
                  <w:rFonts w:ascii="Arial" w:cs="Arial" w:eastAsia="Arial" w:hAnsi="Arial"/>
                  <w:sz w:val="17"/>
                  <w:szCs w:val="17"/>
                  <w:color w:val="0000EE"/>
                  <w:w w:val="86"/>
                </w:rPr>
                <w:t>F-4</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20" w:type="dxa"/>
            <w:vAlign w:val="bottom"/>
            <w:tcBorders>
              <w:bottom w:val="single" w:sz="8" w:color="0000EE"/>
            </w:tcBorders>
            <w:gridSpan w:val="6"/>
          </w:tcPr>
          <w:p>
            <w:pPr>
              <w:spacing w:after="0" w:line="187" w:lineRule="exact"/>
              <w:rPr>
                <w:rFonts w:ascii="Arial" w:cs="Arial" w:eastAsia="Arial" w:hAnsi="Arial"/>
                <w:sz w:val="17"/>
                <w:szCs w:val="17"/>
                <w:color w:val="0000EE"/>
                <w:w w:val="89"/>
              </w:rPr>
            </w:pPr>
            <w:hyperlink w:anchor="page166">
              <w:r>
                <w:rPr>
                  <w:rFonts w:ascii="Arial" w:cs="Arial" w:eastAsia="Arial" w:hAnsi="Arial"/>
                  <w:sz w:val="17"/>
                  <w:szCs w:val="17"/>
                  <w:color w:val="0000EE"/>
                  <w:w w:val="89"/>
                </w:rPr>
                <w:t>Consolidated Statements of Changes in Convertible Preferred Stock and Stockholders' Deficit</w:t>
              </w:r>
            </w:hyperlink>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0000EE"/>
            </w:tcBorders>
          </w:tcPr>
          <w:p>
            <w:pPr>
              <w:spacing w:after="0" w:line="187" w:lineRule="exact"/>
              <w:rPr>
                <w:rFonts w:ascii="Arial" w:cs="Arial" w:eastAsia="Arial" w:hAnsi="Arial"/>
                <w:sz w:val="17"/>
                <w:szCs w:val="17"/>
                <w:color w:val="0000EE"/>
                <w:w w:val="86"/>
              </w:rPr>
            </w:pPr>
            <w:hyperlink w:anchor="page166">
              <w:r>
                <w:rPr>
                  <w:rFonts w:ascii="Arial" w:cs="Arial" w:eastAsia="Arial" w:hAnsi="Arial"/>
                  <w:sz w:val="17"/>
                  <w:szCs w:val="17"/>
                  <w:color w:val="0000EE"/>
                  <w:w w:val="86"/>
                </w:rPr>
                <w:t>F-5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7"/>
          </w:tcPr>
          <w:p>
            <w:pPr>
              <w:spacing w:after="0" w:line="187" w:lineRule="exact"/>
              <w:rPr>
                <w:rFonts w:ascii="Arial" w:cs="Arial" w:eastAsia="Arial" w:hAnsi="Arial"/>
                <w:sz w:val="17"/>
                <w:szCs w:val="17"/>
                <w:color w:val="0000EE"/>
              </w:rPr>
            </w:pPr>
            <w:hyperlink w:anchor="page167">
              <w:r>
                <w:rPr>
                  <w:rFonts w:ascii="Arial" w:cs="Arial" w:eastAsia="Arial" w:hAnsi="Arial"/>
                  <w:sz w:val="17"/>
                  <w:szCs w:val="17"/>
                  <w:color w:val="0000EE"/>
                </w:rPr>
                <w:t>Consolidated Statements of Cash Flows</w:t>
              </w:r>
            </w:hyperlink>
          </w:p>
        </w:tc>
        <w:tc>
          <w:tcPr>
            <w:tcW w:w="1460" w:type="dxa"/>
            <w:vAlign w:val="bottom"/>
            <w:gridSpan w:val="3"/>
          </w:tcPr>
          <w:p>
            <w:pPr>
              <w:ind w:left="80"/>
              <w:spacing w:after="0" w:line="187" w:lineRule="exact"/>
              <w:rPr>
                <w:rFonts w:ascii="Arial" w:cs="Arial" w:eastAsia="Arial" w:hAnsi="Arial"/>
                <w:sz w:val="17"/>
                <w:szCs w:val="17"/>
                <w:color w:val="0000EE"/>
              </w:rPr>
            </w:pPr>
            <w:hyperlink w:anchor="page167">
              <w:r>
                <w:rPr>
                  <w:rFonts w:ascii="Arial" w:cs="Arial" w:eastAsia="Arial" w:hAnsi="Arial"/>
                  <w:sz w:val="17"/>
                  <w:szCs w:val="17"/>
                  <w:color w:val="0000EE"/>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7"/>
          </w:tcPr>
          <w:p>
            <w:pPr>
              <w:spacing w:after="0" w:line="187" w:lineRule="exact"/>
              <w:rPr>
                <w:rFonts w:ascii="Arial" w:cs="Arial" w:eastAsia="Arial" w:hAnsi="Arial"/>
                <w:sz w:val="17"/>
                <w:szCs w:val="17"/>
                <w:color w:val="0000EE"/>
              </w:rPr>
            </w:pPr>
            <w:hyperlink w:anchor="page168">
              <w:r>
                <w:rPr>
                  <w:rFonts w:ascii="Arial" w:cs="Arial" w:eastAsia="Arial" w:hAnsi="Arial"/>
                  <w:sz w:val="17"/>
                  <w:szCs w:val="17"/>
                  <w:color w:val="0000EE"/>
                </w:rPr>
                <w:t>Notes to Consolidated Financial Statements</w:t>
              </w:r>
            </w:hyperlink>
          </w:p>
        </w:tc>
        <w:tc>
          <w:tcPr>
            <w:tcW w:w="1460" w:type="dxa"/>
            <w:vAlign w:val="bottom"/>
            <w:gridSpan w:val="3"/>
          </w:tcPr>
          <w:p>
            <w:pPr>
              <w:ind w:left="80"/>
              <w:spacing w:after="0" w:line="187" w:lineRule="exact"/>
              <w:rPr>
                <w:rFonts w:ascii="Arial" w:cs="Arial" w:eastAsia="Arial" w:hAnsi="Arial"/>
                <w:sz w:val="17"/>
                <w:szCs w:val="17"/>
                <w:color w:val="0000EE"/>
              </w:rPr>
            </w:pPr>
            <w:hyperlink w:anchor="page168">
              <w:r>
                <w:rPr>
                  <w:rFonts w:ascii="Arial" w:cs="Arial" w:eastAsia="Arial" w:hAnsi="Arial"/>
                  <w:sz w:val="17"/>
                  <w:szCs w:val="17"/>
                  <w:color w:val="0000EE"/>
                </w:rPr>
                <w:t>F-7</w:t>
              </w:r>
            </w:hyperlink>
          </w:p>
        </w:tc>
        <w:tc>
          <w:tcPr>
            <w:tcW w:w="0" w:type="dxa"/>
            <w:vAlign w:val="bottom"/>
          </w:tcPr>
          <w:p>
            <w:pPr>
              <w:spacing w:after="0"/>
              <w:rPr>
                <w:sz w:val="1"/>
                <w:szCs w:val="1"/>
                <w:color w:val="auto"/>
              </w:rPr>
            </w:pPr>
          </w:p>
        </w:tc>
      </w:tr>
      <w:tr>
        <w:trPr>
          <w:trHeight w:val="43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4880" w:type="dxa"/>
            <w:vAlign w:val="bottom"/>
            <w:gridSpan w:val="3"/>
          </w:tcPr>
          <w:p>
            <w:pPr>
              <w:ind w:left="520"/>
              <w:spacing w:after="0"/>
              <w:rPr>
                <w:sz w:val="20"/>
                <w:szCs w:val="20"/>
                <w:color w:val="auto"/>
              </w:rPr>
            </w:pPr>
            <w:r>
              <w:rPr>
                <w:rFonts w:ascii="Arial" w:cs="Arial" w:eastAsia="Arial" w:hAnsi="Arial"/>
                <w:sz w:val="17"/>
                <w:szCs w:val="17"/>
                <w:color w:val="auto"/>
              </w:rPr>
              <w:t>F-1</w:t>
            </w:r>
          </w:p>
        </w:tc>
        <w:tc>
          <w:tcPr>
            <w:tcW w:w="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Shareholders and the Board of Directors of Progyny, Inc. and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2" w:lineRule="exact"/>
        <w:rPr>
          <w:sz w:val="20"/>
          <w:szCs w:val="20"/>
          <w:color w:val="auto"/>
        </w:rPr>
      </w:pPr>
    </w:p>
    <w:p>
      <w:pPr>
        <w:ind w:right="60" w:firstLine="333"/>
        <w:spacing w:after="0" w:line="302" w:lineRule="auto"/>
        <w:rPr>
          <w:sz w:val="20"/>
          <w:szCs w:val="20"/>
          <w:color w:val="auto"/>
        </w:rPr>
      </w:pPr>
      <w:r>
        <w:rPr>
          <w:rFonts w:ascii="Arial" w:cs="Arial" w:eastAsia="Arial" w:hAnsi="Arial"/>
          <w:sz w:val="15"/>
          <w:szCs w:val="15"/>
          <w:color w:val="auto"/>
        </w:rPr>
        <w:t>We have audited the accompanying consolidated balance sheets of Progyny, Inc. (the Company) as of December 31, 2017 and 2018, the related consolidated statements of operations and comprehensive income (loss), changes in convertible preferred stock and stockholders' deficit,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2017 and 2018, and the results of its operations and its cash flows for each of the two years in the period ended December 31, 2018, in conformity with U.S. generally accepted accounting principles.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2" w:lineRule="exact"/>
        <w:rPr>
          <w:sz w:val="20"/>
          <w:szCs w:val="20"/>
          <w:color w:val="auto"/>
        </w:rPr>
      </w:pPr>
    </w:p>
    <w:p>
      <w:pPr>
        <w:ind w:right="120" w:firstLine="333"/>
        <w:spacing w:after="0" w:line="26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firstLine="333"/>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right="120" w:firstLine="336"/>
        <w:spacing w:after="0" w:line="28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August 1, 2019</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except for Note 1, as to which the date is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October 15, 2019</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Consolidated Balance Sheets</w:t>
      </w:r>
    </w:p>
    <w:p>
      <w:pPr>
        <w:spacing w:after="0" w:line="218"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5"/>
            <w:vMerge w:val="restart"/>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65"/>
        </w:trPr>
        <w:tc>
          <w:tcPr>
            <w:tcW w:w="5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right"/>
              <w:ind w:right="320"/>
              <w:spacing w:after="0" w:line="143"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5"/>
                <w:szCs w:val="5"/>
                <w:color w:val="auto"/>
              </w:rPr>
            </w:pPr>
          </w:p>
        </w:tc>
        <w:tc>
          <w:tcPr>
            <w:tcW w:w="880" w:type="dxa"/>
            <w:vAlign w:val="bottom"/>
            <w:gridSpan w:val="2"/>
            <w:vMerge w:val="restart"/>
          </w:tcPr>
          <w:p>
            <w:pPr>
              <w:jc w:val="center"/>
              <w:ind w:right="220"/>
              <w:spacing w:after="0" w:line="143"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58"/>
        </w:trPr>
        <w:tc>
          <w:tcPr>
            <w:tcW w:w="55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5"/>
          </w:tcPr>
          <w:p>
            <w:pPr>
              <w:jc w:val="right"/>
              <w:ind w:right="720"/>
              <w:spacing w:after="0" w:line="136"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line="143" w:lineRule="exact"/>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4,691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33"/>
        </w:trPr>
        <w:tc>
          <w:tcPr>
            <w:tcW w:w="5560" w:type="dxa"/>
            <w:vAlign w:val="bottom"/>
          </w:tcPr>
          <w:p>
            <w:pPr>
              <w:spacing w:after="0" w:line="134" w:lineRule="exact"/>
              <w:rPr>
                <w:sz w:val="20"/>
                <w:szCs w:val="20"/>
                <w:color w:val="auto"/>
              </w:rPr>
            </w:pPr>
            <w:r>
              <w:rPr>
                <w:rFonts w:ascii="Arial" w:cs="Arial" w:eastAsia="Arial" w:hAnsi="Arial"/>
                <w:sz w:val="13"/>
                <w:szCs w:val="13"/>
                <w:color w:val="auto"/>
                <w:w w:val="93"/>
              </w:rPr>
              <w:t>Accounts receivable, net of $1,090, $3,486, and $7,086 of allowances at December 31, 2017, 2018 and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560" w:type="dxa"/>
            <w:vAlign w:val="bottom"/>
          </w:tcPr>
          <w:p>
            <w:pPr>
              <w:ind w:left="140"/>
              <w:spacing w:after="0"/>
              <w:rPr>
                <w:sz w:val="20"/>
                <w:szCs w:val="20"/>
                <w:color w:val="auto"/>
              </w:rPr>
            </w:pPr>
            <w:r>
              <w:rPr>
                <w:rFonts w:ascii="Arial" w:cs="Arial" w:eastAsia="Arial" w:hAnsi="Arial"/>
                <w:sz w:val="13"/>
                <w:szCs w:val="13"/>
                <w:color w:val="auto"/>
              </w:rPr>
              <w:t>June 30, 2019 (unaudited), respectively</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11,373</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23,325</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44,241</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44,241</w:t>
            </w: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706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885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1,273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1,273</w:t>
            </w:r>
          </w:p>
        </w:tc>
        <w:tc>
          <w:tcPr>
            <w:tcW w:w="0" w:type="dxa"/>
            <w:vAlign w:val="bottom"/>
          </w:tcPr>
          <w:p>
            <w:pPr>
              <w:spacing w:after="0"/>
              <w:rPr>
                <w:sz w:val="1"/>
                <w:szCs w:val="1"/>
                <w:color w:val="auto"/>
              </w:rPr>
            </w:pPr>
          </w:p>
        </w:tc>
      </w:tr>
      <w:tr>
        <w:trPr>
          <w:trHeight w:val="142"/>
        </w:trPr>
        <w:tc>
          <w:tcPr>
            <w:tcW w:w="5560" w:type="dxa"/>
            <w:vAlign w:val="bottom"/>
          </w:tcPr>
          <w:p>
            <w:pPr>
              <w:spacing w:after="0" w:line="143" w:lineRule="exact"/>
              <w:rPr>
                <w:sz w:val="20"/>
                <w:szCs w:val="20"/>
                <w:color w:val="auto"/>
              </w:rPr>
            </w:pPr>
            <w:r>
              <w:rPr>
                <w:rFonts w:ascii="Arial" w:cs="Arial" w:eastAsia="Arial" w:hAnsi="Arial"/>
                <w:sz w:val="13"/>
                <w:szCs w:val="13"/>
                <w:color w:val="auto"/>
              </w:rPr>
              <w:t>Assets of discontinued operations, current</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200</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16,770</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24,537</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45,812</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45,812</w:t>
            </w:r>
          </w:p>
        </w:tc>
        <w:tc>
          <w:tcPr>
            <w:tcW w:w="0" w:type="dxa"/>
            <w:vAlign w:val="bottom"/>
          </w:tcPr>
          <w:p>
            <w:pPr>
              <w:spacing w:after="0"/>
              <w:rPr>
                <w:sz w:val="1"/>
                <w:szCs w:val="1"/>
                <w:color w:val="auto"/>
              </w:rPr>
            </w:pPr>
          </w:p>
        </w:tc>
      </w:tr>
      <w:tr>
        <w:trPr>
          <w:trHeight w:val="142"/>
        </w:trPr>
        <w:tc>
          <w:tcPr>
            <w:tcW w:w="5560" w:type="dxa"/>
            <w:vAlign w:val="bottom"/>
          </w:tcPr>
          <w:p>
            <w:pPr>
              <w:spacing w:after="0" w:line="143" w:lineRule="exact"/>
              <w:rPr>
                <w:sz w:val="20"/>
                <w:szCs w:val="20"/>
                <w:color w:val="auto"/>
              </w:rPr>
            </w:pPr>
            <w:r>
              <w:rPr>
                <w:rFonts w:ascii="Arial" w:cs="Arial" w:eastAsia="Arial" w:hAnsi="Arial"/>
                <w:sz w:val="13"/>
                <w:szCs w:val="13"/>
                <w:color w:val="auto"/>
              </w:rPr>
              <w:t>Property and equipment, net</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597</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776</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716</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Goodwill</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11,880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11,880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11,880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11,880</w:t>
            </w:r>
          </w:p>
        </w:tc>
        <w:tc>
          <w:tcPr>
            <w:tcW w:w="0" w:type="dxa"/>
            <w:vAlign w:val="bottom"/>
          </w:tcPr>
          <w:p>
            <w:pPr>
              <w:spacing w:after="0"/>
              <w:rPr>
                <w:sz w:val="1"/>
                <w:szCs w:val="1"/>
                <w:color w:val="auto"/>
              </w:rPr>
            </w:pPr>
          </w:p>
        </w:tc>
      </w:tr>
      <w:tr>
        <w:trPr>
          <w:trHeight w:val="142"/>
        </w:trPr>
        <w:tc>
          <w:tcPr>
            <w:tcW w:w="5560" w:type="dxa"/>
            <w:vAlign w:val="bottom"/>
          </w:tcPr>
          <w:p>
            <w:pPr>
              <w:spacing w:after="0" w:line="143" w:lineRule="exact"/>
              <w:rPr>
                <w:sz w:val="20"/>
                <w:szCs w:val="20"/>
                <w:color w:val="auto"/>
              </w:rPr>
            </w:pPr>
            <w:r>
              <w:rPr>
                <w:rFonts w:ascii="Arial" w:cs="Arial" w:eastAsia="Arial" w:hAnsi="Arial"/>
                <w:sz w:val="13"/>
                <w:szCs w:val="13"/>
                <w:color w:val="auto"/>
              </w:rPr>
              <w:t>Intangible assets, net</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5,342</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3,859</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3,117</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3,117</w:t>
            </w: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 assets</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372</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272</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1,557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1,557</w:t>
            </w:r>
          </w:p>
        </w:tc>
        <w:tc>
          <w:tcPr>
            <w:tcW w:w="0" w:type="dxa"/>
            <w:vAlign w:val="bottom"/>
          </w:tcPr>
          <w:p>
            <w:pPr>
              <w:spacing w:after="0"/>
              <w:rPr>
                <w:sz w:val="1"/>
                <w:szCs w:val="1"/>
                <w:color w:val="auto"/>
              </w:rPr>
            </w:pPr>
          </w:p>
        </w:tc>
      </w:tr>
      <w:tr>
        <w:trPr>
          <w:trHeight w:val="135"/>
        </w:trPr>
        <w:tc>
          <w:tcPr>
            <w:tcW w:w="5560" w:type="dxa"/>
            <w:vAlign w:val="bottom"/>
          </w:tcPr>
          <w:p>
            <w:pPr>
              <w:spacing w:after="0" w:line="136" w:lineRule="exact"/>
              <w:rPr>
                <w:sz w:val="20"/>
                <w:szCs w:val="20"/>
                <w:color w:val="auto"/>
              </w:rPr>
            </w:pPr>
            <w:r>
              <w:rPr>
                <w:rFonts w:ascii="Arial" w:cs="Arial" w:eastAsia="Arial" w:hAnsi="Arial"/>
                <w:sz w:val="13"/>
                <w:szCs w:val="13"/>
                <w:b w:val="1"/>
                <w:bCs w:val="1"/>
                <w:color w:val="auto"/>
              </w:rPr>
              <w:t>Total assets</w:t>
            </w:r>
          </w:p>
        </w:tc>
        <w:tc>
          <w:tcPr>
            <w:tcW w:w="1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34,961</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41,324</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63,082</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63,082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56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LIABILITIES, CONVERTIBLE PREFERRED STOCK AND STOCKHOLDERS' DEFICIT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line="143" w:lineRule="exact"/>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5,130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15,578</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23,509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23,509</w:t>
            </w:r>
          </w:p>
        </w:tc>
        <w:tc>
          <w:tcPr>
            <w:tcW w:w="0" w:type="dxa"/>
            <w:vAlign w:val="bottom"/>
          </w:tcPr>
          <w:p>
            <w:pPr>
              <w:spacing w:after="0"/>
              <w:rPr>
                <w:sz w:val="1"/>
                <w:szCs w:val="1"/>
                <w:color w:val="auto"/>
              </w:rPr>
            </w:pPr>
          </w:p>
        </w:tc>
      </w:tr>
      <w:tr>
        <w:trPr>
          <w:trHeight w:val="142"/>
        </w:trPr>
        <w:tc>
          <w:tcPr>
            <w:tcW w:w="5560" w:type="dxa"/>
            <w:vAlign w:val="bottom"/>
          </w:tcPr>
          <w:p>
            <w:pPr>
              <w:ind w:left="140"/>
              <w:spacing w:after="0" w:line="143" w:lineRule="exact"/>
              <w:rPr>
                <w:sz w:val="20"/>
                <w:szCs w:val="20"/>
                <w:color w:val="auto"/>
              </w:rPr>
            </w:pPr>
            <w:r>
              <w:rPr>
                <w:rFonts w:ascii="Arial" w:cs="Arial" w:eastAsia="Arial" w:hAnsi="Arial"/>
                <w:sz w:val="13"/>
                <w:szCs w:val="13"/>
                <w:color w:val="auto"/>
              </w:rPr>
              <w:t>Accrued expenses and other current liabilities</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7,439</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9,782</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13,945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13,945</w:t>
            </w: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Convertible preferred stock warrant liabilities</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1,645</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4,589</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5,782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5560" w:type="dxa"/>
            <w:vAlign w:val="bottom"/>
          </w:tcPr>
          <w:p>
            <w:pPr>
              <w:ind w:left="140"/>
              <w:spacing w:after="0" w:line="143" w:lineRule="exact"/>
              <w:rPr>
                <w:sz w:val="20"/>
                <w:szCs w:val="20"/>
                <w:color w:val="auto"/>
              </w:rPr>
            </w:pPr>
            <w:r>
              <w:rPr>
                <w:rFonts w:ascii="Arial" w:cs="Arial" w:eastAsia="Arial" w:hAnsi="Arial"/>
                <w:sz w:val="13"/>
                <w:szCs w:val="13"/>
                <w:color w:val="auto"/>
              </w:rPr>
              <w:t>Short term debt</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253</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3,123</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3,123</w:t>
            </w: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Current portion of long-term debt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3,556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560" w:type="dxa"/>
            <w:vAlign w:val="bottom"/>
          </w:tcPr>
          <w:p>
            <w:pPr>
              <w:spacing w:after="0" w:line="136" w:lineRule="exact"/>
              <w:rPr>
                <w:sz w:val="20"/>
                <w:szCs w:val="20"/>
                <w:color w:val="auto"/>
              </w:rPr>
            </w:pPr>
            <w:r>
              <w:rPr>
                <w:rFonts w:ascii="Arial" w:cs="Arial" w:eastAsia="Arial" w:hAnsi="Arial"/>
                <w:sz w:val="13"/>
                <w:szCs w:val="13"/>
                <w:color w:val="auto"/>
              </w:rPr>
              <w:t>Total current liabilities</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17,770</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30,202</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46,359</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40,577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Long-term debt, net of current portion</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1,632</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5560" w:type="dxa"/>
            <w:vAlign w:val="bottom"/>
          </w:tcPr>
          <w:p>
            <w:pPr>
              <w:spacing w:after="0" w:line="143" w:lineRule="exact"/>
              <w:rPr>
                <w:sz w:val="20"/>
                <w:szCs w:val="20"/>
                <w:color w:val="auto"/>
              </w:rPr>
            </w:pPr>
            <w:r>
              <w:rPr>
                <w:rFonts w:ascii="Arial" w:cs="Arial" w:eastAsia="Arial" w:hAnsi="Arial"/>
                <w:sz w:val="13"/>
                <w:szCs w:val="13"/>
                <w:color w:val="auto"/>
              </w:rPr>
              <w:t>Liabilities of discontinued operations, non-current</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4,869</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liabilities</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24,271</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30,202</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46,359</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40,577</w:t>
            </w:r>
          </w:p>
        </w:tc>
        <w:tc>
          <w:tcPr>
            <w:tcW w:w="0" w:type="dxa"/>
            <w:vAlign w:val="bottom"/>
          </w:tcPr>
          <w:p>
            <w:pPr>
              <w:spacing w:after="0"/>
              <w:rPr>
                <w:sz w:val="1"/>
                <w:szCs w:val="1"/>
                <w:color w:val="auto"/>
              </w:rPr>
            </w:pPr>
          </w:p>
        </w:tc>
      </w:tr>
      <w:tr>
        <w:trPr>
          <w:trHeight w:val="142"/>
        </w:trPr>
        <w:tc>
          <w:tcPr>
            <w:tcW w:w="5560" w:type="dxa"/>
            <w:vAlign w:val="bottom"/>
          </w:tcPr>
          <w:p>
            <w:pPr>
              <w:spacing w:after="0" w:line="143" w:lineRule="exact"/>
              <w:rPr>
                <w:sz w:val="20"/>
                <w:szCs w:val="20"/>
                <w:color w:val="auto"/>
              </w:rPr>
            </w:pPr>
            <w:r>
              <w:rPr>
                <w:rFonts w:ascii="Arial" w:cs="Arial" w:eastAsia="Arial" w:hAnsi="Arial"/>
                <w:sz w:val="13"/>
                <w:szCs w:val="13"/>
                <w:color w:val="auto"/>
              </w:rPr>
              <w:t xml:space="preserve">Commitments and contingencies </w:t>
            </w:r>
            <w:r>
              <w:rPr>
                <w:rFonts w:ascii="Arial" w:cs="Arial" w:eastAsia="Arial" w:hAnsi="Arial"/>
                <w:sz w:val="13"/>
                <w:szCs w:val="13"/>
                <w:i w:val="1"/>
                <w:iCs w:val="1"/>
                <w:color w:val="auto"/>
              </w:rPr>
              <w:t>(Note 11)</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5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91"/>
              </w:rPr>
              <w:t>Convertible preferred stock, $0.0001 par value; 314,930,070 shares authorized as of December 31, 2017</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w w:val="92"/>
              </w:rPr>
              <w:t>and 2018 and June 30, 2019 (unaudited); 66,630,284, 65,428,088 and 65,428,088 shares issued and</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w w:val="93"/>
              </w:rPr>
              <w:t>outstanding at December 31, 2017, December 31 2018 and June 30, 2019 (unaudited), respectively;</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w w:val="93"/>
              </w:rPr>
              <w:t>aggregate liquidation preference of $108,444, $106,369 and $106,237 as of December 31, 2017 and</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2018 and June 30, 2019 (unaudited), respectively; no shares issued or outstanding, pro forma</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(unaudited)</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108,312</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106,237</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106,237</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5560" w:type="dxa"/>
            <w:vAlign w:val="bottom"/>
          </w:tcPr>
          <w:p>
            <w:pPr>
              <w:spacing w:after="0"/>
              <w:rPr>
                <w:sz w:val="20"/>
                <w:szCs w:val="20"/>
                <w:color w:val="auto"/>
              </w:rPr>
            </w:pPr>
            <w:r>
              <w:rPr>
                <w:rFonts w:ascii="Arial" w:cs="Arial" w:eastAsia="Arial" w:hAnsi="Arial"/>
                <w:sz w:val="13"/>
                <w:szCs w:val="13"/>
                <w:b w:val="1"/>
                <w:bCs w:val="1"/>
                <w:color w:val="auto"/>
              </w:rPr>
              <w:t>STOCKHOLDERS' DEFICIT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56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w w:val="91"/>
              </w:rPr>
              <w:t>Common stock, $0.0001 par value; 417,000,000 shares authorized at December 31, 2017 and 2018</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ind w:left="420"/>
              <w:spacing w:after="0" w:line="143" w:lineRule="exact"/>
              <w:rPr>
                <w:sz w:val="20"/>
                <w:szCs w:val="20"/>
                <w:color w:val="auto"/>
              </w:rPr>
            </w:pPr>
            <w:r>
              <w:rPr>
                <w:rFonts w:ascii="Arial" w:cs="Arial" w:eastAsia="Arial" w:hAnsi="Arial"/>
                <w:sz w:val="13"/>
                <w:szCs w:val="13"/>
                <w:color w:val="auto"/>
                <w:w w:val="91"/>
              </w:rPr>
              <w:t>respectively and 441,000,000 at June 30, 2019 (unaudited); 5,690,083, 5,155,407 and 5,187,474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ind w:left="420"/>
              <w:spacing w:after="0" w:line="143" w:lineRule="exact"/>
              <w:rPr>
                <w:sz w:val="20"/>
                <w:szCs w:val="20"/>
                <w:color w:val="auto"/>
              </w:rPr>
            </w:pPr>
            <w:r>
              <w:rPr>
                <w:rFonts w:ascii="Arial" w:cs="Arial" w:eastAsia="Arial" w:hAnsi="Arial"/>
                <w:sz w:val="13"/>
                <w:szCs w:val="13"/>
                <w:color w:val="auto"/>
                <w:w w:val="93"/>
              </w:rPr>
              <w:t>shares issued at December 31, 2017 and 2018 and June 30, 2019 (unaudited), respectively; no</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shares issued or outstanding, pro forma (unaudited)</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2"/>
        </w:trPr>
        <w:tc>
          <w:tcPr>
            <w:tcW w:w="5560" w:type="dxa"/>
            <w:vAlign w:val="bottom"/>
          </w:tcPr>
          <w:p>
            <w:pPr>
              <w:ind w:left="140"/>
              <w:spacing w:after="0" w:line="143" w:lineRule="exact"/>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6,933</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10,622</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12,182</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124,194</w:t>
            </w:r>
          </w:p>
        </w:tc>
        <w:tc>
          <w:tcPr>
            <w:tcW w:w="0" w:type="dxa"/>
            <w:vAlign w:val="bottom"/>
          </w:tcPr>
          <w:p>
            <w:pPr>
              <w:spacing w:after="0"/>
              <w:rPr>
                <w:sz w:val="1"/>
                <w:szCs w:val="1"/>
                <w:color w:val="auto"/>
              </w:rPr>
            </w:pPr>
          </w:p>
        </w:tc>
      </w:tr>
      <w:tr>
        <w:trPr>
          <w:trHeight w:val="133"/>
        </w:trPr>
        <w:tc>
          <w:tcPr>
            <w:tcW w:w="556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Treasury stock, at cost, $0.0001 par value; zero, 589,320 and 589,320 shares outstanding at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December 31, 2017, 2018 and June 30, 2019 (unaudited)</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(884)</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(884)</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(884)</w:t>
            </w:r>
          </w:p>
        </w:tc>
        <w:tc>
          <w:tcPr>
            <w:tcW w:w="0" w:type="dxa"/>
            <w:vAlign w:val="bottom"/>
          </w:tcPr>
          <w:p>
            <w:pPr>
              <w:spacing w:after="0"/>
              <w:rPr>
                <w:sz w:val="1"/>
                <w:szCs w:val="1"/>
                <w:color w:val="auto"/>
              </w:rPr>
            </w:pPr>
          </w:p>
        </w:tc>
      </w:tr>
      <w:tr>
        <w:trPr>
          <w:trHeight w:val="142"/>
        </w:trPr>
        <w:tc>
          <w:tcPr>
            <w:tcW w:w="5560" w:type="dxa"/>
            <w:vAlign w:val="bottom"/>
          </w:tcPr>
          <w:p>
            <w:pPr>
              <w:ind w:left="140"/>
              <w:spacing w:after="0" w:line="143" w:lineRule="exact"/>
              <w:rPr>
                <w:sz w:val="20"/>
                <w:szCs w:val="20"/>
                <w:color w:val="auto"/>
              </w:rPr>
            </w:pPr>
            <w:r>
              <w:rPr>
                <w:rFonts w:ascii="Arial" w:cs="Arial" w:eastAsia="Arial" w:hAnsi="Arial"/>
                <w:sz w:val="13"/>
                <w:szCs w:val="13"/>
                <w:color w:val="auto"/>
              </w:rPr>
              <w:t>Accumulated deficit</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(104,556)</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(104,854)</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(100,813)</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(100,813)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stockholders' deficit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(97,622)</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(95,115)</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(89,514)</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22,505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3"/>
                <w:szCs w:val="13"/>
                <w:color w:val="auto"/>
              </w:rPr>
              <w:t>Total liabilities, convertible preferred stock, and stockholders' deficit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34,961</w:t>
            </w:r>
          </w:p>
        </w:tc>
        <w:tc>
          <w:tcPr>
            <w:tcW w:w="140" w:type="dxa"/>
            <w:vAlign w:val="bottom"/>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41,324</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63,082</w:t>
            </w: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5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63,082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218"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160" w:type="dxa"/>
            <w:vAlign w:val="bottom"/>
          </w:tcPr>
          <w:p>
            <w:pPr>
              <w:spacing w:after="0"/>
              <w:rPr>
                <w:sz w:val="13"/>
                <w:szCs w:val="13"/>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7"/>
              <w:spacing w:after="0" w:line="136"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17"/>
              <w:spacing w:after="0" w:line="136"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9"/>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17"/>
              <w:spacing w:after="0" w:line="136"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5"/>
          </w:tcPr>
          <w:p>
            <w:pPr>
              <w:jc w:val="center"/>
              <w:ind w:right="300"/>
              <w:spacing w:after="0" w:line="136"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48,584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105,400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48,415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103,365</w:t>
            </w:r>
          </w:p>
        </w:tc>
        <w:tc>
          <w:tcPr>
            <w:tcW w:w="0" w:type="dxa"/>
            <w:vAlign w:val="bottom"/>
          </w:tcPr>
          <w:p>
            <w:pPr>
              <w:spacing w:after="0"/>
              <w:rPr>
                <w:sz w:val="1"/>
                <w:szCs w:val="1"/>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Cost of services</w:t>
            </w:r>
          </w:p>
        </w:tc>
        <w:tc>
          <w:tcPr>
            <w:tcW w:w="140" w:type="dxa"/>
            <w:vAlign w:val="bottom"/>
          </w:tcPr>
          <w:p>
            <w:pPr>
              <w:spacing w:after="0"/>
              <w:rPr>
                <w:sz w:val="17"/>
                <w:szCs w:val="17"/>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7"/>
                <w:szCs w:val="17"/>
                <w:color w:val="auto"/>
              </w:rPr>
              <w:t>41,184</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85,966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39,443</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81,949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7,400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19,434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8,972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21,416</w:t>
            </w:r>
          </w:p>
        </w:tc>
        <w:tc>
          <w:tcPr>
            <w:tcW w:w="0" w:type="dxa"/>
            <w:vAlign w:val="bottom"/>
          </w:tcPr>
          <w:p>
            <w:pPr>
              <w:spacing w:after="0"/>
              <w:rPr>
                <w:sz w:val="1"/>
                <w:szCs w:val="1"/>
                <w:color w:val="auto"/>
              </w:rPr>
            </w:pPr>
          </w:p>
        </w:tc>
      </w:tr>
      <w:tr>
        <w:trPr>
          <w:trHeight w:val="413"/>
        </w:trPr>
        <w:tc>
          <w:tcPr>
            <w:tcW w:w="5000" w:type="dxa"/>
            <w:vAlign w:val="bottom"/>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4,258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3,494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5,463</w:t>
            </w:r>
          </w:p>
        </w:tc>
        <w:tc>
          <w:tcPr>
            <w:tcW w:w="0" w:type="dxa"/>
            <w:vAlign w:val="bottom"/>
          </w:tcPr>
          <w:p>
            <w:pPr>
              <w:spacing w:after="0"/>
              <w:rPr>
                <w:sz w:val="1"/>
                <w:szCs w:val="1"/>
                <w:color w:val="auto"/>
              </w:rPr>
            </w:pPr>
          </w:p>
        </w:tc>
      </w:tr>
      <w:tr>
        <w:trPr>
          <w:trHeight w:val="207"/>
        </w:trPr>
        <w:tc>
          <w:tcPr>
            <w:tcW w:w="500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7"/>
                <w:szCs w:val="17"/>
                <w:color w:val="auto"/>
              </w:rPr>
              <w:t>14,147</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15,601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7,640</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10,489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18,405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11,134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15,952</w:t>
            </w:r>
          </w:p>
        </w:tc>
        <w:tc>
          <w:tcPr>
            <w:tcW w:w="0" w:type="dxa"/>
            <w:vAlign w:val="bottom"/>
          </w:tcPr>
          <w:p>
            <w:pPr>
              <w:spacing w:after="0"/>
              <w:rPr>
                <w:sz w:val="1"/>
                <w:szCs w:val="1"/>
                <w:color w:val="auto"/>
              </w:rPr>
            </w:pPr>
          </w:p>
        </w:tc>
      </w:tr>
      <w:tr>
        <w:trPr>
          <w:trHeight w:val="200"/>
        </w:trPr>
        <w:tc>
          <w:tcPr>
            <w:tcW w:w="5000" w:type="dxa"/>
            <w:vAlign w:val="bottom"/>
          </w:tcPr>
          <w:p>
            <w:pPr>
              <w:spacing w:after="0"/>
              <w:rPr>
                <w:sz w:val="20"/>
                <w:szCs w:val="20"/>
                <w:color w:val="auto"/>
              </w:rPr>
            </w:pPr>
            <w:r>
              <w:rPr>
                <w:rFonts w:ascii="Arial" w:cs="Arial" w:eastAsia="Arial" w:hAnsi="Arial"/>
                <w:sz w:val="17"/>
                <w:szCs w:val="17"/>
                <w:color w:val="auto"/>
              </w:rPr>
              <w:t>(Loss) income from operations</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(11,005)</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(3,452)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Other expense: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0" w:type="dxa"/>
            <w:vAlign w:val="bottom"/>
          </w:tcPr>
          <w:p>
            <w:pPr>
              <w:ind w:left="320"/>
              <w:spacing w:after="0"/>
              <w:rPr>
                <w:sz w:val="20"/>
                <w:szCs w:val="20"/>
                <w:color w:val="auto"/>
              </w:rPr>
            </w:pPr>
            <w:r>
              <w:rPr>
                <w:rFonts w:ascii="Arial" w:cs="Arial" w:eastAsia="Arial" w:hAnsi="Arial"/>
                <w:sz w:val="17"/>
                <w:szCs w:val="17"/>
                <w:color w:val="auto"/>
              </w:rPr>
              <w:t>Interest expense, net</w:t>
            </w:r>
          </w:p>
        </w:tc>
        <w:tc>
          <w:tcPr>
            <w:tcW w:w="140" w:type="dxa"/>
            <w:vAlign w:val="bottom"/>
          </w:tcPr>
          <w:p>
            <w:pPr>
              <w:spacing w:after="0"/>
              <w:rPr>
                <w:sz w:val="17"/>
                <w:szCs w:val="17"/>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7"/>
                <w:szCs w:val="17"/>
                <w:color w:val="auto"/>
              </w:rPr>
              <w:t>(740)</w:t>
            </w:r>
          </w:p>
        </w:tc>
        <w:tc>
          <w:tcPr>
            <w:tcW w:w="12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(497)</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Convertible preferred stock warrant valuation adjustment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(714)</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(2,944)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(1,193)</w:t>
            </w:r>
          </w:p>
        </w:tc>
        <w:tc>
          <w:tcPr>
            <w:tcW w:w="0" w:type="dxa"/>
            <w:vAlign w:val="bottom"/>
          </w:tcPr>
          <w:p>
            <w:pPr>
              <w:spacing w:after="0"/>
              <w:rPr>
                <w:sz w:val="1"/>
                <w:szCs w:val="1"/>
                <w:color w:val="auto"/>
              </w:rPr>
            </w:pPr>
          </w:p>
        </w:tc>
      </w:tr>
      <w:tr>
        <w:trPr>
          <w:trHeight w:val="200"/>
        </w:trPr>
        <w:tc>
          <w:tcPr>
            <w:tcW w:w="5000" w:type="dxa"/>
            <w:vAlign w:val="bottom"/>
          </w:tcPr>
          <w:p>
            <w:pPr>
              <w:spacing w:after="0"/>
              <w:rPr>
                <w:sz w:val="20"/>
                <w:szCs w:val="20"/>
                <w:color w:val="auto"/>
              </w:rPr>
            </w:pPr>
            <w:r>
              <w:rPr>
                <w:rFonts w:ascii="Arial" w:cs="Arial" w:eastAsia="Arial" w:hAnsi="Arial"/>
                <w:sz w:val="17"/>
                <w:szCs w:val="17"/>
                <w:color w:val="auto"/>
              </w:rPr>
              <w:t>Total other expense, net</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(3,441)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continuing operations, before tax</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(12,459)</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(6,893)</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(3,237)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4,105</w:t>
            </w:r>
          </w:p>
        </w:tc>
        <w:tc>
          <w:tcPr>
            <w:tcW w:w="0" w:type="dxa"/>
            <w:vAlign w:val="bottom"/>
          </w:tcPr>
          <w:p>
            <w:pPr>
              <w:spacing w:after="0"/>
              <w:rPr>
                <w:sz w:val="1"/>
                <w:szCs w:val="1"/>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Benefit (provision) for income taxes</w:t>
            </w:r>
          </w:p>
        </w:tc>
        <w:tc>
          <w:tcPr>
            <w:tcW w:w="140" w:type="dxa"/>
            <w:vAlign w:val="bottom"/>
          </w:tcPr>
          <w:p>
            <w:pPr>
              <w:spacing w:after="0"/>
              <w:rPr>
                <w:sz w:val="17"/>
                <w:szCs w:val="17"/>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1,777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835</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(12,456)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(5,116)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4,041</w:t>
            </w:r>
          </w:p>
        </w:tc>
        <w:tc>
          <w:tcPr>
            <w:tcW w:w="0" w:type="dxa"/>
            <w:vAlign w:val="bottom"/>
          </w:tcPr>
          <w:p>
            <w:pPr>
              <w:spacing w:after="0"/>
              <w:rPr>
                <w:sz w:val="1"/>
                <w:szCs w:val="1"/>
                <w:color w:val="auto"/>
              </w:rPr>
            </w:pPr>
          </w:p>
        </w:tc>
      </w:tr>
      <w:tr>
        <w:trPr>
          <w:trHeight w:val="200"/>
        </w:trPr>
        <w:tc>
          <w:tcPr>
            <w:tcW w:w="5000" w:type="dxa"/>
            <w:vAlign w:val="bottom"/>
          </w:tcPr>
          <w:p>
            <w:pPr>
              <w:ind w:left="160"/>
              <w:spacing w:after="0"/>
              <w:rPr>
                <w:sz w:val="20"/>
                <w:szCs w:val="20"/>
                <w:color w:val="auto"/>
              </w:rPr>
            </w:pPr>
            <w:r>
              <w:rPr>
                <w:rFonts w:ascii="Arial" w:cs="Arial" w:eastAsia="Arial" w:hAnsi="Arial"/>
                <w:sz w:val="17"/>
                <w:szCs w:val="17"/>
                <w:color w:val="auto"/>
              </w:rPr>
              <w:t>Net income from discontinued operations, net of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5,777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5,724</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 and comprehensive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(12,452)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4,041</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7"/>
                <w:szCs w:val="17"/>
                <w:color w:val="auto"/>
              </w:rPr>
              <w:t>Net (loss) income attributable to common stockholders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(13,468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(5,541)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(2,826)</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Net (loss) income per share attributable to common stockholders: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000" w:type="dxa"/>
            <w:vAlign w:val="bottom"/>
          </w:tcPr>
          <w:p>
            <w:pPr>
              <w:ind w:left="160"/>
              <w:spacing w:after="0"/>
              <w:rPr>
                <w:sz w:val="20"/>
                <w:szCs w:val="20"/>
                <w:color w:val="auto"/>
              </w:rPr>
            </w:pPr>
            <w:r>
              <w:rPr>
                <w:rFonts w:ascii="Arial" w:cs="Arial" w:eastAsia="Arial" w:hAnsi="Arial"/>
                <w:sz w:val="17"/>
                <w:szCs w:val="17"/>
                <w:color w:val="auto"/>
              </w:rPr>
              <w:t>Discontinued operations</w:t>
            </w:r>
          </w:p>
        </w:tc>
        <w:tc>
          <w:tcPr>
            <w:tcW w:w="140" w:type="dxa"/>
            <w:vAlign w:val="bottom"/>
          </w:tcPr>
          <w:p>
            <w:pPr>
              <w:spacing w:after="0"/>
              <w:rPr>
                <w:sz w:val="17"/>
                <w:szCs w:val="17"/>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5000" w:type="dxa"/>
            <w:vAlign w:val="bottom"/>
            <w:shd w:val="clear" w:color="auto" w:fill="CCEEFF"/>
          </w:tcPr>
          <w:p>
            <w:pPr>
              <w:ind w:left="160"/>
              <w:spacing w:after="0" w:line="191" w:lineRule="exact"/>
              <w:rPr>
                <w:sz w:val="20"/>
                <w:szCs w:val="20"/>
                <w:color w:val="auto"/>
              </w:rPr>
            </w:pPr>
            <w:r>
              <w:rPr>
                <w:rFonts w:ascii="Arial" w:cs="Arial" w:eastAsia="Arial" w:hAnsi="Arial"/>
                <w:sz w:val="17"/>
                <w:szCs w:val="17"/>
                <w:color w:val="auto"/>
              </w:rPr>
              <w:t>Total basic net (loss) income per share attributable to common</w:t>
            </w: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7"/>
                <w:szCs w:val="17"/>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000" w:type="dxa"/>
            <w:vAlign w:val="bottom"/>
          </w:tcPr>
          <w:p>
            <w:pPr>
              <w:ind w:left="160"/>
              <w:spacing w:after="0"/>
              <w:rPr>
                <w:sz w:val="20"/>
                <w:szCs w:val="20"/>
                <w:color w:val="auto"/>
              </w:rPr>
            </w:pPr>
            <w:r>
              <w:rPr>
                <w:rFonts w:ascii="Arial" w:cs="Arial" w:eastAsia="Arial" w:hAnsi="Arial"/>
                <w:sz w:val="17"/>
                <w:szCs w:val="17"/>
                <w:color w:val="auto"/>
              </w:rPr>
              <w:t>Discontinued operations</w:t>
            </w:r>
          </w:p>
        </w:tc>
        <w:tc>
          <w:tcPr>
            <w:tcW w:w="140" w:type="dxa"/>
            <w:vAlign w:val="bottom"/>
          </w:tcPr>
          <w:p>
            <w:pPr>
              <w:spacing w:after="0"/>
              <w:rPr>
                <w:sz w:val="17"/>
                <w:szCs w:val="17"/>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5000" w:type="dxa"/>
            <w:vAlign w:val="bottom"/>
            <w:shd w:val="clear" w:color="auto" w:fill="CCEEFF"/>
          </w:tcPr>
          <w:p>
            <w:pPr>
              <w:ind w:left="160"/>
              <w:spacing w:after="0" w:line="191" w:lineRule="exact"/>
              <w:rPr>
                <w:sz w:val="20"/>
                <w:szCs w:val="20"/>
                <w:color w:val="auto"/>
              </w:rPr>
            </w:pPr>
            <w:r>
              <w:rPr>
                <w:rFonts w:ascii="Arial" w:cs="Arial" w:eastAsia="Arial" w:hAnsi="Arial"/>
                <w:sz w:val="17"/>
                <w:szCs w:val="17"/>
                <w:color w:val="auto"/>
              </w:rPr>
              <w:t>Total diluted net (loss) income per share attributable to common</w:t>
            </w: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7"/>
                <w:szCs w:val="17"/>
                <w:color w:val="auto"/>
                <w:w w:val="99"/>
              </w:rPr>
              <w:t>Weighted-average shares used in computing net (loss) income per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160"/>
              <w:spacing w:after="0"/>
              <w:rPr>
                <w:sz w:val="20"/>
                <w:szCs w:val="20"/>
                <w:color w:val="auto"/>
              </w:rPr>
            </w:pPr>
            <w:r>
              <w:rPr>
                <w:rFonts w:ascii="Arial" w:cs="Arial" w:eastAsia="Arial" w:hAnsi="Arial"/>
                <w:sz w:val="17"/>
                <w:szCs w:val="17"/>
                <w:color w:val="auto"/>
              </w:rPr>
              <w:t>share: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w w:val="95"/>
              </w:rPr>
              <w:t>5,677,860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5,539,739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5,691,643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5,164,564</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60"/>
              <w:spacing w:after="0"/>
              <w:rPr>
                <w:sz w:val="20"/>
                <w:szCs w:val="20"/>
                <w:color w:val="auto"/>
              </w:rPr>
            </w:pPr>
            <w:r>
              <w:rPr>
                <w:rFonts w:ascii="Arial" w:cs="Arial" w:eastAsia="Arial" w:hAnsi="Arial"/>
                <w:sz w:val="17"/>
                <w:szCs w:val="17"/>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95"/>
              </w:rPr>
              <w:t>5,677,860</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97"/>
              </w:rPr>
              <w:t>5,539,739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92"/>
              </w:rPr>
              <w:t>5,691,643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5,164,564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Pro forma (loss) income per share (unaudited)</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00" w:type="dxa"/>
            <w:vAlign w:val="bottom"/>
          </w:tcPr>
          <w:p>
            <w:pPr>
              <w:ind w:left="16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(0.08)</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(0.08)</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7"/>
                <w:szCs w:val="17"/>
                <w:color w:val="auto"/>
              </w:rPr>
              <w:t>Weighted-average shares used in computing pro forma net (loss)</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160"/>
              <w:spacing w:after="0"/>
              <w:rPr>
                <w:sz w:val="20"/>
                <w:szCs w:val="20"/>
                <w:color w:val="auto"/>
              </w:rPr>
            </w:pPr>
            <w:r>
              <w:rPr>
                <w:rFonts w:ascii="Arial" w:cs="Arial" w:eastAsia="Arial" w:hAnsi="Arial"/>
                <w:sz w:val="17"/>
                <w:szCs w:val="17"/>
                <w:color w:val="auto"/>
              </w:rPr>
              <w:t>income per share (unaudited)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71,499,944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70,592,652</w:t>
            </w:r>
          </w:p>
        </w:tc>
        <w:tc>
          <w:tcPr>
            <w:tcW w:w="0" w:type="dxa"/>
            <w:vAlign w:val="bottom"/>
          </w:tcPr>
          <w:p>
            <w:pPr>
              <w:spacing w:after="0"/>
              <w:rPr>
                <w:sz w:val="1"/>
                <w:szCs w:val="1"/>
                <w:color w:val="auto"/>
              </w:rPr>
            </w:pPr>
          </w:p>
        </w:tc>
      </w:tr>
      <w:tr>
        <w:trPr>
          <w:trHeight w:val="207"/>
        </w:trPr>
        <w:tc>
          <w:tcPr>
            <w:tcW w:w="5000" w:type="dxa"/>
            <w:vAlign w:val="bottom"/>
          </w:tcPr>
          <w:p>
            <w:pPr>
              <w:ind w:left="160"/>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w w:val="89"/>
              </w:rPr>
              <w:t>71,499,944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81,561,714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PROGYNY, INC.</w:t>
      </w:r>
    </w:p>
    <w:p>
      <w:pPr>
        <w:spacing w:after="0" w:line="22"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Consolidated Statements of Changes in Convertible Preferred Stock and Stockholders' Deficit</w:t>
      </w:r>
    </w:p>
    <w:p>
      <w:pPr>
        <w:spacing w:after="0" w:line="11"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9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Convertible</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720" w:type="dxa"/>
            <w:vAlign w:val="bottom"/>
            <w:tcBorders>
              <w:right w:val="single" w:sz="8" w:color="auto"/>
            </w:tcBorders>
            <w:gridSpan w:val="6"/>
            <w:vMerge w:val="restart"/>
          </w:tcPr>
          <w:p>
            <w:pPr>
              <w:jc w:val="right"/>
              <w:ind w:right="520"/>
              <w:spacing w:after="0"/>
              <w:rPr>
                <w:sz w:val="20"/>
                <w:szCs w:val="20"/>
                <w:color w:val="auto"/>
              </w:rPr>
            </w:pPr>
            <w:r>
              <w:rPr>
                <w:rFonts w:ascii="Arial" w:cs="Arial" w:eastAsia="Arial" w:hAnsi="Arial"/>
                <w:sz w:val="13"/>
                <w:szCs w:val="13"/>
                <w:b w:val="1"/>
                <w:bCs w:val="1"/>
                <w:color w:val="auto"/>
              </w:rPr>
              <w:t>Preferred Stock</w:t>
            </w:r>
          </w:p>
        </w:tc>
        <w:tc>
          <w:tcPr>
            <w:tcW w:w="160" w:type="dxa"/>
            <w:vAlign w:val="bottom"/>
          </w:tcPr>
          <w:p>
            <w:pPr>
              <w:spacing w:after="0"/>
              <w:rPr>
                <w:sz w:val="7"/>
                <w:szCs w:val="7"/>
                <w:color w:val="auto"/>
              </w:rPr>
            </w:pPr>
          </w:p>
        </w:tc>
        <w:tc>
          <w:tcPr>
            <w:tcW w:w="1540" w:type="dxa"/>
            <w:vAlign w:val="bottom"/>
            <w:gridSpan w:val="5"/>
            <w:vMerge w:val="restart"/>
          </w:tcPr>
          <w:p>
            <w:pPr>
              <w:jc w:val="right"/>
              <w:ind w:right="4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400" w:type="dxa"/>
            <w:vAlign w:val="bottom"/>
          </w:tcPr>
          <w:p>
            <w:pPr>
              <w:spacing w:after="0"/>
              <w:rPr>
                <w:sz w:val="5"/>
                <w:szCs w:val="5"/>
                <w:color w:val="auto"/>
              </w:rPr>
            </w:pPr>
          </w:p>
        </w:tc>
        <w:tc>
          <w:tcPr>
            <w:tcW w:w="1720" w:type="dxa"/>
            <w:vAlign w:val="bottom"/>
            <w:tcBorders>
              <w:right w:val="single" w:sz="8" w:color="auto"/>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780" w:type="dxa"/>
            <w:vAlign w:val="bottom"/>
            <w:gridSpan w:val="3"/>
            <w:vMerge w:val="restart"/>
          </w:tcPr>
          <w:p>
            <w:pPr>
              <w:jc w:val="right"/>
              <w:ind w:right="220"/>
              <w:spacing w:after="0" w:line="143" w:lineRule="exact"/>
              <w:rPr>
                <w:sz w:val="20"/>
                <w:szCs w:val="20"/>
                <w:color w:val="auto"/>
              </w:rPr>
            </w:pPr>
            <w:r>
              <w:rPr>
                <w:rFonts w:ascii="Arial" w:cs="Arial" w:eastAsia="Arial" w:hAnsi="Arial"/>
                <w:sz w:val="13"/>
                <w:szCs w:val="13"/>
                <w:b w:val="1"/>
                <w:bCs w:val="1"/>
                <w:color w:val="auto"/>
                <w:w w:val="98"/>
              </w:rPr>
              <w:t>Treasury</w:t>
            </w:r>
          </w:p>
        </w:tc>
        <w:tc>
          <w:tcPr>
            <w:tcW w:w="60" w:type="dxa"/>
            <w:vAlign w:val="bottom"/>
          </w:tcPr>
          <w:p>
            <w:pPr>
              <w:spacing w:after="0"/>
              <w:rPr>
                <w:sz w:val="5"/>
                <w:szCs w:val="5"/>
                <w:color w:val="auto"/>
              </w:rPr>
            </w:pPr>
          </w:p>
        </w:tc>
        <w:tc>
          <w:tcPr>
            <w:tcW w:w="820" w:type="dxa"/>
            <w:vAlign w:val="bottom"/>
            <w:gridSpan w:val="2"/>
            <w:vMerge w:val="restart"/>
          </w:tcPr>
          <w:p>
            <w:pPr>
              <w:jc w:val="center"/>
              <w:ind w:right="220"/>
              <w:spacing w:after="0" w:line="143" w:lineRule="exact"/>
              <w:rPr>
                <w:sz w:val="20"/>
                <w:szCs w:val="20"/>
                <w:color w:val="auto"/>
              </w:rPr>
            </w:pPr>
            <w:r>
              <w:rPr>
                <w:rFonts w:ascii="Arial" w:cs="Arial" w:eastAsia="Arial" w:hAnsi="Arial"/>
                <w:sz w:val="13"/>
                <w:szCs w:val="13"/>
                <w:b w:val="1"/>
                <w:bCs w:val="1"/>
                <w:color w:val="auto"/>
                <w:w w:val="93"/>
              </w:rPr>
              <w:t>Paid in</w:t>
            </w:r>
          </w:p>
        </w:tc>
        <w:tc>
          <w:tcPr>
            <w:tcW w:w="1000" w:type="dxa"/>
            <w:vAlign w:val="bottom"/>
            <w:gridSpan w:val="3"/>
            <w:vMerge w:val="restart"/>
          </w:tcPr>
          <w:p>
            <w:pPr>
              <w:jc w:val="right"/>
              <w:ind w:right="200"/>
              <w:spacing w:after="0" w:line="143"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40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Shares</w:t>
            </w:r>
          </w:p>
        </w:tc>
        <w:tc>
          <w:tcPr>
            <w:tcW w:w="14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w w:val="95"/>
              </w:rPr>
              <w:t>Stock</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Balance at December 31, 2016</w:t>
            </w:r>
          </w:p>
        </w:tc>
        <w:tc>
          <w:tcPr>
            <w:tcW w:w="7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57,939,105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760" w:type="dxa"/>
            <w:vAlign w:val="bottom"/>
            <w:tcBorders>
              <w:right w:val="single" w:sz="8" w:color="auto"/>
            </w:tcBorders>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92,300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5,664,372</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6,361</w:t>
            </w:r>
          </w:p>
        </w:tc>
        <w:tc>
          <w:tcPr>
            <w:tcW w:w="16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(92,104)</w:t>
            </w:r>
          </w:p>
        </w:tc>
        <w:tc>
          <w:tcPr>
            <w:tcW w:w="1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62"/>
              <w:spacing w:after="0" w:line="136" w:lineRule="exact"/>
              <w:rPr>
                <w:sz w:val="20"/>
                <w:szCs w:val="20"/>
                <w:color w:val="auto"/>
              </w:rPr>
            </w:pPr>
            <w:r>
              <w:rPr>
                <w:rFonts w:ascii="Arial" w:cs="Arial" w:eastAsia="Arial" w:hAnsi="Arial"/>
                <w:sz w:val="13"/>
                <w:szCs w:val="13"/>
                <w:color w:val="auto"/>
              </w:rPr>
              <w:t>(85,742)</w:t>
            </w:r>
          </w:p>
        </w:tc>
        <w:tc>
          <w:tcPr>
            <w:tcW w:w="0" w:type="dxa"/>
            <w:vAlign w:val="bottom"/>
          </w:tcPr>
          <w:p>
            <w:pPr>
              <w:spacing w:after="0"/>
              <w:rPr>
                <w:sz w:val="1"/>
                <w:szCs w:val="1"/>
                <w:color w:val="auto"/>
              </w:rPr>
            </w:pPr>
          </w:p>
        </w:tc>
      </w:tr>
      <w:tr>
        <w:trPr>
          <w:trHeight w:val="133"/>
        </w:trPr>
        <w:tc>
          <w:tcPr>
            <w:tcW w:w="2400" w:type="dxa"/>
            <w:vAlign w:val="bottom"/>
          </w:tcPr>
          <w:p>
            <w:pPr>
              <w:ind w:left="140"/>
              <w:spacing w:after="0" w:line="134" w:lineRule="exact"/>
              <w:rPr>
                <w:sz w:val="20"/>
                <w:szCs w:val="20"/>
                <w:color w:val="auto"/>
              </w:rPr>
            </w:pPr>
            <w:r>
              <w:rPr>
                <w:rFonts w:ascii="Arial" w:cs="Arial" w:eastAsia="Arial" w:hAnsi="Arial"/>
                <w:sz w:val="13"/>
                <w:szCs w:val="13"/>
                <w:color w:val="auto"/>
              </w:rPr>
              <w:t>Issuance of Series B convertible</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400" w:type="dxa"/>
            <w:vAlign w:val="bottom"/>
          </w:tcPr>
          <w:p>
            <w:pPr>
              <w:ind w:left="280"/>
              <w:spacing w:after="0"/>
              <w:rPr>
                <w:sz w:val="20"/>
                <w:szCs w:val="20"/>
                <w:color w:val="auto"/>
              </w:rPr>
            </w:pPr>
            <w:r>
              <w:rPr>
                <w:rFonts w:ascii="Arial" w:cs="Arial" w:eastAsia="Arial" w:hAnsi="Arial"/>
                <w:sz w:val="13"/>
                <w:szCs w:val="13"/>
                <w:color w:val="auto"/>
              </w:rPr>
              <w:t>preferred stock</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8,691,179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16,012</w:t>
            </w: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(1,012)</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3"/>
                <w:szCs w:val="13"/>
                <w:color w:val="auto"/>
              </w:rPr>
              <w:t>(1,012)</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8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1,559</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2"/>
              <w:spacing w:after="0" w:line="143" w:lineRule="exact"/>
              <w:rPr>
                <w:sz w:val="20"/>
                <w:szCs w:val="20"/>
                <w:color w:val="auto"/>
              </w:rPr>
            </w:pPr>
            <w:r>
              <w:rPr>
                <w:rFonts w:ascii="Arial" w:cs="Arial" w:eastAsia="Arial" w:hAnsi="Arial"/>
                <w:sz w:val="13"/>
                <w:szCs w:val="13"/>
                <w:color w:val="auto"/>
              </w:rPr>
              <w:t>1,559</w:t>
            </w:r>
          </w:p>
        </w:tc>
        <w:tc>
          <w:tcPr>
            <w:tcW w:w="0" w:type="dxa"/>
            <w:vAlign w:val="bottom"/>
          </w:tcPr>
          <w:p>
            <w:pPr>
              <w:spacing w:after="0"/>
              <w:rPr>
                <w:sz w:val="1"/>
                <w:szCs w:val="1"/>
                <w:color w:val="auto"/>
              </w:rPr>
            </w:pPr>
          </w:p>
        </w:tc>
      </w:tr>
      <w:tr>
        <w:trPr>
          <w:trHeight w:val="142"/>
        </w:trPr>
        <w:tc>
          <w:tcPr>
            <w:tcW w:w="2400" w:type="dxa"/>
            <w:vAlign w:val="bottom"/>
          </w:tcPr>
          <w:p>
            <w:pPr>
              <w:ind w:left="140"/>
              <w:spacing w:after="0" w:line="143" w:lineRule="exact"/>
              <w:rPr>
                <w:sz w:val="20"/>
                <w:szCs w:val="20"/>
                <w:color w:val="auto"/>
              </w:rPr>
            </w:pPr>
            <w:r>
              <w:rPr>
                <w:rFonts w:ascii="Arial" w:cs="Arial" w:eastAsia="Arial" w:hAnsi="Arial"/>
                <w:sz w:val="13"/>
                <w:szCs w:val="13"/>
                <w:color w:val="auto"/>
              </w:rPr>
              <w:t>Stock option exercise</w:t>
            </w:r>
          </w:p>
        </w:tc>
        <w:tc>
          <w:tcPr>
            <w:tcW w:w="8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25,711</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25</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2"/>
              <w:spacing w:after="0" w:line="143"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Net loss</w:t>
            </w:r>
          </w:p>
        </w:tc>
        <w:tc>
          <w:tcPr>
            <w:tcW w:w="8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(12,452)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2"/>
              <w:spacing w:after="0" w:line="143" w:lineRule="exact"/>
              <w:rPr>
                <w:sz w:val="20"/>
                <w:szCs w:val="20"/>
                <w:color w:val="auto"/>
              </w:rPr>
            </w:pPr>
            <w:r>
              <w:rPr>
                <w:rFonts w:ascii="Arial" w:cs="Arial" w:eastAsia="Arial" w:hAnsi="Arial"/>
                <w:sz w:val="13"/>
                <w:szCs w:val="13"/>
                <w:color w:val="auto"/>
              </w:rPr>
              <w:t>(12,452)</w:t>
            </w:r>
          </w:p>
        </w:tc>
        <w:tc>
          <w:tcPr>
            <w:tcW w:w="0" w:type="dxa"/>
            <w:vAlign w:val="bottom"/>
          </w:tcPr>
          <w:p>
            <w:pPr>
              <w:spacing w:after="0"/>
              <w:rPr>
                <w:sz w:val="1"/>
                <w:szCs w:val="1"/>
                <w:color w:val="auto"/>
              </w:rPr>
            </w:pPr>
          </w:p>
        </w:tc>
      </w:tr>
      <w:tr>
        <w:trPr>
          <w:trHeight w:val="135"/>
        </w:trPr>
        <w:tc>
          <w:tcPr>
            <w:tcW w:w="2400" w:type="dxa"/>
            <w:vAlign w:val="bottom"/>
          </w:tcPr>
          <w:p>
            <w:pPr>
              <w:spacing w:after="0" w:line="136" w:lineRule="exact"/>
              <w:rPr>
                <w:sz w:val="20"/>
                <w:szCs w:val="20"/>
                <w:color w:val="auto"/>
              </w:rPr>
            </w:pPr>
            <w:r>
              <w:rPr>
                <w:rFonts w:ascii="Arial" w:cs="Arial" w:eastAsia="Arial" w:hAnsi="Arial"/>
                <w:sz w:val="13"/>
                <w:szCs w:val="13"/>
                <w:color w:val="auto"/>
              </w:rPr>
              <w:t>Balance at December 31, 2017</w:t>
            </w: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66,630,284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108,312</w:t>
            </w:r>
          </w:p>
        </w:tc>
        <w:tc>
          <w:tcPr>
            <w:tcW w:w="2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ind w:left="140"/>
              <w:spacing w:after="0" w:line="136" w:lineRule="exact"/>
              <w:rPr>
                <w:sz w:val="20"/>
                <w:szCs w:val="20"/>
                <w:color w:val="auto"/>
              </w:rPr>
            </w:pPr>
            <w:r>
              <w:rPr>
                <w:rFonts w:ascii="Arial" w:cs="Arial" w:eastAsia="Arial" w:hAnsi="Arial"/>
                <w:sz w:val="13"/>
                <w:szCs w:val="13"/>
                <w:color w:val="auto"/>
                <w:w w:val="82"/>
              </w:rPr>
              <w:t>5,690,083</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6,933</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47"/>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(104,556)</w:t>
            </w:r>
          </w:p>
        </w:tc>
        <w:tc>
          <w:tcPr>
            <w:tcW w:w="140" w:type="dxa"/>
            <w:vAlign w:val="bottom"/>
          </w:tcPr>
          <w:p>
            <w:pPr>
              <w:spacing w:after="0"/>
              <w:rPr>
                <w:sz w:val="11"/>
                <w:szCs w:val="11"/>
                <w:color w:val="auto"/>
              </w:rPr>
            </w:pPr>
          </w:p>
        </w:tc>
        <w:tc>
          <w:tcPr>
            <w:tcW w:w="1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99"/>
              </w:rPr>
              <w:t>(97,622)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Repurchase of convertible preferred</w:t>
            </w: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(1,202,196)</w:t>
            </w:r>
          </w:p>
        </w:tc>
        <w:tc>
          <w:tcPr>
            <w:tcW w:w="80" w:type="dxa"/>
            <w:vAlign w:val="bottom"/>
            <w:shd w:val="clear" w:color="auto" w:fill="CCEEFF"/>
          </w:tcPr>
          <w:p>
            <w:pPr>
              <w:spacing w:after="0"/>
              <w:rPr>
                <w:sz w:val="13"/>
                <w:szCs w:val="13"/>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(2,075)</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42"/>
        </w:trPr>
        <w:tc>
          <w:tcPr>
            <w:tcW w:w="2400" w:type="dxa"/>
            <w:vAlign w:val="bottom"/>
          </w:tcPr>
          <w:p>
            <w:pPr>
              <w:ind w:left="140"/>
              <w:spacing w:after="0" w:line="143" w:lineRule="exact"/>
              <w:rPr>
                <w:sz w:val="20"/>
                <w:szCs w:val="20"/>
                <w:color w:val="auto"/>
              </w:rPr>
            </w:pPr>
            <w:r>
              <w:rPr>
                <w:rFonts w:ascii="Arial" w:cs="Arial" w:eastAsia="Arial" w:hAnsi="Arial"/>
                <w:sz w:val="13"/>
                <w:szCs w:val="13"/>
                <w:color w:val="auto"/>
              </w:rPr>
              <w:t>Repurchase of common stock</w:t>
            </w:r>
          </w:p>
        </w:tc>
        <w:tc>
          <w:tcPr>
            <w:tcW w:w="8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(589,321)</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(884)</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(321)</w:t>
            </w:r>
          </w:p>
        </w:tc>
        <w:tc>
          <w:tcPr>
            <w:tcW w:w="120" w:type="dxa"/>
            <w:vAlign w:val="bottom"/>
          </w:tcPr>
          <w:p>
            <w:pPr>
              <w:spacing w:after="0"/>
              <w:rPr>
                <w:sz w:val="12"/>
                <w:szCs w:val="12"/>
                <w:color w:val="auto"/>
              </w:rPr>
            </w:pPr>
          </w:p>
        </w:tc>
        <w:tc>
          <w:tcPr>
            <w:tcW w:w="640" w:type="dxa"/>
            <w:vAlign w:val="bottom"/>
            <w:gridSpan w:val="2"/>
          </w:tcPr>
          <w:p>
            <w:pPr>
              <w:jc w:val="right"/>
              <w:ind w:right="62"/>
              <w:spacing w:after="0" w:line="143" w:lineRule="exact"/>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Non-cash contribution</w:t>
            </w:r>
          </w:p>
        </w:tc>
        <w:tc>
          <w:tcPr>
            <w:tcW w:w="8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414</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2"/>
              <w:spacing w:after="0" w:line="143" w:lineRule="exact"/>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142"/>
        </w:trPr>
        <w:tc>
          <w:tcPr>
            <w:tcW w:w="2400" w:type="dxa"/>
            <w:vAlign w:val="bottom"/>
          </w:tcPr>
          <w:p>
            <w:pPr>
              <w:ind w:left="140"/>
              <w:spacing w:after="0" w:line="143" w:lineRule="exact"/>
              <w:rPr>
                <w:sz w:val="20"/>
                <w:szCs w:val="20"/>
                <w:color w:val="auto"/>
              </w:rPr>
            </w:pPr>
            <w:r>
              <w:rPr>
                <w:rFonts w:ascii="Arial" w:cs="Arial" w:eastAsia="Arial" w:hAnsi="Arial"/>
                <w:sz w:val="13"/>
                <w:szCs w:val="13"/>
                <w:color w:val="auto"/>
              </w:rPr>
              <w:t>Stock option exercise</w:t>
            </w:r>
          </w:p>
        </w:tc>
        <w:tc>
          <w:tcPr>
            <w:tcW w:w="8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54,645</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65</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2"/>
              <w:spacing w:after="0" w:line="143"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Impact of adoption of 2016-09</w:t>
            </w:r>
          </w:p>
        </w:tc>
        <w:tc>
          <w:tcPr>
            <w:tcW w:w="8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213</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(213)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2"/>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400" w:type="dxa"/>
            <w:vAlign w:val="bottom"/>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8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2,997</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2"/>
              <w:spacing w:after="0" w:line="143" w:lineRule="exact"/>
              <w:rPr>
                <w:sz w:val="20"/>
                <w:szCs w:val="20"/>
                <w:color w:val="auto"/>
              </w:rPr>
            </w:pPr>
            <w:r>
              <w:rPr>
                <w:rFonts w:ascii="Arial" w:cs="Arial" w:eastAsia="Arial" w:hAnsi="Arial"/>
                <w:sz w:val="13"/>
                <w:szCs w:val="13"/>
                <w:color w:val="auto"/>
              </w:rPr>
              <w:t>2,997</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Net income</w:t>
            </w:r>
          </w:p>
        </w:tc>
        <w:tc>
          <w:tcPr>
            <w:tcW w:w="8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661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2"/>
              <w:spacing w:after="0" w:line="143" w:lineRule="exact"/>
              <w:rPr>
                <w:sz w:val="20"/>
                <w:szCs w:val="20"/>
                <w:color w:val="auto"/>
              </w:rPr>
            </w:pPr>
            <w:r>
              <w:rPr>
                <w:rFonts w:ascii="Arial" w:cs="Arial" w:eastAsia="Arial" w:hAnsi="Arial"/>
                <w:sz w:val="13"/>
                <w:szCs w:val="13"/>
                <w:color w:val="auto"/>
              </w:rPr>
              <w:t>661</w:t>
            </w:r>
          </w:p>
        </w:tc>
        <w:tc>
          <w:tcPr>
            <w:tcW w:w="0" w:type="dxa"/>
            <w:vAlign w:val="bottom"/>
          </w:tcPr>
          <w:p>
            <w:pPr>
              <w:spacing w:after="0"/>
              <w:rPr>
                <w:sz w:val="1"/>
                <w:szCs w:val="1"/>
                <w:color w:val="auto"/>
              </w:rPr>
            </w:pPr>
          </w:p>
        </w:tc>
      </w:tr>
      <w:tr>
        <w:trPr>
          <w:trHeight w:val="135"/>
        </w:trPr>
        <w:tc>
          <w:tcPr>
            <w:tcW w:w="2400" w:type="dxa"/>
            <w:vAlign w:val="bottom"/>
          </w:tcPr>
          <w:p>
            <w:pPr>
              <w:spacing w:after="0" w:line="136" w:lineRule="exact"/>
              <w:rPr>
                <w:sz w:val="20"/>
                <w:szCs w:val="20"/>
                <w:color w:val="auto"/>
              </w:rPr>
            </w:pPr>
            <w:r>
              <w:rPr>
                <w:rFonts w:ascii="Arial" w:cs="Arial" w:eastAsia="Arial" w:hAnsi="Arial"/>
                <w:sz w:val="13"/>
                <w:szCs w:val="13"/>
                <w:color w:val="auto"/>
              </w:rPr>
              <w:t>Balance at December 31, 2018</w:t>
            </w: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65,428,088</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106,237</w:t>
            </w:r>
          </w:p>
        </w:tc>
        <w:tc>
          <w:tcPr>
            <w:tcW w:w="2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bottom w:val="single" w:sz="8" w:color="auto"/>
            </w:tcBorders>
          </w:tcPr>
          <w:p>
            <w:pPr>
              <w:ind w:left="140"/>
              <w:spacing w:after="0" w:line="136" w:lineRule="exact"/>
              <w:rPr>
                <w:sz w:val="20"/>
                <w:szCs w:val="20"/>
                <w:color w:val="auto"/>
              </w:rPr>
            </w:pPr>
            <w:r>
              <w:rPr>
                <w:rFonts w:ascii="Arial" w:cs="Arial" w:eastAsia="Arial" w:hAnsi="Arial"/>
                <w:sz w:val="13"/>
                <w:szCs w:val="13"/>
                <w:color w:val="auto"/>
                <w:w w:val="82"/>
              </w:rPr>
              <w:t>5,155,407</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(884)</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10,622</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(104,854)</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(95,115</w:t>
            </w:r>
          </w:p>
        </w:tc>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Convertible</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tcBorders>
              <w:right w:val="single" w:sz="8" w:color="auto"/>
            </w:tcBorders>
            <w:gridSpan w:val="6"/>
            <w:vMerge w:val="restart"/>
          </w:tcPr>
          <w:p>
            <w:pPr>
              <w:jc w:val="right"/>
              <w:ind w:right="42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7"/>
                <w:szCs w:val="7"/>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right w:val="single" w:sz="8" w:color="auto"/>
            </w:tcBorders>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ind w:left="60"/>
              <w:spacing w:after="0" w:line="143" w:lineRule="exact"/>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5"/>
                <w:szCs w:val="5"/>
                <w:color w:val="auto"/>
              </w:rPr>
            </w:pPr>
          </w:p>
        </w:tc>
        <w:tc>
          <w:tcPr>
            <w:tcW w:w="720" w:type="dxa"/>
            <w:vAlign w:val="bottom"/>
            <w:gridSpan w:val="2"/>
            <w:vMerge w:val="restart"/>
          </w:tcPr>
          <w:p>
            <w:pPr>
              <w:jc w:val="center"/>
              <w:ind w:right="220"/>
              <w:spacing w:after="0" w:line="143" w:lineRule="exact"/>
              <w:rPr>
                <w:sz w:val="20"/>
                <w:szCs w:val="20"/>
                <w:color w:val="auto"/>
              </w:rPr>
            </w:pPr>
            <w:r>
              <w:rPr>
                <w:rFonts w:ascii="Arial" w:cs="Arial" w:eastAsia="Arial" w:hAnsi="Arial"/>
                <w:sz w:val="13"/>
                <w:szCs w:val="13"/>
                <w:b w:val="1"/>
                <w:bCs w:val="1"/>
                <w:color w:val="auto"/>
                <w:w w:val="89"/>
              </w:rPr>
              <w:t>Paid in</w:t>
            </w:r>
          </w:p>
        </w:tc>
        <w:tc>
          <w:tcPr>
            <w:tcW w:w="960" w:type="dxa"/>
            <w:vAlign w:val="bottom"/>
            <w:gridSpan w:val="3"/>
            <w:vMerge w:val="restart"/>
          </w:tcPr>
          <w:p>
            <w:pPr>
              <w:jc w:val="right"/>
              <w:ind w:right="180"/>
              <w:spacing w:after="0" w:line="143" w:lineRule="exact"/>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w w:val="91"/>
              </w:rPr>
              <w:t>For the six months ended June 30, 2018 (unaudited)</w:t>
            </w:r>
          </w:p>
        </w:tc>
        <w:tc>
          <w:tcPr>
            <w:tcW w:w="8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60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8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Balance at December 31, 2017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66,630,284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108,312</w:t>
            </w:r>
          </w:p>
        </w:tc>
        <w:tc>
          <w:tcPr>
            <w:tcW w:w="16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5,690,083</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55"/>
              <w:spacing w:after="0" w:line="136" w:lineRule="exact"/>
              <w:rPr>
                <w:sz w:val="20"/>
                <w:szCs w:val="20"/>
                <w:color w:val="auto"/>
              </w:rPr>
            </w:pPr>
            <w:r>
              <w:rPr>
                <w:rFonts w:ascii="Arial" w:cs="Arial" w:eastAsia="Arial" w:hAnsi="Arial"/>
                <w:sz w:val="13"/>
                <w:szCs w:val="13"/>
                <w:color w:val="auto"/>
                <w:w w:val="82"/>
              </w:rPr>
              <w:t>$</w:t>
            </w:r>
          </w:p>
        </w:tc>
        <w:tc>
          <w:tcPr>
            <w:tcW w:w="2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ind w:left="38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6,933</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(104,556)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2"/>
              <w:spacing w:after="0" w:line="136" w:lineRule="exact"/>
              <w:rPr>
                <w:sz w:val="20"/>
                <w:szCs w:val="20"/>
                <w:color w:val="auto"/>
              </w:rPr>
            </w:pPr>
            <w:r>
              <w:rPr>
                <w:rFonts w:ascii="Arial" w:cs="Arial" w:eastAsia="Arial" w:hAnsi="Arial"/>
                <w:sz w:val="13"/>
                <w:szCs w:val="13"/>
                <w:color w:val="auto"/>
              </w:rPr>
              <w:t>(97,622)</w:t>
            </w:r>
          </w:p>
        </w:tc>
        <w:tc>
          <w:tcPr>
            <w:tcW w:w="0" w:type="dxa"/>
            <w:vAlign w:val="bottom"/>
          </w:tcPr>
          <w:p>
            <w:pPr>
              <w:spacing w:after="0"/>
              <w:rPr>
                <w:sz w:val="1"/>
                <w:szCs w:val="1"/>
                <w:color w:val="auto"/>
              </w:rPr>
            </w:pPr>
          </w:p>
        </w:tc>
      </w:tr>
      <w:tr>
        <w:trPr>
          <w:trHeight w:val="142"/>
        </w:trPr>
        <w:tc>
          <w:tcPr>
            <w:tcW w:w="2960" w:type="dxa"/>
            <w:vAlign w:val="bottom"/>
            <w:gridSpan w:val="2"/>
          </w:tcPr>
          <w:p>
            <w:pPr>
              <w:ind w:left="140"/>
              <w:spacing w:after="0" w:line="143" w:lineRule="exact"/>
              <w:rPr>
                <w:sz w:val="20"/>
                <w:szCs w:val="20"/>
                <w:color w:val="auto"/>
              </w:rPr>
            </w:pPr>
            <w:r>
              <w:rPr>
                <w:rFonts w:ascii="Arial" w:cs="Arial" w:eastAsia="Arial" w:hAnsi="Arial"/>
                <w:sz w:val="13"/>
                <w:szCs w:val="13"/>
                <w:color w:val="auto"/>
              </w:rPr>
              <w:t>Repurchase of Preferred Stock</w:t>
            </w:r>
          </w:p>
        </w:tc>
        <w:tc>
          <w:tcPr>
            <w:tcW w:w="80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(1,202,196)</w:t>
            </w:r>
          </w:p>
        </w:tc>
        <w:tc>
          <w:tcPr>
            <w:tcW w:w="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rPr>
              <w:t>(2,075)</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2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8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(425)</w:t>
            </w:r>
          </w:p>
        </w:tc>
        <w:tc>
          <w:tcPr>
            <w:tcW w:w="100" w:type="dxa"/>
            <w:vAlign w:val="bottom"/>
          </w:tcPr>
          <w:p>
            <w:pPr>
              <w:spacing w:after="0"/>
              <w:rPr>
                <w:sz w:val="12"/>
                <w:szCs w:val="12"/>
                <w:color w:val="auto"/>
              </w:rPr>
            </w:pPr>
          </w:p>
        </w:tc>
        <w:tc>
          <w:tcPr>
            <w:tcW w:w="600" w:type="dxa"/>
            <w:vAlign w:val="bottom"/>
            <w:gridSpan w:val="2"/>
          </w:tcPr>
          <w:p>
            <w:pPr>
              <w:jc w:val="right"/>
              <w:ind w:right="42"/>
              <w:spacing w:after="0" w:line="143" w:lineRule="exact"/>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42"/>
        </w:trPr>
        <w:tc>
          <w:tcPr>
            <w:tcW w:w="296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3"/>
                <w:szCs w:val="13"/>
                <w:color w:val="auto"/>
              </w:rPr>
              <w:t>Non-cash contribution</w:t>
            </w:r>
          </w:p>
        </w:tc>
        <w:tc>
          <w:tcPr>
            <w:tcW w:w="80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414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2"/>
              <w:spacing w:after="0" w:line="143" w:lineRule="exact"/>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142"/>
        </w:trPr>
        <w:tc>
          <w:tcPr>
            <w:tcW w:w="2960" w:type="dxa"/>
            <w:vAlign w:val="bottom"/>
            <w:gridSpan w:val="2"/>
          </w:tcPr>
          <w:p>
            <w:pPr>
              <w:ind w:left="140"/>
              <w:spacing w:after="0" w:line="143" w:lineRule="exact"/>
              <w:rPr>
                <w:sz w:val="20"/>
                <w:szCs w:val="20"/>
                <w:color w:val="auto"/>
              </w:rPr>
            </w:pPr>
            <w:r>
              <w:rPr>
                <w:rFonts w:ascii="Arial" w:cs="Arial" w:eastAsia="Arial" w:hAnsi="Arial"/>
                <w:sz w:val="13"/>
                <w:szCs w:val="13"/>
                <w:color w:val="auto"/>
              </w:rPr>
              <w:t>Stock option exercise</w:t>
            </w:r>
          </w:p>
        </w:tc>
        <w:tc>
          <w:tcPr>
            <w:tcW w:w="800" w:type="dxa"/>
            <w:vAlign w:val="bottom"/>
            <w:gridSpan w:val="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4,812</w:t>
            </w:r>
          </w:p>
        </w:tc>
        <w:tc>
          <w:tcPr>
            <w:tcW w:w="400" w:type="dxa"/>
            <w:vAlign w:val="bottom"/>
          </w:tcPr>
          <w:p>
            <w:pPr>
              <w:spacing w:after="0"/>
              <w:rPr>
                <w:sz w:val="12"/>
                <w:szCs w:val="12"/>
                <w:color w:val="auto"/>
              </w:rPr>
            </w:pPr>
          </w:p>
        </w:tc>
        <w:tc>
          <w:tcPr>
            <w:tcW w:w="2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8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82"/>
              <w:spacing w:after="0" w:line="143"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2"/>
        </w:trPr>
        <w:tc>
          <w:tcPr>
            <w:tcW w:w="296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3"/>
                <w:szCs w:val="13"/>
                <w:color w:val="auto"/>
              </w:rPr>
              <w:t>Impact of adoption of 2016-09</w:t>
            </w:r>
          </w:p>
        </w:tc>
        <w:tc>
          <w:tcPr>
            <w:tcW w:w="80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213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2"/>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960" w:type="dxa"/>
            <w:vAlign w:val="bottom"/>
            <w:gridSpan w:val="2"/>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800" w:type="dxa"/>
            <w:vAlign w:val="bottom"/>
            <w:gridSpan w:val="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28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8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1,508</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82"/>
              <w:spacing w:after="0" w:line="143" w:lineRule="exact"/>
              <w:rPr>
                <w:sz w:val="20"/>
                <w:szCs w:val="20"/>
                <w:color w:val="auto"/>
              </w:rPr>
            </w:pPr>
            <w:r>
              <w:rPr>
                <w:rFonts w:ascii="Arial" w:cs="Arial" w:eastAsia="Arial" w:hAnsi="Arial"/>
                <w:sz w:val="13"/>
                <w:szCs w:val="13"/>
                <w:color w:val="auto"/>
              </w:rPr>
              <w:t>1,508</w:t>
            </w:r>
          </w:p>
        </w:tc>
        <w:tc>
          <w:tcPr>
            <w:tcW w:w="0" w:type="dxa"/>
            <w:vAlign w:val="bottom"/>
          </w:tcPr>
          <w:p>
            <w:pPr>
              <w:spacing w:after="0"/>
              <w:rPr>
                <w:sz w:val="1"/>
                <w:szCs w:val="1"/>
                <w:color w:val="auto"/>
              </w:rPr>
            </w:pPr>
          </w:p>
        </w:tc>
      </w:tr>
      <w:tr>
        <w:trPr>
          <w:trHeight w:val="142"/>
        </w:trPr>
        <w:tc>
          <w:tcPr>
            <w:tcW w:w="296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3"/>
                <w:szCs w:val="13"/>
                <w:color w:val="auto"/>
              </w:rPr>
              <w:t>Net income</w:t>
            </w:r>
          </w:p>
        </w:tc>
        <w:tc>
          <w:tcPr>
            <w:tcW w:w="80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8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3,322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2"/>
              <w:spacing w:after="0" w:line="143" w:lineRule="exact"/>
              <w:rPr>
                <w:sz w:val="20"/>
                <w:szCs w:val="20"/>
                <w:color w:val="auto"/>
              </w:rPr>
            </w:pPr>
            <w:r>
              <w:rPr>
                <w:rFonts w:ascii="Arial" w:cs="Arial" w:eastAsia="Arial" w:hAnsi="Arial"/>
                <w:sz w:val="13"/>
                <w:szCs w:val="13"/>
                <w:color w:val="auto"/>
              </w:rPr>
              <w:t>3,322</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6" w:lineRule="exact"/>
              <w:rPr>
                <w:sz w:val="20"/>
                <w:szCs w:val="20"/>
                <w:color w:val="auto"/>
              </w:rPr>
            </w:pPr>
            <w:r>
              <w:rPr>
                <w:rFonts w:ascii="Arial" w:cs="Arial" w:eastAsia="Arial" w:hAnsi="Arial"/>
                <w:sz w:val="13"/>
                <w:szCs w:val="13"/>
                <w:color w:val="auto"/>
              </w:rPr>
              <w:t>Balance at June 30, 2018</w:t>
            </w: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65,428,088</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106,237</w:t>
            </w:r>
          </w:p>
        </w:tc>
        <w:tc>
          <w:tcPr>
            <w:tcW w:w="1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5,694,895</w:t>
            </w:r>
          </w:p>
        </w:tc>
        <w:tc>
          <w:tcPr>
            <w:tcW w:w="10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ind w:right="255"/>
              <w:spacing w:after="0" w:line="136"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ind w:left="380"/>
              <w:spacing w:after="0" w:line="136"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9,075</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(101,872)</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(92,795</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tcBorders>
              <w:right w:val="single" w:sz="8" w:color="auto"/>
            </w:tcBorders>
            <w:gridSpan w:val="5"/>
            <w:vMerge w:val="restart"/>
          </w:tcPr>
          <w:p>
            <w:pPr>
              <w:jc w:val="right"/>
              <w:ind w:right="42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Pr>
          <w:p>
            <w:pPr>
              <w:spacing w:after="0"/>
              <w:rPr>
                <w:sz w:val="7"/>
                <w:szCs w:val="7"/>
                <w:color w:val="auto"/>
              </w:rPr>
            </w:pPr>
          </w:p>
        </w:tc>
        <w:tc>
          <w:tcPr>
            <w:tcW w:w="1140" w:type="dxa"/>
            <w:vAlign w:val="bottom"/>
            <w:gridSpan w:val="3"/>
            <w:vMerge w:val="restart"/>
          </w:tcPr>
          <w:p>
            <w:pPr>
              <w:jc w:val="right"/>
              <w:ind w:right="6"/>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right w:val="single" w:sz="8" w:color="auto"/>
            </w:tcBorders>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3"/>
            <w:vMerge w:val="restart"/>
          </w:tcPr>
          <w:p>
            <w:pPr>
              <w:jc w:val="right"/>
              <w:ind w:right="180"/>
              <w:spacing w:after="0" w:line="143" w:lineRule="exact"/>
              <w:rPr>
                <w:sz w:val="20"/>
                <w:szCs w:val="20"/>
                <w:color w:val="auto"/>
              </w:rPr>
            </w:pPr>
            <w:r>
              <w:rPr>
                <w:rFonts w:ascii="Arial" w:cs="Arial" w:eastAsia="Arial" w:hAnsi="Arial"/>
                <w:sz w:val="13"/>
                <w:szCs w:val="13"/>
                <w:b w:val="1"/>
                <w:bCs w:val="1"/>
                <w:color w:val="auto"/>
                <w:w w:val="98"/>
              </w:rPr>
              <w:t>Treasury</w:t>
            </w:r>
          </w:p>
        </w:tc>
        <w:tc>
          <w:tcPr>
            <w:tcW w:w="100" w:type="dxa"/>
            <w:vAlign w:val="bottom"/>
          </w:tcPr>
          <w:p>
            <w:pPr>
              <w:spacing w:after="0"/>
              <w:rPr>
                <w:sz w:val="5"/>
                <w:szCs w:val="5"/>
                <w:color w:val="auto"/>
              </w:rPr>
            </w:pPr>
          </w:p>
        </w:tc>
        <w:tc>
          <w:tcPr>
            <w:tcW w:w="720" w:type="dxa"/>
            <w:vAlign w:val="bottom"/>
            <w:gridSpan w:val="2"/>
            <w:vMerge w:val="restart"/>
          </w:tcPr>
          <w:p>
            <w:pPr>
              <w:jc w:val="center"/>
              <w:ind w:right="220"/>
              <w:spacing w:after="0" w:line="143" w:lineRule="exact"/>
              <w:rPr>
                <w:sz w:val="20"/>
                <w:szCs w:val="20"/>
                <w:color w:val="auto"/>
              </w:rPr>
            </w:pPr>
            <w:r>
              <w:rPr>
                <w:rFonts w:ascii="Arial" w:cs="Arial" w:eastAsia="Arial" w:hAnsi="Arial"/>
                <w:sz w:val="13"/>
                <w:szCs w:val="13"/>
                <w:b w:val="1"/>
                <w:bCs w:val="1"/>
                <w:color w:val="auto"/>
                <w:w w:val="89"/>
              </w:rPr>
              <w:t>Paid in</w:t>
            </w:r>
          </w:p>
        </w:tc>
        <w:tc>
          <w:tcPr>
            <w:tcW w:w="960" w:type="dxa"/>
            <w:vAlign w:val="bottom"/>
            <w:gridSpan w:val="3"/>
            <w:vMerge w:val="restart"/>
          </w:tcPr>
          <w:p>
            <w:pPr>
              <w:jc w:val="right"/>
              <w:ind w:right="180"/>
              <w:spacing w:after="0" w:line="143" w:lineRule="exact"/>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w w:val="91"/>
              </w:rPr>
              <w:t>For the six months ended June 30, 2019 (unaudited)</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8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Balance at December 31, 2018</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65,428,088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106,237</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5,155,407</w:t>
            </w:r>
          </w:p>
        </w:tc>
        <w:tc>
          <w:tcPr>
            <w:tcW w:w="380" w:type="dxa"/>
            <w:vAlign w:val="bottom"/>
            <w:shd w:val="clear" w:color="auto" w:fill="CCEEFF"/>
          </w:tcPr>
          <w:p>
            <w:pPr>
              <w:jc w:val="right"/>
              <w:ind w:right="266"/>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10,622</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(104,854)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(95,115)</w:t>
            </w:r>
          </w:p>
        </w:tc>
        <w:tc>
          <w:tcPr>
            <w:tcW w:w="0" w:type="dxa"/>
            <w:vAlign w:val="bottom"/>
          </w:tcPr>
          <w:p>
            <w:pPr>
              <w:spacing w:after="0"/>
              <w:rPr>
                <w:sz w:val="1"/>
                <w:szCs w:val="1"/>
                <w:color w:val="auto"/>
              </w:rPr>
            </w:pPr>
          </w:p>
        </w:tc>
      </w:tr>
      <w:tr>
        <w:trPr>
          <w:trHeight w:val="142"/>
        </w:trPr>
        <w:tc>
          <w:tcPr>
            <w:tcW w:w="2960" w:type="dxa"/>
            <w:vAlign w:val="bottom"/>
            <w:gridSpan w:val="2"/>
          </w:tcPr>
          <w:p>
            <w:pPr>
              <w:ind w:left="140"/>
              <w:spacing w:after="0" w:line="143" w:lineRule="exact"/>
              <w:rPr>
                <w:sz w:val="20"/>
                <w:szCs w:val="20"/>
                <w:color w:val="auto"/>
              </w:rPr>
            </w:pPr>
            <w:r>
              <w:rPr>
                <w:rFonts w:ascii="Arial" w:cs="Arial" w:eastAsia="Arial" w:hAnsi="Arial"/>
                <w:sz w:val="13"/>
                <w:szCs w:val="13"/>
                <w:color w:val="auto"/>
              </w:rPr>
              <w:t>Stock option exercise</w:t>
            </w:r>
          </w:p>
        </w:tc>
        <w:tc>
          <w:tcPr>
            <w:tcW w:w="7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32,067</w:t>
            </w:r>
          </w:p>
        </w:tc>
        <w:tc>
          <w:tcPr>
            <w:tcW w:w="380" w:type="dxa"/>
            <w:vAlign w:val="bottom"/>
          </w:tcPr>
          <w:p>
            <w:pPr>
              <w:spacing w:after="0"/>
              <w:rPr>
                <w:sz w:val="12"/>
                <w:szCs w:val="12"/>
                <w:color w:val="auto"/>
              </w:rPr>
            </w:pPr>
          </w:p>
        </w:tc>
        <w:tc>
          <w:tcPr>
            <w:tcW w:w="2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31</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2"/>
        </w:trPr>
        <w:tc>
          <w:tcPr>
            <w:tcW w:w="296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7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1,529</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1,529</w:t>
            </w:r>
          </w:p>
        </w:tc>
        <w:tc>
          <w:tcPr>
            <w:tcW w:w="0" w:type="dxa"/>
            <w:vAlign w:val="bottom"/>
          </w:tcPr>
          <w:p>
            <w:pPr>
              <w:spacing w:after="0"/>
              <w:rPr>
                <w:sz w:val="1"/>
                <w:szCs w:val="1"/>
                <w:color w:val="auto"/>
              </w:rPr>
            </w:pPr>
          </w:p>
        </w:tc>
      </w:tr>
      <w:tr>
        <w:trPr>
          <w:trHeight w:val="142"/>
        </w:trPr>
        <w:tc>
          <w:tcPr>
            <w:tcW w:w="2960" w:type="dxa"/>
            <w:vAlign w:val="bottom"/>
            <w:gridSpan w:val="2"/>
          </w:tcPr>
          <w:p>
            <w:pPr>
              <w:ind w:left="140"/>
              <w:spacing w:after="0" w:line="143" w:lineRule="exact"/>
              <w:rPr>
                <w:sz w:val="20"/>
                <w:szCs w:val="20"/>
                <w:color w:val="auto"/>
              </w:rPr>
            </w:pPr>
            <w:r>
              <w:rPr>
                <w:rFonts w:ascii="Arial" w:cs="Arial" w:eastAsia="Arial" w:hAnsi="Arial"/>
                <w:sz w:val="13"/>
                <w:szCs w:val="13"/>
                <w:color w:val="auto"/>
              </w:rPr>
              <w:t>Net income</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2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4,041</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4,041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9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Balance at June 30, 2019</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65,428,088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106,237</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5,187,474</w:t>
            </w:r>
          </w:p>
        </w:tc>
        <w:tc>
          <w:tcPr>
            <w:tcW w:w="380" w:type="dxa"/>
            <w:vAlign w:val="bottom"/>
            <w:shd w:val="clear" w:color="auto" w:fill="CCEEFF"/>
          </w:tcPr>
          <w:p>
            <w:pPr>
              <w:jc w:val="right"/>
              <w:ind w:right="266"/>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12,182</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(100,813)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(89,514)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8"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(in thousands)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5"/>
          </w:tcPr>
          <w:p>
            <w:pPr>
              <w:jc w:val="right"/>
              <w:ind w:right="460"/>
              <w:spacing w:after="0" w:line="143" w:lineRule="exact"/>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800" w:type="dxa"/>
            <w:vAlign w:val="bottom"/>
            <w:gridSpan w:val="3"/>
          </w:tcPr>
          <w:p>
            <w:pPr>
              <w:jc w:val="center"/>
              <w:ind w:left="255"/>
              <w:spacing w:after="0" w:line="143" w:lineRule="exact"/>
              <w:rPr>
                <w:sz w:val="20"/>
                <w:szCs w:val="20"/>
                <w:color w:val="auto"/>
              </w:rPr>
            </w:pPr>
            <w:r>
              <w:rPr>
                <w:rFonts w:ascii="Arial" w:cs="Arial" w:eastAsia="Arial" w:hAnsi="Arial"/>
                <w:sz w:val="13"/>
                <w:szCs w:val="13"/>
                <w:b w:val="1"/>
                <w:bCs w:val="1"/>
                <w:color w:val="auto"/>
                <w:w w:val="90"/>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800" w:type="dxa"/>
            <w:vAlign w:val="bottom"/>
            <w:gridSpan w:val="3"/>
          </w:tcPr>
          <w:p>
            <w:pPr>
              <w:jc w:val="center"/>
              <w:ind w:left="235"/>
              <w:spacing w:after="0"/>
              <w:rPr>
                <w:sz w:val="20"/>
                <w:szCs w:val="20"/>
                <w:color w:val="auto"/>
              </w:rPr>
            </w:pPr>
            <w:r>
              <w:rPr>
                <w:rFonts w:ascii="Arial" w:cs="Arial" w:eastAsia="Arial" w:hAnsi="Arial"/>
                <w:sz w:val="13"/>
                <w:szCs w:val="13"/>
                <w:b w:val="1"/>
                <w:bCs w:val="1"/>
                <w:color w:val="auto"/>
                <w:w w:val="88"/>
              </w:rPr>
              <w:t>June 30,</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15"/>
              <w:spacing w:after="0" w:line="136" w:lineRule="exact"/>
              <w:rPr>
                <w:sz w:val="20"/>
                <w:szCs w:val="20"/>
                <w:color w:val="auto"/>
              </w:rPr>
            </w:pPr>
            <w:r>
              <w:rPr>
                <w:rFonts w:ascii="Arial" w:cs="Arial" w:eastAsia="Arial" w:hAnsi="Arial"/>
                <w:sz w:val="13"/>
                <w:szCs w:val="13"/>
                <w:b w:val="1"/>
                <w:bCs w:val="1"/>
                <w:color w:val="auto"/>
                <w:w w:val="96"/>
              </w:rPr>
              <w:t>2017</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5"/>
              <w:spacing w:after="0" w:line="136" w:lineRule="exact"/>
              <w:rPr>
                <w:sz w:val="20"/>
                <w:szCs w:val="20"/>
                <w:color w:val="auto"/>
              </w:rPr>
            </w:pPr>
            <w:r>
              <w:rPr>
                <w:rFonts w:ascii="Arial" w:cs="Arial" w:eastAsia="Arial" w:hAnsi="Arial"/>
                <w:sz w:val="13"/>
                <w:szCs w:val="13"/>
                <w:b w:val="1"/>
                <w:bCs w:val="1"/>
                <w:color w:val="auto"/>
                <w:w w:val="96"/>
              </w:rPr>
              <w:t>2018</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15"/>
              <w:spacing w:after="0" w:line="136"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15"/>
              <w:spacing w:after="0" w:line="136" w:lineRule="exact"/>
              <w:rPr>
                <w:sz w:val="20"/>
                <w:szCs w:val="20"/>
                <w:color w:val="auto"/>
              </w:rPr>
            </w:pPr>
            <w:r>
              <w:rPr>
                <w:rFonts w:ascii="Arial" w:cs="Arial" w:eastAsia="Arial" w:hAnsi="Arial"/>
                <w:sz w:val="13"/>
                <w:szCs w:val="13"/>
                <w:b w:val="1"/>
                <w:bCs w:val="1"/>
                <w:color w:val="auto"/>
                <w:w w:val="82"/>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5"/>
          </w:tcPr>
          <w:p>
            <w:pPr>
              <w:jc w:val="center"/>
              <w:ind w:right="280"/>
              <w:spacing w:after="0" w:line="136" w:lineRule="exact"/>
              <w:rPr>
                <w:sz w:val="20"/>
                <w:szCs w:val="20"/>
                <w:color w:val="auto"/>
              </w:rPr>
            </w:pPr>
            <w:r>
              <w:rPr>
                <w:rFonts w:ascii="Arial" w:cs="Arial" w:eastAsia="Arial" w:hAnsi="Arial"/>
                <w:sz w:val="13"/>
                <w:szCs w:val="13"/>
                <w:b w:val="1"/>
                <w:bCs w:val="1"/>
                <w:color w:val="auto"/>
                <w:w w:val="90"/>
              </w:rPr>
              <w:t>(unaudited)</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OPERATING ACTIVITIES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color w:val="auto"/>
              </w:rPr>
              <w:t>Net (loss) income</w:t>
            </w: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(12,452)</w:t>
            </w:r>
          </w:p>
        </w:tc>
        <w:tc>
          <w:tcPr>
            <w:tcW w:w="12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661</w:t>
            </w: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3,322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4,041</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Less: Income from discontinued operations, net of income tax</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(5,777)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(5,724)</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color w:val="auto"/>
              </w:rPr>
              <w:t>Adjustments to reconcile net (loss) income to net cash (used in) provided by operating activities: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Deferred tax benefit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(1,777)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(835)</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42"/>
        </w:trPr>
        <w:tc>
          <w:tcPr>
            <w:tcW w:w="6140" w:type="dxa"/>
            <w:vAlign w:val="bottom"/>
          </w:tcPr>
          <w:p>
            <w:pPr>
              <w:ind w:left="140"/>
              <w:spacing w:after="0" w:line="143" w:lineRule="exact"/>
              <w:rPr>
                <w:sz w:val="20"/>
                <w:szCs w:val="20"/>
                <w:color w:val="auto"/>
              </w:rPr>
            </w:pPr>
            <w:r>
              <w:rPr>
                <w:rFonts w:ascii="Arial" w:cs="Arial" w:eastAsia="Arial" w:hAnsi="Arial"/>
                <w:sz w:val="13"/>
                <w:szCs w:val="13"/>
                <w:color w:val="auto"/>
              </w:rPr>
              <w:t>Loss on debt extinguishment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88</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88</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1,559</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1,883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921</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1,059</w:t>
            </w:r>
          </w:p>
        </w:tc>
        <w:tc>
          <w:tcPr>
            <w:tcW w:w="0" w:type="dxa"/>
            <w:vAlign w:val="bottom"/>
          </w:tcPr>
          <w:p>
            <w:pPr>
              <w:spacing w:after="0"/>
              <w:rPr>
                <w:sz w:val="1"/>
                <w:szCs w:val="1"/>
                <w:color w:val="auto"/>
              </w:rPr>
            </w:pPr>
          </w:p>
        </w:tc>
      </w:tr>
      <w:tr>
        <w:trPr>
          <w:trHeight w:val="142"/>
        </w:trPr>
        <w:tc>
          <w:tcPr>
            <w:tcW w:w="6140" w:type="dxa"/>
            <w:vAlign w:val="bottom"/>
          </w:tcPr>
          <w:p>
            <w:pPr>
              <w:ind w:left="140"/>
              <w:spacing w:after="0" w:line="143" w:lineRule="exact"/>
              <w:rPr>
                <w:sz w:val="20"/>
                <w:szCs w:val="20"/>
                <w:color w:val="auto"/>
              </w:rPr>
            </w:pPr>
            <w:r>
              <w:rPr>
                <w:rFonts w:ascii="Arial" w:cs="Arial" w:eastAsia="Arial" w:hAnsi="Arial"/>
                <w:sz w:val="13"/>
                <w:szCs w:val="13"/>
                <w:color w:val="auto"/>
              </w:rPr>
              <w:t>Stock-based compensation</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1,559</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2,997</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1,508</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1,529</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Bad debt expense</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824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498</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142"/>
        </w:trPr>
        <w:tc>
          <w:tcPr>
            <w:tcW w:w="6140" w:type="dxa"/>
            <w:vAlign w:val="bottom"/>
          </w:tcPr>
          <w:p>
            <w:pPr>
              <w:ind w:left="140"/>
              <w:spacing w:after="0" w:line="143" w:lineRule="exact"/>
              <w:rPr>
                <w:sz w:val="20"/>
                <w:szCs w:val="20"/>
                <w:color w:val="auto"/>
              </w:rPr>
            </w:pPr>
            <w:r>
              <w:rPr>
                <w:rFonts w:ascii="Arial" w:cs="Arial" w:eastAsia="Arial" w:hAnsi="Arial"/>
                <w:sz w:val="13"/>
                <w:szCs w:val="13"/>
                <w:color w:val="auto"/>
              </w:rPr>
              <w:t>Loss on disposal of property and equipment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rPr>
              <w:t>Accretion of debt discount and debt issuance costs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75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75</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140" w:type="dxa"/>
            <w:vAlign w:val="bottom"/>
          </w:tcPr>
          <w:p>
            <w:pPr>
              <w:ind w:left="140"/>
              <w:spacing w:after="0" w:line="143" w:lineRule="exact"/>
              <w:rPr>
                <w:sz w:val="20"/>
                <w:szCs w:val="20"/>
                <w:color w:val="auto"/>
              </w:rPr>
            </w:pPr>
            <w:r>
              <w:rPr>
                <w:rFonts w:ascii="Arial" w:cs="Arial" w:eastAsia="Arial" w:hAnsi="Arial"/>
                <w:sz w:val="13"/>
                <w:szCs w:val="13"/>
                <w:color w:val="auto"/>
              </w:rPr>
              <w:t>Change in fair value of warrant liabilities</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714</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2,944</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643</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1,193</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Changes in operating assets and liabilities: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Pr>
          <w:p>
            <w:pPr>
              <w:ind w:left="280"/>
              <w:spacing w:after="0" w:line="143" w:lineRule="exact"/>
              <w:rPr>
                <w:sz w:val="20"/>
                <w:szCs w:val="20"/>
                <w:color w:val="auto"/>
              </w:rPr>
            </w:pPr>
            <w:r>
              <w:rPr>
                <w:rFonts w:ascii="Arial" w:cs="Arial" w:eastAsia="Arial" w:hAnsi="Arial"/>
                <w:sz w:val="13"/>
                <w:szCs w:val="13"/>
                <w:color w:val="auto"/>
              </w:rPr>
              <w:t>Accounts receivable</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(2,044)</w:t>
            </w:r>
          </w:p>
        </w:tc>
        <w:tc>
          <w:tcPr>
            <w:tcW w:w="120" w:type="dxa"/>
            <w:vAlign w:val="bottom"/>
          </w:tcPr>
          <w:p>
            <w:pPr>
              <w:spacing w:after="0"/>
              <w:rPr>
                <w:sz w:val="12"/>
                <w:szCs w:val="12"/>
                <w:color w:val="auto"/>
              </w:rPr>
            </w:pPr>
          </w:p>
        </w:tc>
        <w:tc>
          <w:tcPr>
            <w:tcW w:w="5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w w:val="94"/>
              </w:rPr>
              <w:t>(12,776)</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(13,021)</w:t>
            </w: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w w:val="94"/>
              </w:rPr>
              <w:t>(22,018)</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ind w:left="280"/>
              <w:spacing w:after="0" w:line="143" w:lineRule="exact"/>
              <w:rPr>
                <w:sz w:val="20"/>
                <w:szCs w:val="20"/>
                <w:color w:val="auto"/>
              </w:rPr>
            </w:pPr>
            <w:r>
              <w:rPr>
                <w:rFonts w:ascii="Arial" w:cs="Arial" w:eastAsia="Arial" w:hAnsi="Arial"/>
                <w:sz w:val="13"/>
                <w:szCs w:val="13"/>
                <w:color w:val="auto"/>
              </w:rPr>
              <w:t>Prepaid expenses and current other assets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(135)</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42"/>
        </w:trPr>
        <w:tc>
          <w:tcPr>
            <w:tcW w:w="6140" w:type="dxa"/>
            <w:vAlign w:val="bottom"/>
          </w:tcPr>
          <w:p>
            <w:pPr>
              <w:ind w:left="280"/>
              <w:spacing w:after="0" w:line="143" w:lineRule="exact"/>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(279)</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100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89</w:t>
            </w: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ind w:left="280"/>
              <w:spacing w:after="0" w:line="143" w:lineRule="exact"/>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10,448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8,105</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7,544</w:t>
            </w:r>
          </w:p>
        </w:tc>
        <w:tc>
          <w:tcPr>
            <w:tcW w:w="0" w:type="dxa"/>
            <w:vAlign w:val="bottom"/>
          </w:tcPr>
          <w:p>
            <w:pPr>
              <w:spacing w:after="0"/>
              <w:rPr>
                <w:sz w:val="1"/>
                <w:szCs w:val="1"/>
                <w:color w:val="auto"/>
              </w:rPr>
            </w:pPr>
          </w:p>
        </w:tc>
      </w:tr>
      <w:tr>
        <w:trPr>
          <w:trHeight w:val="142"/>
        </w:trPr>
        <w:tc>
          <w:tcPr>
            <w:tcW w:w="6140" w:type="dxa"/>
            <w:vAlign w:val="bottom"/>
          </w:tcPr>
          <w:p>
            <w:pPr>
              <w:ind w:left="280"/>
              <w:spacing w:after="0" w:line="143" w:lineRule="exact"/>
              <w:rPr>
                <w:sz w:val="20"/>
                <w:szCs w:val="20"/>
                <w:color w:val="auto"/>
              </w:rPr>
            </w:pPr>
            <w:r>
              <w:rPr>
                <w:rFonts w:ascii="Arial" w:cs="Arial" w:eastAsia="Arial" w:hAnsi="Arial"/>
                <w:sz w:val="13"/>
                <w:szCs w:val="13"/>
                <w:color w:val="auto"/>
              </w:rPr>
              <w:t>Accrued expenses and other current liabilities</w:t>
            </w:r>
          </w:p>
        </w:tc>
        <w:tc>
          <w:tcPr>
            <w:tcW w:w="14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2,005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2,761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3,190</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4,099</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Net cash (used in) provided by continuing operations</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(9,419)</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2,272</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(1,276)</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(1,924)</w:t>
            </w: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color w:val="auto"/>
              </w:rPr>
              <w:t>Net cash used in discontinued operations</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(55)</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40" w:type="dxa"/>
            <w:vAlign w:val="bottom"/>
            <w:shd w:val="clear" w:color="auto" w:fill="CCEEFF"/>
          </w:tcPr>
          <w:p>
            <w:pPr>
              <w:ind w:left="280"/>
              <w:spacing w:after="0" w:line="136" w:lineRule="exact"/>
              <w:rPr>
                <w:sz w:val="20"/>
                <w:szCs w:val="20"/>
                <w:color w:val="auto"/>
              </w:rPr>
            </w:pPr>
            <w:r>
              <w:rPr>
                <w:rFonts w:ascii="Arial" w:cs="Arial" w:eastAsia="Arial" w:hAnsi="Arial"/>
                <w:sz w:val="13"/>
                <w:szCs w:val="13"/>
                <w:color w:val="auto"/>
              </w:rPr>
              <w:t>Net cash (used in) provided by operating activities</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(9,474)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2,272</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(1,276)</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(1,924)</w:t>
            </w: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b w:val="1"/>
                <w:bCs w:val="1"/>
                <w:color w:val="auto"/>
              </w:rPr>
              <w:t>INVESTING ACTIVITIES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Purchase of property and equipment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(612)</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(579)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(365)</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135"/>
        </w:trPr>
        <w:tc>
          <w:tcPr>
            <w:tcW w:w="6140" w:type="dxa"/>
            <w:vAlign w:val="bottom"/>
          </w:tcPr>
          <w:p>
            <w:pPr>
              <w:spacing w:after="0" w:line="136" w:lineRule="exact"/>
              <w:rPr>
                <w:sz w:val="20"/>
                <w:szCs w:val="20"/>
                <w:color w:val="auto"/>
              </w:rPr>
            </w:pPr>
            <w:r>
              <w:rPr>
                <w:rFonts w:ascii="Arial" w:cs="Arial" w:eastAsia="Arial" w:hAnsi="Arial"/>
                <w:sz w:val="13"/>
                <w:szCs w:val="13"/>
                <w:color w:val="auto"/>
              </w:rPr>
              <w:t>Net cash used in continuing operations</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(612)</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(579)</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(365)</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(258)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Net cash provided by discontinued operations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2,481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2,427</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35"/>
        </w:trPr>
        <w:tc>
          <w:tcPr>
            <w:tcW w:w="6140" w:type="dxa"/>
            <w:vAlign w:val="bottom"/>
          </w:tcPr>
          <w:p>
            <w:pPr>
              <w:ind w:left="280"/>
              <w:spacing w:after="0" w:line="136" w:lineRule="exact"/>
              <w:rPr>
                <w:sz w:val="20"/>
                <w:szCs w:val="20"/>
                <w:color w:val="auto"/>
              </w:rPr>
            </w:pPr>
            <w:r>
              <w:rPr>
                <w:rFonts w:ascii="Arial" w:cs="Arial" w:eastAsia="Arial" w:hAnsi="Arial"/>
                <w:sz w:val="13"/>
                <w:szCs w:val="13"/>
                <w:color w:val="auto"/>
              </w:rPr>
              <w:t>Net cash (used in) provided by investing activities</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(612)</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1,902</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2,062</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(58)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FINANCING ACTIVITIES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color w:val="auto"/>
              </w:rPr>
              <w:t>Payment of deferred initial public offering costs</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(748)</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Repayment of term loan</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(3,259)</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(5,351)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(5,351)</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color w:val="auto"/>
              </w:rPr>
              <w:t>Proceeds from revolving line of credit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64,421</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6,659</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94,757</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Repayments made against revolving line of credit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w w:val="94"/>
              </w:rPr>
              <w:t>(64,168)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(3,940)</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94"/>
              </w:rPr>
              <w:t>(91,887)</w:t>
            </w: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color w:val="auto"/>
              </w:rPr>
              <w:t>Repurchase of convertible preferred stock</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(2,500)</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(2,500)</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Repurchase of common stock</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(1,205)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color w:val="auto"/>
              </w:rPr>
              <w:t>Exercise of stock options</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65</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Proceeds from issuance of convertible preferred stock and warrants, net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15,000</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140" w:type="dxa"/>
            <w:vAlign w:val="bottom"/>
          </w:tcPr>
          <w:p>
            <w:pPr>
              <w:spacing w:after="0" w:line="136" w:lineRule="exact"/>
              <w:rPr>
                <w:sz w:val="20"/>
                <w:szCs w:val="20"/>
                <w:color w:val="auto"/>
              </w:rPr>
            </w:pPr>
            <w:r>
              <w:rPr>
                <w:rFonts w:ascii="Arial" w:cs="Arial" w:eastAsia="Arial" w:hAnsi="Arial"/>
                <w:sz w:val="13"/>
                <w:szCs w:val="13"/>
                <w:color w:val="auto"/>
              </w:rPr>
              <w:t>Net cash (used in) provided by continuing operations</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11,766</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(8,738)</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(5,124)</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2,153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Net cash provided by discontinued operations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140" w:type="dxa"/>
            <w:vAlign w:val="bottom"/>
          </w:tcPr>
          <w:p>
            <w:pPr>
              <w:ind w:left="280"/>
              <w:spacing w:after="0" w:line="136" w:lineRule="exact"/>
              <w:rPr>
                <w:sz w:val="20"/>
                <w:szCs w:val="20"/>
                <w:color w:val="auto"/>
              </w:rPr>
            </w:pPr>
            <w:r>
              <w:rPr>
                <w:rFonts w:ascii="Arial" w:cs="Arial" w:eastAsia="Arial" w:hAnsi="Arial"/>
                <w:sz w:val="13"/>
                <w:szCs w:val="13"/>
                <w:color w:val="auto"/>
              </w:rPr>
              <w:t>Net cash provided by (used in) financing activities</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11,766</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(8,738)</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(5,124)</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2,153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Net increase (decrease) in cash and cash equivalents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1,680</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(4,564)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(4,338)</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color w:val="auto"/>
              </w:rPr>
              <w:t>Cash and cash equivalents, beginning of year</w:t>
            </w:r>
          </w:p>
        </w:tc>
        <w:tc>
          <w:tcPr>
            <w:tcW w:w="14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3,011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4,691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4,691</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Cash and cash equivalents, end of year</w:t>
            </w:r>
          </w:p>
        </w:tc>
        <w:tc>
          <w:tcPr>
            <w:tcW w:w="1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4,691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353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Cash paid for interest</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542</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505</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432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color w:val="auto"/>
              </w:rPr>
              <w:t>Cash paid for income taxes</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line="143" w:lineRule="exact"/>
              <w:rPr>
                <w:sz w:val="20"/>
                <w:szCs w:val="20"/>
                <w:color w:val="auto"/>
              </w:rPr>
            </w:pPr>
            <w:r>
              <w:rPr>
                <w:rFonts w:ascii="Arial" w:cs="Arial" w:eastAsia="Arial" w:hAnsi="Arial"/>
                <w:sz w:val="13"/>
                <w:szCs w:val="13"/>
                <w:color w:val="auto"/>
              </w:rPr>
              <w:t>Non-cash settlement of liability</w:t>
            </w: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414</w:t>
            </w: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414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Non-cash liability forgiveness related to divestiture</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4,869</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4,869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6140" w:type="dxa"/>
            <w:vAlign w:val="bottom"/>
          </w:tcPr>
          <w:p>
            <w:pPr>
              <w:spacing w:after="0"/>
              <w:rPr>
                <w:sz w:val="20"/>
                <w:szCs w:val="20"/>
                <w:color w:val="auto"/>
              </w:rPr>
            </w:pPr>
            <w:r>
              <w:rPr>
                <w:rFonts w:ascii="Arial" w:cs="Arial" w:eastAsia="Arial" w:hAnsi="Arial"/>
                <w:sz w:val="13"/>
                <w:szCs w:val="13"/>
                <w:color w:val="auto"/>
              </w:rPr>
              <w:t>Non-cash deferred initial public initial offering costs in accounts payable and accrued liabilities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780" w:firstLine="3"/>
        <w:spacing w:after="0" w:line="619" w:lineRule="auto"/>
        <w:tabs>
          <w:tab w:leader="none" w:pos="168" w:val="left"/>
        </w:tabs>
        <w:numPr>
          <w:ilvl w:val="0"/>
          <w:numId w:val="97"/>
        </w:numPr>
        <w:rPr>
          <w:rFonts w:ascii="Arial" w:cs="Arial" w:eastAsia="Arial" w:hAnsi="Arial"/>
          <w:sz w:val="14"/>
          <w:szCs w:val="14"/>
          <w:b w:val="1"/>
          <w:bCs w:val="1"/>
          <w:color w:val="auto"/>
        </w:rPr>
      </w:pPr>
      <w:r>
        <w:rPr>
          <w:rFonts w:ascii="Arial" w:cs="Arial" w:eastAsia="Arial" w:hAnsi="Arial"/>
          <w:sz w:val="14"/>
          <w:szCs w:val="14"/>
          <w:b w:val="1"/>
          <w:bCs w:val="1"/>
          <w:color w:val="auto"/>
        </w:rPr>
        <w:t>Business and Basis of Presentation Description of Business</w:t>
      </w:r>
    </w:p>
    <w:p>
      <w:pPr>
        <w:spacing w:after="0" w:line="1" w:lineRule="exact"/>
        <w:rPr>
          <w:sz w:val="20"/>
          <w:szCs w:val="20"/>
          <w:color w:val="auto"/>
        </w:rPr>
      </w:pPr>
    </w:p>
    <w:p>
      <w:pPr>
        <w:jc w:val="both"/>
        <w:ind w:right="100" w:firstLine="336"/>
        <w:spacing w:after="0" w:line="282" w:lineRule="auto"/>
        <w:rPr>
          <w:sz w:val="20"/>
          <w:szCs w:val="20"/>
          <w:color w:val="auto"/>
        </w:rPr>
      </w:pPr>
      <w:r>
        <w:rPr>
          <w:rFonts w:ascii="Arial" w:cs="Arial" w:eastAsia="Arial" w:hAnsi="Arial"/>
          <w:sz w:val="16"/>
          <w:szCs w:val="16"/>
          <w:color w:val="auto"/>
        </w:rPr>
        <w:t>Progyny, Inc. (referred to as "Progyny" or the "Company") was incorporated in the state of Delaware on April 3, 2008, and maintains its corporate headquarters in New York, NY. Prior to its 2015 acquisition of Fertility Authority, LLC, the Company was exclusively a medical device company in the field of reproductive medicine, translating scientific discoveries related to early embryo development into clinical tools. The Company's product, the Early Embryo Viability Assessment Test ("Eeva"), was designed to assist clinicians and patients in assessing the likelihood of certain in vitro fertilization ("IVF") outcomes.</w:t>
      </w:r>
    </w:p>
    <w:p>
      <w:pPr>
        <w:spacing w:after="0" w:line="170" w:lineRule="exact"/>
        <w:rPr>
          <w:sz w:val="20"/>
          <w:szCs w:val="20"/>
          <w:color w:val="auto"/>
        </w:rPr>
      </w:pPr>
    </w:p>
    <w:p>
      <w:pPr>
        <w:ind w:right="280" w:firstLine="333"/>
        <w:spacing w:after="0" w:line="345" w:lineRule="auto"/>
        <w:rPr>
          <w:sz w:val="20"/>
          <w:szCs w:val="20"/>
          <w:color w:val="auto"/>
        </w:rPr>
      </w:pPr>
      <w:r>
        <w:rPr>
          <w:rFonts w:ascii="Arial" w:cs="Arial" w:eastAsia="Arial" w:hAnsi="Arial"/>
          <w:sz w:val="15"/>
          <w:szCs w:val="15"/>
          <w:color w:val="auto"/>
        </w:rPr>
        <w:t>With the acquisition of Fertility Authority, LLC, in March 2015, the Company established and operated as two segments; (i) medical device and (ii) the fertility benefits solution. In January 2018, the Company executed an agreement with a related party to sell the Eeva business, representing all of the medical device segment.</w:t>
      </w:r>
    </w:p>
    <w:p>
      <w:pPr>
        <w:spacing w:after="0" w:line="125" w:lineRule="exact"/>
        <w:rPr>
          <w:sz w:val="20"/>
          <w:szCs w:val="20"/>
          <w:color w:val="auto"/>
        </w:rPr>
      </w:pPr>
    </w:p>
    <w:p>
      <w:pPr>
        <w:jc w:val="both"/>
        <w:ind w:right="20" w:firstLine="336"/>
        <w:spacing w:after="0" w:line="302" w:lineRule="auto"/>
        <w:rPr>
          <w:sz w:val="20"/>
          <w:szCs w:val="20"/>
          <w:color w:val="auto"/>
        </w:rPr>
      </w:pPr>
      <w:r>
        <w:rPr>
          <w:rFonts w:ascii="Arial" w:cs="Arial" w:eastAsia="Arial" w:hAnsi="Arial"/>
          <w:sz w:val="15"/>
          <w:szCs w:val="15"/>
          <w:color w:val="auto"/>
        </w:rPr>
        <w:t>Subsequent to the sale of the Eeva business, Progyny is a provider of a fertility benefits solution.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56" w:lineRule="exact"/>
        <w:rPr>
          <w:sz w:val="20"/>
          <w:szCs w:val="20"/>
          <w:color w:val="auto"/>
        </w:rPr>
      </w:pPr>
    </w:p>
    <w:p>
      <w:pPr>
        <w:ind w:right="120" w:firstLine="333"/>
        <w:spacing w:after="0" w:line="259" w:lineRule="auto"/>
        <w:rPr>
          <w:sz w:val="20"/>
          <w:szCs w:val="20"/>
          <w:color w:val="auto"/>
        </w:rPr>
      </w:pPr>
      <w:r>
        <w:rPr>
          <w:rFonts w:ascii="Arial" w:cs="Arial" w:eastAsia="Arial" w:hAnsi="Arial"/>
          <w:sz w:val="17"/>
          <w:szCs w:val="17"/>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87" w:lineRule="exact"/>
        <w:rPr>
          <w:sz w:val="20"/>
          <w:szCs w:val="20"/>
          <w:color w:val="auto"/>
        </w:rPr>
      </w:pPr>
    </w:p>
    <w:p>
      <w:pPr>
        <w:ind w:right="240" w:firstLine="336"/>
        <w:spacing w:after="0" w:line="308" w:lineRule="auto"/>
        <w:rPr>
          <w:sz w:val="20"/>
          <w:szCs w:val="20"/>
          <w:color w:val="auto"/>
        </w:rPr>
      </w:pPr>
      <w:r>
        <w:rPr>
          <w:rFonts w:ascii="Arial" w:cs="Arial" w:eastAsia="Arial" w:hAnsi="Arial"/>
          <w:sz w:val="16"/>
          <w:szCs w:val="16"/>
          <w:color w:val="auto"/>
        </w:rPr>
        <w:t>On October 14, 2019, the shareholders of Progyny approved a one-for-4.5454 reverse stock split of its common and convertible preferred stock. Accordingly, the consolidated financial statements and notes retroactively reflect the capital structure of Progyny after giving effect to the reverse stock split.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22" w:lineRule="exact"/>
        <w:rPr>
          <w:sz w:val="20"/>
          <w:szCs w:val="20"/>
          <w:color w:val="auto"/>
        </w:rPr>
      </w:pPr>
    </w:p>
    <w:p>
      <w:pPr>
        <w:ind w:right="60" w:firstLine="333"/>
        <w:spacing w:after="0" w:line="265"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80" w:lineRule="exact"/>
        <w:rPr>
          <w:sz w:val="20"/>
          <w:szCs w:val="20"/>
          <w:color w:val="auto"/>
        </w:rPr>
      </w:pPr>
    </w:p>
    <w:p>
      <w:pPr>
        <w:ind w:firstLine="333"/>
        <w:spacing w:after="0" w:line="265" w:lineRule="auto"/>
        <w:rPr>
          <w:sz w:val="20"/>
          <w:szCs w:val="20"/>
          <w:color w:val="auto"/>
        </w:rPr>
      </w:pPr>
      <w:r>
        <w:rPr>
          <w:rFonts w:ascii="Arial" w:cs="Arial" w:eastAsia="Arial" w:hAnsi="Arial"/>
          <w:sz w:val="17"/>
          <w:szCs w:val="17"/>
          <w:color w:val="auto"/>
        </w:rPr>
        <w:t>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Basis of Presentation (Continued)</w:t>
      </w:r>
    </w:p>
    <w:p>
      <w:pPr>
        <w:spacing w:after="0" w:line="222"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color w:val="auto"/>
        </w:rPr>
        <w:t>Company's consolidated financial statements may not be comparable to companies that comply with the new or revised accounting pronouncements as of public company effective dates.</w:t>
      </w:r>
    </w:p>
    <w:p>
      <w:pPr>
        <w:spacing w:after="0" w:line="171" w:lineRule="exact"/>
        <w:rPr>
          <w:sz w:val="20"/>
          <w:szCs w:val="20"/>
          <w:color w:val="auto"/>
        </w:rPr>
      </w:pPr>
    </w:p>
    <w:p>
      <w:pPr>
        <w:ind w:right="160" w:firstLine="333"/>
        <w:spacing w:after="0" w:line="307" w:lineRule="auto"/>
        <w:rPr>
          <w:sz w:val="20"/>
          <w:szCs w:val="20"/>
          <w:color w:val="auto"/>
        </w:rPr>
      </w:pPr>
      <w:r>
        <w:rPr>
          <w:rFonts w:ascii="Arial" w:cs="Arial" w:eastAsia="Arial" w:hAnsi="Arial"/>
          <w:sz w:val="15"/>
          <w:szCs w:val="15"/>
          <w:color w:val="auto"/>
        </w:rPr>
        <w:t>The Company will remain an emerging growth company until the earliest of (i) the last day of the Company's first fiscal year (a) following the fifth anniversary of the completion of this offering, (b) in which the Company has total annual gross revenue of at least $1.07 billion, or (c) when the Company is deemed to be a large accelerated filer, which means the market value of the Company's common stock that is held by non-affiliates exceeds $700.0 million as of the prior June 30th and (ii) the date on which the Company has issued more than $1.0 billion in non-convertible debt securities during the prior three-year period.</w:t>
      </w:r>
    </w:p>
    <w:p>
      <w:pPr>
        <w:spacing w:after="0" w:line="148" w:lineRule="exact"/>
        <w:rPr>
          <w:sz w:val="20"/>
          <w:szCs w:val="20"/>
          <w:color w:val="auto"/>
        </w:rPr>
      </w:pPr>
    </w:p>
    <w:p>
      <w:pPr>
        <w:ind w:right="8100" w:firstLine="3"/>
        <w:spacing w:after="0" w:line="510" w:lineRule="auto"/>
        <w:tabs>
          <w:tab w:leader="none" w:pos="168"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spacing w:after="0" w:line="1" w:lineRule="exact"/>
        <w:rPr>
          <w:sz w:val="20"/>
          <w:szCs w:val="20"/>
          <w:color w:val="auto"/>
        </w:rPr>
      </w:pPr>
    </w:p>
    <w:p>
      <w:pPr>
        <w:ind w:right="100" w:firstLine="333"/>
        <w:spacing w:after="0" w:line="316" w:lineRule="auto"/>
        <w:rPr>
          <w:sz w:val="20"/>
          <w:szCs w:val="20"/>
          <w:color w:val="auto"/>
        </w:rPr>
      </w:pPr>
      <w:r>
        <w:rPr>
          <w:rFonts w:ascii="Arial" w:cs="Arial" w:eastAsia="Arial" w:hAnsi="Arial"/>
          <w:sz w:val="15"/>
          <w:szCs w:val="15"/>
          <w:color w:val="auto"/>
        </w:rPr>
        <w:t>The accompanying consolidated financial statements include those of the Company and its wholly owned subsidiary, Fertility Authority LLC. Effective June 2018, the Company legally dissolved the Fertility Authority LLC legal entity. All intercompany balances and transactions have been eliminated in consolidation. The consolidated financial statements and accompanying notes were prepared in accordance with accounting principles generally accepted in the United States ("GAAP").</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222" w:lineRule="exact"/>
        <w:rPr>
          <w:sz w:val="20"/>
          <w:szCs w:val="20"/>
          <w:color w:val="auto"/>
        </w:rPr>
      </w:pPr>
    </w:p>
    <w:p>
      <w:pPr>
        <w:ind w:firstLine="336"/>
        <w:spacing w:after="0" w:line="279"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Following the divestiture of Eeva, the Company operates and manages in one operating segment, providing fertility and pharmacy benefits solutions. The Company defines its CODM as its Board of Directors (the "Board of Directors"). All long-lived assets are located in the United States and all revenue is attributed to the United States. Since the Company operates in one operating segment, all required financial segment information can be found in the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22" w:lineRule="exact"/>
        <w:rPr>
          <w:sz w:val="20"/>
          <w:szCs w:val="20"/>
          <w:color w:val="auto"/>
        </w:rPr>
      </w:pPr>
    </w:p>
    <w:p>
      <w:pPr>
        <w:ind w:firstLine="333"/>
        <w:spacing w:after="0" w:line="277" w:lineRule="auto"/>
        <w:rPr>
          <w:sz w:val="20"/>
          <w:szCs w:val="20"/>
          <w:color w:val="auto"/>
        </w:rPr>
      </w:pPr>
      <w:r>
        <w:rPr>
          <w:rFonts w:ascii="Arial" w:cs="Arial" w:eastAsia="Arial" w:hAnsi="Arial"/>
          <w:sz w:val="16"/>
          <w:szCs w:val="16"/>
          <w:color w:val="auto"/>
        </w:rPr>
        <w:t>The preparation of financial statements in conformity with GAAP generally requires management to make estimates and assumptions that affect the reported amount of certain assets, liabilities, revenue, and expenses, and the related disclosure of contingent assets and liabilities. Specific accounts that require management estimates include accrued receivables, accrued claims payable, allowance for doubtful accounts, accrued rebates, convertible preferred stock warrant liabilities and stock-based compensation.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Interim Financial Information</w:t>
      </w:r>
    </w:p>
    <w:p>
      <w:pPr>
        <w:spacing w:after="0" w:line="222" w:lineRule="exact"/>
        <w:rPr>
          <w:sz w:val="20"/>
          <w:szCs w:val="20"/>
          <w:color w:val="auto"/>
        </w:rPr>
      </w:pPr>
    </w:p>
    <w:p>
      <w:pPr>
        <w:ind w:right="480" w:firstLine="333"/>
        <w:spacing w:after="0" w:line="308" w:lineRule="auto"/>
        <w:rPr>
          <w:sz w:val="20"/>
          <w:szCs w:val="20"/>
          <w:color w:val="auto"/>
        </w:rPr>
      </w:pPr>
      <w:r>
        <w:rPr>
          <w:rFonts w:ascii="Arial" w:cs="Arial" w:eastAsia="Arial" w:hAnsi="Arial"/>
          <w:sz w:val="16"/>
          <w:szCs w:val="16"/>
          <w:color w:val="auto"/>
        </w:rPr>
        <w:t>The accompanying balance sheet as of June 30, 2019, the statements of operations and comprehensive income (loss), statements of cash flows and changes in convertible preferred stock and stockholders' deficit for the six months ended June 30, 2018 and 2019 are unaudited. In the opinion 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management, the unaudited data reflects all adjustments, which include only normal recurring adjustments, necessary for the fair statement of the Company's financial position as of June 30, 2019 and the results of its operations and comprehensive income (loss) and its cash flows for the six months ended June 30, 2018 and 2019. The financial data and other information disclosed in these notes related to the six months ended June 30, 2018 and 2019 are also unaudited. The results for the six months ended June 30, 2019 are not necessarily indicative of results to be expected for the year ending December 31, 2019, any other interim periods or any future year period.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Financial Information</w:t>
      </w:r>
    </w:p>
    <w:p>
      <w:pPr>
        <w:spacing w:after="0" w:line="222" w:lineRule="exact"/>
        <w:rPr>
          <w:sz w:val="20"/>
          <w:szCs w:val="20"/>
          <w:color w:val="auto"/>
        </w:rPr>
      </w:pPr>
    </w:p>
    <w:p>
      <w:pPr>
        <w:ind w:right="200" w:firstLine="336"/>
        <w:spacing w:after="0" w:line="276" w:lineRule="auto"/>
        <w:rPr>
          <w:sz w:val="20"/>
          <w:szCs w:val="20"/>
          <w:color w:val="auto"/>
        </w:rPr>
      </w:pPr>
      <w:r>
        <w:rPr>
          <w:rFonts w:ascii="Arial" w:cs="Arial" w:eastAsia="Arial" w:hAnsi="Arial"/>
          <w:sz w:val="17"/>
          <w:szCs w:val="17"/>
          <w:color w:val="auto"/>
        </w:rPr>
        <w:t>Upon completion of the Company's initial public offering ("IPO"), all outstanding shares of convertible preferred stock convert into shares of common stock on a one-for-one basis. The unaudited pro forma balance sheet information also gives effect to such conversion.</w:t>
      </w:r>
    </w:p>
    <w:p>
      <w:pPr>
        <w:spacing w:after="0" w:line="171" w:lineRule="exact"/>
        <w:rPr>
          <w:sz w:val="20"/>
          <w:szCs w:val="20"/>
          <w:color w:val="auto"/>
        </w:rPr>
      </w:pPr>
    </w:p>
    <w:p>
      <w:pPr>
        <w:jc w:val="both"/>
        <w:ind w:firstLine="333"/>
        <w:spacing w:after="0" w:line="265" w:lineRule="auto"/>
        <w:rPr>
          <w:sz w:val="20"/>
          <w:szCs w:val="20"/>
          <w:color w:val="auto"/>
        </w:rPr>
      </w:pPr>
      <w:r>
        <w:rPr>
          <w:rFonts w:ascii="Arial" w:cs="Arial" w:eastAsia="Arial" w:hAnsi="Arial"/>
          <w:sz w:val="17"/>
          <w:szCs w:val="17"/>
          <w:color w:val="auto"/>
        </w:rPr>
        <w:t>The unaudited pro forma basic and diluted net loss per share for the year ended December 31, 2018 and six months ended June 30, 2019 has been computed to give effect to an adjustment to the denominator in the pro forma basic and diluted net loss per share calculation for the automatic conversion of the convertible preferred stock into shares of common stock as of the beginning of the period or the date of issuance.</w:t>
      </w:r>
    </w:p>
    <w:p>
      <w:pPr>
        <w:spacing w:after="0" w:line="180" w:lineRule="exact"/>
        <w:rPr>
          <w:sz w:val="20"/>
          <w:szCs w:val="20"/>
          <w:color w:val="auto"/>
        </w:rPr>
      </w:pPr>
    </w:p>
    <w:p>
      <w:pPr>
        <w:ind w:right="20" w:firstLine="333"/>
        <w:spacing w:after="0" w:line="265" w:lineRule="auto"/>
        <w:rPr>
          <w:sz w:val="20"/>
          <w:szCs w:val="20"/>
          <w:color w:val="auto"/>
        </w:rPr>
      </w:pPr>
      <w:r>
        <w:rPr>
          <w:rFonts w:ascii="Arial" w:cs="Arial" w:eastAsia="Arial" w:hAnsi="Arial"/>
          <w:sz w:val="17"/>
          <w:szCs w:val="17"/>
          <w:color w:val="auto"/>
        </w:rPr>
        <w:t>The Company believes that the unaudited pro forma basic and diluted net loss per share disclosure provides material information to investors because the conversion of the convertible preferred stock is expected to occur upon the closing of the IPO. Therefore, the disclosure of the pro forma information provides a measure of net (loss) income per share that is comparable to what will be reported as a public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22" w:lineRule="exact"/>
        <w:rPr>
          <w:sz w:val="20"/>
          <w:szCs w:val="20"/>
          <w:color w:val="auto"/>
        </w:rPr>
      </w:pPr>
    </w:p>
    <w:p>
      <w:pPr>
        <w:ind w:right="140" w:firstLine="336"/>
        <w:spacing w:after="0" w:line="345" w:lineRule="auto"/>
        <w:rPr>
          <w:sz w:val="20"/>
          <w:szCs w:val="20"/>
          <w:color w:val="auto"/>
        </w:rPr>
      </w:pPr>
      <w:r>
        <w:rPr>
          <w:rFonts w:ascii="Arial" w:cs="Arial" w:eastAsia="Arial" w:hAnsi="Arial"/>
          <w:sz w:val="15"/>
          <w:szCs w:val="15"/>
          <w:color w:val="auto"/>
        </w:rPr>
        <w:t>Cash and cash equivalents are stated at fair value. The Company considers all highly liquid investments purchased with original maturities of six months or less at the time of purchase to be cash equivalents. Cash and cash equivalents consist of cash and bank deposits as of December 31, 2017 and 2018 and June 30, 2019.</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22" w:lineRule="exact"/>
        <w:rPr>
          <w:sz w:val="20"/>
          <w:szCs w:val="20"/>
          <w:color w:val="auto"/>
        </w:rPr>
      </w:pPr>
    </w:p>
    <w:p>
      <w:pPr>
        <w:ind w:right="120" w:firstLine="336"/>
        <w:spacing w:after="0" w:line="276" w:lineRule="auto"/>
        <w:rPr>
          <w:sz w:val="20"/>
          <w:szCs w:val="20"/>
          <w:color w:val="auto"/>
        </w:rPr>
      </w:pPr>
      <w:r>
        <w:rPr>
          <w:rFonts w:ascii="Arial" w:cs="Arial" w:eastAsia="Arial" w:hAnsi="Arial"/>
          <w:sz w:val="17"/>
          <w:szCs w:val="17"/>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applies the following five-step model to recognize revenue from contracts with clients:</w:t>
      </w:r>
    </w:p>
    <w:p>
      <w:pPr>
        <w:spacing w:after="0" w:line="231" w:lineRule="exact"/>
        <w:rPr>
          <w:sz w:val="20"/>
          <w:szCs w:val="20"/>
          <w:color w:val="auto"/>
        </w:rPr>
      </w:pPr>
    </w:p>
    <w:p>
      <w:pPr>
        <w:ind w:left="1040" w:hanging="519"/>
        <w:spacing w:after="0"/>
        <w:tabs>
          <w:tab w:leader="none" w:pos="10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client</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Recognition of revenue when, or as, a performance obligation is satisfied</w:t>
      </w:r>
    </w:p>
    <w:p>
      <w:pPr>
        <w:spacing w:after="0" w:line="218" w:lineRule="exact"/>
        <w:rPr>
          <w:sz w:val="20"/>
          <w:szCs w:val="20"/>
          <w:color w:val="auto"/>
        </w:rPr>
      </w:pPr>
    </w:p>
    <w:p>
      <w:pPr>
        <w:ind w:right="260" w:firstLine="336"/>
        <w:spacing w:after="0" w:line="276" w:lineRule="auto"/>
        <w:rPr>
          <w:sz w:val="20"/>
          <w:szCs w:val="20"/>
          <w:color w:val="auto"/>
        </w:rPr>
      </w:pPr>
      <w:r>
        <w:rPr>
          <w:rFonts w:ascii="Arial" w:cs="Arial" w:eastAsia="Arial" w:hAnsi="Arial"/>
          <w:sz w:val="17"/>
          <w:szCs w:val="17"/>
          <w:color w:val="auto"/>
        </w:rPr>
        <w:t>Progyny's contracts typically have a stated term of three years and include contractual termination options after the first year, allowing the client to terminate the contract with 30 to 90 days' notice.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Fertility Benefits Revenue</w:t>
      </w:r>
    </w:p>
    <w:p>
      <w:pPr>
        <w:spacing w:after="0" w:line="218" w:lineRule="exact"/>
        <w:rPr>
          <w:sz w:val="20"/>
          <w:szCs w:val="20"/>
          <w:color w:val="auto"/>
        </w:rPr>
      </w:pPr>
    </w:p>
    <w:p>
      <w:pPr>
        <w:ind w:firstLine="336"/>
        <w:spacing w:after="0" w:line="275" w:lineRule="auto"/>
        <w:rPr>
          <w:sz w:val="20"/>
          <w:szCs w:val="20"/>
          <w:color w:val="auto"/>
        </w:rPr>
      </w:pPr>
      <w:r>
        <w:rPr>
          <w:rFonts w:ascii="Arial" w:cs="Arial" w:eastAsia="Arial" w:hAnsi="Arial"/>
          <w:sz w:val="16"/>
          <w:szCs w:val="16"/>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Patient Care Advocates ("PCAs").</w:t>
      </w:r>
    </w:p>
    <w:p>
      <w:pPr>
        <w:spacing w:after="0" w:line="176" w:lineRule="exact"/>
        <w:rPr>
          <w:sz w:val="20"/>
          <w:szCs w:val="20"/>
          <w:color w:val="auto"/>
        </w:rPr>
      </w:pPr>
    </w:p>
    <w:p>
      <w:pPr>
        <w:jc w:val="both"/>
        <w:ind w:right="120" w:firstLine="333"/>
        <w:spacing w:after="0" w:line="261" w:lineRule="auto"/>
        <w:rPr>
          <w:sz w:val="20"/>
          <w:szCs w:val="20"/>
          <w:color w:val="auto"/>
        </w:rPr>
      </w:pPr>
      <w:r>
        <w:rPr>
          <w:rFonts w:ascii="Arial" w:cs="Arial" w:eastAsia="Arial" w:hAnsi="Arial"/>
          <w:sz w:val="17"/>
          <w:szCs w:val="17"/>
          <w:color w:val="auto"/>
        </w:rPr>
        <w:t>The promises within Progyny's fertility benefits contract with a client represent a single performance obligation because Progyny provides a significant service of integrating the Progyny-designed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4" w:lineRule="exact"/>
        <w:rPr>
          <w:sz w:val="20"/>
          <w:szCs w:val="20"/>
          <w:color w:val="auto"/>
        </w:rPr>
      </w:pPr>
    </w:p>
    <w:p>
      <w:pPr>
        <w:ind w:right="40" w:firstLine="336"/>
        <w:spacing w:after="0" w:line="299" w:lineRule="auto"/>
        <w:rPr>
          <w:sz w:val="20"/>
          <w:szCs w:val="20"/>
          <w:color w:val="auto"/>
        </w:rPr>
      </w:pPr>
      <w:r>
        <w:rPr>
          <w:rFonts w:ascii="Arial" w:cs="Arial" w:eastAsia="Arial" w:hAnsi="Arial"/>
          <w:sz w:val="15"/>
          <w:szCs w:val="15"/>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w:t>
      </w:r>
    </w:p>
    <w:p>
      <w:pPr>
        <w:spacing w:after="0" w:line="159" w:lineRule="exact"/>
        <w:rPr>
          <w:sz w:val="20"/>
          <w:szCs w:val="20"/>
          <w:color w:val="auto"/>
        </w:rPr>
      </w:pPr>
    </w:p>
    <w:p>
      <w:pPr>
        <w:ind w:right="120" w:firstLine="336"/>
        <w:spacing w:after="0" w:line="259" w:lineRule="auto"/>
        <w:rPr>
          <w:sz w:val="20"/>
          <w:szCs w:val="20"/>
          <w:color w:val="auto"/>
        </w:rPr>
      </w:pPr>
      <w:r>
        <w:rPr>
          <w:rFonts w:ascii="Arial" w:cs="Arial" w:eastAsia="Arial" w:hAnsi="Arial"/>
          <w:sz w:val="17"/>
          <w:szCs w:val="17"/>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 of service level agreement refunds, have not historically resulted in significant adjustments to the transaction price.</w:t>
      </w:r>
    </w:p>
    <w:p>
      <w:pPr>
        <w:spacing w:after="0" w:line="187" w:lineRule="exact"/>
        <w:rPr>
          <w:sz w:val="20"/>
          <w:szCs w:val="20"/>
          <w:color w:val="auto"/>
        </w:rPr>
      </w:pPr>
    </w:p>
    <w:p>
      <w:pPr>
        <w:ind w:right="20" w:firstLine="336"/>
        <w:spacing w:after="0" w:line="265" w:lineRule="auto"/>
        <w:rPr>
          <w:sz w:val="20"/>
          <w:szCs w:val="20"/>
          <w:color w:val="auto"/>
        </w:rPr>
      </w:pPr>
      <w:r>
        <w:rPr>
          <w:rFonts w:ascii="Arial" w:cs="Arial" w:eastAsia="Arial" w:hAnsi="Arial"/>
          <w:sz w:val="17"/>
          <w:szCs w:val="17"/>
          <w:color w:val="auto"/>
        </w:rPr>
        <w:t>Clients are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0" w:lineRule="exact"/>
        <w:rPr>
          <w:sz w:val="20"/>
          <w:szCs w:val="20"/>
          <w:color w:val="auto"/>
        </w:rPr>
      </w:pPr>
    </w:p>
    <w:p>
      <w:pPr>
        <w:ind w:firstLine="333"/>
        <w:spacing w:after="0" w:line="276" w:lineRule="auto"/>
        <w:rPr>
          <w:sz w:val="20"/>
          <w:szCs w:val="20"/>
          <w:color w:val="auto"/>
        </w:rPr>
      </w:pPr>
      <w:r>
        <w:rPr>
          <w:rFonts w:ascii="Arial" w:cs="Arial" w:eastAsia="Arial" w:hAnsi="Arial"/>
          <w:sz w:val="17"/>
          <w:szCs w:val="17"/>
          <w:color w:val="auto"/>
        </w:rPr>
        <w:t>The Company assesses whether it is the principal or the agent for each arrangement with a client, since fertility treatment services are provided by a third party—the provider clinics. The Company 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Pharmacy Benefits Revenue</w:t>
      </w:r>
    </w:p>
    <w:p>
      <w:pPr>
        <w:spacing w:after="0" w:line="218" w:lineRule="exact"/>
        <w:rPr>
          <w:sz w:val="20"/>
          <w:szCs w:val="20"/>
          <w:color w:val="auto"/>
        </w:rPr>
      </w:pPr>
    </w:p>
    <w:p>
      <w:pPr>
        <w:ind w:firstLine="336"/>
        <w:spacing w:after="0" w:line="259" w:lineRule="auto"/>
        <w:rPr>
          <w:sz w:val="20"/>
          <w:szCs w:val="20"/>
          <w:color w:val="auto"/>
        </w:rPr>
      </w:pPr>
      <w:r>
        <w:rPr>
          <w:rFonts w:ascii="Arial" w:cs="Arial" w:eastAsia="Arial" w:hAnsi="Arial"/>
          <w:sz w:val="17"/>
          <w:szCs w:val="17"/>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7" w:lineRule="exact"/>
        <w:rPr>
          <w:sz w:val="20"/>
          <w:szCs w:val="20"/>
          <w:color w:val="auto"/>
        </w:rPr>
      </w:pPr>
    </w:p>
    <w:p>
      <w:pPr>
        <w:ind w:right="160" w:firstLine="333"/>
        <w:spacing w:after="0" w:line="265" w:lineRule="auto"/>
        <w:rPr>
          <w:sz w:val="20"/>
          <w:szCs w:val="20"/>
          <w:color w:val="auto"/>
        </w:rPr>
      </w:pPr>
      <w:r>
        <w:rPr>
          <w:rFonts w:ascii="Arial" w:cs="Arial" w:eastAsia="Arial" w:hAnsi="Arial"/>
          <w:sz w:val="17"/>
          <w:szCs w:val="17"/>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0" w:lineRule="exact"/>
        <w:rPr>
          <w:sz w:val="20"/>
          <w:szCs w:val="20"/>
          <w:color w:val="auto"/>
        </w:rPr>
      </w:pPr>
    </w:p>
    <w:p>
      <w:pPr>
        <w:ind w:right="120" w:firstLine="336"/>
        <w:spacing w:after="0" w:line="257" w:lineRule="auto"/>
        <w:rPr>
          <w:sz w:val="20"/>
          <w:szCs w:val="20"/>
          <w:color w:val="auto"/>
        </w:rPr>
      </w:pPr>
      <w:r>
        <w:rPr>
          <w:rFonts w:ascii="Arial" w:cs="Arial" w:eastAsia="Arial" w:hAnsi="Arial"/>
          <w:sz w:val="17"/>
          <w:szCs w:val="17"/>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 included in the transaction price and recognized in the period in which the Company is entitled to consideration from a client, which is when a prescription is filled and delivered to the members.</w:t>
      </w:r>
    </w:p>
    <w:p>
      <w:pPr>
        <w:spacing w:after="0" w:line="190" w:lineRule="exact"/>
        <w:rPr>
          <w:sz w:val="20"/>
          <w:szCs w:val="20"/>
          <w:color w:val="auto"/>
        </w:rPr>
      </w:pPr>
    </w:p>
    <w:p>
      <w:pPr>
        <w:ind w:right="140" w:firstLine="327"/>
        <w:spacing w:after="0" w:line="265" w:lineRule="auto"/>
        <w:rPr>
          <w:sz w:val="20"/>
          <w:szCs w:val="20"/>
          <w:color w:val="auto"/>
        </w:rPr>
      </w:pPr>
      <w:r>
        <w:rPr>
          <w:rFonts w:ascii="Arial" w:cs="Arial" w:eastAsia="Arial" w:hAnsi="Arial"/>
          <w:sz w:val="17"/>
          <w:szCs w:val="17"/>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pharmacy. Once an invoice is issued, payment terms are typically between 30 to 60 days.</w:t>
      </w:r>
    </w:p>
    <w:p>
      <w:pPr>
        <w:spacing w:after="0" w:line="180" w:lineRule="exact"/>
        <w:rPr>
          <w:sz w:val="20"/>
          <w:szCs w:val="20"/>
          <w:color w:val="auto"/>
        </w:rPr>
      </w:pPr>
    </w:p>
    <w:p>
      <w:pPr>
        <w:ind w:right="140" w:firstLine="333"/>
        <w:spacing w:after="0" w:line="282" w:lineRule="auto"/>
        <w:rPr>
          <w:sz w:val="20"/>
          <w:szCs w:val="20"/>
          <w:color w:val="auto"/>
        </w:rPr>
      </w:pPr>
      <w:r>
        <w:rPr>
          <w:rFonts w:ascii="Arial" w:cs="Arial" w:eastAsia="Arial" w:hAnsi="Arial"/>
          <w:sz w:val="16"/>
          <w:szCs w:val="16"/>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Receivable and Accrued Claims Payable</w:t>
      </w:r>
    </w:p>
    <w:p>
      <w:pPr>
        <w:spacing w:after="0" w:line="222" w:lineRule="exact"/>
        <w:rPr>
          <w:sz w:val="20"/>
          <w:szCs w:val="20"/>
          <w:color w:val="auto"/>
        </w:rPr>
      </w:pPr>
    </w:p>
    <w:p>
      <w:pPr>
        <w:ind w:right="20" w:firstLine="327"/>
        <w:spacing w:after="0" w:line="261" w:lineRule="auto"/>
        <w:rPr>
          <w:sz w:val="20"/>
          <w:szCs w:val="20"/>
          <w:color w:val="auto"/>
        </w:rPr>
      </w:pPr>
      <w:r>
        <w:rPr>
          <w:rFonts w:ascii="Arial" w:cs="Arial" w:eastAsia="Arial" w:hAnsi="Arial"/>
          <w:sz w:val="17"/>
          <w:szCs w:val="17"/>
          <w:color w:val="auto"/>
        </w:rPr>
        <w:t>Accrued receivables are estimated based on historical experience for those fertility benefits services provided but for which a claim has not been received from the Provider Clinic. At the same time, cost of services and accrued claims payables (included within accrued expense and other current liabilities) are estimated based on the amount to be paid to the Provider Clinic and historical gross margin achieved on fertility benefits services. Estimates are adjusted to actual at the time of billing. Adjustments to original estimates have been not been material.</w:t>
      </w:r>
    </w:p>
    <w:p>
      <w:pPr>
        <w:spacing w:after="0" w:line="184" w:lineRule="exact"/>
        <w:rPr>
          <w:sz w:val="20"/>
          <w:szCs w:val="20"/>
          <w:color w:val="auto"/>
        </w:rPr>
      </w:pPr>
    </w:p>
    <w:p>
      <w:pPr>
        <w:ind w:right="80" w:firstLine="327"/>
        <w:spacing w:after="0" w:line="316" w:lineRule="auto"/>
        <w:rPr>
          <w:sz w:val="20"/>
          <w:szCs w:val="20"/>
          <w:color w:val="auto"/>
        </w:rPr>
      </w:pPr>
      <w:r>
        <w:rPr>
          <w:rFonts w:ascii="Arial" w:cs="Arial" w:eastAsia="Arial" w:hAnsi="Arial"/>
          <w:sz w:val="15"/>
          <w:szCs w:val="15"/>
          <w:color w:val="auto"/>
        </w:rPr>
        <w:t>As of December 31, 2017, accrued receivables and accrued claims payables were $5.9 million, and $4.8 million, respectively as compared to accrued receivables and accrued claims payables of $9.5 million, and $6.7 million, respectively, as of December 31, 2018. As of June 30, 2019 (unaudited), accrued receivables and accrued claims payables were $12.2 million and $9.9 million, respectively. Accrued receivables are included within accounts receivable in the consolidated balance sheet.</w:t>
      </w:r>
    </w:p>
    <w:p>
      <w:pPr>
        <w:spacing w:after="0" w:line="146" w:lineRule="exact"/>
        <w:rPr>
          <w:sz w:val="20"/>
          <w:szCs w:val="20"/>
          <w:color w:val="auto"/>
        </w:rPr>
      </w:pPr>
    </w:p>
    <w:p>
      <w:pPr>
        <w:ind w:right="180" w:firstLine="327"/>
        <w:spacing w:after="0" w:line="289" w:lineRule="auto"/>
        <w:rPr>
          <w:sz w:val="20"/>
          <w:szCs w:val="20"/>
          <w:color w:val="auto"/>
        </w:rPr>
      </w:pPr>
      <w:r>
        <w:rPr>
          <w:rFonts w:ascii="Arial" w:cs="Arial" w:eastAsia="Arial" w:hAnsi="Arial"/>
          <w:sz w:val="16"/>
          <w:szCs w:val="16"/>
          <w:color w:val="auto"/>
        </w:rPr>
        <w:t>As of December 31, 2017, and 2018 and June 30, 2019 (unaudited), unbilled receivables, which represent claims received and approved but unbilled at the end of the reporting period, were $1.0 million, $3.6 million and $8.3 million, respectively. Unbilled receivables are typically billed to clients within 30 days of the approved claim based on the contractual billing schedule agreed upon with the client. Claims payable are paid within 30 days based on contractual terms.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and Allowance for Doubtful Accounts</w:t>
      </w:r>
    </w:p>
    <w:p>
      <w:pPr>
        <w:spacing w:after="0" w:line="222" w:lineRule="exact"/>
        <w:rPr>
          <w:sz w:val="20"/>
          <w:szCs w:val="20"/>
          <w:color w:val="auto"/>
        </w:rPr>
      </w:pPr>
    </w:p>
    <w:p>
      <w:pPr>
        <w:ind w:right="240" w:firstLine="333"/>
        <w:spacing w:after="0" w:line="265" w:lineRule="auto"/>
        <w:rPr>
          <w:sz w:val="20"/>
          <w:szCs w:val="20"/>
          <w:color w:val="auto"/>
        </w:rPr>
      </w:pPr>
      <w:r>
        <w:rPr>
          <w:rFonts w:ascii="Arial" w:cs="Arial" w:eastAsia="Arial" w:hAnsi="Arial"/>
          <w:sz w:val="17"/>
          <w:szCs w:val="17"/>
          <w:color w:val="auto"/>
        </w:rPr>
        <w:t>The accounts receivable balance primarily includes amounts due from clients and members. Accounts receivable also includes certain accrued receivables for fertility benefit claims from Provider Clinics at the end of each period for services provided that have not yet been received. The Company estimates an allowance for cancellations based upon historical experience and estimates member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uncollectible amounts based upon historical bad debts, current member receivable balances and the age of member receivable balances.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80" w:type="dxa"/>
            <w:vAlign w:val="bottom"/>
            <w:gridSpan w:val="17"/>
          </w:tcPr>
          <w:p>
            <w:pPr>
              <w:ind w:left="440"/>
              <w:spacing w:after="0"/>
              <w:rPr>
                <w:sz w:val="20"/>
                <w:szCs w:val="20"/>
                <w:color w:val="auto"/>
              </w:rPr>
            </w:pPr>
            <w:r>
              <w:rPr>
                <w:rFonts w:ascii="Arial" w:cs="Arial" w:eastAsia="Arial" w:hAnsi="Arial"/>
                <w:sz w:val="13"/>
                <w:szCs w:val="13"/>
                <w:b w:val="1"/>
                <w:bCs w:val="1"/>
                <w:color w:val="auto"/>
              </w:rPr>
              <w:t>Years Ended December 31, 2018 and 2017 and the Six Months Ended June 30, 2019</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240"/>
              <w:spacing w:after="0" w:line="123" w:lineRule="exact"/>
              <w:rPr>
                <w:sz w:val="20"/>
                <w:szCs w:val="20"/>
                <w:color w:val="auto"/>
              </w:rPr>
            </w:pPr>
            <w:r>
              <w:rPr>
                <w:rFonts w:ascii="Arial" w:cs="Arial" w:eastAsia="Arial" w:hAnsi="Arial"/>
                <w:sz w:val="13"/>
                <w:szCs w:val="13"/>
                <w:b w:val="1"/>
                <w:bCs w:val="1"/>
                <w:color w:val="auto"/>
                <w:w w:val="89"/>
              </w:rPr>
              <w:t>Balance at</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40"/>
              <w:spacing w:after="0" w:line="123" w:lineRule="exact"/>
              <w:rPr>
                <w:sz w:val="20"/>
                <w:szCs w:val="20"/>
                <w:color w:val="auto"/>
              </w:rPr>
            </w:pPr>
            <w:r>
              <w:rPr>
                <w:rFonts w:ascii="Arial" w:cs="Arial" w:eastAsia="Arial" w:hAnsi="Arial"/>
                <w:sz w:val="13"/>
                <w:szCs w:val="13"/>
                <w:b w:val="1"/>
                <w:bCs w:val="1"/>
                <w:color w:val="auto"/>
                <w:w w:val="90"/>
              </w:rPr>
              <w:t>Charged to</w:t>
            </w: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8"/>
              </w:rPr>
              <w:t>Beginning</w:t>
            </w:r>
          </w:p>
        </w:tc>
        <w:tc>
          <w:tcPr>
            <w:tcW w:w="100" w:type="dxa"/>
            <w:vAlign w:val="bottom"/>
          </w:tcPr>
          <w:p>
            <w:pPr>
              <w:spacing w:after="0"/>
              <w:rPr>
                <w:sz w:val="12"/>
                <w:szCs w:val="12"/>
                <w:color w:val="auto"/>
              </w:rPr>
            </w:pPr>
          </w:p>
        </w:tc>
        <w:tc>
          <w:tcPr>
            <w:tcW w:w="8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Charged to</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5"/>
              </w:rPr>
              <w:t>Costs and</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89"/>
              </w:rPr>
              <w:t>Balance at</w:t>
            </w:r>
          </w:p>
        </w:tc>
        <w:tc>
          <w:tcPr>
            <w:tcW w:w="0" w:type="dxa"/>
            <w:vAlign w:val="bottom"/>
          </w:tcPr>
          <w:p>
            <w:pPr>
              <w:spacing w:after="0"/>
              <w:rPr>
                <w:sz w:val="1"/>
                <w:szCs w:val="1"/>
                <w:color w:val="auto"/>
              </w:rPr>
            </w:pPr>
          </w:p>
        </w:tc>
      </w:tr>
      <w:tr>
        <w:trPr>
          <w:trHeight w:val="15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7"/>
              </w:rPr>
              <w:t>June 30, 2019</w:t>
            </w:r>
          </w:p>
        </w:tc>
        <w:tc>
          <w:tcPr>
            <w:tcW w:w="258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of Period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5"/>
              </w:rPr>
              <w:t>Revenue</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82"/>
              </w:rPr>
              <w:t>Expenses</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Write-offs</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Other</w:t>
            </w:r>
          </w:p>
        </w:tc>
        <w:tc>
          <w:tcPr>
            <w:tcW w:w="30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End of Period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right"/>
              <w:spacing w:after="0" w:line="136" w:lineRule="exact"/>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Allowance for Doubtful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1,101</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2,276</w:t>
            </w:r>
          </w:p>
        </w:tc>
        <w:tc>
          <w:tcPr>
            <w:tcW w:w="0" w:type="dxa"/>
            <w:vAlign w:val="bottom"/>
          </w:tcPr>
          <w:p>
            <w:pPr>
              <w:spacing w:after="0"/>
              <w:rPr>
                <w:sz w:val="1"/>
                <w:szCs w:val="1"/>
                <w:color w:val="auto"/>
              </w:rPr>
            </w:pPr>
          </w:p>
        </w:tc>
      </w:tr>
      <w:tr>
        <w:trPr>
          <w:trHeight w:val="246"/>
        </w:trPr>
        <w:tc>
          <w:tcPr>
            <w:tcW w:w="3340" w:type="dxa"/>
            <w:vAlign w:val="bottom"/>
            <w:gridSpan w:val="3"/>
          </w:tcPr>
          <w:p>
            <w:pPr>
              <w:spacing w:after="0"/>
              <w:rPr>
                <w:sz w:val="20"/>
                <w:szCs w:val="20"/>
                <w:color w:val="auto"/>
              </w:rPr>
            </w:pPr>
            <w:r>
              <w:rPr>
                <w:rFonts w:ascii="Arial" w:cs="Arial" w:eastAsia="Arial" w:hAnsi="Arial"/>
                <w:sz w:val="17"/>
                <w:szCs w:val="17"/>
                <w:color w:val="auto"/>
              </w:rPr>
              <w:t>Allowance for Cancellations</w:t>
            </w:r>
          </w:p>
        </w:tc>
        <w:tc>
          <w:tcPr>
            <w:tcW w:w="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2,311</w:t>
            </w:r>
          </w:p>
        </w:tc>
        <w:tc>
          <w:tcPr>
            <w:tcW w:w="1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7,908</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80"/>
              <w:spacing w:after="0" w:line="246" w:lineRule="exact"/>
              <w:rPr>
                <w:sz w:val="20"/>
                <w:szCs w:val="20"/>
                <w:color w:val="auto"/>
              </w:rPr>
            </w:pPr>
            <w:r>
              <w:rPr>
                <w:rFonts w:ascii="Arial" w:cs="Arial" w:eastAsia="Arial" w:hAnsi="Arial"/>
                <w:sz w:val="17"/>
                <w:szCs w:val="17"/>
                <w:color w:val="auto"/>
              </w:rPr>
              <w:t>(5,409)</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4,810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3,486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7,908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1,101</w:t>
            </w: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(5,409)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7,086</w:t>
            </w: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December 31, 2018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3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Allowance for Doubtful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824</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1,175</w:t>
            </w:r>
          </w:p>
        </w:tc>
        <w:tc>
          <w:tcPr>
            <w:tcW w:w="0" w:type="dxa"/>
            <w:vAlign w:val="bottom"/>
          </w:tcPr>
          <w:p>
            <w:pPr>
              <w:spacing w:after="0"/>
              <w:rPr>
                <w:sz w:val="1"/>
                <w:szCs w:val="1"/>
                <w:color w:val="auto"/>
              </w:rPr>
            </w:pPr>
          </w:p>
        </w:tc>
      </w:tr>
      <w:tr>
        <w:trPr>
          <w:trHeight w:val="246"/>
        </w:trPr>
        <w:tc>
          <w:tcPr>
            <w:tcW w:w="3340" w:type="dxa"/>
            <w:vAlign w:val="bottom"/>
            <w:gridSpan w:val="3"/>
          </w:tcPr>
          <w:p>
            <w:pPr>
              <w:spacing w:after="0"/>
              <w:rPr>
                <w:sz w:val="20"/>
                <w:szCs w:val="20"/>
                <w:color w:val="auto"/>
              </w:rPr>
            </w:pPr>
            <w:r>
              <w:rPr>
                <w:rFonts w:ascii="Arial" w:cs="Arial" w:eastAsia="Arial" w:hAnsi="Arial"/>
                <w:sz w:val="17"/>
                <w:szCs w:val="17"/>
                <w:color w:val="auto"/>
              </w:rPr>
              <w:t>Allowance for Cancellations</w:t>
            </w:r>
          </w:p>
        </w:tc>
        <w:tc>
          <w:tcPr>
            <w:tcW w:w="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7,008</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80"/>
              <w:spacing w:after="0" w:line="246" w:lineRule="exact"/>
              <w:rPr>
                <w:sz w:val="20"/>
                <w:szCs w:val="20"/>
                <w:color w:val="auto"/>
              </w:rPr>
            </w:pPr>
            <w:r>
              <w:rPr>
                <w:rFonts w:ascii="Arial" w:cs="Arial" w:eastAsia="Arial" w:hAnsi="Arial"/>
                <w:sz w:val="17"/>
                <w:szCs w:val="17"/>
                <w:color w:val="auto"/>
              </w:rPr>
              <w:t>(5,197)</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2,311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1,090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7,008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824</w:t>
            </w: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(239)</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(5,197)</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3,486</w:t>
            </w: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December 31, 2017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3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Allowance for Doubtful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432</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7"/>
        </w:trPr>
        <w:tc>
          <w:tcPr>
            <w:tcW w:w="3340" w:type="dxa"/>
            <w:vAlign w:val="bottom"/>
            <w:gridSpan w:val="3"/>
          </w:tcPr>
          <w:p>
            <w:pPr>
              <w:spacing w:after="0"/>
              <w:rPr>
                <w:sz w:val="20"/>
                <w:szCs w:val="20"/>
                <w:color w:val="auto"/>
              </w:rPr>
            </w:pPr>
            <w:r>
              <w:rPr>
                <w:rFonts w:ascii="Arial" w:cs="Arial" w:eastAsia="Arial" w:hAnsi="Arial"/>
                <w:sz w:val="17"/>
                <w:szCs w:val="17"/>
                <w:color w:val="auto"/>
              </w:rPr>
              <w:t>Allowance for Cancellations</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158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500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432</w:t>
            </w: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1,090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7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660" w:hanging="514"/>
        <w:spacing w:after="0"/>
        <w:tabs>
          <w:tab w:leader="none" w:pos="1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Represents the allowance released as a result of the cancellation or adjustment to an authorized fertility benefits service treatment.</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Services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Fertility Benefit Services</w:t>
      </w:r>
    </w:p>
    <w:p>
      <w:pPr>
        <w:spacing w:after="0" w:line="218" w:lineRule="exact"/>
        <w:rPr>
          <w:sz w:val="20"/>
          <w:szCs w:val="20"/>
          <w:color w:val="auto"/>
        </w:rPr>
      </w:pPr>
    </w:p>
    <w:p>
      <w:pPr>
        <w:ind w:firstLine="336"/>
        <w:spacing w:after="0" w:line="289" w:lineRule="auto"/>
        <w:rPr>
          <w:sz w:val="20"/>
          <w:szCs w:val="20"/>
          <w:color w:val="auto"/>
        </w:rPr>
      </w:pPr>
      <w:r>
        <w:rPr>
          <w:rFonts w:ascii="Arial" w:cs="Arial" w:eastAsia="Arial" w:hAnsi="Arial"/>
          <w:sz w:val="16"/>
          <w:szCs w:val="16"/>
          <w:color w:val="auto"/>
        </w:rPr>
        <w:t>Cost of services include: (i) fees paid to Provider Clinics within Progyny's network, (ii) costs incurred in connection with the Company's care management service functions, which include employee-related expenses (e.g. salaries and benefits) for teams such as the Patient Care Advocate and Provider Relations teams and (iii) associated overhead costs, including related information technology support costs and depreciation and amortization.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Pharmacy Benefit Services</w:t>
      </w:r>
    </w:p>
    <w:p>
      <w:pPr>
        <w:spacing w:after="0" w:line="218" w:lineRule="exact"/>
        <w:rPr>
          <w:sz w:val="20"/>
          <w:szCs w:val="20"/>
          <w:color w:val="auto"/>
        </w:rPr>
      </w:pPr>
    </w:p>
    <w:p>
      <w:pPr>
        <w:ind w:right="100" w:firstLine="336"/>
        <w:spacing w:after="0" w:line="261" w:lineRule="auto"/>
        <w:rPr>
          <w:sz w:val="20"/>
          <w:szCs w:val="20"/>
          <w:color w:val="auto"/>
        </w:rPr>
      </w:pPr>
      <w:r>
        <w:rPr>
          <w:rFonts w:ascii="Arial" w:cs="Arial" w:eastAsia="Arial" w:hAnsi="Arial"/>
          <w:sz w:val="17"/>
          <w:szCs w:val="17"/>
          <w:color w:val="auto"/>
        </w:rPr>
        <w:t>Cost of services include: (i) the contractual fees associated with prescription drugs dispensed and clinical services provided during the reporting period indirectly through specialty pharmacy partners and (ii) costs incurred in connection with the Company's care management service functions, which include employee-related expenses (e.g. salaries and benefits) for teams such as the Patient Care Advocate and Provider Relations teams and (iii) associated overhead costs, including related information technology support costs and depreciation and amortization.</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ind w:right="60" w:firstLine="336"/>
        <w:spacing w:after="0" w:line="276" w:lineRule="auto"/>
        <w:rPr>
          <w:sz w:val="20"/>
          <w:szCs w:val="20"/>
          <w:color w:val="auto"/>
        </w:rPr>
      </w:pPr>
      <w:r>
        <w:rPr>
          <w:rFonts w:ascii="Arial" w:cs="Arial" w:eastAsia="Arial" w:hAnsi="Arial"/>
          <w:sz w:val="17"/>
          <w:szCs w:val="17"/>
          <w:color w:val="auto"/>
        </w:rPr>
        <w:t>In the specialty pharmacy contracts, the contractual fees of prescription drugs sold includes the cost of the prescription drugs purchased and shipped to members by the Company's specialty mail service dispensing pharmacy, net of any volume-related or other discounts.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Vendor rebates</w:t>
      </w:r>
    </w:p>
    <w:p>
      <w:pPr>
        <w:spacing w:after="0" w:line="218" w:lineRule="exact"/>
        <w:rPr>
          <w:sz w:val="20"/>
          <w:szCs w:val="20"/>
          <w:color w:val="auto"/>
        </w:rPr>
      </w:pPr>
    </w:p>
    <w:p>
      <w:pPr>
        <w:ind w:right="20" w:firstLine="333"/>
        <w:spacing w:after="0" w:line="302" w:lineRule="auto"/>
        <w:rPr>
          <w:sz w:val="20"/>
          <w:szCs w:val="20"/>
          <w:color w:val="auto"/>
        </w:rPr>
      </w:pPr>
      <w:r>
        <w:rPr>
          <w:rFonts w:ascii="Arial" w:cs="Arial" w:eastAsia="Arial" w:hAnsi="Arial"/>
          <w:sz w:val="15"/>
          <w:szCs w:val="15"/>
          <w:color w:val="auto"/>
        </w:rPr>
        <w:t>The Company receives a rebate on formulations purchased and dispensed by the Company's specialty pharmacy. The Company's contractual arrangements with pharmaceutical manufacturers provide for the Company to receive a discount (or rebate) from established list prices paid subsequent to dispensing when products are purchased indirectly from a pharmaceutical manufacturer (e.g., through a specialty pharmacy.) These rebates are recognized as a reduction of Cost of services when prescriptions are dispensed and are generally estimated and billed to manufacturers within 15 days of the end of each month. The effect of adjustments resulting from the reconciliation of rebates recognized to the amounts billed and collected has not been material to the Company's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Major Clients</w:t>
      </w:r>
    </w:p>
    <w:p>
      <w:pPr>
        <w:spacing w:after="0" w:line="222" w:lineRule="exact"/>
        <w:rPr>
          <w:sz w:val="20"/>
          <w:szCs w:val="20"/>
          <w:color w:val="auto"/>
        </w:rPr>
      </w:pPr>
    </w:p>
    <w:p>
      <w:pPr>
        <w:ind w:right="360" w:firstLine="333"/>
        <w:spacing w:after="0" w:line="276" w:lineRule="auto"/>
        <w:rPr>
          <w:sz w:val="20"/>
          <w:szCs w:val="20"/>
          <w:color w:val="auto"/>
        </w:rPr>
      </w:pPr>
      <w:r>
        <w:rPr>
          <w:rFonts w:ascii="Arial" w:cs="Arial" w:eastAsia="Arial" w:hAnsi="Arial"/>
          <w:sz w:val="17"/>
          <w:szCs w:val="17"/>
          <w:color w:val="auto"/>
        </w:rPr>
        <w:t>The following table summarizes the clients who accounted for 10% or more of total revenue for the ended December 31, 2017 and 2018 and for the six months ended June 30, 2018 and 2019.</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126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 Ended</w:t>
            </w:r>
          </w:p>
        </w:tc>
        <w:tc>
          <w:tcPr>
            <w:tcW w:w="15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5200" w:type="dxa"/>
            <w:vAlign w:val="bottom"/>
          </w:tcPr>
          <w:p>
            <w:pPr>
              <w:spacing w:after="0"/>
              <w:rPr>
                <w:sz w:val="13"/>
                <w:szCs w:val="13"/>
                <w:color w:val="auto"/>
              </w:rPr>
            </w:pPr>
          </w:p>
        </w:tc>
        <w:tc>
          <w:tcPr>
            <w:tcW w:w="1260" w:type="dxa"/>
            <w:vAlign w:val="bottom"/>
            <w:gridSpan w:val="4"/>
          </w:tcPr>
          <w:p>
            <w:pPr>
              <w:ind w:left="180"/>
              <w:spacing w:after="0"/>
              <w:rPr>
                <w:sz w:val="20"/>
                <w:szCs w:val="20"/>
                <w:color w:val="auto"/>
              </w:rPr>
            </w:pPr>
            <w:r>
              <w:rPr>
                <w:rFonts w:ascii="Arial" w:cs="Arial" w:eastAsia="Arial" w:hAnsi="Arial"/>
                <w:sz w:val="13"/>
                <w:szCs w:val="13"/>
                <w:b w:val="1"/>
                <w:bCs w:val="1"/>
                <w:color w:val="auto"/>
              </w:rPr>
              <w:t>December 31,</w:t>
            </w:r>
          </w:p>
        </w:tc>
        <w:tc>
          <w:tcPr>
            <w:tcW w:w="940" w:type="dxa"/>
            <w:vAlign w:val="bottom"/>
            <w:gridSpan w:val="3"/>
          </w:tcPr>
          <w:p>
            <w:pPr>
              <w:jc w:val="center"/>
              <w:ind w:left="366"/>
              <w:spacing w:after="0"/>
              <w:rPr>
                <w:sz w:val="20"/>
                <w:szCs w:val="20"/>
                <w:color w:val="auto"/>
              </w:rPr>
            </w:pPr>
            <w:r>
              <w:rPr>
                <w:rFonts w:ascii="Arial" w:cs="Arial" w:eastAsia="Arial" w:hAnsi="Arial"/>
                <w:sz w:val="13"/>
                <w:szCs w:val="13"/>
                <w:b w:val="1"/>
                <w:bCs w:val="1"/>
                <w:color w:val="auto"/>
                <w:w w:val="88"/>
              </w:rPr>
              <w:t>June 30,</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5200" w:type="dxa"/>
            <w:vAlign w:val="bottom"/>
          </w:tcPr>
          <w:p>
            <w:pPr>
              <w:spacing w:after="0"/>
              <w:rPr>
                <w:sz w:val="11"/>
                <w:szCs w:val="11"/>
                <w:color w:val="auto"/>
              </w:rPr>
            </w:pPr>
          </w:p>
        </w:tc>
        <w:tc>
          <w:tcPr>
            <w:tcW w:w="400" w:type="dxa"/>
            <w:vAlign w:val="bottom"/>
            <w:tcBorders>
              <w:top w:val="single" w:sz="8" w:color="auto"/>
              <w:bottom w:val="single" w:sz="8" w:color="auto"/>
            </w:tcBorders>
          </w:tcPr>
          <w:p>
            <w:pPr>
              <w:ind w:left="80"/>
              <w:spacing w:after="0" w:line="136" w:lineRule="exact"/>
              <w:rPr>
                <w:sz w:val="20"/>
                <w:szCs w:val="20"/>
                <w:color w:val="auto"/>
              </w:rPr>
            </w:pPr>
            <w:r>
              <w:rPr>
                <w:rFonts w:ascii="Arial" w:cs="Arial" w:eastAsia="Arial" w:hAnsi="Arial"/>
                <w:sz w:val="13"/>
                <w:szCs w:val="13"/>
                <w:b w:val="1"/>
                <w:bCs w:val="1"/>
                <w:color w:val="auto"/>
              </w:rPr>
              <w:t>2017</w:t>
            </w: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20"/>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80"/>
              <w:spacing w:after="0" w:line="136" w:lineRule="exact"/>
              <w:rPr>
                <w:sz w:val="20"/>
                <w:szCs w:val="20"/>
                <w:color w:val="auto"/>
              </w:rPr>
            </w:pPr>
            <w:r>
              <w:rPr>
                <w:rFonts w:ascii="Arial" w:cs="Arial" w:eastAsia="Arial" w:hAnsi="Arial"/>
                <w:sz w:val="13"/>
                <w:szCs w:val="13"/>
                <w:b w:val="1"/>
                <w:bCs w:val="1"/>
                <w:color w:val="auto"/>
                <w:w w:val="82"/>
              </w:rPr>
              <w:t>2019</w:t>
            </w:r>
          </w:p>
        </w:tc>
        <w:tc>
          <w:tcPr>
            <w:tcW w:w="160" w:type="dxa"/>
            <w:vAlign w:val="bottom"/>
          </w:tcPr>
          <w:p>
            <w:pPr>
              <w:spacing w:after="0"/>
              <w:rPr>
                <w:sz w:val="11"/>
                <w:szCs w:val="11"/>
                <w:color w:val="auto"/>
              </w:rPr>
            </w:pPr>
          </w:p>
        </w:tc>
      </w:tr>
      <w:tr>
        <w:trPr>
          <w:trHeight w:val="135"/>
        </w:trPr>
        <w:tc>
          <w:tcPr>
            <w:tcW w:w="5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5"/>
          </w:tcPr>
          <w:p>
            <w:pPr>
              <w:jc w:val="center"/>
              <w:ind w:right="140"/>
              <w:spacing w:after="0" w:line="136" w:lineRule="exact"/>
              <w:rPr>
                <w:sz w:val="20"/>
                <w:szCs w:val="20"/>
                <w:color w:val="auto"/>
              </w:rPr>
            </w:pPr>
            <w:r>
              <w:rPr>
                <w:rFonts w:ascii="Arial" w:cs="Arial" w:eastAsia="Arial" w:hAnsi="Arial"/>
                <w:sz w:val="13"/>
                <w:szCs w:val="13"/>
                <w:b w:val="1"/>
                <w:bCs w:val="1"/>
                <w:color w:val="auto"/>
                <w:w w:val="93"/>
              </w:rPr>
              <w:t>(unaudited)</w:t>
            </w:r>
          </w:p>
        </w:tc>
      </w:tr>
      <w:tr>
        <w:trPr>
          <w:trHeight w:val="207"/>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Client A</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45%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07"/>
        </w:trPr>
        <w:tc>
          <w:tcPr>
            <w:tcW w:w="5200" w:type="dxa"/>
            <w:vAlign w:val="bottom"/>
          </w:tcPr>
          <w:p>
            <w:pPr>
              <w:spacing w:after="0"/>
              <w:rPr>
                <w:sz w:val="20"/>
                <w:szCs w:val="20"/>
                <w:color w:val="auto"/>
              </w:rPr>
            </w:pPr>
            <w:r>
              <w:rPr>
                <w:rFonts w:ascii="Arial" w:cs="Arial" w:eastAsia="Arial" w:hAnsi="Arial"/>
                <w:sz w:val="17"/>
                <w:szCs w:val="17"/>
                <w:color w:val="auto"/>
              </w:rPr>
              <w:t>Client B</w:t>
            </w:r>
          </w:p>
        </w:tc>
        <w:tc>
          <w:tcPr>
            <w:tcW w:w="620" w:type="dxa"/>
            <w:vAlign w:val="bottom"/>
            <w:gridSpan w:val="2"/>
          </w:tcPr>
          <w:p>
            <w:pPr>
              <w:ind w:left="240"/>
              <w:spacing w:after="0"/>
              <w:rPr>
                <w:sz w:val="20"/>
                <w:szCs w:val="20"/>
                <w:color w:val="auto"/>
              </w:rPr>
            </w:pPr>
            <w:r>
              <w:rPr>
                <w:rFonts w:ascii="Arial" w:cs="Arial" w:eastAsia="Arial" w:hAnsi="Arial"/>
                <w:sz w:val="17"/>
                <w:szCs w:val="17"/>
                <w:color w:val="auto"/>
              </w:rPr>
              <w:t>15%</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&lt;10%</w:t>
            </w:r>
          </w:p>
        </w:tc>
      </w:tr>
      <w:tr>
        <w:trPr>
          <w:trHeight w:val="207"/>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Client C</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14%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&lt;10%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&lt;10%</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&lt;10%</w:t>
            </w:r>
          </w:p>
        </w:tc>
      </w:tr>
      <w:tr>
        <w:trPr>
          <w:trHeight w:val="214"/>
        </w:trPr>
        <w:tc>
          <w:tcPr>
            <w:tcW w:w="5200" w:type="dxa"/>
            <w:vAlign w:val="bottom"/>
          </w:tcPr>
          <w:p>
            <w:pPr>
              <w:spacing w:after="0"/>
              <w:rPr>
                <w:sz w:val="20"/>
                <w:szCs w:val="20"/>
                <w:color w:val="auto"/>
              </w:rPr>
            </w:pPr>
            <w:r>
              <w:rPr>
                <w:rFonts w:ascii="Arial" w:cs="Arial" w:eastAsia="Arial" w:hAnsi="Arial"/>
                <w:sz w:val="17"/>
                <w:szCs w:val="17"/>
                <w:color w:val="auto"/>
              </w:rPr>
              <w:t>Client D</w:t>
            </w:r>
          </w:p>
        </w:tc>
        <w:tc>
          <w:tcPr>
            <w:tcW w:w="6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&lt;10%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 and Off-Balance-Sheet Risk</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Financial instruments that potentially subject the Company to concentrations of credit risk consists primarily of cash and cash equivalents and accounts receivable.</w:t>
      </w:r>
    </w:p>
    <w:p>
      <w:pPr>
        <w:spacing w:after="0" w:line="241" w:lineRule="exact"/>
        <w:rPr>
          <w:sz w:val="20"/>
          <w:szCs w:val="20"/>
          <w:color w:val="auto"/>
        </w:rPr>
      </w:pPr>
    </w:p>
    <w:p>
      <w:pPr>
        <w:jc w:val="both"/>
        <w:ind w:firstLine="333"/>
        <w:spacing w:after="0" w:line="265" w:lineRule="auto"/>
        <w:rPr>
          <w:sz w:val="20"/>
          <w:szCs w:val="20"/>
          <w:color w:val="auto"/>
        </w:rPr>
      </w:pPr>
      <w:r>
        <w:rPr>
          <w:rFonts w:ascii="Arial" w:cs="Arial" w:eastAsia="Arial" w:hAnsi="Arial"/>
          <w:sz w:val="17"/>
          <w:szCs w:val="17"/>
          <w:color w:val="auto"/>
        </w:rPr>
        <w:t>The Company invests its cash and cash equivalents with highly rated financial institutions and management believes that the financial risks associated with its cash equivalents are minimal. Substantially all of the Company's cash is maintained with one financial institution with a high credit standing. From time to time, such deposits may exceed federally insured limits.</w:t>
      </w:r>
    </w:p>
    <w:p>
      <w:pPr>
        <w:spacing w:after="0" w:line="180" w:lineRule="exact"/>
        <w:rPr>
          <w:sz w:val="20"/>
          <w:szCs w:val="20"/>
          <w:color w:val="auto"/>
        </w:rPr>
      </w:pPr>
    </w:p>
    <w:p>
      <w:pPr>
        <w:ind w:right="20" w:firstLine="333"/>
        <w:spacing w:after="0" w:line="259" w:lineRule="auto"/>
        <w:rPr>
          <w:sz w:val="20"/>
          <w:szCs w:val="20"/>
          <w:color w:val="auto"/>
        </w:rPr>
      </w:pPr>
      <w:r>
        <w:rPr>
          <w:rFonts w:ascii="Arial" w:cs="Arial" w:eastAsia="Arial" w:hAnsi="Arial"/>
          <w:sz w:val="17"/>
          <w:szCs w:val="17"/>
          <w:color w:val="auto"/>
        </w:rPr>
        <w:t>The Company regularly reviews the outstanding accounts receivable, including consideration of factors such as the age of the receivable balance. Three clients, one at 34%, 17% and 17% accounted for more than 10% of the Company's accounts receivables as of December 31, 2017. Three clients, one at 25%, 13% and 10% accounted for more than 10% of the Company's accounts receivables as of December 31, 2018. Two clients, one at 11% and another at 10% account for more than 10% of the total accounts receivables as of June 30, 2019 (unaudited). To manage credit risk related to accounts receivable, the Company evaluates clients' financial condition and collateral is generally not required.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ind w:right="7180" w:firstLine="3"/>
        <w:spacing w:after="0" w:line="510" w:lineRule="auto"/>
        <w:tabs>
          <w:tab w:leader="none" w:pos="168"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 Deferred Offering Costs</w:t>
      </w:r>
    </w:p>
    <w:p>
      <w:pPr>
        <w:spacing w:after="0" w:line="1" w:lineRule="exact"/>
        <w:rPr>
          <w:sz w:val="20"/>
          <w:szCs w:val="20"/>
          <w:color w:val="auto"/>
        </w:rPr>
      </w:pPr>
    </w:p>
    <w:p>
      <w:pPr>
        <w:ind w:right="20" w:firstLine="336"/>
        <w:spacing w:after="0" w:line="259" w:lineRule="auto"/>
        <w:rPr>
          <w:sz w:val="20"/>
          <w:szCs w:val="20"/>
          <w:color w:val="auto"/>
        </w:rPr>
      </w:pPr>
      <w:r>
        <w:rPr>
          <w:rFonts w:ascii="Arial" w:cs="Arial" w:eastAsia="Arial" w:hAnsi="Arial"/>
          <w:sz w:val="17"/>
          <w:szCs w:val="17"/>
          <w:color w:val="auto"/>
        </w:rPr>
        <w:t>Deferred offering costs, consisting of legal, accounting and other fees and costs relating to the Company's planned IPO, are capitalized and recorded on the balance sheet. The deferred offering costs will be offset against the proceeds received upon the closing of the planned IPO. In the event that the Company's plans for an IPO are terminated, all of the deferred offering costs will be written off within operating expenses in the Company's statements of operations and comprehensive loss. There were no deferred offering costs capitalized as of December 31, 2017 and 2018. As of June 30, 2019, $1.1 million of deferred offering costs were recorded as other assets on the consolidated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222" w:lineRule="exact"/>
        <w:rPr>
          <w:sz w:val="20"/>
          <w:szCs w:val="20"/>
          <w:color w:val="auto"/>
        </w:rPr>
      </w:pPr>
    </w:p>
    <w:p>
      <w:pPr>
        <w:ind w:right="40" w:firstLine="336"/>
        <w:spacing w:after="0" w:line="258" w:lineRule="auto"/>
        <w:rPr>
          <w:sz w:val="20"/>
          <w:szCs w:val="20"/>
          <w:color w:val="auto"/>
        </w:rPr>
      </w:pPr>
      <w:r>
        <w:rPr>
          <w:rFonts w:ascii="Arial" w:cs="Arial" w:eastAsia="Arial" w:hAnsi="Arial"/>
          <w:sz w:val="17"/>
          <w:szCs w:val="17"/>
          <w:color w:val="auto"/>
        </w:rPr>
        <w:t>Long-lived assets are reviewed for impairment whenever events or changes in circumstances indicate that the carrying amount of such assets or asset groups may not be recoverable. In such instances, the recoverability of assets to be held and used is measured first by a comparison of the carrying amount of an asset group to future undiscounted net cash flows expected to be generated by the assets. If such assets are considered to be impaired, an impairment loss would be recognized if the carrying amount of the asset exceeds the fair value of the asset or asset group. The fair value is determined based on valuation techniques such as a comparison to fair values of similar assets or using a discounted cash flow analysis. There were no impairments recorded for the years ended December 31, 2017 and 2018 and the periods ended June 30, 2018 and June 30, 2019 (unaudited).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222" w:lineRule="exact"/>
        <w:rPr>
          <w:sz w:val="20"/>
          <w:szCs w:val="20"/>
          <w:color w:val="auto"/>
        </w:rPr>
      </w:pPr>
    </w:p>
    <w:p>
      <w:pPr>
        <w:ind w:right="60" w:firstLine="336"/>
        <w:spacing w:after="0" w:line="265" w:lineRule="auto"/>
        <w:rPr>
          <w:sz w:val="20"/>
          <w:szCs w:val="20"/>
          <w:color w:val="auto"/>
        </w:rPr>
      </w:pPr>
      <w:r>
        <w:rPr>
          <w:rFonts w:ascii="Arial" w:cs="Arial" w:eastAsia="Arial" w:hAnsi="Arial"/>
          <w:sz w:val="17"/>
          <w:szCs w:val="17"/>
          <w:color w:val="auto"/>
        </w:rPr>
        <w:t>Property and equipment consist of computer equipment, machinery and equipment, furniture and fixtures, and leasehold improvements. The assets are stated at cost less accumulated depreciation and amortization. Depreciation is calculated using the straight-line method based on estimated useful lives and in the case of leasehold improvements, the shorter of the useful life or the remaining term of the lease (see Note 5).</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222" w:lineRule="exact"/>
        <w:rPr>
          <w:sz w:val="20"/>
          <w:szCs w:val="20"/>
          <w:color w:val="auto"/>
        </w:rPr>
      </w:pPr>
    </w:p>
    <w:p>
      <w:pPr>
        <w:ind w:right="20" w:firstLine="336"/>
        <w:spacing w:after="0" w:line="282" w:lineRule="auto"/>
        <w:rPr>
          <w:sz w:val="20"/>
          <w:szCs w:val="20"/>
          <w:color w:val="auto"/>
        </w:rPr>
      </w:pPr>
      <w:r>
        <w:rPr>
          <w:rFonts w:ascii="Arial" w:cs="Arial" w:eastAsia="Arial" w:hAnsi="Arial"/>
          <w:sz w:val="16"/>
          <w:szCs w:val="16"/>
          <w:color w:val="auto"/>
        </w:rPr>
        <w:t>Goodwill represents the excess of the consideration transferred over the fair value of the assets acquired and liabilities assumed in a business combination. Other intangible assets consist of trademarks, physician network, and the websites acquired in the Fertility Authority acquisition. Goodwill, including other definite-lived intangible assets, are carried at their initial acquisition date fair value less any impairment. Other intangible assets are recorded at fair value at the date of acquisition, less accumulated amortization. Amortization is calculated using the straight-line method based on estimated useful lives.</w:t>
      </w:r>
    </w:p>
    <w:p>
      <w:pPr>
        <w:spacing w:after="0" w:line="170" w:lineRule="exact"/>
        <w:rPr>
          <w:sz w:val="20"/>
          <w:szCs w:val="20"/>
          <w:color w:val="auto"/>
        </w:rPr>
      </w:pPr>
    </w:p>
    <w:p>
      <w:pPr>
        <w:ind w:firstLine="336"/>
        <w:spacing w:after="0" w:line="279" w:lineRule="auto"/>
        <w:rPr>
          <w:sz w:val="20"/>
          <w:szCs w:val="20"/>
          <w:color w:val="auto"/>
        </w:rPr>
      </w:pPr>
      <w:r>
        <w:rPr>
          <w:rFonts w:ascii="Arial" w:cs="Arial" w:eastAsia="Arial" w:hAnsi="Arial"/>
          <w:sz w:val="16"/>
          <w:szCs w:val="16"/>
          <w:color w:val="auto"/>
        </w:rPr>
        <w:t>Goodwill is reviewed for impairment annually as of October 1st of each year or when an interim triggering event has occurred indicating potential impairment. Events or changes in circumstances which could trigger an impairment review, which are assessed at the reporting unit level, include significant changes in the manner of the Company's use of the acquired assets or the strategy for the Company's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The Company has the option to first assess qualitative factors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to determine whether the existence of events or circumstances leads to a determination that it is more likely than not that the fair value of the reporting unit is less than its carrying amount. If, after assessing the totality of events or circumstances, an entity determines it is not more likely than not that the fair value of the reporting unit is less than its carrying amount, then additional impairment testing is not required. However, if an entity concludes otherwise, then it is required to perform the first of a two-step impairment test.</w:t>
      </w:r>
    </w:p>
    <w:p>
      <w:pPr>
        <w:spacing w:after="0" w:line="184" w:lineRule="exact"/>
        <w:rPr>
          <w:sz w:val="20"/>
          <w:szCs w:val="20"/>
          <w:color w:val="auto"/>
        </w:rPr>
      </w:pPr>
    </w:p>
    <w:p>
      <w:pPr>
        <w:ind w:right="20" w:firstLine="333"/>
        <w:spacing w:after="0" w:line="265" w:lineRule="auto"/>
        <w:rPr>
          <w:sz w:val="20"/>
          <w:szCs w:val="20"/>
          <w:color w:val="auto"/>
        </w:rPr>
      </w:pPr>
      <w:r>
        <w:rPr>
          <w:rFonts w:ascii="Arial" w:cs="Arial" w:eastAsia="Arial" w:hAnsi="Arial"/>
          <w:sz w:val="17"/>
          <w:szCs w:val="17"/>
          <w:color w:val="auto"/>
        </w:rPr>
        <w:t>The first step involves comparing the estimated fair value of the reporting unit with its respective book value, including goodwill. If the estimated fair value exceeds book value, goodwill is considered not to be impaired and no additional steps are necessary. If the carrying amount of goodwill exceeds the implied fair value of the goodwill, an impairment loss is recognized in an amount equal to the excess.</w:t>
      </w:r>
    </w:p>
    <w:p>
      <w:pPr>
        <w:spacing w:after="0" w:line="180" w:lineRule="exact"/>
        <w:rPr>
          <w:sz w:val="20"/>
          <w:szCs w:val="20"/>
          <w:color w:val="auto"/>
        </w:rPr>
      </w:pPr>
    </w:p>
    <w:p>
      <w:pPr>
        <w:jc w:val="both"/>
        <w:ind w:right="360" w:firstLine="333"/>
        <w:spacing w:after="0" w:line="316" w:lineRule="auto"/>
        <w:rPr>
          <w:sz w:val="20"/>
          <w:szCs w:val="20"/>
          <w:color w:val="auto"/>
        </w:rPr>
      </w:pPr>
      <w:r>
        <w:rPr>
          <w:rFonts w:ascii="Arial" w:cs="Arial" w:eastAsia="Arial" w:hAnsi="Arial"/>
          <w:sz w:val="15"/>
          <w:szCs w:val="15"/>
          <w:color w:val="auto"/>
        </w:rPr>
        <w:t>The Company tests for goodwill impairment on each of its one reporting unit, which is at the operating segment or one level below the operating segment. This analysis requires us to make a series of critical assumptions to (1) evaluate whether any impairment exists and (2) measure the amount of impairment. There was no impairment of goodwill or intangible assets for the years ended December 31, 2017 and 2018 and the six months ended June 30, 2018 and 2019 (unaudited).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 Warrants</w:t>
      </w:r>
    </w:p>
    <w:p>
      <w:pPr>
        <w:spacing w:after="0" w:line="222" w:lineRule="exact"/>
        <w:rPr>
          <w:sz w:val="20"/>
          <w:szCs w:val="20"/>
          <w:color w:val="auto"/>
        </w:rPr>
      </w:pPr>
    </w:p>
    <w:p>
      <w:pPr>
        <w:ind w:right="40" w:firstLine="336"/>
        <w:spacing w:after="0" w:line="259" w:lineRule="auto"/>
        <w:rPr>
          <w:sz w:val="20"/>
          <w:szCs w:val="20"/>
          <w:color w:val="auto"/>
        </w:rPr>
      </w:pPr>
      <w:r>
        <w:rPr>
          <w:rFonts w:ascii="Arial" w:cs="Arial" w:eastAsia="Arial" w:hAnsi="Arial"/>
          <w:sz w:val="17"/>
          <w:szCs w:val="17"/>
          <w:color w:val="auto"/>
        </w:rPr>
        <w:t>Freestanding warrants to purchase the Company's convertible preferred stock are classified as liabilities on the accompanying consolidated balance sheets. The convertible preferred stock warrants are recorded as liabilities because the underlying shares of convertible preferred stock are contingently redeemable, upon a deemed liquidation event which may obligate the Company to transfer assets at some point in the future to settle these warrants. The warrants are recorded at estimated fair value and are subject to remeasurement at each balance sheet date and recorded in Other Income (expense), in the accompanying consolidated statement of operations and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22" w:lineRule="exact"/>
        <w:rPr>
          <w:sz w:val="20"/>
          <w:szCs w:val="20"/>
          <w:color w:val="auto"/>
        </w:rPr>
      </w:pPr>
    </w:p>
    <w:p>
      <w:pPr>
        <w:ind w:firstLine="333"/>
        <w:spacing w:after="0" w:line="261" w:lineRule="auto"/>
        <w:rPr>
          <w:sz w:val="20"/>
          <w:szCs w:val="20"/>
          <w:color w:val="auto"/>
        </w:rPr>
      </w:pPr>
      <w:r>
        <w:rPr>
          <w:rFonts w:ascii="Arial" w:cs="Arial" w:eastAsia="Arial" w:hAnsi="Arial"/>
          <w:sz w:val="17"/>
          <w:szCs w:val="17"/>
          <w:color w:val="auto"/>
        </w:rPr>
        <w:t xml:space="preserve">The Company accounts for share-based compensation awards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share-based payments, including grants of stock options, to be recognized in the consolidated statements of operations and comprehensive income (loss) based on their respective fair values. For non-employee awards a measurement date is normally reached when performance is completed, and the fair value is remeasured as the stock options vest.</w:t>
      </w:r>
    </w:p>
    <w:p>
      <w:pPr>
        <w:spacing w:after="0" w:line="184" w:lineRule="exact"/>
        <w:rPr>
          <w:sz w:val="20"/>
          <w:szCs w:val="20"/>
          <w:color w:val="auto"/>
        </w:rPr>
      </w:pPr>
    </w:p>
    <w:p>
      <w:pPr>
        <w:ind w:right="40" w:firstLine="333"/>
        <w:spacing w:after="0" w:line="299" w:lineRule="auto"/>
        <w:rPr>
          <w:sz w:val="20"/>
          <w:szCs w:val="20"/>
          <w:color w:val="auto"/>
        </w:rPr>
      </w:pPr>
      <w:r>
        <w:rPr>
          <w:rFonts w:ascii="Arial" w:cs="Arial" w:eastAsia="Arial" w:hAnsi="Arial"/>
          <w:sz w:val="15"/>
          <w:szCs w:val="15"/>
          <w:color w:val="auto"/>
        </w:rPr>
        <w:t>The fair value of the Company's stock options has been determined using the Black-Scholes option-pricing model, which requires the input of subjective assumptions, including (i) the expected stock price volatility, (ii) the expected term of the award, (iii) the risk-free interest rate and (iv) expected dividends. Due to the lack of historical and implied volatility data of the Company's common stock, the expected stock price volatility has been estimated based on the historical volatilities of a specified group of companies in Progyny's industry for a period equal to the expected life of the option. Progyny selected companies with comparable characteristics to the Company,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ind w:right="20" w:firstLine="333"/>
        <w:spacing w:after="0" w:line="259" w:lineRule="auto"/>
        <w:rPr>
          <w:sz w:val="20"/>
          <w:szCs w:val="20"/>
          <w:color w:val="auto"/>
        </w:rPr>
      </w:pPr>
      <w:r>
        <w:rPr>
          <w:rFonts w:ascii="Arial" w:cs="Arial" w:eastAsia="Arial" w:hAnsi="Arial"/>
          <w:sz w:val="17"/>
          <w:szCs w:val="17"/>
          <w:color w:val="auto"/>
        </w:rPr>
        <w:t>The expected life of the options granted represents the period of time that options granted are expected to be outstanding and is calculated using the simplified method, which is the mid-point between the vesting date and the end of the contractual term for each option. We have estimated the expected term of non-employee service-based and performance-based awards based on the remaining contractual term of such awards. The risk-free interest rate is based on a zero coupon, United States Treasury instrument whose term is consistent with the expected life of the stock option. The Company has not paid, and does not anticipate paying, cash dividends on its shares of common stock; therefore, the expected dividend yield is zero.</w:t>
      </w:r>
    </w:p>
    <w:p>
      <w:pPr>
        <w:spacing w:after="0" w:line="187" w:lineRule="exact"/>
        <w:rPr>
          <w:sz w:val="20"/>
          <w:szCs w:val="20"/>
          <w:color w:val="auto"/>
        </w:rPr>
      </w:pPr>
    </w:p>
    <w:p>
      <w:pPr>
        <w:jc w:val="both"/>
        <w:ind w:right="320" w:firstLine="336"/>
        <w:spacing w:after="0" w:line="316" w:lineRule="auto"/>
        <w:rPr>
          <w:sz w:val="20"/>
          <w:szCs w:val="20"/>
          <w:color w:val="auto"/>
        </w:rPr>
      </w:pPr>
      <w:r>
        <w:rPr>
          <w:rFonts w:ascii="Arial" w:cs="Arial" w:eastAsia="Arial" w:hAnsi="Arial"/>
          <w:sz w:val="15"/>
          <w:szCs w:val="15"/>
          <w:color w:val="auto"/>
        </w:rPr>
        <w:t xml:space="preserve">Effective January 1, 2018, the Company adopted ASU 2016-09,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which in turn resulted in a change in accounting policy to account for forfeitures as they occur. Prior to January 1, 2018, forfeitures were estimated at the date of grant and revised, if necessary, in subsequent periods if actual forfeitures differed from those estimates. The adoption resulted in a transition adjustment of $213,000, recorded to Accumulated deficit.</w:t>
      </w:r>
    </w:p>
    <w:p>
      <w:pPr>
        <w:spacing w:after="0" w:line="146" w:lineRule="exact"/>
        <w:rPr>
          <w:sz w:val="20"/>
          <w:szCs w:val="20"/>
          <w:color w:val="auto"/>
        </w:rPr>
      </w:pPr>
    </w:p>
    <w:p>
      <w:pPr>
        <w:ind w:right="220" w:firstLine="333"/>
        <w:spacing w:after="0" w:line="289" w:lineRule="auto"/>
        <w:rPr>
          <w:sz w:val="20"/>
          <w:szCs w:val="20"/>
          <w:color w:val="auto"/>
        </w:rPr>
      </w:pPr>
      <w:r>
        <w:rPr>
          <w:rFonts w:ascii="Arial" w:cs="Arial" w:eastAsia="Arial" w:hAnsi="Arial"/>
          <w:sz w:val="16"/>
          <w:szCs w:val="16"/>
          <w:color w:val="auto"/>
        </w:rPr>
        <w:t>The Company's share-based awards are subject to either service-based or performance-based vesting conditions. The Company recognizes compensation expense for service-based awards over the vesting period of the award on a straight-line basis. Compensation expense related to awards with performance-based vesting conditions is recognized when achievement of the performance condition is considered probable over the requisite service period.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Valuation</w:t>
      </w:r>
    </w:p>
    <w:p>
      <w:pPr>
        <w:spacing w:after="0" w:line="222" w:lineRule="exact"/>
        <w:rPr>
          <w:sz w:val="20"/>
          <w:szCs w:val="20"/>
          <w:color w:val="auto"/>
        </w:rPr>
      </w:pPr>
    </w:p>
    <w:p>
      <w:pPr>
        <w:ind w:right="300" w:firstLine="333"/>
        <w:spacing w:after="0" w:line="289" w:lineRule="auto"/>
        <w:rPr>
          <w:sz w:val="20"/>
          <w:szCs w:val="20"/>
          <w:color w:val="auto"/>
        </w:rPr>
      </w:pPr>
      <w:r>
        <w:rPr>
          <w:rFonts w:ascii="Arial" w:cs="Arial" w:eastAsia="Arial" w:hAnsi="Arial"/>
          <w:sz w:val="16"/>
          <w:szCs w:val="16"/>
          <w:color w:val="auto"/>
        </w:rPr>
        <w:t>The Company has historically granted stock options at exercise prices equal to the fair value as determined by the Board of Directors on the date of grant. In the absence of a public trading market, the Board of Directors, with input from management, exercised significant judgement and considered numerous objective and subjective factors to determine the fair value of the Company's common stock as of the date of each stock option grant, including:</w:t>
      </w:r>
    </w:p>
    <w:p>
      <w:pPr>
        <w:spacing w:after="0" w:line="176" w:lineRule="exact"/>
        <w:rPr>
          <w:sz w:val="20"/>
          <w:szCs w:val="20"/>
          <w:color w:val="auto"/>
        </w:rPr>
      </w:pPr>
    </w:p>
    <w:p>
      <w:pPr>
        <w:ind w:left="1040" w:hanging="519"/>
        <w:spacing w:after="0"/>
        <w:tabs>
          <w:tab w:leader="none" w:pos="10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Company's financial performance</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rights, preferences and privileges of the convertible preferred stock relative to those of the common stock; and</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general economic and financial conditions, and the trends specific to the markets in which the Company operates</w:t>
      </w:r>
    </w:p>
    <w:p>
      <w:pPr>
        <w:spacing w:after="0" w:line="218" w:lineRule="exact"/>
        <w:rPr>
          <w:sz w:val="20"/>
          <w:szCs w:val="20"/>
          <w:color w:val="auto"/>
        </w:rPr>
      </w:pPr>
    </w:p>
    <w:p>
      <w:pPr>
        <w:ind w:firstLine="336"/>
        <w:spacing w:after="0" w:line="316" w:lineRule="auto"/>
        <w:rPr>
          <w:sz w:val="20"/>
          <w:szCs w:val="20"/>
          <w:color w:val="auto"/>
        </w:rPr>
      </w:pPr>
      <w:r>
        <w:rPr>
          <w:rFonts w:ascii="Arial" w:cs="Arial" w:eastAsia="Arial" w:hAnsi="Arial"/>
          <w:sz w:val="15"/>
          <w:szCs w:val="15"/>
          <w:color w:val="auto"/>
        </w:rPr>
        <w:t xml:space="preserve">In addition, the Board of Directors considered the independent valuations completed by a third-party valuation consultant. The valuations of the Company's common stock were determined in accordance with the guidelines outlined in the </w:t>
      </w:r>
      <w:r>
        <w:rPr>
          <w:rFonts w:ascii="Arial" w:cs="Arial" w:eastAsia="Arial" w:hAnsi="Arial"/>
          <w:sz w:val="15"/>
          <w:szCs w:val="15"/>
          <w:i w:val="1"/>
          <w:iCs w:val="1"/>
          <w:color w:val="auto"/>
        </w:rPr>
        <w:t>American Institute of Certified Public Accountants Practice Aid, Valuation of Privately-Held-Company Equity Securities Issued as Compensation</w:t>
      </w:r>
      <w:r>
        <w:rPr>
          <w:rFonts w:ascii="Arial" w:cs="Arial" w:eastAsia="Arial" w:hAnsi="Arial"/>
          <w:sz w:val="15"/>
          <w:szCs w:val="15"/>
          <w:color w:val="auto"/>
        </w:rPr>
        <w:t>. In performing these valuations, a variety of relevant factors were considered including, but not limited to:</w:t>
      </w:r>
    </w:p>
    <w:p>
      <w:pPr>
        <w:spacing w:after="0" w:line="159" w:lineRule="exact"/>
        <w:rPr>
          <w:sz w:val="20"/>
          <w:szCs w:val="20"/>
          <w:color w:val="auto"/>
        </w:rPr>
      </w:pPr>
    </w:p>
    <w:p>
      <w:pPr>
        <w:ind w:left="1040" w:hanging="519"/>
        <w:spacing w:after="0"/>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prices of common or preferred stock sold to third-party investors by the Company and in secondary transactions;</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lack of marketability of the Company's common stock;</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Company's actual operating and financial performance;</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current business conditions and projections;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ind w:left="180" w:hanging="177"/>
        <w:spacing w:after="0"/>
        <w:tabs>
          <w:tab w:leader="none" w:pos="18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235" w:lineRule="exact"/>
        <w:rPr>
          <w:rFonts w:ascii="Arial" w:cs="Arial" w:eastAsia="Arial" w:hAnsi="Arial"/>
          <w:sz w:val="17"/>
          <w:szCs w:val="17"/>
          <w:b w:val="1"/>
          <w:bCs w:val="1"/>
          <w:color w:val="auto"/>
        </w:rPr>
      </w:pPr>
    </w:p>
    <w:p>
      <w:pPr>
        <w:ind w:left="1040" w:hanging="519"/>
        <w:spacing w:after="0"/>
        <w:tabs>
          <w:tab w:leader="none" w:pos="10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hiring of key personnel and the experience of the Company's management;</w:t>
      </w:r>
    </w:p>
    <w:p>
      <w:pPr>
        <w:spacing w:after="0" w:line="244" w:lineRule="exact"/>
        <w:rPr>
          <w:rFonts w:ascii="Arial" w:cs="Arial" w:eastAsia="Arial" w:hAnsi="Arial"/>
          <w:sz w:val="17"/>
          <w:szCs w:val="17"/>
          <w:color w:val="auto"/>
        </w:rPr>
      </w:pPr>
    </w:p>
    <w:p>
      <w:pPr>
        <w:ind w:left="1040" w:hanging="519"/>
        <w:spacing w:after="0"/>
        <w:tabs>
          <w:tab w:leader="none" w:pos="10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history of the Company and the introduction of new services;</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our stage of development;</w:t>
      </w:r>
    </w:p>
    <w:p>
      <w:pPr>
        <w:spacing w:after="0" w:line="231" w:lineRule="exact"/>
        <w:rPr>
          <w:rFonts w:ascii="Arial" w:cs="Arial" w:eastAsia="Arial" w:hAnsi="Arial"/>
          <w:sz w:val="17"/>
          <w:szCs w:val="17"/>
          <w:color w:val="auto"/>
        </w:rPr>
      </w:pPr>
    </w:p>
    <w:p>
      <w:pPr>
        <w:ind w:left="1040" w:right="280" w:hanging="519"/>
        <w:spacing w:after="0" w:line="276" w:lineRule="auto"/>
        <w:tabs>
          <w:tab w:leader="none" w:pos="10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likelihood of achieving a liquidity event, such as an initial public offering, or IPO, or a merger or acquisition of the Company given prevailing market conditions;</w:t>
      </w:r>
    </w:p>
    <w:p>
      <w:pPr>
        <w:spacing w:after="0" w:line="197" w:lineRule="exact"/>
        <w:rPr>
          <w:rFonts w:ascii="Arial" w:cs="Arial" w:eastAsia="Arial" w:hAnsi="Arial"/>
          <w:sz w:val="17"/>
          <w:szCs w:val="17"/>
          <w:color w:val="auto"/>
        </w:rPr>
      </w:pPr>
    </w:p>
    <w:p>
      <w:pPr>
        <w:ind w:left="1040" w:hanging="519"/>
        <w:spacing w:after="0"/>
        <w:tabs>
          <w:tab w:leader="none" w:pos="10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market performance of comparable publicly traded companies; and</w:t>
      </w:r>
    </w:p>
    <w:p>
      <w:pPr>
        <w:spacing w:after="0" w:line="231" w:lineRule="exact"/>
        <w:rPr>
          <w:rFonts w:ascii="Arial" w:cs="Arial" w:eastAsia="Arial" w:hAnsi="Arial"/>
          <w:sz w:val="17"/>
          <w:szCs w:val="17"/>
          <w:color w:val="auto"/>
        </w:rPr>
      </w:pPr>
    </w:p>
    <w:p>
      <w:pPr>
        <w:ind w:left="1040" w:hanging="519"/>
        <w:spacing w:after="0"/>
        <w:tabs>
          <w:tab w:leader="none" w:pos="10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U.S. and global capital market conditions.</w:t>
      </w:r>
    </w:p>
    <w:p>
      <w:pPr>
        <w:spacing w:after="0" w:line="218" w:lineRule="exact"/>
        <w:rPr>
          <w:sz w:val="20"/>
          <w:szCs w:val="20"/>
          <w:color w:val="auto"/>
        </w:rPr>
      </w:pPr>
    </w:p>
    <w:p>
      <w:pPr>
        <w:jc w:val="both"/>
        <w:ind w:firstLine="336"/>
        <w:spacing w:after="0" w:line="307" w:lineRule="auto"/>
        <w:rPr>
          <w:sz w:val="20"/>
          <w:szCs w:val="20"/>
          <w:color w:val="auto"/>
        </w:rPr>
      </w:pPr>
      <w:r>
        <w:rPr>
          <w:rFonts w:ascii="Arial" w:cs="Arial" w:eastAsia="Arial" w:hAnsi="Arial"/>
          <w:sz w:val="15"/>
          <w:szCs w:val="15"/>
          <w:color w:val="auto"/>
        </w:rPr>
        <w:t>In valuing the Company's common stock, its Board of Directors determined the equity value of its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the Company's industry or similar business operations as of each valuation date and is adjusted to reflect the risks inherent in its cash flows.</w:t>
      </w:r>
    </w:p>
    <w:p>
      <w:pPr>
        <w:spacing w:after="0" w:line="152" w:lineRule="exact"/>
        <w:rPr>
          <w:sz w:val="20"/>
          <w:szCs w:val="20"/>
          <w:color w:val="auto"/>
        </w:rPr>
      </w:pPr>
    </w:p>
    <w:p>
      <w:pPr>
        <w:ind w:right="460" w:firstLine="336"/>
        <w:spacing w:after="0" w:line="345" w:lineRule="auto"/>
        <w:rPr>
          <w:sz w:val="20"/>
          <w:szCs w:val="20"/>
          <w:color w:val="auto"/>
        </w:rPr>
      </w:pPr>
      <w:r>
        <w:rPr>
          <w:rFonts w:ascii="Arial" w:cs="Arial" w:eastAsia="Arial" w:hAnsi="Arial"/>
          <w:sz w:val="15"/>
          <w:szCs w:val="15"/>
          <w:color w:val="auto"/>
        </w:rPr>
        <w:t>For each valuation, the equity value determined by the income and market approaches was then allocated to the common stock using either the option pricing method, or OPM, or a hybrid method. The hybrid method is a hybrid of the probability weighted expected return method, or PWERM, and OPM.</w:t>
      </w:r>
    </w:p>
    <w:p>
      <w:pPr>
        <w:spacing w:after="0" w:line="125" w:lineRule="exact"/>
        <w:rPr>
          <w:sz w:val="20"/>
          <w:szCs w:val="20"/>
          <w:color w:val="auto"/>
        </w:rPr>
      </w:pPr>
    </w:p>
    <w:p>
      <w:pPr>
        <w:ind w:right="80" w:firstLine="333"/>
        <w:spacing w:after="0" w:line="257" w:lineRule="auto"/>
        <w:rPr>
          <w:sz w:val="20"/>
          <w:szCs w:val="20"/>
          <w:color w:val="auto"/>
        </w:rPr>
      </w:pPr>
      <w:r>
        <w:rPr>
          <w:rFonts w:ascii="Arial" w:cs="Arial" w:eastAsia="Arial" w:hAnsi="Arial"/>
          <w:sz w:val="17"/>
          <w:szCs w:val="17"/>
          <w:color w:val="auto"/>
        </w:rPr>
        <w:t>The option pricing method is based on a binomial lattice model, which allows for the identification of a range of possible future outcomes, each with an associated probability.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IPO, as well as non-IPO market-based outcomes. In determining the fair value of the enterprise using the PWERM, the Company developed assumptions for an IPO liquidity event and the various outcomes that could yield. With the OPM model, the company assumed a stay private scenario. The Company's valuations prior to March 2019 were based on the OPM. Beginning in March 31, 2019, the Board of Directors valued the Company's common stock based on a hybrid method of the PWERM and the OPM.</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22" w:lineRule="exact"/>
        <w:rPr>
          <w:sz w:val="20"/>
          <w:szCs w:val="20"/>
          <w:color w:val="auto"/>
        </w:rPr>
      </w:pPr>
    </w:p>
    <w:p>
      <w:pPr>
        <w:ind w:right="100" w:firstLine="333"/>
        <w:spacing w:after="0" w:line="279" w:lineRule="auto"/>
        <w:rPr>
          <w:sz w:val="20"/>
          <w:szCs w:val="20"/>
          <w:color w:val="auto"/>
        </w:rPr>
      </w:pPr>
      <w:r>
        <w:rPr>
          <w:rFonts w:ascii="Arial" w:cs="Arial" w:eastAsia="Arial" w:hAnsi="Arial"/>
          <w:sz w:val="16"/>
          <w:szCs w:val="16"/>
          <w:color w:val="auto"/>
        </w:rPr>
        <w:t>The Company accounts for income taxes in accordance with FASB ASC Topic 740, Income Taxes ("ASC 740"). Deferred income taxes are recorded for the expected tax consequences of temporary differences between the tax basis of assets and liabilities for financial reporting purposes and amounts recognized for income tax purposes. The Company periodically reviews the recoverability of deferred tax assets recorded on the consolidated balance sheet and provides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ind w:firstLine="336"/>
        <w:spacing w:after="0" w:line="282" w:lineRule="auto"/>
        <w:rPr>
          <w:sz w:val="20"/>
          <w:szCs w:val="20"/>
          <w:color w:val="auto"/>
        </w:rPr>
      </w:pPr>
      <w:r>
        <w:rPr>
          <w:rFonts w:ascii="Arial" w:cs="Arial" w:eastAsia="Arial" w:hAnsi="Arial"/>
          <w:sz w:val="16"/>
          <w:szCs w:val="16"/>
          <w:color w:val="auto"/>
        </w:rPr>
        <w:t>Significant judgment is required in determining any valuation allowance recorded against deferred tax assets. In assessing the need for a valuation allowance, the Company considers all available evidence for each jurisdiction including past operating results, estimates of future taxable income and the feasibility of ongoing tax planning strategies. In the event the Company changes its determination as to the amount of deferred tax assets that can be realized, the Company will adjust its valuation allowance with a corresponding impact to income tax expense in the period in which such determination is made.</w:t>
      </w:r>
    </w:p>
    <w:p>
      <w:pPr>
        <w:spacing w:after="0" w:line="170" w:lineRule="exact"/>
        <w:rPr>
          <w:sz w:val="20"/>
          <w:szCs w:val="20"/>
          <w:color w:val="auto"/>
        </w:rPr>
      </w:pPr>
    </w:p>
    <w:p>
      <w:pPr>
        <w:ind w:right="40" w:firstLine="333"/>
        <w:spacing w:after="0" w:line="276" w:lineRule="auto"/>
        <w:rPr>
          <w:sz w:val="20"/>
          <w:szCs w:val="20"/>
          <w:color w:val="auto"/>
        </w:rPr>
      </w:pPr>
      <w:r>
        <w:rPr>
          <w:rFonts w:ascii="Arial" w:cs="Arial" w:eastAsia="Arial" w:hAnsi="Arial"/>
          <w:sz w:val="17"/>
          <w:szCs w:val="17"/>
          <w:color w:val="auto"/>
        </w:rPr>
        <w:t>The amount of deferred tax provided is calculated using tax rates enacted at the balance sheet date. The impact of tax law changes is recognized in periods when the change is enacted.</w:t>
      </w:r>
    </w:p>
    <w:p>
      <w:pPr>
        <w:spacing w:after="0" w:line="171" w:lineRule="exact"/>
        <w:rPr>
          <w:sz w:val="20"/>
          <w:szCs w:val="20"/>
          <w:color w:val="auto"/>
        </w:rPr>
      </w:pPr>
    </w:p>
    <w:p>
      <w:pPr>
        <w:jc w:val="both"/>
        <w:ind w:firstLine="327"/>
        <w:spacing w:after="0" w:line="261" w:lineRule="auto"/>
        <w:rPr>
          <w:sz w:val="20"/>
          <w:szCs w:val="20"/>
          <w:color w:val="auto"/>
        </w:rPr>
      </w:pPr>
      <w:r>
        <w:rPr>
          <w:rFonts w:ascii="Arial" w:cs="Arial" w:eastAsia="Arial" w:hAnsi="Arial"/>
          <w:sz w:val="17"/>
          <w:szCs w:val="17"/>
          <w:color w:val="auto"/>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w:t>
      </w:r>
    </w:p>
    <w:p>
      <w:pPr>
        <w:spacing w:after="0" w:line="184" w:lineRule="exact"/>
        <w:rPr>
          <w:sz w:val="20"/>
          <w:szCs w:val="20"/>
          <w:color w:val="auto"/>
        </w:rPr>
      </w:pPr>
    </w:p>
    <w:p>
      <w:pPr>
        <w:ind w:right="60" w:firstLine="333"/>
        <w:spacing w:after="0" w:line="261" w:lineRule="auto"/>
        <w:rPr>
          <w:sz w:val="20"/>
          <w:szCs w:val="20"/>
          <w:color w:val="auto"/>
        </w:rPr>
      </w:pPr>
      <w:r>
        <w:rPr>
          <w:rFonts w:ascii="Arial" w:cs="Arial" w:eastAsia="Arial" w:hAnsi="Arial"/>
          <w:sz w:val="17"/>
          <w:szCs w:val="17"/>
          <w:color w:val="auto"/>
        </w:rPr>
        <w:t>The Company's policy is to recognize interest and penalty expenses associated with uncertain tax positions as a component of income tax expense in the consolidated statements of operations and comprehensive income (loss). As of December 31, 2017, and 2018 and June 30, 2018 and 2019 (unaudited), the Company had no accrued interest or penalties related to uncertain tax positions and no amounts have been recognized in the Company's consolidated statements of operations and comprehensive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 and Fair Value Measurements</w:t>
      </w:r>
    </w:p>
    <w:p>
      <w:pPr>
        <w:spacing w:after="0" w:line="222" w:lineRule="exact"/>
        <w:rPr>
          <w:sz w:val="20"/>
          <w:szCs w:val="20"/>
          <w:color w:val="auto"/>
        </w:rPr>
      </w:pPr>
    </w:p>
    <w:p>
      <w:pPr>
        <w:ind w:right="520" w:firstLine="333"/>
        <w:spacing w:after="0" w:line="276" w:lineRule="auto"/>
        <w:rPr>
          <w:sz w:val="20"/>
          <w:szCs w:val="20"/>
          <w:color w:val="auto"/>
        </w:rPr>
      </w:pPr>
      <w:r>
        <w:rPr>
          <w:rFonts w:ascii="Arial" w:cs="Arial" w:eastAsia="Arial" w:hAnsi="Arial"/>
          <w:sz w:val="17"/>
          <w:szCs w:val="17"/>
          <w:color w:val="auto"/>
        </w:rPr>
        <w:t>The Company determines the fair value of financial assets and liabilities using the fair value hierarchy established in the accounting standards. The hierarchy describes three levels of inputs that may be used to measure fair value, as follows:</w:t>
      </w:r>
    </w:p>
    <w:p>
      <w:pPr>
        <w:spacing w:after="0" w:line="171"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Level 1—Quoted prices in active markets for identical assets and liabilities.</w:t>
      </w:r>
    </w:p>
    <w:p>
      <w:pPr>
        <w:spacing w:after="0" w:line="218" w:lineRule="exact"/>
        <w:rPr>
          <w:sz w:val="20"/>
          <w:szCs w:val="20"/>
          <w:color w:val="auto"/>
        </w:rPr>
      </w:pPr>
    </w:p>
    <w:p>
      <w:pPr>
        <w:jc w:val="both"/>
        <w:ind w:left="2140" w:right="1540" w:hanging="723"/>
        <w:spacing w:after="0" w:line="289" w:lineRule="auto"/>
        <w:rPr>
          <w:sz w:val="20"/>
          <w:szCs w:val="20"/>
          <w:color w:val="auto"/>
        </w:rPr>
      </w:pPr>
      <w:r>
        <w:rPr>
          <w:rFonts w:ascii="Arial" w:cs="Arial" w:eastAsia="Arial" w:hAnsi="Arial"/>
          <w:sz w:val="16"/>
          <w:szCs w:val="16"/>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3" w:lineRule="exact"/>
        <w:rPr>
          <w:sz w:val="20"/>
          <w:szCs w:val="20"/>
          <w:color w:val="auto"/>
        </w:rPr>
      </w:pPr>
    </w:p>
    <w:p>
      <w:pPr>
        <w:ind w:left="2140" w:right="1140" w:hanging="723"/>
        <w:spacing w:after="0" w:line="276" w:lineRule="auto"/>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ind w:right="40" w:firstLine="327"/>
        <w:spacing w:after="0" w:line="265"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of input that is significant to the fair value measurements. The Company's assessment of the significance of a particular input to the fair value measurement in its entirety requires management to make judgments and consider factors specific to the asset or liability.</w:t>
      </w:r>
    </w:p>
    <w:p>
      <w:pPr>
        <w:spacing w:after="0" w:line="180" w:lineRule="exact"/>
        <w:rPr>
          <w:sz w:val="20"/>
          <w:szCs w:val="20"/>
          <w:color w:val="auto"/>
        </w:rPr>
      </w:pPr>
    </w:p>
    <w:p>
      <w:pPr>
        <w:ind w:right="560" w:firstLine="333"/>
        <w:spacing w:after="0" w:line="276" w:lineRule="auto"/>
        <w:rPr>
          <w:sz w:val="20"/>
          <w:szCs w:val="20"/>
          <w:color w:val="auto"/>
        </w:rPr>
      </w:pPr>
      <w:r>
        <w:rPr>
          <w:rFonts w:ascii="Arial" w:cs="Arial" w:eastAsia="Arial" w:hAnsi="Arial"/>
          <w:sz w:val="17"/>
          <w:szCs w:val="17"/>
          <w:color w:val="auto"/>
        </w:rPr>
        <w:t>The carrying amounts of certain of the Company's financial instruments, including cash equivalents, accounts receivable accounts payable and the term loan approximate fair value due to their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short maturities. Warrants to purchase shares of the Company's convertible preferred stock are stated at fair value and remeasured at the end of each reporting period.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Income per Share Attributable to Common Stockholders</w:t>
      </w:r>
    </w:p>
    <w:p>
      <w:pPr>
        <w:spacing w:after="0" w:line="222" w:lineRule="exact"/>
        <w:rPr>
          <w:sz w:val="20"/>
          <w:szCs w:val="20"/>
          <w:color w:val="auto"/>
        </w:rPr>
      </w:pPr>
    </w:p>
    <w:p>
      <w:pPr>
        <w:ind w:right="220" w:firstLine="336"/>
        <w:spacing w:after="0" w:line="265" w:lineRule="auto"/>
        <w:rPr>
          <w:sz w:val="20"/>
          <w:szCs w:val="20"/>
          <w:color w:val="auto"/>
        </w:rPr>
      </w:pPr>
      <w:r>
        <w:rPr>
          <w:rFonts w:ascii="Arial" w:cs="Arial" w:eastAsia="Arial" w:hAnsi="Arial"/>
          <w:sz w:val="17"/>
          <w:szCs w:val="17"/>
          <w:color w:val="auto"/>
        </w:rPr>
        <w:t>Basic net (loss) income per share attributable to common stockholders is calculated by dividing the net (loss) income attributable to common stockholders by the weighted-average number of shares of common stock outstanding for the period. The Company adjusts its net (loss) income attributable to common stockholders to reflect the impact of deemed dividends recorded for convertible preferred stock during the period.</w:t>
      </w:r>
    </w:p>
    <w:p>
      <w:pPr>
        <w:spacing w:after="0" w:line="180" w:lineRule="exact"/>
        <w:rPr>
          <w:sz w:val="20"/>
          <w:szCs w:val="20"/>
          <w:color w:val="auto"/>
        </w:rPr>
      </w:pPr>
    </w:p>
    <w:p>
      <w:pPr>
        <w:ind w:right="40" w:firstLine="333"/>
        <w:spacing w:after="0" w:line="276" w:lineRule="auto"/>
        <w:rPr>
          <w:sz w:val="20"/>
          <w:szCs w:val="20"/>
          <w:color w:val="auto"/>
        </w:rPr>
      </w:pPr>
      <w:r>
        <w:rPr>
          <w:rFonts w:ascii="Arial" w:cs="Arial" w:eastAsia="Arial" w:hAnsi="Arial"/>
          <w:sz w:val="16"/>
          <w:szCs w:val="16"/>
          <w:color w:val="auto"/>
        </w:rPr>
        <w:t>The Company's convertible preferred stock was entitled to receive noncumulative dividends, prior and in preference to any declaration or payment of any dividend on common stock and thereafter participate pro rata on an as-converted basis with the common stockholders in any distributions to common stockholders and were therefore considered to be participating securities. As a result, the Company calculated the net (loss) income per share using the two-class method. Accordingly, the net (loss) income attributable to common stockholders is derived from the net (loss) income for the period and, in periods in which the Company has net income attributable to common stockholders, an adjustment is made for the allocations of undistributed earnings to participating securities based on their outstanding shareholder rights. Under the two-class method, the net loss attributable to common stockholders is not allocated to the convertible preferred stock as the convertible preferred stockholders did not have a contractual obligation to share in the Company's losses.</w:t>
      </w:r>
    </w:p>
    <w:p>
      <w:pPr>
        <w:spacing w:after="0" w:line="175" w:lineRule="exact"/>
        <w:rPr>
          <w:sz w:val="20"/>
          <w:szCs w:val="20"/>
          <w:color w:val="auto"/>
        </w:rPr>
      </w:pPr>
    </w:p>
    <w:p>
      <w:pPr>
        <w:ind w:firstLine="336"/>
        <w:spacing w:after="0" w:line="257" w:lineRule="auto"/>
        <w:rPr>
          <w:sz w:val="20"/>
          <w:szCs w:val="20"/>
          <w:color w:val="auto"/>
        </w:rPr>
      </w:pPr>
      <w:r>
        <w:rPr>
          <w:rFonts w:ascii="Arial" w:cs="Arial" w:eastAsia="Arial" w:hAnsi="Arial"/>
          <w:sz w:val="17"/>
          <w:szCs w:val="17"/>
          <w:color w:val="auto"/>
        </w:rPr>
        <w:t>Diluted net (loss) income attributable to common stockholders is computed by adjusting (loss) income attributable to common stockholders to allocate undistributed earnings based on the potential impact of dilutive securities, including outstanding stock options, convertible preferred stock, convertible preferred stock warrants, and common stock warrants. Diluted net (loss) income per share attributable to common stockholders is computed by dividing the diluted net income (loss) attributable to common stockholders by the weighted average number of common shares outstanding for the period, including common stock equivalents. In periods when the Company has incurred a net loss, convertible preferred stock, options to purchase common stock, convertible preferred stock warrants, and common stock warrants are considered common stock equivalents but have been excluded from the calculation of diluted net loss per share attributable to common stockholders as their effect is antidilutive.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22" w:lineRule="exact"/>
        <w:rPr>
          <w:sz w:val="20"/>
          <w:szCs w:val="20"/>
          <w:color w:val="auto"/>
        </w:rPr>
      </w:pPr>
    </w:p>
    <w:p>
      <w:pPr>
        <w:ind w:right="80" w:firstLine="336"/>
        <w:spacing w:after="0" w:line="299" w:lineRule="auto"/>
        <w:rPr>
          <w:sz w:val="20"/>
          <w:szCs w:val="20"/>
          <w:color w:val="auto"/>
        </w:rPr>
      </w:pPr>
      <w:r>
        <w:rPr>
          <w:rFonts w:ascii="Arial" w:cs="Arial" w:eastAsia="Arial" w:hAnsi="Arial"/>
          <w:sz w:val="15"/>
          <w:szCs w:val="15"/>
          <w:color w:val="auto"/>
        </w:rPr>
        <w:t>In May 2014, the Financial Accounting Standards Board ("FASB") issued Accounting Standards Update ("ASU") 2014-09, Revenue from Contracts with Customers (Topic 606), to achieve a consistent application of revenue recognition within the U.S., resulting in a single revenue model to be applied by reporting companies under GAAP. Under the new model, recognition of revenue occurs when a customer obtains control of promised goods or services in an amount that reflects the consideration to which the entity expects to be entitled in exchange for those goods or services. In addition, the revised guidance required that reporting companies disclose the nature, amount, timing, and uncertainty of revenue and cash flows arising from contracts with customers. The Company adopted this standard on January 1, 2019 using the full retrospective approach. The adoption of the new standard had an immaterial impact on the consolidated financial statements.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ind w:firstLine="336"/>
        <w:spacing w:after="0" w:line="289"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requiring companies to classify all deferred tax assets and liabilities as noncurrent on the balance sheet instead of separating deferred taxes into current and noncurrent amounts. The Company prospectively adopted this guidance effective January 1, 2018, which did not have a significant effect on the Company's consolidated financial statements.</w:t>
      </w:r>
    </w:p>
    <w:p>
      <w:pPr>
        <w:spacing w:after="0" w:line="163" w:lineRule="exact"/>
        <w:rPr>
          <w:sz w:val="20"/>
          <w:szCs w:val="20"/>
          <w:color w:val="auto"/>
        </w:rPr>
      </w:pPr>
    </w:p>
    <w:p>
      <w:pPr>
        <w:ind w:right="60" w:firstLine="336"/>
        <w:spacing w:after="0" w:line="25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("ASC 718")</w:t>
      </w:r>
      <w:r>
        <w:rPr>
          <w:rFonts w:ascii="Arial" w:cs="Arial" w:eastAsia="Arial" w:hAnsi="Arial"/>
          <w:sz w:val="17"/>
          <w:szCs w:val="17"/>
          <w:color w:val="auto"/>
        </w:rPr>
        <w:t>: Improvements to Employee Share-Based Payment Accounting, which changes the accounting for share-based payment transactions, including income tax consequences, classification of awards as either equity or liabilities, and classification in the statement of cash flows. The Company adopted this standard on a prospective basis as of January 1, 2018, which resulted in a transition adjustment of $213,000, recorded through Accumulated deficit. The adoption had no other effect on the net deferred tax balances, the consolidated statement of cash flows or otherwise on its consolidated financial statements.</w:t>
      </w:r>
    </w:p>
    <w:p>
      <w:pPr>
        <w:spacing w:after="0" w:line="187" w:lineRule="exact"/>
        <w:rPr>
          <w:sz w:val="20"/>
          <w:szCs w:val="20"/>
          <w:color w:val="auto"/>
        </w:rPr>
      </w:pPr>
    </w:p>
    <w:p>
      <w:pPr>
        <w:ind w:right="200" w:firstLine="336"/>
        <w:spacing w:after="0" w:line="316" w:lineRule="auto"/>
        <w:rPr>
          <w:sz w:val="20"/>
          <w:szCs w:val="20"/>
          <w:color w:val="auto"/>
        </w:rPr>
      </w:pPr>
      <w:r>
        <w:rPr>
          <w:rFonts w:ascii="Arial" w:cs="Arial" w:eastAsia="Arial" w:hAnsi="Arial"/>
          <w:sz w:val="15"/>
          <w:szCs w:val="15"/>
          <w:color w:val="auto"/>
        </w:rPr>
        <w:t xml:space="preserve">In September 2016, the FASB issued ASU No. 2016-15, </w:t>
      </w:r>
      <w:r>
        <w:rPr>
          <w:rFonts w:ascii="Arial" w:cs="Arial" w:eastAsia="Arial" w:hAnsi="Arial"/>
          <w:sz w:val="15"/>
          <w:szCs w:val="15"/>
          <w:i w:val="1"/>
          <w:iCs w:val="1"/>
          <w:color w:val="auto"/>
        </w:rPr>
        <w:t>Statement of Cash Flows ("ASC 230"): Classification of Certain Cash Receipts and Cash Payments (a</w:t>
      </w:r>
      <w:r>
        <w:rPr>
          <w:rFonts w:ascii="Arial" w:cs="Arial" w:eastAsia="Arial" w:hAnsi="Arial"/>
          <w:sz w:val="15"/>
          <w:szCs w:val="15"/>
          <w:color w:val="auto"/>
        </w:rPr>
        <w:t xml:space="preserve"> </w:t>
      </w:r>
      <w:r>
        <w:rPr>
          <w:rFonts w:ascii="Arial" w:cs="Arial" w:eastAsia="Arial" w:hAnsi="Arial"/>
          <w:sz w:val="15"/>
          <w:szCs w:val="15"/>
          <w:i w:val="1"/>
          <w:iCs w:val="1"/>
          <w:color w:val="auto"/>
        </w:rPr>
        <w:t>consensus of the Emerging Issues Task Force)</w:t>
      </w:r>
      <w:r>
        <w:rPr>
          <w:rFonts w:ascii="Arial" w:cs="Arial" w:eastAsia="Arial" w:hAnsi="Arial"/>
          <w:sz w:val="15"/>
          <w:szCs w:val="15"/>
          <w:color w:val="auto"/>
        </w:rPr>
        <w:t>, which changes how certain cash receipts and cash payments are presented and classified in the statement of cash flows.</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adopted this guidance effective January 1, 2018, which did not have a significant effect on the Company's consolidated financial statements.</w:t>
      </w:r>
    </w:p>
    <w:p>
      <w:pPr>
        <w:spacing w:after="0" w:line="146" w:lineRule="exact"/>
        <w:rPr>
          <w:sz w:val="20"/>
          <w:szCs w:val="20"/>
          <w:color w:val="auto"/>
        </w:rPr>
      </w:pPr>
    </w:p>
    <w:p>
      <w:pPr>
        <w:ind w:right="40" w:firstLine="336"/>
        <w:spacing w:after="0" w:line="279"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Simplifying the Test for Goodwill Impairment,</w:t>
      </w:r>
      <w:r>
        <w:rPr>
          <w:rFonts w:ascii="Arial" w:cs="Arial" w:eastAsia="Arial" w:hAnsi="Arial"/>
          <w:sz w:val="16"/>
          <w:szCs w:val="16"/>
          <w:color w:val="auto"/>
        </w:rPr>
        <w:t xml:space="preserve"> to simplify the subsequent measurement of goodwill by eliminating Step 2 from the goodwill impairment test. The new standard requires goodwill impairment to be based upon the results of Step 1 of the goodwill impairment test, which evaluates the extent, if any, by which the carrying value of a reporting unit exceeds its fair value, with any resulting impairment not exceeding the carrying amount of goodwill. The Company early adopted ASU 2017-04 on a prospective basis effective January 1, 2018. The adoption of this guidance did not have a significant effect on the Company's consolidated financial statements.</w:t>
      </w:r>
    </w:p>
    <w:p>
      <w:pPr>
        <w:spacing w:after="0" w:line="172" w:lineRule="exact"/>
        <w:rPr>
          <w:sz w:val="20"/>
          <w:szCs w:val="20"/>
          <w:color w:val="auto"/>
        </w:rPr>
      </w:pPr>
    </w:p>
    <w:p>
      <w:pPr>
        <w:ind w:right="60" w:firstLine="336"/>
        <w:spacing w:after="0" w:line="282"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The new standard clarifies the definition of a business to assist entities with evaluating whether transactions should be accounted for as acquisitions (or disposals) of assets or businesses. The new standard is effective for the Company for fiscal years beginning after December 15, 2018 and interim periods within annual periods beginning after December 15, 2019. The Company adopted this guidance effective January 1, 2019, which did not have a significant effect on the Company's consolidated financial statements.</w:t>
      </w:r>
    </w:p>
    <w:p>
      <w:pPr>
        <w:spacing w:after="0" w:line="170" w:lineRule="exact"/>
        <w:rPr>
          <w:sz w:val="20"/>
          <w:szCs w:val="20"/>
          <w:color w:val="auto"/>
        </w:rPr>
      </w:pPr>
    </w:p>
    <w:p>
      <w:pPr>
        <w:ind w:right="120" w:firstLine="336"/>
        <w:spacing w:after="0" w:line="276"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The amendments provide guidance on determining which changes to the terms and conditions of share-based payment awards require an entity to apply modification accounting under ASC 718. An entity should account for the effects of a modification unless all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2"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award is modified. 3. The classification of the modified award as an equity instrument or a liability instrument is the same as the classification of the original award immediately before the original award is modified. The Company adopted the guidance effective January 1, 2018. The adoption of this guidance did not have a significant effect on the Company's consolidated financial statements.</w:t>
      </w:r>
    </w:p>
    <w:p>
      <w:pPr>
        <w:spacing w:after="0" w:line="180" w:lineRule="exact"/>
        <w:rPr>
          <w:sz w:val="20"/>
          <w:szCs w:val="20"/>
          <w:color w:val="auto"/>
        </w:rPr>
      </w:pPr>
    </w:p>
    <w:p>
      <w:pPr>
        <w:ind w:right="180" w:firstLine="336"/>
        <w:spacing w:after="0" w:line="259" w:lineRule="auto"/>
        <w:rPr>
          <w:sz w:val="20"/>
          <w:szCs w:val="20"/>
          <w:color w:val="auto"/>
        </w:rPr>
      </w:pPr>
      <w:r>
        <w:rPr>
          <w:rFonts w:ascii="Arial" w:cs="Arial" w:eastAsia="Arial" w:hAnsi="Arial"/>
          <w:sz w:val="17"/>
          <w:szCs w:val="17"/>
          <w:color w:val="auto"/>
        </w:rPr>
        <w:t xml:space="preserve">In March 2018, the FASB issued ASU No. 2018-05, </w:t>
      </w:r>
      <w:r>
        <w:rPr>
          <w:rFonts w:ascii="Arial" w:cs="Arial" w:eastAsia="Arial" w:hAnsi="Arial"/>
          <w:sz w:val="17"/>
          <w:szCs w:val="17"/>
          <w:i w:val="1"/>
          <w:iCs w:val="1"/>
          <w:color w:val="auto"/>
        </w:rPr>
        <w:t>Income Taxes (ASC 740)</w:t>
      </w:r>
      <w:r>
        <w:rPr>
          <w:rFonts w:ascii="Arial" w:cs="Arial" w:eastAsia="Arial" w:hAnsi="Arial"/>
          <w:sz w:val="17"/>
          <w:szCs w:val="17"/>
          <w:color w:val="auto"/>
        </w:rPr>
        <w:t>, to conform to SEC Staff Accounting Bulletin No. 118 ("SAB 118"). The standard was issued to allow registrants to record provisional amounts during a measurement period not to extend beyond one year from the enactment date in instances when a registrant does not have the necessary information available, prepared, or analyzed in reasonable detail to complete the accounting for certain income tax effects of the Tax Cuts and Jobs Act (the "Tax Reform Act"). The standard was effective upon issuance. The adoption of this guidance did not have a significant effect on the Company's consolidated financial statements.</w:t>
      </w:r>
    </w:p>
    <w:p>
      <w:pPr>
        <w:spacing w:after="0" w:line="187" w:lineRule="exact"/>
        <w:rPr>
          <w:sz w:val="20"/>
          <w:szCs w:val="20"/>
          <w:color w:val="auto"/>
        </w:rPr>
      </w:pPr>
    </w:p>
    <w:p>
      <w:pPr>
        <w:ind w:right="100" w:firstLine="336"/>
        <w:spacing w:after="0" w:line="261"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(ASC 718): Improvements to Employee Share-Based Payment Accounting</w:t>
      </w:r>
      <w:r>
        <w:rPr>
          <w:rFonts w:ascii="Arial" w:cs="Arial" w:eastAsia="Arial" w:hAnsi="Arial"/>
          <w:sz w:val="17"/>
          <w:szCs w:val="17"/>
          <w:color w:val="auto"/>
        </w:rPr>
        <w:t>, which changes the accounting for share-based payment transactions with nonemployees. For private companies the new standard is effective for fiscal years beginning after December 15, 2019, and for interim periods therein. The Company adopted this guidance effective January 1, 2019. The adoption of this guidance did not have a significant effect on the Company's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Issued but Not Yet Adopted</w:t>
      </w:r>
    </w:p>
    <w:p>
      <w:pPr>
        <w:spacing w:after="0" w:line="222" w:lineRule="exact"/>
        <w:rPr>
          <w:sz w:val="20"/>
          <w:szCs w:val="20"/>
          <w:color w:val="auto"/>
        </w:rPr>
      </w:pPr>
    </w:p>
    <w:p>
      <w:pPr>
        <w:ind w:firstLine="336"/>
        <w:spacing w:after="0" w:line="299"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the Company for fiscal years beginning after December 15, 2019, including interim periods within those fiscal years. On July 17, 2019, the FASB voted to propose a deferral of the effective date of the standard to fiscal years beginning after December 15, 2020. The Company plans to adopt this standard as of the effective date for private companies using the modified retrospective approach of all leases entered into before the effective date. The Company is currently evaluating the impact this ASU will have on its consolidated financial statements.</w:t>
      </w:r>
    </w:p>
    <w:p>
      <w:pPr>
        <w:spacing w:after="0" w:line="159" w:lineRule="exact"/>
        <w:rPr>
          <w:sz w:val="20"/>
          <w:szCs w:val="20"/>
          <w:color w:val="auto"/>
        </w:rPr>
      </w:pPr>
    </w:p>
    <w:p>
      <w:pPr>
        <w:ind w:right="20" w:firstLine="336"/>
        <w:spacing w:after="0" w:line="299" w:lineRule="auto"/>
        <w:rPr>
          <w:sz w:val="20"/>
          <w:szCs w:val="20"/>
          <w:color w:val="auto"/>
        </w:rPr>
      </w:pPr>
      <w:r>
        <w:rPr>
          <w:rFonts w:ascii="Arial" w:cs="Arial" w:eastAsia="Arial" w:hAnsi="Arial"/>
          <w:sz w:val="15"/>
          <w:szCs w:val="15"/>
          <w:color w:val="auto"/>
        </w:rPr>
        <w:t xml:space="preserve">In August 2018, the FASB issued final guidance requiring a customer in a cloud computing arrangement that is a service contract to follow the internal use software guidance in Accounting Standards Codification ("ASC") 350-402 </w:t>
      </w:r>
      <w:r>
        <w:rPr>
          <w:rFonts w:ascii="Arial" w:cs="Arial" w:eastAsia="Arial" w:hAnsi="Arial"/>
          <w:sz w:val="15"/>
          <w:szCs w:val="15"/>
          <w:i w:val="1"/>
          <w:iCs w:val="1"/>
          <w:color w:val="auto"/>
        </w:rPr>
        <w:t>Intangibles—Goodwill and Other—Internal Use Software</w:t>
      </w:r>
      <w:r>
        <w:rPr>
          <w:rFonts w:ascii="Arial" w:cs="Arial" w:eastAsia="Arial" w:hAnsi="Arial"/>
          <w:sz w:val="15"/>
          <w:szCs w:val="15"/>
          <w:color w:val="auto"/>
        </w:rPr>
        <w:t xml:space="preserve"> (Subtopic 350-40) to determine which implementation costs to capitalize as assets. The amendments in this ASU are effective for fiscal years beginning after December 15, 2019. Early adoption of the amendments is permitted, including adoption in any interim period, for all entities and should be applied either retrospectively or prospectively to all implementation costs incurred after the date of adoption. The Company is currently reviewing its cloud computing arrangements to evaluate the impact of adoption of the final guidance but does not expect that the pending adoption of this ASU will have a material effect on its consolidated financial statements.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Disaggregated revenue</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disaggregates revenue by service (in thousands):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2"/>
              </w:rPr>
              <w:t>Year Ended</w:t>
            </w:r>
          </w:p>
        </w:tc>
        <w:tc>
          <w:tcPr>
            <w:tcW w:w="200" w:type="dxa"/>
            <w:vAlign w:val="bottom"/>
          </w:tcPr>
          <w:p>
            <w:pPr>
              <w:spacing w:after="0"/>
              <w:rPr>
                <w:sz w:val="13"/>
                <w:szCs w:val="13"/>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3"/>
                <w:szCs w:val="13"/>
                <w:color w:val="auto"/>
              </w:rPr>
            </w:pPr>
          </w:p>
        </w:tc>
        <w:tc>
          <w:tcPr>
            <w:tcW w:w="1040" w:type="dxa"/>
            <w:vAlign w:val="bottom"/>
            <w:gridSpan w:val="3"/>
          </w:tcPr>
          <w:p>
            <w:pPr>
              <w:jc w:val="center"/>
              <w:ind w:left="307"/>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4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60"/>
              <w:spacing w:after="0" w:line="136" w:lineRule="exact"/>
              <w:rPr>
                <w:sz w:val="20"/>
                <w:szCs w:val="20"/>
                <w:color w:val="auto"/>
              </w:rPr>
            </w:pPr>
            <w:r>
              <w:rPr>
                <w:rFonts w:ascii="Arial" w:cs="Arial" w:eastAsia="Arial" w:hAnsi="Arial"/>
                <w:sz w:val="13"/>
                <w:szCs w:val="13"/>
                <w:b w:val="1"/>
                <w:bCs w:val="1"/>
                <w:color w:val="auto"/>
              </w:rPr>
              <w:t>2017</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61"/>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07"/>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81"/>
              <w:spacing w:after="0" w:line="136"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1"/>
                <w:szCs w:val="11"/>
                <w:color w:val="auto"/>
              </w:rPr>
            </w:pPr>
          </w:p>
        </w:tc>
      </w:tr>
      <w:tr>
        <w:trPr>
          <w:trHeight w:val="135"/>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center"/>
              <w:ind w:left="287"/>
              <w:spacing w:after="0" w:line="136" w:lineRule="exact"/>
              <w:rPr>
                <w:sz w:val="20"/>
                <w:szCs w:val="20"/>
                <w:color w:val="auto"/>
              </w:rPr>
            </w:pPr>
            <w:r>
              <w:rPr>
                <w:rFonts w:ascii="Arial" w:cs="Arial" w:eastAsia="Arial" w:hAnsi="Arial"/>
                <w:sz w:val="13"/>
                <w:szCs w:val="13"/>
                <w:b w:val="1"/>
                <w:bCs w:val="1"/>
                <w:color w:val="auto"/>
                <w:w w:val="90"/>
              </w:rPr>
              <w:t>(unaudited)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7"/>
        </w:trPr>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7"/>
        </w:trPr>
        <w:tc>
          <w:tcPr>
            <w:tcW w:w="4320" w:type="dxa"/>
            <w:vAlign w:val="bottom"/>
          </w:tcPr>
          <w:p>
            <w:pPr>
              <w:spacing w:after="0"/>
              <w:rPr>
                <w:sz w:val="20"/>
                <w:szCs w:val="20"/>
                <w:color w:val="auto"/>
              </w:rPr>
            </w:pPr>
            <w:r>
              <w:rPr>
                <w:rFonts w:ascii="Arial" w:cs="Arial" w:eastAsia="Arial" w:hAnsi="Arial"/>
                <w:sz w:val="17"/>
                <w:szCs w:val="17"/>
                <w:color w:val="auto"/>
              </w:rPr>
              <w:t>Fertility benefits services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60"/>
              <w:spacing w:after="0"/>
              <w:rPr>
                <w:sz w:val="20"/>
                <w:szCs w:val="20"/>
                <w:color w:val="auto"/>
              </w:rPr>
            </w:pPr>
            <w:r>
              <w:rPr>
                <w:rFonts w:ascii="Arial" w:cs="Arial" w:eastAsia="Arial" w:hAnsi="Arial"/>
                <w:sz w:val="17"/>
                <w:szCs w:val="17"/>
                <w:color w:val="auto"/>
                <w:w w:val="88"/>
              </w:rPr>
              <w:t>48,584</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99,786</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45,615</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86,061</w:t>
            </w:r>
          </w:p>
        </w:tc>
      </w:tr>
      <w:tr>
        <w:trPr>
          <w:trHeight w:val="207"/>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Pharmacy benefits services revenue</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5,614</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2,801</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17,304</w:t>
            </w:r>
          </w:p>
        </w:tc>
      </w:tr>
      <w:tr>
        <w:trPr>
          <w:trHeight w:val="200"/>
        </w:trPr>
        <w:tc>
          <w:tcPr>
            <w:tcW w:w="4320" w:type="dxa"/>
            <w:vAlign w:val="bottom"/>
          </w:tcPr>
          <w:p>
            <w:pPr>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w w:val="84"/>
              </w:rPr>
              <w:t>48,584</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105,400</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48,415</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103,365</w:t>
            </w:r>
          </w:p>
        </w:tc>
        <w:tc>
          <w:tcPr>
            <w:tcW w:w="16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are no material contract asset or contract liability balances as of December 31, 2017, December 31, 2018 or June 30, 2019 (unaudited).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price allocated to remaining performance obligations</w:t>
      </w:r>
    </w:p>
    <w:p>
      <w:pPr>
        <w:spacing w:after="0" w:line="218" w:lineRule="exact"/>
        <w:rPr>
          <w:sz w:val="20"/>
          <w:szCs w:val="20"/>
          <w:color w:val="auto"/>
        </w:rPr>
      </w:pPr>
    </w:p>
    <w:p>
      <w:pPr>
        <w:ind w:right="60" w:firstLine="333"/>
        <w:spacing w:after="0" w:line="265" w:lineRule="auto"/>
        <w:rPr>
          <w:sz w:val="20"/>
          <w:szCs w:val="20"/>
          <w:color w:val="auto"/>
        </w:rPr>
      </w:pPr>
      <w:r>
        <w:rPr>
          <w:rFonts w:ascii="Arial" w:cs="Arial" w:eastAsia="Arial" w:hAnsi="Arial"/>
          <w:sz w:val="17"/>
          <w:szCs w:val="17"/>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Assets and liabilities measured at fair value on a recurring basis were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December 31, 2017</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5"/>
        </w:trPr>
        <w:tc>
          <w:tcPr>
            <w:tcW w:w="17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320"/>
              <w:spacing w:after="0" w:line="136" w:lineRule="exact"/>
              <w:rPr>
                <w:sz w:val="20"/>
                <w:szCs w:val="20"/>
                <w:color w:val="auto"/>
              </w:rPr>
            </w:pPr>
            <w:r>
              <w:rPr>
                <w:rFonts w:ascii="Arial" w:cs="Arial" w:eastAsia="Arial" w:hAnsi="Arial"/>
                <w:sz w:val="13"/>
                <w:szCs w:val="13"/>
                <w:b w:val="1"/>
                <w:bCs w:val="1"/>
                <w:color w:val="auto"/>
                <w:w w:val="96"/>
              </w:rPr>
              <w:t>Total</w:t>
            </w:r>
          </w:p>
        </w:tc>
        <w:tc>
          <w:tcPr>
            <w:tcW w:w="700" w:type="dxa"/>
            <w:vAlign w:val="bottom"/>
            <w:gridSpan w:val="3"/>
          </w:tcPr>
          <w:p>
            <w:pPr>
              <w:ind w:left="80"/>
              <w:spacing w:after="0" w:line="136" w:lineRule="exact"/>
              <w:rPr>
                <w:sz w:val="20"/>
                <w:szCs w:val="20"/>
                <w:color w:val="auto"/>
              </w:rPr>
            </w:pPr>
            <w:r>
              <w:rPr>
                <w:rFonts w:ascii="Arial" w:cs="Arial" w:eastAsia="Arial" w:hAnsi="Arial"/>
                <w:sz w:val="13"/>
                <w:szCs w:val="13"/>
                <w:b w:val="1"/>
                <w:bCs w:val="1"/>
                <w:color w:val="auto"/>
              </w:rPr>
              <w:t>Level 1</w:t>
            </w:r>
          </w:p>
        </w:tc>
        <w:tc>
          <w:tcPr>
            <w:tcW w:w="720" w:type="dxa"/>
            <w:vAlign w:val="bottom"/>
            <w:gridSpan w:val="3"/>
          </w:tcPr>
          <w:p>
            <w:pPr>
              <w:ind w:left="80"/>
              <w:spacing w:after="0" w:line="136" w:lineRule="exact"/>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Arial" w:cs="Arial" w:eastAsia="Arial" w:hAnsi="Arial"/>
                <w:sz w:val="13"/>
                <w:szCs w:val="13"/>
                <w:b w:val="1"/>
                <w:bCs w:val="1"/>
                <w:color w:val="auto"/>
              </w:rPr>
              <w:t>Level 3</w:t>
            </w:r>
          </w:p>
        </w:tc>
        <w:tc>
          <w:tcPr>
            <w:tcW w:w="1880" w:type="dxa"/>
            <w:vAlign w:val="bottom"/>
            <w:gridSpan w:val="2"/>
          </w:tcPr>
          <w:p>
            <w:pPr>
              <w:spacing w:after="0"/>
              <w:rPr>
                <w:sz w:val="11"/>
                <w:szCs w:val="11"/>
                <w:color w:val="auto"/>
              </w:rPr>
            </w:pPr>
          </w:p>
        </w:tc>
      </w:tr>
      <w:tr>
        <w:trPr>
          <w:trHeight w:val="200"/>
        </w:trPr>
        <w:tc>
          <w:tcPr>
            <w:tcW w:w="17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1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7"/>
        </w:trPr>
        <w:tc>
          <w:tcPr>
            <w:tcW w:w="1720" w:type="dxa"/>
            <w:vAlign w:val="bottom"/>
          </w:tcPr>
          <w:p>
            <w:pPr>
              <w:spacing w:after="0"/>
              <w:rPr>
                <w:sz w:val="17"/>
                <w:szCs w:val="17"/>
                <w:color w:val="auto"/>
              </w:rPr>
            </w:pPr>
          </w:p>
        </w:tc>
        <w:tc>
          <w:tcPr>
            <w:tcW w:w="3480" w:type="dxa"/>
            <w:vAlign w:val="bottom"/>
          </w:tcPr>
          <w:p>
            <w:pPr>
              <w:ind w:left="160"/>
              <w:spacing w:after="0"/>
              <w:rPr>
                <w:sz w:val="20"/>
                <w:szCs w:val="20"/>
                <w:color w:val="auto"/>
              </w:rPr>
            </w:pPr>
            <w:r>
              <w:rPr>
                <w:rFonts w:ascii="Arial" w:cs="Arial" w:eastAsia="Arial" w:hAnsi="Arial"/>
                <w:sz w:val="17"/>
                <w:szCs w:val="17"/>
                <w:color w:val="auto"/>
              </w:rPr>
              <w:t>Convertible preferred stock warrant liability</w:t>
            </w:r>
          </w:p>
        </w:tc>
        <w:tc>
          <w:tcPr>
            <w:tcW w:w="15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1,645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62"/>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1,645</w:t>
            </w: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0"/>
        </w:trPr>
        <w:tc>
          <w:tcPr>
            <w:tcW w:w="1720" w:type="dxa"/>
            <w:vAlign w:val="bottom"/>
          </w:tcPr>
          <w:p>
            <w:pPr>
              <w:spacing w:after="0"/>
              <w:rPr>
                <w:sz w:val="17"/>
                <w:szCs w:val="17"/>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1,645</w:t>
            </w: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794"/>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35"/>
        </w:trPr>
        <w:tc>
          <w:tcPr>
            <w:tcW w:w="17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320"/>
              <w:spacing w:after="0" w:line="136" w:lineRule="exact"/>
              <w:rPr>
                <w:sz w:val="20"/>
                <w:szCs w:val="20"/>
                <w:color w:val="auto"/>
              </w:rPr>
            </w:pPr>
            <w:r>
              <w:rPr>
                <w:rFonts w:ascii="Arial" w:cs="Arial" w:eastAsia="Arial" w:hAnsi="Arial"/>
                <w:sz w:val="13"/>
                <w:szCs w:val="13"/>
                <w:b w:val="1"/>
                <w:bCs w:val="1"/>
                <w:color w:val="auto"/>
                <w:w w:val="96"/>
              </w:rPr>
              <w:t>Total</w:t>
            </w:r>
          </w:p>
        </w:tc>
        <w:tc>
          <w:tcPr>
            <w:tcW w:w="700" w:type="dxa"/>
            <w:vAlign w:val="bottom"/>
            <w:gridSpan w:val="3"/>
          </w:tcPr>
          <w:p>
            <w:pPr>
              <w:ind w:left="80"/>
              <w:spacing w:after="0" w:line="136" w:lineRule="exact"/>
              <w:rPr>
                <w:sz w:val="20"/>
                <w:szCs w:val="20"/>
                <w:color w:val="auto"/>
              </w:rPr>
            </w:pPr>
            <w:r>
              <w:rPr>
                <w:rFonts w:ascii="Arial" w:cs="Arial" w:eastAsia="Arial" w:hAnsi="Arial"/>
                <w:sz w:val="13"/>
                <w:szCs w:val="13"/>
                <w:b w:val="1"/>
                <w:bCs w:val="1"/>
                <w:color w:val="auto"/>
              </w:rPr>
              <w:t>Level 1</w:t>
            </w:r>
          </w:p>
        </w:tc>
        <w:tc>
          <w:tcPr>
            <w:tcW w:w="720" w:type="dxa"/>
            <w:vAlign w:val="bottom"/>
            <w:gridSpan w:val="3"/>
          </w:tcPr>
          <w:p>
            <w:pPr>
              <w:ind w:left="80"/>
              <w:spacing w:after="0" w:line="136" w:lineRule="exact"/>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Arial" w:cs="Arial" w:eastAsia="Arial" w:hAnsi="Arial"/>
                <w:sz w:val="13"/>
                <w:szCs w:val="13"/>
                <w:b w:val="1"/>
                <w:bCs w:val="1"/>
                <w:color w:val="auto"/>
              </w:rPr>
              <w:t>Level 3</w:t>
            </w:r>
          </w:p>
        </w:tc>
        <w:tc>
          <w:tcPr>
            <w:tcW w:w="1880" w:type="dxa"/>
            <w:vAlign w:val="bottom"/>
            <w:gridSpan w:val="2"/>
          </w:tcPr>
          <w:p>
            <w:pPr>
              <w:spacing w:after="0"/>
              <w:rPr>
                <w:sz w:val="11"/>
                <w:szCs w:val="11"/>
                <w:color w:val="auto"/>
              </w:rPr>
            </w:pPr>
          </w:p>
        </w:tc>
      </w:tr>
      <w:tr>
        <w:trPr>
          <w:trHeight w:val="200"/>
        </w:trPr>
        <w:tc>
          <w:tcPr>
            <w:tcW w:w="17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1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7"/>
        </w:trPr>
        <w:tc>
          <w:tcPr>
            <w:tcW w:w="1720" w:type="dxa"/>
            <w:vAlign w:val="bottom"/>
          </w:tcPr>
          <w:p>
            <w:pPr>
              <w:spacing w:after="0"/>
              <w:rPr>
                <w:sz w:val="17"/>
                <w:szCs w:val="17"/>
                <w:color w:val="auto"/>
              </w:rPr>
            </w:pPr>
          </w:p>
        </w:tc>
        <w:tc>
          <w:tcPr>
            <w:tcW w:w="3480" w:type="dxa"/>
            <w:vAlign w:val="bottom"/>
          </w:tcPr>
          <w:p>
            <w:pPr>
              <w:ind w:left="160"/>
              <w:spacing w:after="0"/>
              <w:rPr>
                <w:sz w:val="20"/>
                <w:szCs w:val="20"/>
                <w:color w:val="auto"/>
              </w:rPr>
            </w:pPr>
            <w:r>
              <w:rPr>
                <w:rFonts w:ascii="Arial" w:cs="Arial" w:eastAsia="Arial" w:hAnsi="Arial"/>
                <w:sz w:val="17"/>
                <w:szCs w:val="17"/>
                <w:color w:val="auto"/>
              </w:rPr>
              <w:t>Convertible preferred stock warrant liability</w:t>
            </w:r>
          </w:p>
        </w:tc>
        <w:tc>
          <w:tcPr>
            <w:tcW w:w="15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4,589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62"/>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4,589</w:t>
            </w: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0"/>
        </w:trPr>
        <w:tc>
          <w:tcPr>
            <w:tcW w:w="1720" w:type="dxa"/>
            <w:vAlign w:val="bottom"/>
          </w:tcPr>
          <w:p>
            <w:pPr>
              <w:spacing w:after="0"/>
              <w:rPr>
                <w:sz w:val="17"/>
                <w:szCs w:val="17"/>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4,589</w:t>
            </w: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1"/>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00" w:type="dxa"/>
            <w:vAlign w:val="bottom"/>
            <w:gridSpan w:val="2"/>
          </w:tcPr>
          <w:p>
            <w:pPr>
              <w:jc w:val="right"/>
              <w:ind w:right="936"/>
              <w:spacing w:after="0"/>
              <w:rPr>
                <w:sz w:val="20"/>
                <w:szCs w:val="20"/>
                <w:color w:val="auto"/>
              </w:rPr>
            </w:pPr>
            <w:r>
              <w:rPr>
                <w:rFonts w:ascii="Arial" w:cs="Arial" w:eastAsia="Arial" w:hAnsi="Arial"/>
                <w:sz w:val="17"/>
                <w:szCs w:val="17"/>
                <w:color w:val="auto"/>
              </w:rPr>
              <w:t>F-23</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8"/>
        </w:trPr>
        <w:tc>
          <w:tcPr>
            <w:tcW w:w="1720" w:type="dxa"/>
            <w:vAlign w:val="bottom"/>
            <w:tcBorders>
              <w:bottom w:val="single" w:sz="8" w:color="808080"/>
            </w:tcBorders>
          </w:tcPr>
          <w:p>
            <w:pPr>
              <w:spacing w:after="0"/>
              <w:rPr>
                <w:sz w:val="18"/>
                <w:szCs w:val="18"/>
                <w:color w:val="auto"/>
              </w:rPr>
            </w:pPr>
          </w:p>
        </w:tc>
        <w:tc>
          <w:tcPr>
            <w:tcW w:w="348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5"/>
        </w:trPr>
        <w:tc>
          <w:tcPr>
            <w:tcW w:w="5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3"/>
              </w:rPr>
              <w:t>June 30, 2019 (unaudited)</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200"/>
              <w:spacing w:after="0" w:line="136"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1"/>
                <w:szCs w:val="11"/>
                <w:color w:val="auto"/>
              </w:rPr>
            </w:pPr>
          </w:p>
        </w:tc>
        <w:tc>
          <w:tcPr>
            <w:tcW w:w="700" w:type="dxa"/>
            <w:vAlign w:val="bottom"/>
            <w:gridSpan w:val="3"/>
          </w:tcPr>
          <w:p>
            <w:pPr>
              <w:ind w:left="80"/>
              <w:spacing w:after="0" w:line="136" w:lineRule="exact"/>
              <w:rPr>
                <w:sz w:val="20"/>
                <w:szCs w:val="20"/>
                <w:color w:val="auto"/>
              </w:rPr>
            </w:pPr>
            <w:r>
              <w:rPr>
                <w:rFonts w:ascii="Arial" w:cs="Arial" w:eastAsia="Arial" w:hAnsi="Arial"/>
                <w:sz w:val="13"/>
                <w:szCs w:val="13"/>
                <w:b w:val="1"/>
                <w:bCs w:val="1"/>
                <w:color w:val="auto"/>
              </w:rPr>
              <w:t>Level 1</w:t>
            </w:r>
          </w:p>
        </w:tc>
        <w:tc>
          <w:tcPr>
            <w:tcW w:w="720" w:type="dxa"/>
            <w:vAlign w:val="bottom"/>
            <w:gridSpan w:val="3"/>
          </w:tcPr>
          <w:p>
            <w:pPr>
              <w:ind w:left="80"/>
              <w:spacing w:after="0" w:line="136" w:lineRule="exact"/>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1"/>
                <w:szCs w:val="11"/>
                <w:color w:val="auto"/>
              </w:rPr>
            </w:pPr>
          </w:p>
        </w:tc>
      </w:tr>
      <w:tr>
        <w:trPr>
          <w:trHeight w:val="200"/>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7"/>
        </w:trPr>
        <w:tc>
          <w:tcPr>
            <w:tcW w:w="5060" w:type="dxa"/>
            <w:vAlign w:val="bottom"/>
          </w:tcPr>
          <w:p>
            <w:pPr>
              <w:ind w:left="160"/>
              <w:spacing w:after="0"/>
              <w:rPr>
                <w:sz w:val="20"/>
                <w:szCs w:val="20"/>
                <w:color w:val="auto"/>
              </w:rPr>
            </w:pPr>
            <w:r>
              <w:rPr>
                <w:rFonts w:ascii="Arial" w:cs="Arial" w:eastAsia="Arial" w:hAnsi="Arial"/>
                <w:sz w:val="17"/>
                <w:szCs w:val="17"/>
                <w:color w:val="auto"/>
              </w:rPr>
              <w:t>Convertible preferred stock warrant liability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5,782</w:t>
            </w:r>
          </w:p>
        </w:tc>
        <w:tc>
          <w:tcPr>
            <w:tcW w:w="36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62"/>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5,782</w:t>
            </w:r>
          </w:p>
        </w:tc>
      </w:tr>
      <w:tr>
        <w:trPr>
          <w:trHeight w:val="20"/>
        </w:trPr>
        <w:tc>
          <w:tcPr>
            <w:tcW w:w="5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5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5,782</w:t>
            </w:r>
          </w:p>
        </w:tc>
        <w:tc>
          <w:tcPr>
            <w:tcW w:w="3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5,782</w:t>
            </w:r>
          </w:p>
        </w:tc>
      </w:tr>
      <w:tr>
        <w:trPr>
          <w:trHeight w:val="20"/>
        </w:trPr>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33"/>
        <w:spacing w:after="0" w:line="289" w:lineRule="auto"/>
        <w:rPr>
          <w:sz w:val="20"/>
          <w:szCs w:val="20"/>
          <w:color w:val="auto"/>
        </w:rPr>
      </w:pPr>
      <w:r>
        <w:rPr>
          <w:rFonts w:ascii="Arial" w:cs="Arial" w:eastAsia="Arial" w:hAnsi="Arial"/>
          <w:sz w:val="16"/>
          <w:szCs w:val="16"/>
          <w:color w:val="auto"/>
        </w:rPr>
        <w:t>The estimated fair values of the convertible preferred stock warrant liabilities (see Note 10) were determined using Level 3, or significant unobservable inputs. Changes to the estimated fair value of the warrants are recorded in other income or other expense in the statements of operations and comprehensive income (loss). The following table provides the changes in the estimated fair value of the convertible preferred stock warrants (in thousands):</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Convertible</w:t>
            </w:r>
          </w:p>
        </w:tc>
      </w:tr>
      <w:tr>
        <w:trPr>
          <w:trHeight w:val="142"/>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8"/>
              </w:rPr>
              <w:t>Preferred Stock</w:t>
            </w:r>
          </w:p>
        </w:tc>
      </w:tr>
      <w:tr>
        <w:trPr>
          <w:trHeight w:val="155"/>
        </w:trPr>
        <w:tc>
          <w:tcPr>
            <w:tcW w:w="6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5"/>
              </w:rPr>
              <w:t>Warrants</w:t>
            </w:r>
          </w:p>
        </w:tc>
        <w:tc>
          <w:tcPr>
            <w:tcW w:w="160" w:type="dxa"/>
            <w:vAlign w:val="bottom"/>
          </w:tcPr>
          <w:p>
            <w:pPr>
              <w:spacing w:after="0"/>
              <w:rPr>
                <w:sz w:val="13"/>
                <w:szCs w:val="13"/>
                <w:color w:val="auto"/>
              </w:rPr>
            </w:pPr>
          </w:p>
        </w:tc>
      </w:tr>
      <w:tr>
        <w:trPr>
          <w:trHeight w:val="200"/>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1,645</w:t>
            </w:r>
          </w:p>
        </w:tc>
      </w:tr>
      <w:tr>
        <w:trPr>
          <w:trHeight w:val="207"/>
        </w:trPr>
        <w:tc>
          <w:tcPr>
            <w:tcW w:w="6780" w:type="dxa"/>
            <w:vAlign w:val="bottom"/>
          </w:tcPr>
          <w:p>
            <w:pPr>
              <w:ind w:left="160"/>
              <w:spacing w:after="0"/>
              <w:rPr>
                <w:sz w:val="20"/>
                <w:szCs w:val="20"/>
                <w:color w:val="auto"/>
              </w:rPr>
            </w:pPr>
            <w:r>
              <w:rPr>
                <w:rFonts w:ascii="Arial" w:cs="Arial" w:eastAsia="Arial" w:hAnsi="Arial"/>
                <w:sz w:val="17"/>
                <w:szCs w:val="17"/>
                <w:color w:val="auto"/>
              </w:rPr>
              <w:t>Change in estimated fair value of warrants</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2,944</w:t>
            </w:r>
          </w:p>
        </w:tc>
      </w:tr>
      <w:tr>
        <w:trPr>
          <w:trHeight w:val="20"/>
        </w:trPr>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2018</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4,589</w:t>
            </w:r>
          </w:p>
        </w:tc>
      </w:tr>
      <w:tr>
        <w:trPr>
          <w:trHeight w:val="207"/>
        </w:trPr>
        <w:tc>
          <w:tcPr>
            <w:tcW w:w="6780" w:type="dxa"/>
            <w:vAlign w:val="bottom"/>
          </w:tcPr>
          <w:p>
            <w:pPr>
              <w:ind w:left="160"/>
              <w:spacing w:after="0"/>
              <w:rPr>
                <w:sz w:val="20"/>
                <w:szCs w:val="20"/>
                <w:color w:val="auto"/>
              </w:rPr>
            </w:pPr>
            <w:r>
              <w:rPr>
                <w:rFonts w:ascii="Arial" w:cs="Arial" w:eastAsia="Arial" w:hAnsi="Arial"/>
                <w:sz w:val="17"/>
                <w:szCs w:val="17"/>
                <w:color w:val="auto"/>
              </w:rPr>
              <w:t>Changes in estimate fair value of warrants</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1,193</w:t>
            </w:r>
          </w:p>
        </w:tc>
      </w:tr>
      <w:tr>
        <w:trPr>
          <w:trHeight w:val="20"/>
        </w:trPr>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Balance at June 30, 2019 (unaudited)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5,782</w:t>
            </w: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336"/>
        <w:spacing w:after="0" w:line="345" w:lineRule="auto"/>
        <w:rPr>
          <w:sz w:val="20"/>
          <w:szCs w:val="20"/>
          <w:color w:val="auto"/>
        </w:rPr>
      </w:pPr>
      <w:r>
        <w:rPr>
          <w:rFonts w:ascii="Arial" w:cs="Arial" w:eastAsia="Arial" w:hAnsi="Arial"/>
          <w:sz w:val="15"/>
          <w:szCs w:val="15"/>
          <w:color w:val="auto"/>
        </w:rPr>
        <w:t>During the years ended December 31, 2017 and 2018, and the six months ended June 30, 2018 and 2019 (unaudited), there were no transfers between Level 1, Level 2, or Level 3 assets or liabilities reported at fair value on a recurring basis and the valuation techniques used to value the Level 3 liabilities did not change.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and Equipment, Net</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consist of the following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Estimated</w:t>
            </w:r>
          </w:p>
        </w:tc>
        <w:tc>
          <w:tcPr>
            <w:tcW w:w="100" w:type="dxa"/>
            <w:vAlign w:val="bottom"/>
          </w:tcPr>
          <w:p>
            <w:pPr>
              <w:spacing w:after="0"/>
              <w:rPr>
                <w:sz w:val="12"/>
                <w:szCs w:val="12"/>
                <w:color w:val="auto"/>
              </w:rPr>
            </w:pPr>
          </w:p>
        </w:tc>
        <w:tc>
          <w:tcPr>
            <w:tcW w:w="1280" w:type="dxa"/>
            <w:vAlign w:val="bottom"/>
            <w:gridSpan w:val="5"/>
            <w:vMerge w:val="restart"/>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4700" w:type="dxa"/>
            <w:vAlign w:val="bottom"/>
          </w:tcPr>
          <w:p>
            <w:pPr>
              <w:spacing w:after="0"/>
              <w:rPr>
                <w:sz w:val="5"/>
                <w:szCs w:val="5"/>
                <w:color w:val="auto"/>
              </w:rPr>
            </w:pPr>
          </w:p>
        </w:tc>
        <w:tc>
          <w:tcPr>
            <w:tcW w:w="940" w:type="dxa"/>
            <w:vAlign w:val="bottom"/>
            <w:gridSpan w:val="2"/>
            <w:vMerge w:val="restart"/>
          </w:tcPr>
          <w:p>
            <w:pPr>
              <w:jc w:val="center"/>
              <w:ind w:right="160"/>
              <w:spacing w:after="0" w:line="143" w:lineRule="exact"/>
              <w:rPr>
                <w:sz w:val="20"/>
                <w:szCs w:val="20"/>
                <w:color w:val="auto"/>
              </w:rPr>
            </w:pPr>
            <w:r>
              <w:rPr>
                <w:rFonts w:ascii="Arial" w:cs="Arial" w:eastAsia="Arial" w:hAnsi="Arial"/>
                <w:sz w:val="13"/>
                <w:szCs w:val="13"/>
                <w:b w:val="1"/>
                <w:bCs w:val="1"/>
                <w:color w:val="auto"/>
                <w:w w:val="93"/>
              </w:rPr>
              <w:t>Useful Life</w:t>
            </w:r>
          </w:p>
        </w:tc>
        <w:tc>
          <w:tcPr>
            <w:tcW w:w="100" w:type="dxa"/>
            <w:vAlign w:val="bottom"/>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restart"/>
          </w:tcPr>
          <w:p>
            <w:pPr>
              <w:jc w:val="center"/>
              <w:ind w:right="220"/>
              <w:spacing w:after="0" w:line="143"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(in years)</w:t>
            </w:r>
          </w:p>
        </w:tc>
        <w:tc>
          <w:tcPr>
            <w:tcW w:w="100" w:type="dxa"/>
            <w:vAlign w:val="bottom"/>
          </w:tcPr>
          <w:p>
            <w:pPr>
              <w:spacing w:after="0"/>
              <w:rPr>
                <w:sz w:val="13"/>
                <w:szCs w:val="13"/>
                <w:color w:val="auto"/>
              </w:rPr>
            </w:pPr>
          </w:p>
        </w:tc>
        <w:tc>
          <w:tcPr>
            <w:tcW w:w="360" w:type="dxa"/>
            <w:vAlign w:val="bottom"/>
          </w:tcPr>
          <w:p>
            <w:pPr>
              <w:jc w:val="right"/>
              <w:ind w:right="20"/>
              <w:spacing w:after="0"/>
              <w:rPr>
                <w:sz w:val="20"/>
                <w:szCs w:val="20"/>
                <w:color w:val="auto"/>
              </w:rPr>
            </w:pPr>
            <w:r>
              <w:rPr>
                <w:rFonts w:ascii="Arial" w:cs="Arial" w:eastAsia="Arial" w:hAnsi="Arial"/>
                <w:sz w:val="13"/>
                <w:szCs w:val="13"/>
                <w:b w:val="1"/>
                <w:bCs w:val="1"/>
                <w:color w:val="auto"/>
                <w:w w:val="82"/>
              </w:rPr>
              <w:t>2017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8"/>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3 - 5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7"/>
        </w:trPr>
        <w:tc>
          <w:tcPr>
            <w:tcW w:w="4700" w:type="dxa"/>
            <w:vAlign w:val="bottom"/>
          </w:tcPr>
          <w:p>
            <w:pPr>
              <w:spacing w:after="0"/>
              <w:rPr>
                <w:sz w:val="20"/>
                <w:szCs w:val="20"/>
                <w:color w:val="auto"/>
              </w:rPr>
            </w:pPr>
            <w:r>
              <w:rPr>
                <w:rFonts w:ascii="Arial" w:cs="Arial" w:eastAsia="Arial" w:hAnsi="Arial"/>
                <w:sz w:val="17"/>
                <w:szCs w:val="17"/>
                <w:color w:val="auto"/>
              </w:rPr>
              <w:t>Computers and software</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373</w:t>
            </w: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798</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1,018</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7"/>
        </w:trPr>
        <w:tc>
          <w:tcPr>
            <w:tcW w:w="4700" w:type="dxa"/>
            <w:vAlign w:val="bottom"/>
          </w:tcPr>
          <w:p>
            <w:pPr>
              <w:spacing w:after="0"/>
              <w:rPr>
                <w:sz w:val="20"/>
                <w:szCs w:val="20"/>
                <w:color w:val="auto"/>
              </w:rPr>
            </w:pPr>
            <w:r>
              <w:rPr>
                <w:rFonts w:ascii="Arial" w:cs="Arial" w:eastAsia="Arial" w:hAnsi="Arial"/>
                <w:sz w:val="17"/>
                <w:szCs w:val="17"/>
                <w:color w:val="auto"/>
              </w:rPr>
              <w:t>Leasehold improvements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248</w:t>
            </w: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346</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680</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1,259</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1,517</w:t>
            </w:r>
          </w:p>
        </w:tc>
        <w:tc>
          <w:tcPr>
            <w:tcW w:w="0" w:type="dxa"/>
            <w:vAlign w:val="bottom"/>
          </w:tcPr>
          <w:p>
            <w:pPr>
              <w:spacing w:after="0"/>
              <w:rPr>
                <w:sz w:val="1"/>
                <w:szCs w:val="1"/>
                <w:color w:val="auto"/>
              </w:rPr>
            </w:pPr>
          </w:p>
        </w:tc>
      </w:tr>
      <w:tr>
        <w:trPr>
          <w:trHeight w:val="207"/>
        </w:trPr>
        <w:tc>
          <w:tcPr>
            <w:tcW w:w="470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(483)</w:t>
            </w:r>
          </w:p>
        </w:tc>
        <w:tc>
          <w:tcPr>
            <w:tcW w:w="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(801)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Total property and equipment, net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36"/>
        <w:spacing w:after="0" w:line="276" w:lineRule="auto"/>
        <w:rPr>
          <w:sz w:val="20"/>
          <w:szCs w:val="20"/>
          <w:color w:val="auto"/>
        </w:rPr>
      </w:pPr>
      <w:r>
        <w:rPr>
          <w:rFonts w:ascii="Arial" w:cs="Arial" w:eastAsia="Arial" w:hAnsi="Arial"/>
          <w:sz w:val="17"/>
          <w:szCs w:val="17"/>
          <w:color w:val="auto"/>
        </w:rPr>
        <w:t>Depreciation expense was approximately $76,000 and $400,000 for the years ended December 31, 2017 and 2018, and $180,000 and $318,000 for the six months ended June 30, 2018 and 2019 (unaudited), respectively.</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Divestitures</w:t>
      </w:r>
    </w:p>
    <w:p>
      <w:pPr>
        <w:spacing w:after="0" w:line="222" w:lineRule="exact"/>
        <w:rPr>
          <w:sz w:val="20"/>
          <w:szCs w:val="20"/>
          <w:color w:val="auto"/>
        </w:rPr>
      </w:pPr>
    </w:p>
    <w:p>
      <w:pPr>
        <w:ind w:firstLine="336"/>
        <w:spacing w:after="0" w:line="307" w:lineRule="auto"/>
        <w:rPr>
          <w:sz w:val="20"/>
          <w:szCs w:val="20"/>
          <w:color w:val="auto"/>
        </w:rPr>
      </w:pPr>
      <w:r>
        <w:rPr>
          <w:rFonts w:ascii="Arial" w:cs="Arial" w:eastAsia="Arial" w:hAnsi="Arial"/>
          <w:sz w:val="15"/>
          <w:szCs w:val="15"/>
          <w:color w:val="auto"/>
        </w:rPr>
        <w:t>On January 18, 2018, the Company completed the divestiture of its Eeva business, the primary operations of our previous medical device segment, to a related party, Ares Trading S.A. a subsidiary of Merck Serono, S.A. ("Merck"), a shareholder in the Company. The Eeva business was sold to Merck for $7.9 million, consisting of cash of $3.0 million and the forgiveness of the $4.9 million liability remaining from the previous license agreement for the Eeva product between the two parties. The cash consideration includes $300,000 of deferred consideration, of which the last payment was received by the Company in March 2019.</w:t>
      </w:r>
    </w:p>
    <w:p>
      <w:pPr>
        <w:spacing w:after="0" w:line="152" w:lineRule="exact"/>
        <w:rPr>
          <w:sz w:val="20"/>
          <w:szCs w:val="20"/>
          <w:color w:val="auto"/>
        </w:rPr>
      </w:pPr>
    </w:p>
    <w:p>
      <w:pPr>
        <w:jc w:val="both"/>
        <w:ind w:right="40" w:firstLine="333"/>
        <w:spacing w:after="0" w:line="316" w:lineRule="auto"/>
        <w:rPr>
          <w:sz w:val="20"/>
          <w:szCs w:val="20"/>
          <w:color w:val="auto"/>
        </w:rPr>
      </w:pPr>
      <w:r>
        <w:rPr>
          <w:rFonts w:ascii="Arial" w:cs="Arial" w:eastAsia="Arial" w:hAnsi="Arial"/>
          <w:sz w:val="15"/>
          <w:szCs w:val="15"/>
          <w:color w:val="auto"/>
        </w:rPr>
        <w:t>The Company determined that the Eeva business met the criteria to be classified as held for sale as of December 31, 2016, representing a strategic shift in Progyny's operations. With the amendment of the license agreement in May 2016, management committed to a plan to sell the business and move from the medical device business to the fertility benefits business which represented a strategic shift. The Board of Directors approved the ultimate sale of Eeva in December 2017.</w:t>
      </w:r>
    </w:p>
    <w:p>
      <w:pPr>
        <w:spacing w:after="0" w:line="146" w:lineRule="exact"/>
        <w:rPr>
          <w:sz w:val="20"/>
          <w:szCs w:val="20"/>
          <w:color w:val="auto"/>
        </w:rPr>
      </w:pPr>
    </w:p>
    <w:p>
      <w:pPr>
        <w:ind w:right="560" w:firstLine="336"/>
        <w:spacing w:after="0" w:line="276" w:lineRule="auto"/>
        <w:rPr>
          <w:sz w:val="20"/>
          <w:szCs w:val="20"/>
          <w:color w:val="auto"/>
        </w:rPr>
      </w:pPr>
      <w:r>
        <w:rPr>
          <w:rFonts w:ascii="Arial" w:cs="Arial" w:eastAsia="Arial" w:hAnsi="Arial"/>
          <w:sz w:val="17"/>
          <w:szCs w:val="17"/>
          <w:color w:val="auto"/>
        </w:rPr>
        <w:t>In accordance with the applicable accounting guidance, upon the sale of the Eeva business on January 18, 2018, the Company reflected the Eeva business as discontinued operations in the consolidated financial statements.</w:t>
      </w:r>
    </w:p>
    <w:p>
      <w:pPr>
        <w:spacing w:after="0" w:line="171" w:lineRule="exact"/>
        <w:rPr>
          <w:sz w:val="20"/>
          <w:szCs w:val="20"/>
          <w:color w:val="auto"/>
        </w:rPr>
      </w:pPr>
    </w:p>
    <w:p>
      <w:pPr>
        <w:ind w:right="160" w:firstLine="336"/>
        <w:spacing w:after="0" w:line="345" w:lineRule="auto"/>
        <w:rPr>
          <w:sz w:val="20"/>
          <w:szCs w:val="20"/>
          <w:color w:val="auto"/>
        </w:rPr>
      </w:pPr>
      <w:r>
        <w:rPr>
          <w:rFonts w:ascii="Arial" w:cs="Arial" w:eastAsia="Arial" w:hAnsi="Arial"/>
          <w:sz w:val="15"/>
          <w:szCs w:val="15"/>
          <w:color w:val="auto"/>
        </w:rPr>
        <w:t>Excluding the $200,000 of assets representing deferred consideration, there was no other assets or liabilities associated with the Eeva business as of December 31, 2018. For the year ended December 31, 2017, there were no assets or liabilities related to the Eeva business with the exception of the $4.9 million liability.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operating results of Eeva which have been reflected within income from discontinued operations, net of tax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3"/>
                <w:szCs w:val="13"/>
                <w:color w:val="auto"/>
              </w:rPr>
            </w:pPr>
          </w:p>
        </w:tc>
        <w:tc>
          <w:tcPr>
            <w:tcW w:w="2780" w:type="dxa"/>
            <w:vAlign w:val="bottom"/>
            <w:gridSpan w:val="3"/>
            <w:vMerge w:val="restart"/>
          </w:tcPr>
          <w:p>
            <w:pPr>
              <w:jc w:val="center"/>
              <w:ind w:right="198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91"/>
        </w:trPr>
        <w:tc>
          <w:tcPr>
            <w:tcW w:w="17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gridSpan w:val="5"/>
            <w:vMerge w:val="restart"/>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7"/>
                <w:szCs w:val="7"/>
                <w:color w:val="auto"/>
              </w:rPr>
            </w:pPr>
          </w:p>
        </w:tc>
        <w:tc>
          <w:tcPr>
            <w:tcW w:w="2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2780" w:type="dxa"/>
            <w:vAlign w:val="bottom"/>
            <w:gridSpan w:val="3"/>
            <w:vMerge w:val="restart"/>
          </w:tcPr>
          <w:p>
            <w:pPr>
              <w:jc w:val="center"/>
              <w:ind w:right="1980"/>
              <w:spacing w:after="0" w:line="143"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58"/>
        </w:trPr>
        <w:tc>
          <w:tcPr>
            <w:tcW w:w="17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00"/>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18"/>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3"/>
          </w:tcPr>
          <w:p>
            <w:pPr>
              <w:jc w:val="center"/>
              <w:ind w:right="1980"/>
              <w:spacing w:after="0"/>
              <w:rPr>
                <w:sz w:val="20"/>
                <w:szCs w:val="20"/>
                <w:color w:val="auto"/>
              </w:rPr>
            </w:pPr>
            <w:r>
              <w:rPr>
                <w:rFonts w:ascii="Arial" w:cs="Arial" w:eastAsia="Arial" w:hAnsi="Arial"/>
                <w:sz w:val="13"/>
                <w:szCs w:val="13"/>
                <w:b w:val="1"/>
                <w:bCs w:val="1"/>
                <w:color w:val="auto"/>
                <w:w w:val="89"/>
              </w:rPr>
              <w:t>June 30, 2018</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1"/>
              <w:spacing w:after="0" w:line="136" w:lineRule="exact"/>
              <w:rPr>
                <w:sz w:val="20"/>
                <w:szCs w:val="20"/>
                <w:color w:val="auto"/>
              </w:rPr>
            </w:pPr>
            <w:r>
              <w:rPr>
                <w:rFonts w:ascii="Arial" w:cs="Arial" w:eastAsia="Arial" w:hAnsi="Arial"/>
                <w:sz w:val="13"/>
                <w:szCs w:val="13"/>
                <w:b w:val="1"/>
                <w:bCs w:val="1"/>
                <w:color w:val="auto"/>
                <w:w w:val="90"/>
              </w:rPr>
              <w:t>(unaudited)</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Cost of services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Operating expenses: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241</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262</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Income from discontinued operations</w:t>
            </w:r>
          </w:p>
        </w:tc>
        <w:tc>
          <w:tcPr>
            <w:tcW w:w="1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discontinued operations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7,554</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w w:val="97"/>
              </w:rPr>
              <w:t>Income from discontinued operations, before tax</w:t>
            </w:r>
          </w:p>
        </w:tc>
        <w:tc>
          <w:tcPr>
            <w:tcW w:w="1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7,554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7,501</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Net income from discontinued operations</w:t>
            </w:r>
          </w:p>
        </w:tc>
        <w:tc>
          <w:tcPr>
            <w:tcW w:w="16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5,777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5,724</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tcPr>
          <w:p>
            <w:pPr>
              <w:jc w:val="right"/>
              <w:ind w:right="1076"/>
              <w:spacing w:after="0"/>
              <w:rPr>
                <w:sz w:val="20"/>
                <w:szCs w:val="20"/>
                <w:color w:val="auto"/>
              </w:rPr>
            </w:pPr>
            <w:r>
              <w:rPr>
                <w:rFonts w:ascii="Arial" w:cs="Arial" w:eastAsia="Arial" w:hAnsi="Arial"/>
                <w:sz w:val="17"/>
                <w:szCs w:val="17"/>
                <w:color w:val="auto"/>
              </w:rPr>
              <w:t>F-25</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Borders>
              <w:bottom w:val="single" w:sz="8" w:color="808080"/>
            </w:tcBorders>
          </w:tcPr>
          <w:p>
            <w:pPr>
              <w:spacing w:after="0"/>
              <w:rPr>
                <w:sz w:val="18"/>
                <w:szCs w:val="18"/>
                <w:color w:val="auto"/>
              </w:rPr>
            </w:pPr>
          </w:p>
        </w:tc>
        <w:tc>
          <w:tcPr>
            <w:tcW w:w="356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Divestitures (Continued)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consolidated statement of cash flows for Eeva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9"/>
          </w:tcPr>
          <w:p>
            <w:pPr>
              <w:jc w:val="center"/>
              <w:ind w:right="440"/>
              <w:spacing w:after="0"/>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3"/>
                <w:szCs w:val="13"/>
                <w:color w:val="auto"/>
              </w:rPr>
            </w:pPr>
          </w:p>
        </w:tc>
        <w:tc>
          <w:tcPr>
            <w:tcW w:w="168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9"/>
          </w:tcPr>
          <w:p>
            <w:pPr>
              <w:jc w:val="center"/>
              <w:ind w:right="440"/>
              <w:spacing w:after="0"/>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3"/>
                <w:szCs w:val="13"/>
                <w:color w:val="auto"/>
              </w:rPr>
            </w:pPr>
          </w:p>
        </w:tc>
        <w:tc>
          <w:tcPr>
            <w:tcW w:w="168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center"/>
              <w:ind w:right="42"/>
              <w:spacing w:after="0" w:line="136" w:lineRule="exact"/>
              <w:rPr>
                <w:sz w:val="20"/>
                <w:szCs w:val="20"/>
                <w:color w:val="auto"/>
              </w:rPr>
            </w:pPr>
            <w:r>
              <w:rPr>
                <w:rFonts w:ascii="Arial" w:cs="Arial" w:eastAsia="Arial" w:hAnsi="Arial"/>
                <w:sz w:val="13"/>
                <w:szCs w:val="13"/>
                <w:b w:val="1"/>
                <w:bCs w:val="1"/>
                <w:color w:val="auto"/>
                <w:w w:val="89"/>
              </w:rPr>
              <w:t>2017</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3"/>
          </w:tcPr>
          <w:p>
            <w:pPr>
              <w:jc w:val="right"/>
              <w:ind w:right="79"/>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02"/>
              <w:spacing w:after="0" w:line="136"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jc w:val="center"/>
              <w:ind w:right="400"/>
              <w:spacing w:after="0" w:line="136" w:lineRule="exact"/>
              <w:rPr>
                <w:sz w:val="20"/>
                <w:szCs w:val="20"/>
                <w:color w:val="auto"/>
              </w:rPr>
            </w:pPr>
            <w:r>
              <w:rPr>
                <w:rFonts w:ascii="Arial" w:cs="Arial" w:eastAsia="Arial" w:hAnsi="Arial"/>
                <w:sz w:val="13"/>
                <w:szCs w:val="13"/>
                <w:b w:val="1"/>
                <w:bCs w:val="1"/>
                <w:color w:val="auto"/>
                <w:w w:val="90"/>
              </w:rPr>
              <w:t>(unaudited)</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7"/>
                <w:szCs w:val="17"/>
                <w:color w:val="auto"/>
              </w:rPr>
              <w:t>Depreciation expense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7"/>
                <w:szCs w:val="17"/>
                <w:color w:val="auto"/>
              </w:rPr>
            </w:pPr>
          </w:p>
        </w:tc>
        <w:tc>
          <w:tcPr>
            <w:tcW w:w="700" w:type="dxa"/>
            <w:vAlign w:val="bottom"/>
            <w:gridSpan w:val="4"/>
          </w:tcPr>
          <w:p>
            <w:pPr>
              <w:ind w:left="220"/>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license revenue</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3"/>
        </w:trPr>
        <w:tc>
          <w:tcPr>
            <w:tcW w:w="17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7"/>
                <w:szCs w:val="17"/>
                <w:b w:val="1"/>
                <w:bCs w:val="1"/>
                <w:color w:val="auto"/>
              </w:rPr>
              <w:t>INVESTING ACTIVITIES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consideration</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7"/>
                <w:szCs w:val="17"/>
                <w:color w:val="auto"/>
              </w:rPr>
              <w:t>Proceeds from sale of business, net of costs</w:t>
            </w:r>
          </w:p>
        </w:tc>
        <w:tc>
          <w:tcPr>
            <w:tcW w:w="14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w w:val="89"/>
              </w:rPr>
              <w:t>2,481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2,427</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405"/>
        </w:trPr>
        <w:tc>
          <w:tcPr>
            <w:tcW w:w="6260" w:type="dxa"/>
            <w:vAlign w:val="bottom"/>
            <w:gridSpan w:val="3"/>
          </w:tcPr>
          <w:p>
            <w:pPr>
              <w:spacing w:after="0"/>
              <w:rPr>
                <w:sz w:val="20"/>
                <w:szCs w:val="20"/>
                <w:color w:val="auto"/>
              </w:rPr>
            </w:pPr>
            <w:r>
              <w:rPr>
                <w:rFonts w:ascii="Arial" w:cs="Arial" w:eastAsia="Arial" w:hAnsi="Arial"/>
                <w:sz w:val="17"/>
                <w:szCs w:val="17"/>
                <w:b w:val="1"/>
                <w:bCs w:val="1"/>
                <w:color w:val="auto"/>
              </w:rPr>
              <w:t>7. Intangible Assets, Net</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260" w:type="dxa"/>
            <w:vAlign w:val="bottom"/>
            <w:gridSpan w:val="3"/>
          </w:tcPr>
          <w:p>
            <w:pPr>
              <w:ind w:left="340"/>
              <w:spacing w:after="0"/>
              <w:rPr>
                <w:sz w:val="20"/>
                <w:szCs w:val="20"/>
                <w:color w:val="auto"/>
              </w:rPr>
            </w:pPr>
            <w:r>
              <w:rPr>
                <w:rFonts w:ascii="Arial" w:cs="Arial" w:eastAsia="Arial" w:hAnsi="Arial"/>
                <w:sz w:val="17"/>
                <w:szCs w:val="17"/>
                <w:color w:val="auto"/>
              </w:rPr>
              <w:t>Intangible assets consist of the following (in thousands):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17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0"/>
              </w:rPr>
              <w:t>Estimated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7"/>
            <w:vMerge w:val="restart"/>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4"/>
            <w:vMerge w:val="restart"/>
          </w:tcPr>
          <w:p>
            <w:pPr>
              <w:jc w:val="center"/>
              <w:ind w:right="140"/>
              <w:spacing w:after="0" w:line="143" w:lineRule="exact"/>
              <w:rPr>
                <w:sz w:val="20"/>
                <w:szCs w:val="20"/>
                <w:color w:val="auto"/>
              </w:rPr>
            </w:pPr>
            <w:r>
              <w:rPr>
                <w:rFonts w:ascii="Arial" w:cs="Arial" w:eastAsia="Arial" w:hAnsi="Arial"/>
                <w:sz w:val="13"/>
                <w:szCs w:val="13"/>
                <w:b w:val="1"/>
                <w:bCs w:val="1"/>
                <w:color w:val="auto"/>
                <w:w w:val="93"/>
              </w:rPr>
              <w:t>Useful Life</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restart"/>
          </w:tcPr>
          <w:p>
            <w:pPr>
              <w:jc w:val="center"/>
              <w:ind w:right="220"/>
              <w:spacing w:after="0" w:line="143"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58"/>
        </w:trPr>
        <w:tc>
          <w:tcPr>
            <w:tcW w:w="17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9"/>
              </w:rPr>
              <w:t>(in years)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22"/>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Trademarks</w:t>
            </w: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84"/>
              </w:rPr>
              <w:t>4,000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7"/>
                <w:szCs w:val="17"/>
                <w:color w:val="auto"/>
              </w:rPr>
              <w:t>Physician network</w:t>
            </w:r>
          </w:p>
        </w:tc>
        <w:tc>
          <w:tcPr>
            <w:tcW w:w="14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ind w:left="180"/>
              <w:spacing w:after="0"/>
              <w:rPr>
                <w:sz w:val="20"/>
                <w:szCs w:val="20"/>
                <w:color w:val="auto"/>
              </w:rPr>
            </w:pPr>
            <w:r>
              <w:rPr>
                <w:rFonts w:ascii="Arial" w:cs="Arial" w:eastAsia="Arial" w:hAnsi="Arial"/>
                <w:sz w:val="17"/>
                <w:szCs w:val="17"/>
                <w:color w:val="auto"/>
                <w:w w:val="84"/>
              </w:rPr>
              <w:t>3,500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3,500</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3,500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Website</w:t>
            </w: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84"/>
              </w:rPr>
              <w:t>2,000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color w:val="auto"/>
                <w:w w:val="79"/>
              </w:rPr>
              <w:t>9,500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9,500</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amortization</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(4,158)</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(5,641)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(6,383)</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7"/>
                <w:szCs w:val="17"/>
                <w:color w:val="auto"/>
              </w:rPr>
              <w:t>Total intangible assets, net</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7"/>
                <w:szCs w:val="17"/>
                <w:color w:val="auto"/>
                <w:w w:val="79"/>
              </w:rPr>
              <w:t>5,342</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3,859</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327"/>
        <w:spacing w:after="0" w:line="276" w:lineRule="auto"/>
        <w:rPr>
          <w:sz w:val="20"/>
          <w:szCs w:val="20"/>
          <w:color w:val="auto"/>
        </w:rPr>
      </w:pPr>
      <w:r>
        <w:rPr>
          <w:rFonts w:ascii="Arial" w:cs="Arial" w:eastAsia="Arial" w:hAnsi="Arial"/>
          <w:sz w:val="17"/>
          <w:szCs w:val="17"/>
          <w:color w:val="auto"/>
        </w:rPr>
        <w:t>Amortization expense was $1.5 million for the years ended December 31, 2017 and 2018. Amortization expense was $742,000 for the six months ended June 30, 2018 and 2019 (unaudited).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2018, the future amortization expense of other intangible assets is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4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7"/>
        </w:trPr>
        <w:tc>
          <w:tcPr>
            <w:tcW w:w="17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2019</w:t>
            </w:r>
          </w:p>
        </w:tc>
        <w:tc>
          <w:tcPr>
            <w:tcW w:w="45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1,483</w:t>
            </w:r>
          </w:p>
        </w:tc>
        <w:tc>
          <w:tcPr>
            <w:tcW w:w="1720" w:type="dxa"/>
            <w:vAlign w:val="bottom"/>
          </w:tcPr>
          <w:p>
            <w:pPr>
              <w:spacing w:after="0"/>
              <w:rPr>
                <w:sz w:val="17"/>
                <w:szCs w:val="17"/>
                <w:color w:val="auto"/>
              </w:rPr>
            </w:pPr>
          </w:p>
        </w:tc>
      </w:tr>
      <w:tr>
        <w:trPr>
          <w:trHeight w:val="207"/>
        </w:trPr>
        <w:tc>
          <w:tcPr>
            <w:tcW w:w="17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1,162</w:t>
            </w:r>
          </w:p>
        </w:tc>
        <w:tc>
          <w:tcPr>
            <w:tcW w:w="1720" w:type="dxa"/>
            <w:vAlign w:val="bottom"/>
          </w:tcPr>
          <w:p>
            <w:pPr>
              <w:spacing w:after="0"/>
              <w:rPr>
                <w:sz w:val="17"/>
                <w:szCs w:val="17"/>
                <w:color w:val="auto"/>
              </w:rPr>
            </w:pPr>
          </w:p>
        </w:tc>
      </w:tr>
      <w:tr>
        <w:trPr>
          <w:trHeight w:val="207"/>
        </w:trPr>
        <w:tc>
          <w:tcPr>
            <w:tcW w:w="17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2021</w:t>
            </w:r>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614</w:t>
            </w:r>
          </w:p>
        </w:tc>
        <w:tc>
          <w:tcPr>
            <w:tcW w:w="1720" w:type="dxa"/>
            <w:vAlign w:val="bottom"/>
          </w:tcPr>
          <w:p>
            <w:pPr>
              <w:spacing w:after="0"/>
              <w:rPr>
                <w:sz w:val="17"/>
                <w:szCs w:val="17"/>
                <w:color w:val="auto"/>
              </w:rPr>
            </w:pPr>
          </w:p>
        </w:tc>
      </w:tr>
      <w:tr>
        <w:trPr>
          <w:trHeight w:val="207"/>
        </w:trPr>
        <w:tc>
          <w:tcPr>
            <w:tcW w:w="17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4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720" w:type="dxa"/>
            <w:vAlign w:val="bottom"/>
          </w:tcPr>
          <w:p>
            <w:pPr>
              <w:spacing w:after="0"/>
              <w:rPr>
                <w:sz w:val="17"/>
                <w:szCs w:val="17"/>
                <w:color w:val="auto"/>
              </w:rPr>
            </w:pPr>
          </w:p>
        </w:tc>
      </w:tr>
      <w:tr>
        <w:trPr>
          <w:trHeight w:val="200"/>
        </w:trPr>
        <w:tc>
          <w:tcPr>
            <w:tcW w:w="17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Total</w:t>
            </w:r>
          </w:p>
        </w:tc>
        <w:tc>
          <w:tcPr>
            <w:tcW w:w="44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3,859</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1"/>
        </w:trPr>
        <w:tc>
          <w:tcPr>
            <w:tcW w:w="1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580" w:type="dxa"/>
            <w:vAlign w:val="bottom"/>
            <w:gridSpan w:val="2"/>
          </w:tcPr>
          <w:p>
            <w:pPr>
              <w:jc w:val="right"/>
              <w:ind w:right="3166"/>
              <w:spacing w:after="0"/>
              <w:rPr>
                <w:sz w:val="20"/>
                <w:szCs w:val="20"/>
                <w:color w:val="auto"/>
              </w:rPr>
            </w:pPr>
            <w:r>
              <w:rPr>
                <w:rFonts w:ascii="Arial" w:cs="Arial" w:eastAsia="Arial" w:hAnsi="Arial"/>
                <w:sz w:val="17"/>
                <w:szCs w:val="17"/>
                <w:color w:val="auto"/>
              </w:rPr>
              <w:t>F-26</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8"/>
        </w:trPr>
        <w:tc>
          <w:tcPr>
            <w:tcW w:w="172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44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Accrued Expenses and Other Current Liabilities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expenses and other current liabilities consist of the following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55"/>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June 30,</w:t>
            </w:r>
          </w:p>
        </w:tc>
      </w:tr>
      <w:tr>
        <w:trPr>
          <w:trHeight w:val="135"/>
        </w:trPr>
        <w:tc>
          <w:tcPr>
            <w:tcW w:w="55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1"/>
              <w:spacing w:after="0" w:line="136" w:lineRule="exact"/>
              <w:rPr>
                <w:sz w:val="20"/>
                <w:szCs w:val="20"/>
                <w:color w:val="auto"/>
              </w:rPr>
            </w:pPr>
            <w:r>
              <w:rPr>
                <w:rFonts w:ascii="Arial" w:cs="Arial" w:eastAsia="Arial" w:hAnsi="Arial"/>
                <w:sz w:val="13"/>
                <w:szCs w:val="13"/>
                <w:b w:val="1"/>
                <w:bCs w:val="1"/>
                <w:color w:val="auto"/>
                <w:w w:val="96"/>
              </w:rPr>
              <w:t>2017</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9"/>
              <w:spacing w:after="0" w:line="136"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1"/>
                <w:szCs w:val="11"/>
                <w:color w:val="auto"/>
              </w:rPr>
            </w:pPr>
          </w:p>
        </w:tc>
      </w:tr>
      <w:tr>
        <w:trPr>
          <w:trHeight w:val="135"/>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Accrued claims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4,783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9,932</w:t>
            </w: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Accrued compensation</w:t>
            </w:r>
          </w:p>
        </w:tc>
        <w:tc>
          <w:tcPr>
            <w:tcW w:w="1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1,542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1,490</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904</w:t>
            </w:r>
          </w:p>
        </w:tc>
      </w:t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Accrued commission</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966</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1,490</w:t>
            </w: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Professional fees</w:t>
            </w:r>
          </w:p>
        </w:tc>
        <w:tc>
          <w:tcPr>
            <w:tcW w:w="12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199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274</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1,036</w:t>
            </w:r>
          </w:p>
        </w:tc>
      </w:t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396</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r>
      <w:tr>
        <w:trPr>
          <w:trHeight w:val="200"/>
        </w:trPr>
        <w:tc>
          <w:tcPr>
            <w:tcW w:w="5520" w:type="dxa"/>
            <w:vAlign w:val="bottom"/>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7,439</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9,782</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13,945</w:t>
            </w:r>
          </w:p>
        </w:tc>
        <w:tc>
          <w:tcPr>
            <w:tcW w:w="16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Debt</w:t>
      </w:r>
    </w:p>
    <w:p>
      <w:pPr>
        <w:spacing w:after="0" w:line="222" w:lineRule="exact"/>
        <w:rPr>
          <w:sz w:val="20"/>
          <w:szCs w:val="20"/>
          <w:color w:val="auto"/>
        </w:rPr>
      </w:pPr>
    </w:p>
    <w:p>
      <w:pPr>
        <w:ind w:right="160" w:firstLine="333"/>
        <w:spacing w:after="0" w:line="282" w:lineRule="auto"/>
        <w:rPr>
          <w:sz w:val="20"/>
          <w:szCs w:val="20"/>
          <w:color w:val="auto"/>
        </w:rPr>
      </w:pPr>
      <w:r>
        <w:rPr>
          <w:rFonts w:ascii="Arial" w:cs="Arial" w:eastAsia="Arial" w:hAnsi="Arial"/>
          <w:sz w:val="16"/>
          <w:szCs w:val="16"/>
          <w:color w:val="auto"/>
        </w:rPr>
        <w:t>The Company's $8.0 million Term Loan, entered into in November 2015, carried an interest rate equal to the greater of 7.5% or the LIBOR rate plus 7.3%. The terms contain a prepayment fee of 3.0% of the outstanding principal if repaid after the effective date but on or prior to the first anniversary, 2.0% if repaid after the first anniversary of the effective date but on or prior to the second anniversary, and 1.0% if repaid after the second anniversary of the effective date but prior to the maturity date. Additionally, the terms contained an additional significant final payment representing 8.0% of the original principal.</w:t>
      </w:r>
    </w:p>
    <w:p>
      <w:pPr>
        <w:spacing w:after="0" w:line="170" w:lineRule="exact"/>
        <w:rPr>
          <w:sz w:val="20"/>
          <w:szCs w:val="20"/>
          <w:color w:val="auto"/>
        </w:rPr>
      </w:pPr>
    </w:p>
    <w:p>
      <w:pPr>
        <w:ind w:firstLine="336"/>
        <w:spacing w:after="0" w:line="316" w:lineRule="auto"/>
        <w:rPr>
          <w:sz w:val="20"/>
          <w:szCs w:val="20"/>
          <w:color w:val="auto"/>
        </w:rPr>
      </w:pPr>
      <w:r>
        <w:rPr>
          <w:rFonts w:ascii="Arial" w:cs="Arial" w:eastAsia="Arial" w:hAnsi="Arial"/>
          <w:sz w:val="15"/>
          <w:szCs w:val="15"/>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("SVB Line of Credit"). Eligible accounts receivable is defined in the loan agreement as accounts billed with aging 90 days or less and excludes accounts receivable due for member copayments, coinsurance, and deductibles.</w:t>
      </w:r>
    </w:p>
    <w:p>
      <w:pPr>
        <w:spacing w:after="0" w:line="146" w:lineRule="exact"/>
        <w:rPr>
          <w:sz w:val="20"/>
          <w:szCs w:val="20"/>
          <w:color w:val="auto"/>
        </w:rPr>
      </w:pPr>
    </w:p>
    <w:p>
      <w:pPr>
        <w:jc w:val="both"/>
        <w:ind w:right="200" w:firstLine="336"/>
        <w:spacing w:after="0" w:line="316" w:lineRule="auto"/>
        <w:rPr>
          <w:sz w:val="20"/>
          <w:szCs w:val="20"/>
          <w:color w:val="auto"/>
        </w:rPr>
      </w:pPr>
      <w:r>
        <w:rPr>
          <w:rFonts w:ascii="Arial" w:cs="Arial" w:eastAsia="Arial" w:hAnsi="Arial"/>
          <w:sz w:val="15"/>
          <w:szCs w:val="15"/>
          <w:color w:val="auto"/>
        </w:rPr>
        <w:t>Upon execution of the SVB Line of Credit, the Term Loan was paid off in full including the remaining principal balance of $2.9 million, final balloon payment of $640,000 and the 1.0% early payment penalty fee of $15,000. The repayment of the Term Loan was treated as a debt extinguishment and the Company recognized the remaining unamortized debt discount of $88,000 as a loss on debt extinguishment in Other expense, net for the year ended December 31, 2018.</w:t>
      </w:r>
    </w:p>
    <w:p>
      <w:pPr>
        <w:spacing w:after="0" w:line="146" w:lineRule="exact"/>
        <w:rPr>
          <w:sz w:val="20"/>
          <w:szCs w:val="20"/>
          <w:color w:val="auto"/>
        </w:rPr>
      </w:pPr>
    </w:p>
    <w:p>
      <w:pPr>
        <w:ind w:firstLine="333"/>
        <w:spacing w:after="0" w:line="259" w:lineRule="auto"/>
        <w:rPr>
          <w:sz w:val="20"/>
          <w:szCs w:val="20"/>
          <w:color w:val="auto"/>
        </w:rPr>
      </w:pPr>
      <w:r>
        <w:rPr>
          <w:rFonts w:ascii="Arial" w:cs="Arial" w:eastAsia="Arial" w:hAnsi="Arial"/>
          <w:sz w:val="17"/>
          <w:szCs w:val="17"/>
          <w:color w:val="auto"/>
        </w:rPr>
        <w:t>The Company is required to pay a revolving line commitment fee of $225,000 in three equal annual installments of $75,000 starting on the one-year anniversary of the revolving line. The Company made the first installment payment of $75,000 in June 2019. The SVB Line of Credit matures in May 2021. When the Company holds unrestricted cash balances greater than $5.0 million interest accrues at a floating rate per annum equal to the prime rate. The principal amount outstanding will accrue at a floating per annum rate of the greater of (1) the prime rate (as defined in the agreement) or 0.5% above the prime rate depending on whether certain conditions have been met and (2) 4.75%, with interest payable monthly.</w:t>
      </w:r>
    </w:p>
    <w:p>
      <w:pPr>
        <w:spacing w:after="0" w:line="187" w:lineRule="exact"/>
        <w:rPr>
          <w:sz w:val="20"/>
          <w:szCs w:val="20"/>
          <w:color w:val="auto"/>
        </w:rPr>
      </w:pPr>
    </w:p>
    <w:p>
      <w:pPr>
        <w:jc w:val="both"/>
        <w:ind w:right="600" w:firstLine="333"/>
        <w:spacing w:after="0" w:line="265" w:lineRule="auto"/>
        <w:rPr>
          <w:sz w:val="20"/>
          <w:szCs w:val="20"/>
          <w:color w:val="auto"/>
        </w:rPr>
      </w:pPr>
      <w:r>
        <w:rPr>
          <w:rFonts w:ascii="Arial" w:cs="Arial" w:eastAsia="Arial" w:hAnsi="Arial"/>
          <w:sz w:val="17"/>
          <w:szCs w:val="17"/>
          <w:color w:val="auto"/>
        </w:rPr>
        <w:t>The SVB Line of Credit contains customary affirmative covenants, financial covenants, as well as negative covenants that, among other things, restrict the Company's ability to incur additional indebtedness (including guarantees of certain obligations); create liens; engage in mergers, consolidations, liquidations and dissolutions; sell assets; maintain collateral; pay dividends or make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Debt (Continued)</w:t>
      </w:r>
    </w:p>
    <w:p>
      <w:pPr>
        <w:spacing w:after="0" w:line="222"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requires the Company achieve minimum revenue targets established at 75% of the annual financial projections approved by the Board.</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was in compliance with all requirements and its covenant of the revolving credit facility as of December 31, 2018 and June 30, 2019 (unaudited).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During the year ended December 31, 2017, the Company recorded interest expense and accretion of the debt discount on the Term Loan of $542,000 and $200,000.</w:t>
      </w:r>
    </w:p>
    <w:p>
      <w:pPr>
        <w:spacing w:after="0" w:line="241" w:lineRule="exact"/>
        <w:rPr>
          <w:sz w:val="20"/>
          <w:szCs w:val="20"/>
          <w:color w:val="auto"/>
        </w:rPr>
      </w:pPr>
    </w:p>
    <w:p>
      <w:pPr>
        <w:ind w:right="260" w:firstLine="336"/>
        <w:spacing w:after="0" w:line="276" w:lineRule="auto"/>
        <w:rPr>
          <w:sz w:val="20"/>
          <w:szCs w:val="20"/>
          <w:color w:val="auto"/>
        </w:rPr>
      </w:pPr>
      <w:r>
        <w:rPr>
          <w:rFonts w:ascii="Arial" w:cs="Arial" w:eastAsia="Arial" w:hAnsi="Arial"/>
          <w:sz w:val="17"/>
          <w:szCs w:val="17"/>
          <w:color w:val="auto"/>
        </w:rPr>
        <w:t>Prior to the repayment of the Term Loan, the Company recorded interest of $163,000 and $163,000 and accretion of the debt discount of $75,000 and $75,000 in Interest expense, net for the six months ended June 30, 2018 and for the year ended December 31, 2018, respectively.</w:t>
      </w:r>
    </w:p>
    <w:p>
      <w:pPr>
        <w:spacing w:after="0" w:line="171" w:lineRule="exact"/>
        <w:rPr>
          <w:sz w:val="20"/>
          <w:szCs w:val="20"/>
          <w:color w:val="auto"/>
        </w:rPr>
      </w:pPr>
    </w:p>
    <w:p>
      <w:pPr>
        <w:jc w:val="both"/>
        <w:ind w:right="120" w:firstLine="327"/>
        <w:spacing w:after="0" w:line="265" w:lineRule="auto"/>
        <w:rPr>
          <w:sz w:val="20"/>
          <w:szCs w:val="20"/>
          <w:color w:val="auto"/>
        </w:rPr>
      </w:pPr>
      <w:r>
        <w:rPr>
          <w:rFonts w:ascii="Arial" w:cs="Arial" w:eastAsia="Arial" w:hAnsi="Arial"/>
          <w:sz w:val="17"/>
          <w:szCs w:val="17"/>
          <w:color w:val="auto"/>
        </w:rPr>
        <w:t>As of December 31, 2018, and June 30, 2019, the Company had $253,000 and $3.1 million drawn on the SVB Line of Credit, respectively. During the year ended December 31, 2018, the Company recorded interest expense on SVB Line of Credit of $74,000. The Company recorded interest on the SVB Line of Credit of $166,000 in the six months ended June 30, 2019 (unaudited).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Convertible Preferred Stock Warrants</w:t>
      </w:r>
    </w:p>
    <w:p>
      <w:pPr>
        <w:spacing w:after="0" w:line="222" w:lineRule="exact"/>
        <w:rPr>
          <w:sz w:val="20"/>
          <w:szCs w:val="20"/>
          <w:color w:val="auto"/>
        </w:rPr>
      </w:pPr>
    </w:p>
    <w:p>
      <w:pPr>
        <w:ind w:right="140" w:firstLine="327"/>
        <w:spacing w:after="0" w:line="265" w:lineRule="auto"/>
        <w:rPr>
          <w:sz w:val="20"/>
          <w:szCs w:val="20"/>
          <w:color w:val="auto"/>
        </w:rPr>
      </w:pPr>
      <w:r>
        <w:rPr>
          <w:rFonts w:ascii="Arial" w:cs="Arial" w:eastAsia="Arial" w:hAnsi="Arial"/>
          <w:sz w:val="17"/>
          <w:szCs w:val="17"/>
          <w:color w:val="auto"/>
        </w:rPr>
        <w:t>As of December 31, 2017 and 2018 and June 30, 2019 (unaudited), the Company has issued and outstanding warrants to acquire 2,019,245 shares of Series B convertible preferred stock for $1.73 per share with a fair value of $1.6 million, $4.6 million and $5.1 million, respectively that were issued in conjunction with various equity and financing transactions.</w:t>
      </w:r>
    </w:p>
    <w:p>
      <w:pPr>
        <w:spacing w:after="0" w:line="180" w:lineRule="exact"/>
        <w:rPr>
          <w:sz w:val="20"/>
          <w:szCs w:val="20"/>
          <w:color w:val="auto"/>
        </w:rPr>
      </w:pPr>
    </w:p>
    <w:p>
      <w:pPr>
        <w:ind w:right="20" w:firstLine="333"/>
        <w:spacing w:after="0" w:line="265" w:lineRule="auto"/>
        <w:rPr>
          <w:sz w:val="20"/>
          <w:szCs w:val="20"/>
          <w:color w:val="auto"/>
        </w:rPr>
      </w:pPr>
      <w:r>
        <w:rPr>
          <w:rFonts w:ascii="Arial" w:cs="Arial" w:eastAsia="Arial" w:hAnsi="Arial"/>
          <w:sz w:val="17"/>
          <w:szCs w:val="17"/>
          <w:color w:val="auto"/>
        </w:rPr>
        <w:t>The Company recognized the warrants at fair value at the time of issuance and remeasures the warrants at their fair value on a recurring basis thereafter. Given the deemed liquidation provisions of the underlying convertible preferred stock, the convertible preferred stock warrant liabilities are recorded at fair value and are subject to remeasurement at each balance sheet date. The Company calculates the warrants' fair value as follows:</w:t>
      </w:r>
    </w:p>
    <w:p>
      <w:pPr>
        <w:spacing w:after="0" w:line="193" w:lineRule="exact"/>
        <w:rPr>
          <w:sz w:val="20"/>
          <w:szCs w:val="20"/>
          <w:color w:val="auto"/>
        </w:rPr>
      </w:pPr>
    </w:p>
    <w:p>
      <w:pPr>
        <w:ind w:left="1040" w:hanging="519"/>
        <w:spacing w:after="0"/>
        <w:tabs>
          <w:tab w:leader="none" w:pos="10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Company's equity value is estimated using the market approach.</w:t>
      </w:r>
    </w:p>
    <w:p>
      <w:pPr>
        <w:spacing w:after="0" w:line="244" w:lineRule="exact"/>
        <w:rPr>
          <w:rFonts w:ascii="Arial" w:cs="Arial" w:eastAsia="Arial" w:hAnsi="Arial"/>
          <w:sz w:val="17"/>
          <w:szCs w:val="17"/>
          <w:color w:val="auto"/>
        </w:rPr>
      </w:pPr>
    </w:p>
    <w:p>
      <w:pPr>
        <w:ind w:left="1040" w:hanging="519"/>
        <w:spacing w:after="0" w:line="307" w:lineRule="auto"/>
        <w:tabs>
          <w:tab w:leader="none" w:pos="10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Company's equity value is then allocated among classes of its capital structure, including Series B convertible preferred shares. The allocation is performed using the Option Pricing Methodology. This method treats securities as options with the Company. The allocation is used to determine the value of Series B convertible preferred shares, as well as the Series B convertible preferred stock warrants. The Company assumes that any exercise of the warrants would be to purchase Series B convertible preferred Shares, and assumes scenarios where the warrants will not be exercised.</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No warrants were issued in 2017, 2018, or the six months ended June 30, 2019. The warrants outstanding at December 31, 2017, were valued at approximately</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$0.81 per share utilizing an option pricing model, time to liquidity of two and half years, underlying stock volatility of 40.6% and a risk-free interest rate of 2.40%.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warrants outstanding at December 31, 2018, were valued at approximately $2.27 per share utilizing an option pricing model, time to liquidity of two years, underlying</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stock volatility of 43% and a risk-free interest rate of 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Convertible Preferred Stock Warrants (Continued)</w:t>
      </w:r>
    </w:p>
    <w:p>
      <w:pPr>
        <w:spacing w:after="0" w:line="222" w:lineRule="exact"/>
        <w:rPr>
          <w:sz w:val="20"/>
          <w:szCs w:val="20"/>
          <w:color w:val="auto"/>
        </w:rPr>
      </w:pPr>
    </w:p>
    <w:p>
      <w:pPr>
        <w:ind w:right="380" w:firstLine="333"/>
        <w:spacing w:after="0" w:line="316" w:lineRule="auto"/>
        <w:rPr>
          <w:sz w:val="20"/>
          <w:szCs w:val="20"/>
          <w:color w:val="auto"/>
        </w:rPr>
      </w:pPr>
      <w:r>
        <w:rPr>
          <w:rFonts w:ascii="Arial" w:cs="Arial" w:eastAsia="Arial" w:hAnsi="Arial"/>
          <w:sz w:val="15"/>
          <w:szCs w:val="15"/>
          <w:color w:val="auto"/>
        </w:rPr>
        <w:t>The warrants outstanding at June 30, 2019 (unaudited), were valued at approximately $2.86 per share utilizing an option pricing model, time to liquidity of 1.25 years, underlying stock volatility of 44% and a risk-free interest rate of 1.8%. Given the deemed liquidation provisions, described below, of the underlying convertible preferred stock, the convertible preferred stock warrant liabilities are recorded at fair value and are subject to remeasurement at each balance sheet date.</w:t>
      </w:r>
    </w:p>
    <w:p>
      <w:pPr>
        <w:spacing w:after="0" w:line="142" w:lineRule="exact"/>
        <w:rPr>
          <w:sz w:val="20"/>
          <w:szCs w:val="20"/>
          <w:color w:val="auto"/>
        </w:rPr>
      </w:pPr>
    </w:p>
    <w:tbl>
      <w:tblPr>
        <w:tblLayout w:type="fixed"/>
        <w:tblInd w:w="1720" w:type="dxa"/>
        <w:tblCellMar>
          <w:top w:w="0" w:type="dxa"/>
          <w:left w:w="0" w:type="dxa"/>
          <w:bottom w:w="0" w:type="dxa"/>
          <w:right w:w="0" w:type="dxa"/>
        </w:tblCellMar>
      </w:tblPr>
      <w:tr>
        <w:trPr>
          <w:trHeight w:val="155"/>
        </w:trPr>
        <w:tc>
          <w:tcPr>
            <w:tcW w:w="5880" w:type="dxa"/>
            <w:vAlign w:val="bottom"/>
            <w:gridSpan w:val="2"/>
          </w:tcPr>
          <w:p>
            <w:pPr>
              <w:spacing w:after="0"/>
              <w:rPr>
                <w:sz w:val="20"/>
                <w:szCs w:val="20"/>
                <w:color w:val="auto"/>
              </w:rPr>
            </w:pPr>
            <w:r>
              <w:rPr>
                <w:rFonts w:ascii="Arial" w:cs="Arial" w:eastAsia="Arial" w:hAnsi="Arial"/>
                <w:sz w:val="13"/>
                <w:szCs w:val="13"/>
                <w:b w:val="1"/>
                <w:bCs w:val="1"/>
                <w:color w:val="auto"/>
              </w:rPr>
              <w:t>Rollforward of Warrants and Fair Value</w:t>
            </w: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Warrants</w:t>
            </w: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Liability</w:t>
            </w:r>
          </w:p>
        </w:tc>
      </w:tr>
      <w:tr>
        <w:trPr>
          <w:trHeight w:val="135"/>
        </w:trPr>
        <w:tc>
          <w:tcPr>
            <w:tcW w:w="2240" w:type="dxa"/>
            <w:vAlign w:val="bottom"/>
            <w:tcBorders>
              <w:top w:val="single" w:sz="8" w:color="auto"/>
            </w:tcBorders>
          </w:tcPr>
          <w:p>
            <w:pPr>
              <w:spacing w:after="0"/>
              <w:rPr>
                <w:sz w:val="11"/>
                <w:szCs w:val="11"/>
                <w:color w:val="auto"/>
              </w:rPr>
            </w:pPr>
          </w:p>
        </w:tc>
        <w:tc>
          <w:tcPr>
            <w:tcW w:w="36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r>
      <w:tr>
        <w:trPr>
          <w:trHeight w:val="207"/>
        </w:trPr>
        <w:tc>
          <w:tcPr>
            <w:tcW w:w="5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warrants and liability as of December 31, 2017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2,019,245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1,645</w:t>
            </w:r>
          </w:p>
        </w:tc>
      </w:tr>
      <w:tr>
        <w:trPr>
          <w:trHeight w:val="207"/>
        </w:trPr>
        <w:tc>
          <w:tcPr>
            <w:tcW w:w="5880" w:type="dxa"/>
            <w:vAlign w:val="bottom"/>
            <w:gridSpan w:val="2"/>
          </w:tcPr>
          <w:p>
            <w:pPr>
              <w:ind w:left="160"/>
              <w:spacing w:after="0"/>
              <w:rPr>
                <w:sz w:val="20"/>
                <w:szCs w:val="20"/>
                <w:color w:val="auto"/>
              </w:rPr>
            </w:pPr>
            <w:r>
              <w:rPr>
                <w:rFonts w:ascii="Arial" w:cs="Arial" w:eastAsia="Arial" w:hAnsi="Arial"/>
                <w:sz w:val="17"/>
                <w:szCs w:val="17"/>
                <w:color w:val="auto"/>
              </w:rPr>
              <w:t>Revaluation of remaining warrants</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2,944</w:t>
            </w:r>
          </w:p>
        </w:tc>
      </w:tr>
      <w:tr>
        <w:trPr>
          <w:trHeight w:val="20"/>
        </w:trPr>
        <w:tc>
          <w:tcPr>
            <w:tcW w:w="2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5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warrants and liability as of 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2,019,245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4,589</w:t>
            </w:r>
          </w:p>
        </w:tc>
      </w:tr>
      <w:tr>
        <w:trPr>
          <w:trHeight w:val="207"/>
        </w:trPr>
        <w:tc>
          <w:tcPr>
            <w:tcW w:w="5880" w:type="dxa"/>
            <w:vAlign w:val="bottom"/>
            <w:gridSpan w:val="2"/>
          </w:tcPr>
          <w:p>
            <w:pPr>
              <w:ind w:left="160"/>
              <w:spacing w:after="0"/>
              <w:rPr>
                <w:sz w:val="20"/>
                <w:szCs w:val="20"/>
                <w:color w:val="auto"/>
              </w:rPr>
            </w:pPr>
            <w:r>
              <w:rPr>
                <w:rFonts w:ascii="Arial" w:cs="Arial" w:eastAsia="Arial" w:hAnsi="Arial"/>
                <w:sz w:val="17"/>
                <w:szCs w:val="17"/>
                <w:color w:val="auto"/>
              </w:rPr>
              <w:t>Revaluation of remaining warrants</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1,193</w:t>
            </w:r>
          </w:p>
        </w:tc>
      </w:tr>
      <w:tr>
        <w:trPr>
          <w:trHeight w:val="20"/>
        </w:trPr>
        <w:tc>
          <w:tcPr>
            <w:tcW w:w="2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5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warrants and liability as of June 30, 2019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2,019,245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5,782</w:t>
            </w:r>
          </w:p>
        </w:tc>
      </w:tr>
      <w:tr>
        <w:trPr>
          <w:trHeight w:val="20"/>
        </w:trPr>
        <w:tc>
          <w:tcPr>
            <w:tcW w:w="2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222" w:lineRule="exact"/>
        <w:rPr>
          <w:sz w:val="20"/>
          <w:szCs w:val="20"/>
          <w:color w:val="auto"/>
        </w:rPr>
      </w:pPr>
    </w:p>
    <w:p>
      <w:pPr>
        <w:ind w:right="200" w:firstLine="336"/>
        <w:spacing w:after="0" w:line="276" w:lineRule="auto"/>
        <w:rPr>
          <w:sz w:val="20"/>
          <w:szCs w:val="20"/>
          <w:color w:val="auto"/>
        </w:rPr>
      </w:pPr>
      <w:r>
        <w:rPr>
          <w:rFonts w:ascii="Arial" w:cs="Arial" w:eastAsia="Arial" w:hAnsi="Arial"/>
          <w:sz w:val="17"/>
          <w:szCs w:val="17"/>
          <w:color w:val="auto"/>
        </w:rPr>
        <w:t>In June 2017, the Company entered into a sublease agreement for its corporate offices in New York, NY. The term is for 27 months commencing on November 1,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August 2018, the lease in Menlo Park, California was terminated. In November 2018, the lease in San Francisco, California was also terminated.</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facility lease payments as of December 31, 2018, are as follows (in thousands):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Operating</w:t>
            </w:r>
          </w:p>
        </w:tc>
      </w:tr>
      <w:tr>
        <w:trPr>
          <w:trHeight w:val="155"/>
        </w:trPr>
        <w:tc>
          <w:tcPr>
            <w:tcW w:w="1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Year Ending December 31:</w:t>
            </w:r>
          </w:p>
        </w:tc>
        <w:tc>
          <w:tcPr>
            <w:tcW w:w="5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6"/>
              </w:rPr>
              <w:t>Lease</w:t>
            </w:r>
          </w:p>
        </w:tc>
        <w:tc>
          <w:tcPr>
            <w:tcW w:w="160" w:type="dxa"/>
            <w:vAlign w:val="bottom"/>
            <w:gridSpan w:val="2"/>
          </w:tcPr>
          <w:p>
            <w:pPr>
              <w:spacing w:after="0"/>
              <w:rPr>
                <w:sz w:val="13"/>
                <w:szCs w:val="13"/>
                <w:color w:val="auto"/>
              </w:rPr>
            </w:pPr>
          </w:p>
        </w:tc>
      </w:tr>
      <w:tr>
        <w:trPr>
          <w:trHeight w:val="200"/>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140" w:type="dxa"/>
            <w:vAlign w:val="bottom"/>
            <w:shd w:val="clear" w:color="auto" w:fill="CCEEFF"/>
          </w:tcPr>
          <w:p>
            <w:pPr>
              <w:spacing w:after="0"/>
              <w:rPr>
                <w:sz w:val="17"/>
                <w:szCs w:val="17"/>
                <w:color w:val="auto"/>
              </w:rPr>
            </w:pPr>
          </w:p>
        </w:tc>
      </w:tr>
      <w:tr>
        <w:trPr>
          <w:trHeight w:val="207"/>
        </w:trPr>
        <w:tc>
          <w:tcPr>
            <w:tcW w:w="1500" w:type="dxa"/>
            <w:vAlign w:val="bottom"/>
          </w:tcPr>
          <w:p>
            <w:pPr>
              <w:spacing w:after="0"/>
              <w:rPr>
                <w:sz w:val="20"/>
                <w:szCs w:val="20"/>
                <w:color w:val="auto"/>
              </w:rPr>
            </w:pPr>
            <w:r>
              <w:rPr>
                <w:rFonts w:ascii="Arial" w:cs="Arial" w:eastAsia="Arial" w:hAnsi="Arial"/>
                <w:sz w:val="17"/>
                <w:szCs w:val="17"/>
                <w:color w:val="auto"/>
              </w:rPr>
              <w:t>2020</w:t>
            </w: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140" w:type="dxa"/>
            <w:vAlign w:val="bottom"/>
          </w:tcPr>
          <w:p>
            <w:pPr>
              <w:spacing w:after="0"/>
              <w:rPr>
                <w:sz w:val="17"/>
                <w:szCs w:val="17"/>
                <w:color w:val="auto"/>
              </w:rPr>
            </w:pPr>
          </w:p>
        </w:tc>
      </w:tr>
      <w:tr>
        <w:trPr>
          <w:trHeight w:val="207"/>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0"/>
        </w:trPr>
        <w:tc>
          <w:tcPr>
            <w:tcW w:w="7100" w:type="dxa"/>
            <w:vAlign w:val="bottom"/>
            <w:gridSpan w:val="2"/>
          </w:tcPr>
          <w:p>
            <w:pPr>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36"/>
        <w:spacing w:after="0" w:line="316" w:lineRule="auto"/>
        <w:rPr>
          <w:sz w:val="20"/>
          <w:szCs w:val="20"/>
          <w:color w:val="auto"/>
        </w:rPr>
      </w:pPr>
      <w:r>
        <w:rPr>
          <w:rFonts w:ascii="Arial" w:cs="Arial" w:eastAsia="Arial" w:hAnsi="Arial"/>
          <w:sz w:val="15"/>
          <w:szCs w:val="15"/>
          <w:color w:val="auto"/>
        </w:rPr>
        <w:t>Rent expense under operating leases was approximately $650,000 and $878,000 for the years ended December 31, 2017 and 2018, and $444,000 and $401,000 for the six months ended June 30, 2018 and 2019 (unaudited), respectively. The terms of the facility lease provide for rental payments on a monthly basis and on a graduated scale. The Company recognizes rent expense on a straight-line basis over the lease period and has accrued for rent expense incurred but not paid.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Arbitration/Litigation</w:t>
      </w:r>
    </w:p>
    <w:p>
      <w:pPr>
        <w:spacing w:after="0" w:line="222" w:lineRule="exact"/>
        <w:rPr>
          <w:sz w:val="20"/>
          <w:szCs w:val="20"/>
          <w:color w:val="auto"/>
        </w:rPr>
      </w:pPr>
    </w:p>
    <w:p>
      <w:pPr>
        <w:jc w:val="both"/>
        <w:ind w:right="60" w:firstLine="336"/>
        <w:spacing w:after="0" w:line="316" w:lineRule="auto"/>
        <w:rPr>
          <w:sz w:val="20"/>
          <w:szCs w:val="20"/>
          <w:color w:val="auto"/>
        </w:rPr>
      </w:pPr>
      <w:r>
        <w:rPr>
          <w:rFonts w:ascii="Arial" w:cs="Arial" w:eastAsia="Arial" w:hAnsi="Arial"/>
          <w:sz w:val="15"/>
          <w:szCs w:val="15"/>
          <w:color w:val="auto"/>
        </w:rPr>
        <w:t>On January 14, 2019, a vendor filed a Demand for Arbitration and Statement of Claim against the Company ("Demand") for alleged breach of the November 10, 2017 Preferred Specialty Pharmacy Agreement ("Agreement") between the Company and the vendor. On March 13, 2019, the Company terminated the Agreement for material breach with the vendor. On April 3, 2019, the vendor filed a Second Amended Demand for Arbitration ("SAD") for breach of the Agreement. The vendor seeks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 (Continued)</w:t>
      </w:r>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damages, fees, interest and cost. Pursuant to a schedule set forth by the Arbitration Panel, on May 3, 2019, the Company filed a Motion to Dismiss the SAD. That Motion was fully briefed on June 14, 2019 and was decided on July 31, 2019. The Arbitration Panel dismissed two of the vendor's four claims. The Company believes the vendor's claims are without merit and intends to vigorously defend against the claims in the Arbitration. Due to the inherent uncertainties of litigation, the Company cannot predict the outcome of the actions at this time and can give no assurances that the asserted claim will not have a material adverse effect on the financial position or results of operations of the Company.</w:t>
      </w:r>
    </w:p>
    <w:p>
      <w:pPr>
        <w:spacing w:after="0" w:line="187" w:lineRule="exact"/>
        <w:rPr>
          <w:sz w:val="20"/>
          <w:szCs w:val="20"/>
          <w:color w:val="auto"/>
        </w:rPr>
      </w:pPr>
    </w:p>
    <w:p>
      <w:pPr>
        <w:ind w:right="260" w:firstLine="333"/>
        <w:spacing w:after="0" w:line="276" w:lineRule="auto"/>
        <w:rPr>
          <w:sz w:val="20"/>
          <w:szCs w:val="20"/>
          <w:color w:val="auto"/>
        </w:rPr>
      </w:pPr>
      <w:r>
        <w:rPr>
          <w:rFonts w:ascii="Arial" w:cs="Arial" w:eastAsia="Arial" w:hAnsi="Arial"/>
          <w:sz w:val="17"/>
          <w:szCs w:val="17"/>
          <w:color w:val="auto"/>
        </w:rPr>
        <w:t>The Company believes there is no other litigation pending that could have, individually or in the aggregate, a material adverse effect on the Company's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Indemnifications</w:t>
      </w:r>
    </w:p>
    <w:p>
      <w:pPr>
        <w:spacing w:after="0" w:line="222" w:lineRule="exact"/>
        <w:rPr>
          <w:sz w:val="20"/>
          <w:szCs w:val="20"/>
          <w:color w:val="auto"/>
        </w:rPr>
      </w:pPr>
    </w:p>
    <w:p>
      <w:pPr>
        <w:ind w:firstLine="333"/>
        <w:spacing w:after="0" w:line="299" w:lineRule="auto"/>
        <w:rPr>
          <w:sz w:val="20"/>
          <w:szCs w:val="20"/>
          <w:color w:val="auto"/>
        </w:rPr>
      </w:pPr>
      <w:r>
        <w:rPr>
          <w:rFonts w:ascii="Arial" w:cs="Arial" w:eastAsia="Arial" w:hAnsi="Arial"/>
          <w:sz w:val="15"/>
          <w:szCs w:val="15"/>
          <w:color w:val="auto"/>
        </w:rPr>
        <w:t>The Company indemnifies each of its officers and directors for certain events or occurrences, subject to certain limits, while the officer or director is or was serving at the Company's request in such capacity, as permitted under Delaware law and in accordance with its certificate of incorporation and bylaws. The term of the indemnification period lasts as long as an officer or a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Convertible Preferred Stock</w:t>
      </w:r>
    </w:p>
    <w:p>
      <w:pPr>
        <w:spacing w:after="0" w:line="222" w:lineRule="exact"/>
        <w:rPr>
          <w:sz w:val="20"/>
          <w:szCs w:val="20"/>
          <w:color w:val="auto"/>
        </w:rPr>
      </w:pPr>
    </w:p>
    <w:p>
      <w:pPr>
        <w:ind w:right="320" w:firstLine="336"/>
        <w:spacing w:after="0" w:line="345" w:lineRule="auto"/>
        <w:rPr>
          <w:sz w:val="20"/>
          <w:szCs w:val="20"/>
          <w:color w:val="auto"/>
        </w:rPr>
      </w:pPr>
      <w:r>
        <w:rPr>
          <w:rFonts w:ascii="Arial" w:cs="Arial" w:eastAsia="Arial" w:hAnsi="Arial"/>
          <w:sz w:val="15"/>
          <w:szCs w:val="15"/>
          <w:color w:val="auto"/>
        </w:rPr>
        <w:t>During March, June and November 2017, the Company raised approximately $15.0 million through the issuance of 8,691,179 shares of its Series B convertible preferred stock at $1.73 per share to new and existing investors. No convertible preferred stock was issued in 2018 or in the six months ended June 30, 2019.</w:t>
      </w:r>
    </w:p>
    <w:p>
      <w:pPr>
        <w:spacing w:after="0" w:line="125" w:lineRule="exact"/>
        <w:rPr>
          <w:sz w:val="20"/>
          <w:szCs w:val="20"/>
          <w:color w:val="auto"/>
        </w:rPr>
      </w:pPr>
    </w:p>
    <w:p>
      <w:pPr>
        <w:ind w:right="160" w:firstLine="336"/>
        <w:spacing w:after="0" w:line="265" w:lineRule="auto"/>
        <w:rPr>
          <w:sz w:val="20"/>
          <w:szCs w:val="20"/>
          <w:color w:val="auto"/>
        </w:rPr>
      </w:pPr>
      <w:r>
        <w:rPr>
          <w:rFonts w:ascii="Arial" w:cs="Arial" w:eastAsia="Arial" w:hAnsi="Arial"/>
          <w:sz w:val="17"/>
          <w:szCs w:val="17"/>
          <w:color w:val="auto"/>
        </w:rPr>
        <w:t>In June 2018, the Company redeemed and retired 1,202,196 Series B convertible preferred stock from a former employee pursuant to our contractual right of first refusal at a purchase price of $2.5 million. The difference of $425,000 between the purchase price (at $2.04 per share) and the carrying value (at $1.73 per share) has been recorded as a dividend in accumulated deficit as of December 31, 2018.</w:t>
      </w:r>
    </w:p>
    <w:p>
      <w:pPr>
        <w:spacing w:after="0" w:line="180" w:lineRule="exact"/>
        <w:rPr>
          <w:sz w:val="20"/>
          <w:szCs w:val="20"/>
          <w:color w:val="auto"/>
        </w:rPr>
      </w:pPr>
    </w:p>
    <w:p>
      <w:pPr>
        <w:ind w:right="40" w:firstLine="336"/>
        <w:spacing w:after="0" w:line="276" w:lineRule="auto"/>
        <w:rPr>
          <w:sz w:val="20"/>
          <w:szCs w:val="20"/>
          <w:color w:val="auto"/>
        </w:rPr>
      </w:pPr>
      <w:r>
        <w:rPr>
          <w:rFonts w:ascii="Arial" w:cs="Arial" w:eastAsia="Arial" w:hAnsi="Arial"/>
          <w:sz w:val="17"/>
          <w:szCs w:val="17"/>
          <w:color w:val="auto"/>
        </w:rPr>
        <w:t>In conjunction with the above convertible preferred stock redemption, certain shareholders purchased convertible preferred stock and common stock from the same former employee at the same price per share.</w:t>
      </w:r>
    </w:p>
    <w:p>
      <w:pPr>
        <w:spacing w:after="0" w:line="171" w:lineRule="exact"/>
        <w:rPr>
          <w:sz w:val="20"/>
          <w:szCs w:val="20"/>
          <w:color w:val="auto"/>
        </w:rPr>
      </w:pPr>
    </w:p>
    <w:p>
      <w:pPr>
        <w:jc w:val="both"/>
        <w:ind w:firstLine="336"/>
        <w:spacing w:after="0" w:line="289" w:lineRule="auto"/>
        <w:rPr>
          <w:sz w:val="20"/>
          <w:szCs w:val="20"/>
          <w:color w:val="auto"/>
        </w:rPr>
      </w:pPr>
      <w:r>
        <w:rPr>
          <w:rFonts w:ascii="Arial" w:cs="Arial" w:eastAsia="Arial" w:hAnsi="Arial"/>
          <w:sz w:val="16"/>
          <w:szCs w:val="16"/>
          <w:color w:val="auto"/>
        </w:rPr>
        <w:t>In connection with the transactions above, an outstanding severance liability was settled. As the total paid by the shareholders to the former employee was in excess of the common stock and preferred stock fair value, this premium was deemed consideration paid on behalf of the Company for the settlement of the severance liability. As such, the Company has accounted for this excess paid of $414,000 as a non-cash contribution in additional paid in capital.</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Convertible Preferred Stock (Continued)</w:t>
      </w:r>
    </w:p>
    <w:p>
      <w:pPr>
        <w:spacing w:after="0" w:line="222" w:lineRule="exact"/>
        <w:rPr>
          <w:sz w:val="20"/>
          <w:szCs w:val="20"/>
          <w:color w:val="auto"/>
        </w:rPr>
      </w:pPr>
    </w:p>
    <w:p>
      <w:pPr>
        <w:ind w:firstLine="333"/>
        <w:spacing w:after="0" w:line="276" w:lineRule="auto"/>
        <w:rPr>
          <w:sz w:val="20"/>
          <w:szCs w:val="20"/>
          <w:color w:val="auto"/>
        </w:rPr>
      </w:pPr>
      <w:r>
        <w:rPr>
          <w:rFonts w:ascii="Arial" w:cs="Arial" w:eastAsia="Arial" w:hAnsi="Arial"/>
          <w:sz w:val="17"/>
          <w:szCs w:val="17"/>
          <w:color w:val="auto"/>
        </w:rPr>
        <w:t>The authorized, issued and outstanding shares, and liquidation preference of the Company's convertible preferred stock as of the dates indicated were as follows (in thousands, except for share and per share data):</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55"/>
        </w:trPr>
        <w:tc>
          <w:tcPr>
            <w:tcW w:w="4680" w:type="dxa"/>
            <w:vAlign w:val="bottom"/>
          </w:tcPr>
          <w:p>
            <w:pPr>
              <w:spacing w:after="0"/>
              <w:rPr>
                <w:sz w:val="13"/>
                <w:szCs w:val="13"/>
                <w:color w:val="auto"/>
              </w:rPr>
            </w:pPr>
          </w:p>
        </w:tc>
        <w:tc>
          <w:tcPr>
            <w:tcW w:w="2260" w:type="dxa"/>
            <w:vAlign w:val="bottom"/>
            <w:tcBorders>
              <w:bottom w:val="single" w:sz="8" w:color="auto"/>
            </w:tcBorders>
            <w:gridSpan w:val="6"/>
          </w:tcPr>
          <w:p>
            <w:pPr>
              <w:jc w:val="center"/>
              <w:ind w:left="826"/>
              <w:spacing w:after="0"/>
              <w:rPr>
                <w:sz w:val="20"/>
                <w:szCs w:val="20"/>
                <w:color w:val="auto"/>
              </w:rPr>
            </w:pPr>
            <w:r>
              <w:rPr>
                <w:rFonts w:ascii="Arial" w:cs="Arial" w:eastAsia="Arial" w:hAnsi="Arial"/>
                <w:sz w:val="13"/>
                <w:szCs w:val="13"/>
                <w:b w:val="1"/>
                <w:bCs w:val="1"/>
                <w:color w:val="auto"/>
                <w:w w:val="88"/>
              </w:rPr>
              <w:t>As of December 31, 2017</w:t>
            </w:r>
          </w:p>
        </w:tc>
        <w:tc>
          <w:tcPr>
            <w:tcW w:w="8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2"/>
        </w:trPr>
        <w:tc>
          <w:tcPr>
            <w:tcW w:w="4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60"/>
              <w:spacing w:after="0" w:line="123" w:lineRule="exact"/>
              <w:rPr>
                <w:sz w:val="20"/>
                <w:szCs w:val="20"/>
                <w:color w:val="auto"/>
              </w:rPr>
            </w:pPr>
            <w:r>
              <w:rPr>
                <w:rFonts w:ascii="Arial" w:cs="Arial" w:eastAsia="Arial" w:hAnsi="Arial"/>
                <w:sz w:val="13"/>
                <w:szCs w:val="13"/>
                <w:b w:val="1"/>
                <w:bCs w:val="1"/>
                <w:color w:val="auto"/>
                <w:w w:val="88"/>
              </w:rPr>
              <w:t>Issued and</w:t>
            </w:r>
          </w:p>
        </w:tc>
        <w:tc>
          <w:tcPr>
            <w:tcW w:w="100" w:type="dxa"/>
            <w:vAlign w:val="bottom"/>
          </w:tcPr>
          <w:p>
            <w:pPr>
              <w:spacing w:after="0"/>
              <w:rPr>
                <w:sz w:val="10"/>
                <w:szCs w:val="10"/>
                <w:color w:val="auto"/>
              </w:rPr>
            </w:pPr>
          </w:p>
        </w:tc>
        <w:tc>
          <w:tcPr>
            <w:tcW w:w="880" w:type="dxa"/>
            <w:vAlign w:val="bottom"/>
          </w:tcPr>
          <w:p>
            <w:pPr>
              <w:jc w:val="center"/>
              <w:ind w:right="7"/>
              <w:spacing w:after="0" w:line="123" w:lineRule="exact"/>
              <w:rPr>
                <w:sz w:val="20"/>
                <w:szCs w:val="20"/>
                <w:color w:val="auto"/>
              </w:rPr>
            </w:pPr>
            <w:r>
              <w:rPr>
                <w:rFonts w:ascii="Arial" w:cs="Arial" w:eastAsia="Arial" w:hAnsi="Arial"/>
                <w:sz w:val="13"/>
                <w:szCs w:val="13"/>
                <w:b w:val="1"/>
                <w:bCs w:val="1"/>
                <w:color w:val="auto"/>
                <w:w w:val="87"/>
              </w:rPr>
              <w:t>Aggregate</w:t>
            </w:r>
          </w:p>
        </w:tc>
        <w:tc>
          <w:tcPr>
            <w:tcW w:w="160" w:type="dxa"/>
            <w:vAlign w:val="bottom"/>
          </w:tcPr>
          <w:p>
            <w:pPr>
              <w:spacing w:after="0"/>
              <w:rPr>
                <w:sz w:val="10"/>
                <w:szCs w:val="10"/>
                <w:color w:val="auto"/>
              </w:rPr>
            </w:pPr>
          </w:p>
        </w:tc>
      </w:tr>
      <w:tr>
        <w:trPr>
          <w:trHeight w:val="142"/>
        </w:trPr>
        <w:tc>
          <w:tcPr>
            <w:tcW w:w="4680" w:type="dxa"/>
            <w:vAlign w:val="bottom"/>
          </w:tcPr>
          <w:p>
            <w:pPr>
              <w:spacing w:after="0"/>
              <w:rPr>
                <w:sz w:val="12"/>
                <w:szCs w:val="12"/>
                <w:color w:val="auto"/>
              </w:rPr>
            </w:pPr>
          </w:p>
        </w:tc>
        <w:tc>
          <w:tcPr>
            <w:tcW w:w="1120" w:type="dxa"/>
            <w:vAlign w:val="bottom"/>
            <w:gridSpan w:val="3"/>
          </w:tcPr>
          <w:p>
            <w:pPr>
              <w:jc w:val="center"/>
              <w:ind w:right="140"/>
              <w:spacing w:after="0" w:line="143" w:lineRule="exact"/>
              <w:rPr>
                <w:sz w:val="20"/>
                <w:szCs w:val="20"/>
                <w:color w:val="auto"/>
              </w:rPr>
            </w:pPr>
            <w:r>
              <w:rPr>
                <w:rFonts w:ascii="Arial" w:cs="Arial" w:eastAsia="Arial" w:hAnsi="Arial"/>
                <w:sz w:val="13"/>
                <w:szCs w:val="13"/>
                <w:b w:val="1"/>
                <w:bCs w:val="1"/>
                <w:color w:val="auto"/>
                <w:w w:val="91"/>
              </w:rPr>
              <w:t>Authorized</w:t>
            </w:r>
          </w:p>
        </w:tc>
        <w:tc>
          <w:tcPr>
            <w:tcW w:w="104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1"/>
              </w:rPr>
              <w:t>Liquidation</w:t>
            </w:r>
          </w:p>
        </w:tc>
      </w:tr>
      <w:tr>
        <w:trPr>
          <w:trHeight w:val="155"/>
        </w:trPr>
        <w:tc>
          <w:tcPr>
            <w:tcW w:w="468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Preference</w:t>
            </w:r>
          </w:p>
        </w:tc>
      </w:tr>
      <w:tr>
        <w:trPr>
          <w:trHeight w:val="135"/>
        </w:trPr>
        <w:tc>
          <w:tcPr>
            <w:tcW w:w="46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7"/>
              <w:spacing w:after="0" w:line="136"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r>
      <w:tr>
        <w:trPr>
          <w:trHeight w:val="207"/>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7"/>
        </w:trPr>
        <w:tc>
          <w:tcPr>
            <w:tcW w:w="4680" w:type="dxa"/>
            <w:vAlign w:val="bottom"/>
          </w:tcPr>
          <w:p>
            <w:pPr>
              <w:ind w:left="160"/>
              <w:spacing w:after="0"/>
              <w:rPr>
                <w:sz w:val="20"/>
                <w:szCs w:val="20"/>
                <w:color w:val="auto"/>
              </w:rPr>
            </w:pPr>
            <w:r>
              <w:rPr>
                <w:rFonts w:ascii="Arial" w:cs="Arial" w:eastAsia="Arial" w:hAnsi="Arial"/>
                <w:sz w:val="17"/>
                <w:szCs w:val="17"/>
                <w:color w:val="auto"/>
              </w:rPr>
              <w:t>Series A Preferred</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69,930,070</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15,384,798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20,000</w:t>
            </w:r>
          </w:p>
        </w:tc>
      </w:tr>
      <w:tr>
        <w:trPr>
          <w:trHeight w:val="207"/>
        </w:trPr>
        <w:tc>
          <w:tcPr>
            <w:tcW w:w="4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Series B Preferred</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245,000,000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51,245,486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88,444</w:t>
            </w:r>
          </w:p>
        </w:tc>
      </w:tr>
      <w:tr>
        <w:trPr>
          <w:trHeight w:val="200"/>
        </w:trPr>
        <w:tc>
          <w:tcPr>
            <w:tcW w:w="4680" w:type="dxa"/>
            <w:vAlign w:val="bottom"/>
          </w:tcPr>
          <w:p>
            <w:pPr>
              <w:spacing w:after="0"/>
              <w:rPr>
                <w:sz w:val="20"/>
                <w:szCs w:val="20"/>
                <w:color w:val="auto"/>
              </w:rPr>
            </w:pPr>
            <w:r>
              <w:rPr>
                <w:rFonts w:ascii="Arial" w:cs="Arial" w:eastAsia="Arial" w:hAnsi="Arial"/>
                <w:sz w:val="17"/>
                <w:szCs w:val="17"/>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314,930,070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66,630,284</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108,444</w:t>
            </w:r>
          </w:p>
        </w:tc>
        <w:tc>
          <w:tcPr>
            <w:tcW w:w="16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94"/>
        </w:trPr>
        <w:tc>
          <w:tcPr>
            <w:tcW w:w="4680" w:type="dxa"/>
            <w:vAlign w:val="bottom"/>
          </w:tcPr>
          <w:p>
            <w:pPr>
              <w:spacing w:after="0"/>
              <w:rPr>
                <w:sz w:val="24"/>
                <w:szCs w:val="24"/>
                <w:color w:val="auto"/>
              </w:rPr>
            </w:pPr>
          </w:p>
        </w:tc>
        <w:tc>
          <w:tcPr>
            <w:tcW w:w="2260" w:type="dxa"/>
            <w:vAlign w:val="bottom"/>
            <w:tcBorders>
              <w:bottom w:val="single" w:sz="8" w:color="auto"/>
            </w:tcBorders>
            <w:gridSpan w:val="6"/>
          </w:tcPr>
          <w:p>
            <w:pPr>
              <w:jc w:val="center"/>
              <w:ind w:left="826"/>
              <w:spacing w:after="0"/>
              <w:rPr>
                <w:sz w:val="20"/>
                <w:szCs w:val="20"/>
                <w:color w:val="auto"/>
              </w:rPr>
            </w:pPr>
            <w:r>
              <w:rPr>
                <w:rFonts w:ascii="Arial" w:cs="Arial" w:eastAsia="Arial" w:hAnsi="Arial"/>
                <w:sz w:val="13"/>
                <w:szCs w:val="13"/>
                <w:b w:val="1"/>
                <w:bCs w:val="1"/>
                <w:color w:val="auto"/>
                <w:w w:val="88"/>
              </w:rPr>
              <w:t>As of December 31, 2018</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2"/>
        </w:trPr>
        <w:tc>
          <w:tcPr>
            <w:tcW w:w="4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60"/>
              <w:spacing w:after="0" w:line="123" w:lineRule="exact"/>
              <w:rPr>
                <w:sz w:val="20"/>
                <w:szCs w:val="20"/>
                <w:color w:val="auto"/>
              </w:rPr>
            </w:pPr>
            <w:r>
              <w:rPr>
                <w:rFonts w:ascii="Arial" w:cs="Arial" w:eastAsia="Arial" w:hAnsi="Arial"/>
                <w:sz w:val="13"/>
                <w:szCs w:val="13"/>
                <w:b w:val="1"/>
                <w:bCs w:val="1"/>
                <w:color w:val="auto"/>
                <w:w w:val="88"/>
              </w:rPr>
              <w:t>Issued and</w:t>
            </w:r>
          </w:p>
        </w:tc>
        <w:tc>
          <w:tcPr>
            <w:tcW w:w="100" w:type="dxa"/>
            <w:vAlign w:val="bottom"/>
          </w:tcPr>
          <w:p>
            <w:pPr>
              <w:spacing w:after="0"/>
              <w:rPr>
                <w:sz w:val="10"/>
                <w:szCs w:val="10"/>
                <w:color w:val="auto"/>
              </w:rPr>
            </w:pPr>
          </w:p>
        </w:tc>
        <w:tc>
          <w:tcPr>
            <w:tcW w:w="880" w:type="dxa"/>
            <w:vAlign w:val="bottom"/>
          </w:tcPr>
          <w:p>
            <w:pPr>
              <w:jc w:val="center"/>
              <w:ind w:right="7"/>
              <w:spacing w:after="0" w:line="123" w:lineRule="exact"/>
              <w:rPr>
                <w:sz w:val="20"/>
                <w:szCs w:val="20"/>
                <w:color w:val="auto"/>
              </w:rPr>
            </w:pPr>
            <w:r>
              <w:rPr>
                <w:rFonts w:ascii="Arial" w:cs="Arial" w:eastAsia="Arial" w:hAnsi="Arial"/>
                <w:sz w:val="13"/>
                <w:szCs w:val="13"/>
                <w:b w:val="1"/>
                <w:bCs w:val="1"/>
                <w:color w:val="auto"/>
                <w:w w:val="87"/>
              </w:rPr>
              <w:t>Aggregate</w:t>
            </w:r>
          </w:p>
        </w:tc>
        <w:tc>
          <w:tcPr>
            <w:tcW w:w="160" w:type="dxa"/>
            <w:vAlign w:val="bottom"/>
          </w:tcPr>
          <w:p>
            <w:pPr>
              <w:spacing w:after="0"/>
              <w:rPr>
                <w:sz w:val="10"/>
                <w:szCs w:val="10"/>
                <w:color w:val="auto"/>
              </w:rPr>
            </w:pPr>
          </w:p>
        </w:tc>
      </w:tr>
      <w:tr>
        <w:trPr>
          <w:trHeight w:val="142"/>
        </w:trPr>
        <w:tc>
          <w:tcPr>
            <w:tcW w:w="4680" w:type="dxa"/>
            <w:vAlign w:val="bottom"/>
          </w:tcPr>
          <w:p>
            <w:pPr>
              <w:spacing w:after="0"/>
              <w:rPr>
                <w:sz w:val="12"/>
                <w:szCs w:val="12"/>
                <w:color w:val="auto"/>
              </w:rPr>
            </w:pPr>
          </w:p>
        </w:tc>
        <w:tc>
          <w:tcPr>
            <w:tcW w:w="1120" w:type="dxa"/>
            <w:vAlign w:val="bottom"/>
            <w:gridSpan w:val="3"/>
          </w:tcPr>
          <w:p>
            <w:pPr>
              <w:jc w:val="center"/>
              <w:ind w:right="140"/>
              <w:spacing w:after="0" w:line="143" w:lineRule="exact"/>
              <w:rPr>
                <w:sz w:val="20"/>
                <w:szCs w:val="20"/>
                <w:color w:val="auto"/>
              </w:rPr>
            </w:pPr>
            <w:r>
              <w:rPr>
                <w:rFonts w:ascii="Arial" w:cs="Arial" w:eastAsia="Arial" w:hAnsi="Arial"/>
                <w:sz w:val="13"/>
                <w:szCs w:val="13"/>
                <w:b w:val="1"/>
                <w:bCs w:val="1"/>
                <w:color w:val="auto"/>
                <w:w w:val="91"/>
              </w:rPr>
              <w:t>Authorized</w:t>
            </w:r>
          </w:p>
        </w:tc>
        <w:tc>
          <w:tcPr>
            <w:tcW w:w="104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1"/>
              </w:rPr>
              <w:t>Liquidation</w:t>
            </w:r>
          </w:p>
        </w:tc>
      </w:tr>
      <w:tr>
        <w:trPr>
          <w:trHeight w:val="155"/>
        </w:trPr>
        <w:tc>
          <w:tcPr>
            <w:tcW w:w="468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Preference</w:t>
            </w:r>
          </w:p>
        </w:tc>
      </w:tr>
      <w:tr>
        <w:trPr>
          <w:trHeight w:val="135"/>
        </w:trPr>
        <w:tc>
          <w:tcPr>
            <w:tcW w:w="46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7"/>
              <w:spacing w:after="0" w:line="136"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r>
      <w:tr>
        <w:trPr>
          <w:trHeight w:val="207"/>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7"/>
        </w:trPr>
        <w:tc>
          <w:tcPr>
            <w:tcW w:w="4680" w:type="dxa"/>
            <w:vAlign w:val="bottom"/>
          </w:tcPr>
          <w:p>
            <w:pPr>
              <w:ind w:left="160"/>
              <w:spacing w:after="0"/>
              <w:rPr>
                <w:sz w:val="20"/>
                <w:szCs w:val="20"/>
                <w:color w:val="auto"/>
              </w:rPr>
            </w:pPr>
            <w:r>
              <w:rPr>
                <w:rFonts w:ascii="Arial" w:cs="Arial" w:eastAsia="Arial" w:hAnsi="Arial"/>
                <w:sz w:val="17"/>
                <w:szCs w:val="17"/>
                <w:color w:val="auto"/>
              </w:rPr>
              <w:t>Series A Preferred</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69,930,070</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15,384,798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20,000</w:t>
            </w:r>
          </w:p>
        </w:tc>
      </w:tr>
      <w:tr>
        <w:trPr>
          <w:trHeight w:val="207"/>
        </w:trPr>
        <w:tc>
          <w:tcPr>
            <w:tcW w:w="4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Series B Preferred</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245,000,000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50,043,290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86,369</w:t>
            </w:r>
          </w:p>
        </w:tc>
      </w:tr>
      <w:tr>
        <w:trPr>
          <w:trHeight w:val="200"/>
        </w:trPr>
        <w:tc>
          <w:tcPr>
            <w:tcW w:w="4680" w:type="dxa"/>
            <w:vAlign w:val="bottom"/>
          </w:tcPr>
          <w:p>
            <w:pPr>
              <w:spacing w:after="0"/>
              <w:rPr>
                <w:sz w:val="20"/>
                <w:szCs w:val="20"/>
                <w:color w:val="auto"/>
              </w:rPr>
            </w:pPr>
            <w:r>
              <w:rPr>
                <w:rFonts w:ascii="Arial" w:cs="Arial" w:eastAsia="Arial" w:hAnsi="Arial"/>
                <w:sz w:val="17"/>
                <w:szCs w:val="17"/>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314,930,070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65,428,088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106,369</w:t>
            </w:r>
          </w:p>
        </w:tc>
        <w:tc>
          <w:tcPr>
            <w:tcW w:w="16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94"/>
        </w:trPr>
        <w:tc>
          <w:tcPr>
            <w:tcW w:w="4680" w:type="dxa"/>
            <w:vAlign w:val="bottom"/>
          </w:tcPr>
          <w:p>
            <w:pPr>
              <w:spacing w:after="0"/>
              <w:rPr>
                <w:sz w:val="24"/>
                <w:szCs w:val="24"/>
                <w:color w:val="auto"/>
              </w:rPr>
            </w:pPr>
          </w:p>
        </w:tc>
        <w:tc>
          <w:tcPr>
            <w:tcW w:w="3300" w:type="dxa"/>
            <w:vAlign w:val="bottom"/>
            <w:gridSpan w:val="8"/>
          </w:tcPr>
          <w:p>
            <w:pPr>
              <w:jc w:val="center"/>
              <w:ind w:right="140"/>
              <w:spacing w:after="0"/>
              <w:rPr>
                <w:sz w:val="20"/>
                <w:szCs w:val="20"/>
                <w:color w:val="auto"/>
              </w:rPr>
            </w:pPr>
            <w:r>
              <w:rPr>
                <w:rFonts w:ascii="Arial" w:cs="Arial" w:eastAsia="Arial" w:hAnsi="Arial"/>
                <w:sz w:val="13"/>
                <w:szCs w:val="13"/>
                <w:b w:val="1"/>
                <w:bCs w:val="1"/>
                <w:color w:val="auto"/>
                <w:w w:val="90"/>
              </w:rPr>
              <w:t>As of June 30, 2019 (unaudited)</w:t>
            </w:r>
          </w:p>
        </w:tc>
      </w:tr>
      <w:tr>
        <w:trPr>
          <w:trHeight w:val="122"/>
        </w:trPr>
        <w:tc>
          <w:tcPr>
            <w:tcW w:w="46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160"/>
              <w:spacing w:after="0" w:line="123" w:lineRule="exact"/>
              <w:rPr>
                <w:sz w:val="20"/>
                <w:szCs w:val="20"/>
                <w:color w:val="auto"/>
              </w:rPr>
            </w:pPr>
            <w:r>
              <w:rPr>
                <w:rFonts w:ascii="Arial" w:cs="Arial" w:eastAsia="Arial" w:hAnsi="Arial"/>
                <w:sz w:val="13"/>
                <w:szCs w:val="13"/>
                <w:b w:val="1"/>
                <w:bCs w:val="1"/>
                <w:color w:val="auto"/>
                <w:w w:val="88"/>
              </w:rPr>
              <w:t>Issued and</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
              <w:spacing w:after="0" w:line="123" w:lineRule="exact"/>
              <w:rPr>
                <w:sz w:val="20"/>
                <w:szCs w:val="20"/>
                <w:color w:val="auto"/>
              </w:rPr>
            </w:pPr>
            <w:r>
              <w:rPr>
                <w:rFonts w:ascii="Arial" w:cs="Arial" w:eastAsia="Arial" w:hAnsi="Arial"/>
                <w:sz w:val="13"/>
                <w:szCs w:val="13"/>
                <w:b w:val="1"/>
                <w:bCs w:val="1"/>
                <w:color w:val="auto"/>
                <w:w w:val="87"/>
              </w:rPr>
              <w:t>Aggregate</w:t>
            </w:r>
          </w:p>
        </w:tc>
        <w:tc>
          <w:tcPr>
            <w:tcW w:w="160" w:type="dxa"/>
            <w:vAlign w:val="bottom"/>
          </w:tcPr>
          <w:p>
            <w:pPr>
              <w:spacing w:after="0"/>
              <w:rPr>
                <w:sz w:val="10"/>
                <w:szCs w:val="10"/>
                <w:color w:val="auto"/>
              </w:rPr>
            </w:pPr>
          </w:p>
        </w:tc>
      </w:tr>
      <w:tr>
        <w:trPr>
          <w:trHeight w:val="142"/>
        </w:trPr>
        <w:tc>
          <w:tcPr>
            <w:tcW w:w="4680" w:type="dxa"/>
            <w:vAlign w:val="bottom"/>
          </w:tcPr>
          <w:p>
            <w:pPr>
              <w:spacing w:after="0"/>
              <w:rPr>
                <w:sz w:val="12"/>
                <w:szCs w:val="12"/>
                <w:color w:val="auto"/>
              </w:rPr>
            </w:pPr>
          </w:p>
        </w:tc>
        <w:tc>
          <w:tcPr>
            <w:tcW w:w="1120" w:type="dxa"/>
            <w:vAlign w:val="bottom"/>
            <w:gridSpan w:val="3"/>
          </w:tcPr>
          <w:p>
            <w:pPr>
              <w:jc w:val="center"/>
              <w:ind w:right="140"/>
              <w:spacing w:after="0" w:line="143" w:lineRule="exact"/>
              <w:rPr>
                <w:sz w:val="20"/>
                <w:szCs w:val="20"/>
                <w:color w:val="auto"/>
              </w:rPr>
            </w:pPr>
            <w:r>
              <w:rPr>
                <w:rFonts w:ascii="Arial" w:cs="Arial" w:eastAsia="Arial" w:hAnsi="Arial"/>
                <w:sz w:val="13"/>
                <w:szCs w:val="13"/>
                <w:b w:val="1"/>
                <w:bCs w:val="1"/>
                <w:color w:val="auto"/>
                <w:w w:val="91"/>
              </w:rPr>
              <w:t>Authorized</w:t>
            </w:r>
          </w:p>
        </w:tc>
        <w:tc>
          <w:tcPr>
            <w:tcW w:w="104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1"/>
              </w:rPr>
              <w:t>Liquidation</w:t>
            </w:r>
          </w:p>
        </w:tc>
      </w:tr>
      <w:tr>
        <w:trPr>
          <w:trHeight w:val="155"/>
        </w:trPr>
        <w:tc>
          <w:tcPr>
            <w:tcW w:w="468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Preference</w:t>
            </w:r>
          </w:p>
        </w:tc>
      </w:tr>
      <w:tr>
        <w:trPr>
          <w:trHeight w:val="135"/>
        </w:trPr>
        <w:tc>
          <w:tcPr>
            <w:tcW w:w="46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7"/>
              <w:spacing w:after="0" w:line="136"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r>
      <w:tr>
        <w:trPr>
          <w:trHeight w:val="207"/>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7"/>
        </w:trPr>
        <w:tc>
          <w:tcPr>
            <w:tcW w:w="4680" w:type="dxa"/>
            <w:vAlign w:val="bottom"/>
          </w:tcPr>
          <w:p>
            <w:pPr>
              <w:ind w:left="160"/>
              <w:spacing w:after="0"/>
              <w:rPr>
                <w:sz w:val="20"/>
                <w:szCs w:val="20"/>
                <w:color w:val="auto"/>
              </w:rPr>
            </w:pPr>
            <w:r>
              <w:rPr>
                <w:rFonts w:ascii="Arial" w:cs="Arial" w:eastAsia="Arial" w:hAnsi="Arial"/>
                <w:sz w:val="17"/>
                <w:szCs w:val="17"/>
                <w:color w:val="auto"/>
              </w:rPr>
              <w:t>Series A Preferred</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69,930,070</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15,384,798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20,000</w:t>
            </w:r>
          </w:p>
        </w:tc>
      </w:tr>
      <w:tr>
        <w:trPr>
          <w:trHeight w:val="207"/>
        </w:trPr>
        <w:tc>
          <w:tcPr>
            <w:tcW w:w="4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Series B Preferred</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245,000,000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50,043,290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86,369</w:t>
            </w:r>
          </w:p>
        </w:tc>
      </w:tr>
      <w:tr>
        <w:trPr>
          <w:trHeight w:val="200"/>
        </w:trPr>
        <w:tc>
          <w:tcPr>
            <w:tcW w:w="4680" w:type="dxa"/>
            <w:vAlign w:val="bottom"/>
          </w:tcPr>
          <w:p>
            <w:pPr>
              <w:spacing w:after="0"/>
              <w:rPr>
                <w:sz w:val="20"/>
                <w:szCs w:val="20"/>
                <w:color w:val="auto"/>
              </w:rPr>
            </w:pPr>
            <w:r>
              <w:rPr>
                <w:rFonts w:ascii="Arial" w:cs="Arial" w:eastAsia="Arial" w:hAnsi="Arial"/>
                <w:sz w:val="17"/>
                <w:szCs w:val="17"/>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314,930,070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65,428,088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106,369</w:t>
            </w:r>
          </w:p>
        </w:tc>
        <w:tc>
          <w:tcPr>
            <w:tcW w:w="16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7"/>
        <w:spacing w:after="0" w:line="276" w:lineRule="auto"/>
        <w:rPr>
          <w:sz w:val="20"/>
          <w:szCs w:val="20"/>
          <w:color w:val="auto"/>
        </w:rPr>
      </w:pPr>
      <w:r>
        <w:rPr>
          <w:rFonts w:ascii="Arial" w:cs="Arial" w:eastAsia="Arial" w:hAnsi="Arial"/>
          <w:sz w:val="17"/>
          <w:szCs w:val="17"/>
          <w:color w:val="auto"/>
        </w:rPr>
        <w:t>As of December 31, 2018 and June 30, 2019, the holders of the Series A convertible preferred stock ("Series A Preferred") and Series B convertible preferred stock ("Series B Preferred" together the "Series Preferred") had the following rights and preferences: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Dividends</w:t>
      </w:r>
    </w:p>
    <w:p>
      <w:pPr>
        <w:spacing w:after="0" w:line="218" w:lineRule="exact"/>
        <w:rPr>
          <w:sz w:val="20"/>
          <w:szCs w:val="20"/>
          <w:color w:val="auto"/>
        </w:rPr>
      </w:pPr>
    </w:p>
    <w:p>
      <w:pPr>
        <w:jc w:val="both"/>
        <w:ind w:left="520" w:right="160" w:firstLine="333"/>
        <w:spacing w:after="0" w:line="265" w:lineRule="auto"/>
        <w:rPr>
          <w:sz w:val="20"/>
          <w:szCs w:val="20"/>
          <w:color w:val="auto"/>
        </w:rPr>
      </w:pPr>
      <w:r>
        <w:rPr>
          <w:rFonts w:ascii="Arial" w:cs="Arial" w:eastAsia="Arial" w:hAnsi="Arial"/>
          <w:sz w:val="17"/>
          <w:szCs w:val="17"/>
          <w:color w:val="auto"/>
        </w:rPr>
        <w:t>The holders of the Series A Preferred and the Series B Preferred shall be entitled to receive noncumulative dividends in preference to any dividend on the Company's common stock at the rate of 8% of their respective "Original Issuance Price" ($1.30 per share for the Series A Preferred and $1.73 per share for the Series B Preferred) per annum, when and as declared by the Board of</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Convertible Preferred Stock (Continued)</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Directors. The holders of Series Preferred also shall be entitled to participate pro rata in any dividends paid on the common stock on an as-if-converted basis.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Liquidation Preference</w:t>
      </w:r>
    </w:p>
    <w:p>
      <w:pPr>
        <w:spacing w:after="0" w:line="218" w:lineRule="exact"/>
        <w:rPr>
          <w:sz w:val="20"/>
          <w:szCs w:val="20"/>
          <w:color w:val="auto"/>
        </w:rPr>
      </w:pPr>
    </w:p>
    <w:p>
      <w:pPr>
        <w:ind w:left="520" w:firstLine="336"/>
        <w:spacing w:after="0" w:line="307" w:lineRule="auto"/>
        <w:rPr>
          <w:sz w:val="20"/>
          <w:szCs w:val="20"/>
          <w:color w:val="auto"/>
        </w:rPr>
      </w:pPr>
      <w:r>
        <w:rPr>
          <w:rFonts w:ascii="Arial" w:cs="Arial" w:eastAsia="Arial" w:hAnsi="Arial"/>
          <w:sz w:val="15"/>
          <w:szCs w:val="15"/>
          <w:color w:val="auto"/>
        </w:rPr>
        <w:t>In the event of any liquidation or winding up of the Company, the holders of the Series Preferred shall be entitled to receive in preference to the holders of the common stock a per share amount equal to the greater of (a) their respective Original Issuance Price plus any declared but unpaid dividends or (b) the amount payable to them had they converted their Series Preferred into common stock immediately prior to the liquidation event. After the payment of the liquidation preference to the holders of the Series Preferred, the remaining assets shall be distributed ratably to the holders of the common stock.</w:t>
      </w:r>
    </w:p>
    <w:p>
      <w:pPr>
        <w:spacing w:after="0" w:line="152" w:lineRule="exact"/>
        <w:rPr>
          <w:sz w:val="20"/>
          <w:szCs w:val="20"/>
          <w:color w:val="auto"/>
        </w:rPr>
      </w:pPr>
    </w:p>
    <w:p>
      <w:pPr>
        <w:ind w:left="520" w:right="200" w:firstLine="327"/>
        <w:spacing w:after="0" w:line="289" w:lineRule="auto"/>
        <w:rPr>
          <w:sz w:val="20"/>
          <w:szCs w:val="20"/>
          <w:color w:val="auto"/>
        </w:rPr>
      </w:pPr>
      <w:r>
        <w:rPr>
          <w:rFonts w:ascii="Arial" w:cs="Arial" w:eastAsia="Arial" w:hAnsi="Arial"/>
          <w:sz w:val="16"/>
          <w:szCs w:val="16"/>
          <w:color w:val="auto"/>
        </w:rPr>
        <w:t>A merger or consolidation in which the stockholders of the Company do not own a majority of the outstanding shares of the surviving corporation, a sale, lease, transfer, or other disposition of substantially all of the assets of the Company and an exclusive license of substantially all of the Company's intellectual property shall be deemed to be a liquidation unless the holders of at least 60% of the Series Preferred elect otherwise.</w:t>
      </w:r>
    </w:p>
    <w:p>
      <w:pPr>
        <w:spacing w:after="0" w:line="163" w:lineRule="exact"/>
        <w:rPr>
          <w:sz w:val="20"/>
          <w:szCs w:val="20"/>
          <w:color w:val="auto"/>
        </w:rPr>
      </w:pPr>
    </w:p>
    <w:p>
      <w:pPr>
        <w:ind w:left="520" w:right="20" w:firstLine="336"/>
        <w:spacing w:after="0" w:line="302" w:lineRule="auto"/>
        <w:rPr>
          <w:sz w:val="20"/>
          <w:szCs w:val="20"/>
          <w:color w:val="auto"/>
        </w:rPr>
      </w:pPr>
      <w:r>
        <w:rPr>
          <w:rFonts w:ascii="Arial" w:cs="Arial" w:eastAsia="Arial" w:hAnsi="Arial"/>
          <w:sz w:val="15"/>
          <w:szCs w:val="15"/>
          <w:color w:val="auto"/>
        </w:rPr>
        <w:t>Due to the concentration of convertible preferred stock ownership interest and Board representation of the convertible preferred stockholder, the above liquidation preference represents a liquidation right not solely within the Company's control and as such, the Company has classified its convertible preferred stock outside of stockholders' equity. During 2017 and 2018 and the six months ended June 30, 2019, the Company did not adjust the carrying value of the convertible preferred stock to the deemed liquidation value of such shares as a qualifying liquidation event was not probable. Subsequent adjustments to increase the carrying values to the ultimate redemption values will be made only when it becomes probable that such a deemed liquidation event will occur.</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Conversion</w:t>
      </w:r>
    </w:p>
    <w:p>
      <w:pPr>
        <w:spacing w:after="0" w:line="218" w:lineRule="exact"/>
        <w:rPr>
          <w:sz w:val="20"/>
          <w:szCs w:val="20"/>
          <w:color w:val="auto"/>
        </w:rPr>
      </w:pPr>
    </w:p>
    <w:p>
      <w:pPr>
        <w:ind w:left="520" w:right="40" w:firstLine="333"/>
        <w:spacing w:after="0" w:line="276" w:lineRule="auto"/>
        <w:rPr>
          <w:sz w:val="20"/>
          <w:szCs w:val="20"/>
          <w:color w:val="auto"/>
        </w:rPr>
      </w:pPr>
      <w:r>
        <w:rPr>
          <w:rFonts w:ascii="Arial" w:cs="Arial" w:eastAsia="Arial" w:hAnsi="Arial"/>
          <w:sz w:val="16"/>
          <w:szCs w:val="16"/>
          <w:color w:val="auto"/>
        </w:rPr>
        <w:t>The holders of the Series Preferred shall have the right to convert each share of Series Preferred, at any time, into shares of common stock. The conversion price for each series of convertible preferred stock shall initially be the Original Issuance Price of such series of convertible preferred stock and shall be adjusted in accordance with conversion provisions contained in the Company's Amended and Restated Certificate of Incorporation. The conversion rate of the Series Preferred is 1:1 and is subject to certain anti-dilution adjustments. The Series Preferred is automatically converted into common stock, at the then-applicable conversion rate, (i) in the event that the holders of at least 75% the outstanding Series Preferred consent to such conversion voting as a single class on an as-converted basis, or (ii) upon the event of a public offering of the Company's common stock based upon a value of the Company of at least $150 million and which results in net proceeds of at least $40 million.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ind w:left="520" w:right="8200" w:hanging="517"/>
        <w:spacing w:after="0" w:line="510" w:lineRule="auto"/>
        <w:tabs>
          <w:tab w:leader="none" w:pos="255"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(Continued) </w:t>
      </w:r>
      <w:r>
        <w:rPr>
          <w:rFonts w:ascii="Arial" w:cs="Arial" w:eastAsia="Arial" w:hAnsi="Arial"/>
          <w:sz w:val="17"/>
          <w:szCs w:val="17"/>
          <w:i w:val="1"/>
          <w:iCs w:val="1"/>
          <w:color w:val="auto"/>
        </w:rPr>
        <w:t>Voting Rights</w:t>
      </w:r>
    </w:p>
    <w:p>
      <w:pPr>
        <w:spacing w:after="0" w:line="1" w:lineRule="exact"/>
        <w:rPr>
          <w:sz w:val="20"/>
          <w:szCs w:val="20"/>
          <w:color w:val="auto"/>
        </w:rPr>
      </w:pPr>
    </w:p>
    <w:p>
      <w:pPr>
        <w:ind w:left="520" w:right="60" w:firstLine="333"/>
        <w:spacing w:after="0" w:line="265" w:lineRule="auto"/>
        <w:rPr>
          <w:sz w:val="20"/>
          <w:szCs w:val="20"/>
          <w:color w:val="auto"/>
        </w:rPr>
      </w:pPr>
      <w:r>
        <w:rPr>
          <w:rFonts w:ascii="Arial" w:cs="Arial" w:eastAsia="Arial" w:hAnsi="Arial"/>
          <w:sz w:val="17"/>
          <w:szCs w:val="17"/>
          <w:color w:val="auto"/>
        </w:rPr>
        <w:t>The Series Preferred will vote together with the common stock as a single class except as specifically provided herein or as otherwise required by law. Each share of Series Preferred shall have a number of votes equal to the number of shares of common stock then issuable upon conversion of such share of Series Preferred.</w:t>
      </w:r>
    </w:p>
    <w:p>
      <w:pPr>
        <w:spacing w:after="0" w:line="180" w:lineRule="exact"/>
        <w:rPr>
          <w:sz w:val="20"/>
          <w:szCs w:val="20"/>
          <w:color w:val="auto"/>
        </w:rPr>
      </w:pPr>
    </w:p>
    <w:p>
      <w:pPr>
        <w:ind w:left="520" w:firstLine="336"/>
        <w:spacing w:after="0" w:line="261" w:lineRule="auto"/>
        <w:rPr>
          <w:sz w:val="20"/>
          <w:szCs w:val="20"/>
          <w:color w:val="auto"/>
        </w:rPr>
      </w:pPr>
      <w:r>
        <w:rPr>
          <w:rFonts w:ascii="Arial" w:cs="Arial" w:eastAsia="Arial" w:hAnsi="Arial"/>
          <w:sz w:val="17"/>
          <w:szCs w:val="17"/>
          <w:color w:val="auto"/>
        </w:rPr>
        <w:t>Each series of convertible preferred stock is entitled to elect two directors of the Company. The common stock is entitled to elect one director. All stockholders voting together as a single class on an as-converted basis are entitled to elect the remaining directors. The directors elected by the Series A Preferred are entitled to two votes on all matters to be voted upon by the Board of Directors. The Series B Directors and all other directors are entitled to one vote on all matters to be voted upon the Board of Directors.</w:t>
      </w:r>
    </w:p>
    <w:p>
      <w:pPr>
        <w:spacing w:after="0" w:line="180" w:lineRule="exact"/>
        <w:rPr>
          <w:sz w:val="20"/>
          <w:szCs w:val="20"/>
          <w:color w:val="auto"/>
        </w:rPr>
      </w:pPr>
    </w:p>
    <w:p>
      <w:pPr>
        <w:ind w:right="9640" w:firstLine="3"/>
        <w:spacing w:after="0" w:line="542" w:lineRule="auto"/>
        <w:tabs>
          <w:tab w:leader="none" w:pos="252"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Deficit Common Stock</w:t>
      </w:r>
    </w:p>
    <w:p>
      <w:pPr>
        <w:spacing w:after="0" w:line="1" w:lineRule="exact"/>
        <w:rPr>
          <w:sz w:val="20"/>
          <w:szCs w:val="20"/>
          <w:color w:val="auto"/>
        </w:rPr>
      </w:pPr>
    </w:p>
    <w:p>
      <w:pPr>
        <w:ind w:right="220" w:firstLine="333"/>
        <w:spacing w:after="0" w:line="276" w:lineRule="auto"/>
        <w:rPr>
          <w:sz w:val="20"/>
          <w:szCs w:val="20"/>
          <w:color w:val="auto"/>
        </w:rPr>
      </w:pPr>
      <w:r>
        <w:rPr>
          <w:rFonts w:ascii="Arial" w:cs="Arial" w:eastAsia="Arial" w:hAnsi="Arial"/>
          <w:sz w:val="17"/>
          <w:szCs w:val="17"/>
          <w:color w:val="auto"/>
        </w:rPr>
        <w:t>The common stock confers upon its holders the right to receive dividends out of any assets legally available, when and as declared by the Board of Directors, but subject to the prior right of the holders of the Series Preferred as described above.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Common stock reserved for future issuance consisted of the following:</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3"/>
                <w:szCs w:val="13"/>
                <w:b w:val="1"/>
                <w:bCs w:val="1"/>
                <w:color w:val="auto"/>
              </w:rPr>
              <w:t>December 31,</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June 30,</w:t>
            </w:r>
          </w:p>
        </w:tc>
      </w:tr>
      <w:tr>
        <w:trPr>
          <w:trHeight w:val="155"/>
        </w:trPr>
        <w:tc>
          <w:tcPr>
            <w:tcW w:w="5880" w:type="dxa"/>
            <w:vAlign w:val="bottom"/>
          </w:tcPr>
          <w:p>
            <w:pPr>
              <w:spacing w:after="0"/>
              <w:rPr>
                <w:sz w:val="13"/>
                <w:szCs w:val="13"/>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3"/>
                <w:szCs w:val="13"/>
                <w:color w:val="auto"/>
              </w:rPr>
            </w:pPr>
          </w:p>
        </w:tc>
      </w:tr>
      <w:tr>
        <w:trPr>
          <w:trHeight w:val="135"/>
        </w:trPr>
        <w:tc>
          <w:tcPr>
            <w:tcW w:w="5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1"/>
                <w:szCs w:val="11"/>
                <w:color w:val="auto"/>
              </w:rPr>
            </w:pPr>
          </w:p>
        </w:tc>
      </w:tr>
      <w:tr>
        <w:trPr>
          <w:trHeight w:val="207"/>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65,428,088</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65,428,088</w:t>
            </w:r>
          </w:p>
        </w:tc>
      </w:tr>
      <w:tr>
        <w:trPr>
          <w:trHeight w:val="207"/>
        </w:trPr>
        <w:tc>
          <w:tcPr>
            <w:tcW w:w="5880" w:type="dxa"/>
            <w:vAlign w:val="bottom"/>
          </w:tcPr>
          <w:p>
            <w:pPr>
              <w:spacing w:after="0"/>
              <w:rPr>
                <w:sz w:val="20"/>
                <w:szCs w:val="20"/>
                <w:color w:val="auto"/>
              </w:rPr>
            </w:pPr>
            <w:r>
              <w:rPr>
                <w:rFonts w:ascii="Arial" w:cs="Arial" w:eastAsia="Arial" w:hAnsi="Arial"/>
                <w:sz w:val="17"/>
                <w:szCs w:val="17"/>
                <w:color w:val="auto"/>
              </w:rPr>
              <w:t>Warrants in Series B convertible preferred stock issued and outstanding</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2,019,245</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2,019,245</w:t>
            </w:r>
          </w:p>
        </w:tc>
      </w:tr>
      <w:tr>
        <w:trPr>
          <w:trHeight w:val="207"/>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Common stock warrants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140,394</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140,394</w:t>
            </w:r>
          </w:p>
        </w:tc>
      </w:tr>
      <w:tr>
        <w:trPr>
          <w:trHeight w:val="207"/>
        </w:trPr>
        <w:tc>
          <w:tcPr>
            <w:tcW w:w="5880" w:type="dxa"/>
            <w:vAlign w:val="bottom"/>
          </w:tcPr>
          <w:p>
            <w:pPr>
              <w:spacing w:after="0"/>
              <w:rPr>
                <w:sz w:val="20"/>
                <w:szCs w:val="20"/>
                <w:color w:val="auto"/>
              </w:rPr>
            </w:pPr>
            <w:r>
              <w:rPr>
                <w:rFonts w:ascii="Arial" w:cs="Arial" w:eastAsia="Arial" w:hAnsi="Arial"/>
                <w:sz w:val="17"/>
                <w:szCs w:val="17"/>
                <w:color w:val="auto"/>
              </w:rPr>
              <w:t>Shares available for grant under stock option plan</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143,710</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750,138</w:t>
            </w:r>
          </w:p>
        </w:tc>
      </w:tr>
      <w:tr>
        <w:trPr>
          <w:trHeight w:val="207"/>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Options issued and outstanding under stock option plan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15,932,040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21,808,981</w:t>
            </w:r>
          </w:p>
        </w:tc>
      </w:tr>
      <w:tr>
        <w:trPr>
          <w:trHeight w:val="200"/>
        </w:trPr>
        <w:tc>
          <w:tcPr>
            <w:tcW w:w="5880" w:type="dxa"/>
            <w:vAlign w:val="bottom"/>
          </w:tcPr>
          <w:p>
            <w:pPr>
              <w:spacing w:after="0"/>
              <w:rPr>
                <w:sz w:val="20"/>
                <w:szCs w:val="20"/>
                <w:color w:val="auto"/>
              </w:rPr>
            </w:pPr>
            <w:r>
              <w:rPr>
                <w:rFonts w:ascii="Arial" w:cs="Arial" w:eastAsia="Arial" w:hAnsi="Arial"/>
                <w:sz w:val="17"/>
                <w:szCs w:val="17"/>
                <w:color w:val="auto"/>
              </w:rPr>
              <w:t>Total common stock reserved for future issuance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83,663,477</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90,146,846</w:t>
            </w:r>
          </w:p>
        </w:tc>
        <w:tc>
          <w:tcPr>
            <w:tcW w:w="160" w:type="dxa"/>
            <w:vAlign w:val="bottom"/>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36"/>
        <w:spacing w:after="0" w:line="307" w:lineRule="auto"/>
        <w:rPr>
          <w:sz w:val="20"/>
          <w:szCs w:val="20"/>
          <w:color w:val="auto"/>
        </w:rPr>
      </w:pPr>
      <w:r>
        <w:rPr>
          <w:rFonts w:ascii="Arial" w:cs="Arial" w:eastAsia="Arial" w:hAnsi="Arial"/>
          <w:sz w:val="15"/>
          <w:szCs w:val="15"/>
          <w:color w:val="auto"/>
        </w:rPr>
        <w:t>In September 2018, the Company repurchased 589,320 shares of common stock, held by former employees, at a price per share of $2.04, for total consideration of $1.2 million. The difference of $321,000 between the fair value on the date of repurchase (at $1.49 per share) and the cash consideration paid has been recorded as a dividend as of December 31, 2018 as there were no ongoing services being delivered by the ex-employees since the date of termination. The Company has not retired the shares repurchased and as such, have recorded the shares repurchased at cost $884,000 and treated them as treasury shares.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2018 and June 30, 2019 (unaudited), the Company had 589,320 shares of treasury stock.</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ind w:right="8740" w:firstLine="3"/>
        <w:spacing w:after="0" w:line="510" w:lineRule="auto"/>
        <w:tabs>
          <w:tab w:leader="none" w:pos="252"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Deficit (Continued) Stock Incentive Plan</w:t>
      </w:r>
    </w:p>
    <w:p>
      <w:pPr>
        <w:spacing w:after="0" w:line="1" w:lineRule="exact"/>
        <w:rPr>
          <w:sz w:val="20"/>
          <w:szCs w:val="20"/>
          <w:color w:val="auto"/>
        </w:rPr>
      </w:pPr>
    </w:p>
    <w:p>
      <w:pPr>
        <w:ind w:right="280" w:firstLine="327"/>
        <w:spacing w:after="0" w:line="276" w:lineRule="auto"/>
        <w:rPr>
          <w:sz w:val="20"/>
          <w:szCs w:val="20"/>
          <w:color w:val="auto"/>
        </w:rPr>
      </w:pPr>
      <w:r>
        <w:rPr>
          <w:rFonts w:ascii="Arial" w:cs="Arial" w:eastAsia="Arial" w:hAnsi="Arial"/>
          <w:sz w:val="17"/>
          <w:szCs w:val="17"/>
          <w:color w:val="auto"/>
        </w:rPr>
        <w:t>As of December 31, 2018 and June 30, 2019 (unaudited), the Company maintains two stock-based compensation plans: (i) the 2008 Stock Plan and (ii) the 2017 Stock Plan, together the Stock Plans. All awards issued in 2018 were issued pursuant to the 2017 Stock Plan.</w:t>
      </w:r>
    </w:p>
    <w:p>
      <w:pPr>
        <w:spacing w:after="0" w:line="171" w:lineRule="exact"/>
        <w:rPr>
          <w:sz w:val="20"/>
          <w:szCs w:val="20"/>
          <w:color w:val="auto"/>
        </w:rPr>
      </w:pPr>
    </w:p>
    <w:p>
      <w:pPr>
        <w:ind w:firstLine="336"/>
        <w:spacing w:after="0" w:line="276" w:lineRule="auto"/>
        <w:rPr>
          <w:sz w:val="20"/>
          <w:szCs w:val="20"/>
          <w:color w:val="auto"/>
        </w:rPr>
      </w:pPr>
      <w:r>
        <w:rPr>
          <w:rFonts w:ascii="Arial" w:cs="Arial" w:eastAsia="Arial" w:hAnsi="Arial"/>
          <w:sz w:val="16"/>
          <w:szCs w:val="16"/>
          <w:color w:val="auto"/>
        </w:rPr>
        <w:t>Under the Company's 2017 Stock Plan and consistent with the 2008 Stock Plan, options and other stock awards to purchase shares of common stock may be granted to employees, directors, and consultants. Incentive stock options are granted to employees and non-statutory stock options are granted to consultants and directors at an exercise price not less than 100% of the fair value (as determined by the Board of Directors) of the Company's common stock on the date of grant. The exercise price of options granted to stockholders who hold 10% or more of the Company's common stock on the option grant date shall not be less than 110% of the fair value of the Company's common stock on the date of grant for both incentive and non-qualified stock option grants. These options generally vest over four years and expire ten years from the date of grant. Stock option grants may be exercisable upon grant, and any unvested shares purchased are subject to repurchase. There were no unvested shares subject to repurchase as of December 31, 2017, December 31, 2018 and June 30, 2019.</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Stockholders' Deficit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Activity</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the Company's stock option activity is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Weighted</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10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2"/>
              </w:rPr>
              <w:t>Shares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140"/>
              <w:spacing w:after="0" w:line="143" w:lineRule="exact"/>
              <w:rPr>
                <w:sz w:val="20"/>
                <w:szCs w:val="20"/>
                <w:color w:val="auto"/>
              </w:rPr>
            </w:pPr>
            <w:r>
              <w:rPr>
                <w:rFonts w:ascii="Arial" w:cs="Arial" w:eastAsia="Arial" w:hAnsi="Arial"/>
                <w:sz w:val="13"/>
                <w:szCs w:val="13"/>
                <w:b w:val="1"/>
                <w:bCs w:val="1"/>
                <w:color w:val="auto"/>
                <w:w w:val="88"/>
              </w:rPr>
              <w:t>Weighted</w:t>
            </w:r>
          </w:p>
        </w:tc>
        <w:tc>
          <w:tcPr>
            <w:tcW w:w="98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85"/>
              </w:rPr>
              <w:t>Average</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10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1"/>
              </w:rPr>
              <w:t>Available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5"/>
              </w:rPr>
              <w:t>Average</w:t>
            </w:r>
          </w:p>
        </w:tc>
        <w:tc>
          <w:tcPr>
            <w:tcW w:w="98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0"/>
              </w:rPr>
              <w:t>Remaining</w:t>
            </w: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10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2"/>
              </w:rPr>
              <w:t>for</w:t>
            </w:r>
          </w:p>
        </w:tc>
        <w:tc>
          <w:tcPr>
            <w:tcW w:w="1020" w:type="dxa"/>
            <w:vAlign w:val="bottom"/>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5"/>
              </w:rPr>
              <w:t>Exercise</w:t>
            </w:r>
          </w:p>
        </w:tc>
        <w:tc>
          <w:tcPr>
            <w:tcW w:w="9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1"/>
              </w:rPr>
              <w:t>Contractual</w:t>
            </w: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Future Grant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Price</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Life (Years)</w:t>
            </w:r>
          </w:p>
        </w:tc>
        <w:tc>
          <w:tcPr>
            <w:tcW w:w="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
              <w:spacing w:after="0" w:line="136"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83,393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14,616,724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4,292</w:t>
            </w:r>
          </w:p>
        </w:tc>
        <w:tc>
          <w:tcPr>
            <w:tcW w:w="0" w:type="dxa"/>
            <w:vAlign w:val="bottom"/>
          </w:tcPr>
          <w:p>
            <w:pPr>
              <w:spacing w:after="0"/>
              <w:rPr>
                <w:sz w:val="1"/>
                <w:szCs w:val="1"/>
                <w:color w:val="auto"/>
              </w:rPr>
            </w:pPr>
          </w:p>
        </w:tc>
      </w:tr>
      <w:tr>
        <w:trPr>
          <w:trHeight w:val="207"/>
        </w:trPr>
        <w:tc>
          <w:tcPr>
            <w:tcW w:w="4120" w:type="dxa"/>
            <w:vAlign w:val="bottom"/>
          </w:tcPr>
          <w:p>
            <w:pPr>
              <w:ind w:left="180"/>
              <w:spacing w:after="0"/>
              <w:rPr>
                <w:sz w:val="20"/>
                <w:szCs w:val="20"/>
                <w:color w:val="auto"/>
              </w:rPr>
            </w:pPr>
            <w:r>
              <w:rPr>
                <w:rFonts w:ascii="Arial" w:cs="Arial" w:eastAsia="Arial" w:hAnsi="Arial"/>
                <w:sz w:val="17"/>
                <w:szCs w:val="17"/>
                <w:color w:val="auto"/>
              </w:rPr>
              <w:t>Additional shares authorized for grant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1,540,018</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granted</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(1,853,594)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1,853,594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1.32</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180"/>
              <w:spacing w:after="0"/>
              <w:rPr>
                <w:sz w:val="20"/>
                <w:szCs w:val="20"/>
                <w:color w:val="auto"/>
              </w:rPr>
            </w:pPr>
            <w:r>
              <w:rPr>
                <w:rFonts w:ascii="Arial" w:cs="Arial" w:eastAsia="Arial" w:hAnsi="Arial"/>
                <w:sz w:val="17"/>
                <w:szCs w:val="17"/>
                <w:color w:val="auto"/>
              </w:rPr>
              <w:t>Options exercised</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(54,643)</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1.18</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forfeited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396,722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(396,722)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180"/>
              <w:spacing w:after="0"/>
              <w:rPr>
                <w:sz w:val="20"/>
                <w:szCs w:val="20"/>
                <w:color w:val="auto"/>
              </w:rPr>
            </w:pPr>
            <w:r>
              <w:rPr>
                <w:rFonts w:ascii="Arial" w:cs="Arial" w:eastAsia="Arial" w:hAnsi="Arial"/>
                <w:sz w:val="17"/>
                <w:szCs w:val="17"/>
                <w:color w:val="auto"/>
              </w:rPr>
              <w:t>Options canceled</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86,913</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(86,913)</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1.05</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Shares expired due to termination of 2008 Plan</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(109,742)</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tcPr>
          <w:p>
            <w:pPr>
              <w:spacing w:after="0"/>
              <w:rPr>
                <w:sz w:val="20"/>
                <w:szCs w:val="20"/>
                <w:color w:val="auto"/>
              </w:rPr>
            </w:pPr>
            <w:r>
              <w:rPr>
                <w:rFonts w:ascii="Arial" w:cs="Arial" w:eastAsia="Arial" w:hAnsi="Arial"/>
                <w:sz w:val="17"/>
                <w:szCs w:val="17"/>
                <w:color w:val="auto"/>
              </w:rPr>
              <w:t>Balance at December 31,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143,710</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15,932,040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33,886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20" w:type="dxa"/>
            <w:vAlign w:val="bottom"/>
            <w:shd w:val="clear" w:color="auto" w:fill="CCEEFF"/>
          </w:tcPr>
          <w:p>
            <w:pPr>
              <w:ind w:left="180"/>
              <w:spacing w:after="0" w:line="186" w:lineRule="exact"/>
              <w:rPr>
                <w:sz w:val="20"/>
                <w:szCs w:val="20"/>
                <w:color w:val="auto"/>
              </w:rPr>
            </w:pPr>
            <w:r>
              <w:rPr>
                <w:rFonts w:ascii="Arial" w:cs="Arial" w:eastAsia="Arial" w:hAnsi="Arial"/>
                <w:sz w:val="17"/>
                <w:szCs w:val="17"/>
                <w:color w:val="auto"/>
              </w:rPr>
              <w:t>Additional shares authorized for grant</w:t>
            </w:r>
          </w:p>
        </w:tc>
        <w:tc>
          <w:tcPr>
            <w:tcW w:w="1100" w:type="dxa"/>
            <w:vAlign w:val="bottom"/>
            <w:gridSpan w:val="2"/>
            <w:shd w:val="clear" w:color="auto" w:fill="CCEEFF"/>
          </w:tcPr>
          <w:p>
            <w:pPr>
              <w:jc w:val="right"/>
              <w:ind w:right="160"/>
              <w:spacing w:after="0" w:line="186" w:lineRule="exact"/>
              <w:rPr>
                <w:sz w:val="20"/>
                <w:szCs w:val="20"/>
                <w:color w:val="auto"/>
              </w:rPr>
            </w:pPr>
            <w:r>
              <w:rPr>
                <w:rFonts w:ascii="Arial" w:cs="Arial" w:eastAsia="Arial" w:hAnsi="Arial"/>
                <w:sz w:val="17"/>
                <w:szCs w:val="17"/>
                <w:color w:val="auto"/>
              </w:rPr>
              <w:t>6,518,616</w:t>
            </w:r>
          </w:p>
        </w:tc>
        <w:tc>
          <w:tcPr>
            <w:tcW w:w="1020" w:type="dxa"/>
            <w:vAlign w:val="bottom"/>
            <w:gridSpan w:val="2"/>
            <w:shd w:val="clear" w:color="auto" w:fill="CCEEFF"/>
          </w:tcPr>
          <w:p>
            <w:pPr>
              <w:jc w:val="right"/>
              <w:ind w:right="140"/>
              <w:spacing w:after="0" w:line="186"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line="186"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180"/>
              <w:spacing w:after="0"/>
              <w:rPr>
                <w:sz w:val="20"/>
                <w:szCs w:val="20"/>
                <w:color w:val="auto"/>
              </w:rPr>
            </w:pPr>
            <w:r>
              <w:rPr>
                <w:rFonts w:ascii="Arial" w:cs="Arial" w:eastAsia="Arial" w:hAnsi="Arial"/>
                <w:sz w:val="17"/>
                <w:szCs w:val="17"/>
                <w:color w:val="auto"/>
              </w:rPr>
              <w:t>Options granted</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(6,170,171)</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6,170,171</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3.91</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exercised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(32,067)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0.91</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180"/>
              <w:spacing w:after="0"/>
              <w:rPr>
                <w:sz w:val="20"/>
                <w:szCs w:val="20"/>
                <w:color w:val="auto"/>
              </w:rPr>
            </w:pPr>
            <w:r>
              <w:rPr>
                <w:rFonts w:ascii="Arial" w:cs="Arial" w:eastAsia="Arial" w:hAnsi="Arial"/>
                <w:sz w:val="17"/>
                <w:szCs w:val="17"/>
                <w:color w:val="auto"/>
              </w:rPr>
              <w:t>Options forfeited</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88,470</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(88,470)</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canceled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172,693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(172,693)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180"/>
              <w:spacing w:after="0"/>
              <w:rPr>
                <w:sz w:val="20"/>
                <w:szCs w:val="20"/>
                <w:color w:val="auto"/>
              </w:rPr>
            </w:pPr>
            <w:r>
              <w:rPr>
                <w:rFonts w:ascii="Arial" w:cs="Arial" w:eastAsia="Arial" w:hAnsi="Arial"/>
                <w:sz w:val="17"/>
                <w:szCs w:val="17"/>
                <w:color w:val="auto"/>
              </w:rPr>
              <w:t>Shares expired due to termination of 2008 Plan</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(3,180)</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Balance at June 30, 2019 (unaudited)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750,138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21,808,981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47,467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7"/>
                <w:szCs w:val="17"/>
                <w:color w:val="auto"/>
              </w:rPr>
              <w:t>Options exercisable at December 31, 2018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0.95</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8.2</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16,096</w:t>
            </w:r>
          </w:p>
        </w:tc>
        <w:tc>
          <w:tcPr>
            <w:tcW w:w="0" w:type="dxa"/>
            <w:vAlign w:val="bottom"/>
          </w:tcPr>
          <w:p>
            <w:pPr>
              <w:spacing w:after="0" w:line="20" w:lineRule="exact"/>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7,499,936</w:t>
            </w:r>
          </w:p>
        </w:tc>
        <w:tc>
          <w:tcPr>
            <w:tcW w:w="1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1"/>
              </w:rPr>
              <w:t>Options vested and expected to vest at December 31, 2018</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15,932,040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line="186" w:lineRule="exact"/>
              <w:rPr>
                <w:sz w:val="20"/>
                <w:szCs w:val="20"/>
                <w:color w:val="auto"/>
              </w:rPr>
            </w:pPr>
            <w:r>
              <w:rPr>
                <w:rFonts w:ascii="Arial" w:cs="Arial" w:eastAsia="Arial" w:hAnsi="Arial"/>
                <w:sz w:val="17"/>
                <w:szCs w:val="17"/>
                <w:color w:val="auto"/>
              </w:rPr>
              <w:t>1.00</w:t>
            </w:r>
          </w:p>
        </w:tc>
        <w:tc>
          <w:tcPr>
            <w:tcW w:w="980" w:type="dxa"/>
            <w:vAlign w:val="bottom"/>
            <w:gridSpan w:val="2"/>
            <w:shd w:val="clear" w:color="auto" w:fill="CCEEFF"/>
          </w:tcPr>
          <w:p>
            <w:pPr>
              <w:jc w:val="right"/>
              <w:ind w:right="160"/>
              <w:spacing w:after="0" w:line="186" w:lineRule="exact"/>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line="186" w:lineRule="exact"/>
              <w:rPr>
                <w:sz w:val="20"/>
                <w:szCs w:val="20"/>
                <w:color w:val="auto"/>
              </w:rPr>
            </w:pPr>
            <w:r>
              <w:rPr>
                <w:rFonts w:ascii="Arial" w:cs="Arial" w:eastAsia="Arial" w:hAnsi="Arial"/>
                <w:sz w:val="17"/>
                <w:szCs w:val="17"/>
                <w:color w:val="auto"/>
              </w:rPr>
              <w:t>33,886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7"/>
                <w:szCs w:val="17"/>
                <w:color w:val="auto"/>
              </w:rPr>
              <w:t>Options exercisable at June 30, 2019 (unaudited)</w:t>
            </w: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0.95</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7.7</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34,188</w:t>
            </w:r>
          </w:p>
        </w:tc>
        <w:tc>
          <w:tcPr>
            <w:tcW w:w="0" w:type="dxa"/>
            <w:vAlign w:val="bottom"/>
          </w:tcPr>
          <w:p>
            <w:pPr>
              <w:spacing w:after="0" w:line="20" w:lineRule="exact"/>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9,204,510</w:t>
            </w:r>
          </w:p>
        </w:tc>
        <w:tc>
          <w:tcPr>
            <w:tcW w:w="1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Options vested and expected to vest at June 30, 2019</w:t>
            </w: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(unaudited)</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21,808,981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63,191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intrinsic value of options exercised was $13,000 and $59,000 for the years ended December 31, 2017 and 2018, respectively.</w:t>
      </w:r>
    </w:p>
    <w:p>
      <w:pPr>
        <w:spacing w:after="0" w:line="218" w:lineRule="exact"/>
        <w:rPr>
          <w:sz w:val="20"/>
          <w:szCs w:val="20"/>
          <w:color w:val="auto"/>
        </w:rPr>
      </w:pPr>
    </w:p>
    <w:p>
      <w:pPr>
        <w:ind w:firstLine="333"/>
        <w:spacing w:after="0" w:line="265" w:lineRule="auto"/>
        <w:rPr>
          <w:sz w:val="20"/>
          <w:szCs w:val="20"/>
          <w:color w:val="auto"/>
        </w:rPr>
      </w:pPr>
      <w:r>
        <w:rPr>
          <w:rFonts w:ascii="Arial" w:cs="Arial" w:eastAsia="Arial" w:hAnsi="Arial"/>
          <w:sz w:val="17"/>
          <w:szCs w:val="17"/>
          <w:color w:val="auto"/>
        </w:rPr>
        <w:t>The weighted average fair value of options to purchase common stock granted was $0.60 and $1.14 in the years ended December 31, 2017 and 2018, respectively. The weighted average fair value of options to purchase common stock granted was $0.46 and $2.28 in the six months ended June 30, 2018 and 2019 (unaudited), respectively.</w:t>
      </w:r>
    </w:p>
    <w:p>
      <w:pPr>
        <w:spacing w:after="0" w:line="180" w:lineRule="exact"/>
        <w:rPr>
          <w:sz w:val="20"/>
          <w:szCs w:val="20"/>
          <w:color w:val="auto"/>
        </w:rPr>
      </w:pPr>
    </w:p>
    <w:p>
      <w:pPr>
        <w:ind w:right="320" w:firstLine="333"/>
        <w:spacing w:after="0" w:line="345" w:lineRule="auto"/>
        <w:rPr>
          <w:sz w:val="20"/>
          <w:szCs w:val="20"/>
          <w:color w:val="auto"/>
        </w:rPr>
      </w:pPr>
      <w:r>
        <w:rPr>
          <w:rFonts w:ascii="Arial" w:cs="Arial" w:eastAsia="Arial" w:hAnsi="Arial"/>
          <w:sz w:val="15"/>
          <w:szCs w:val="15"/>
          <w:color w:val="auto"/>
        </w:rPr>
        <w:t>The fair value of options to purchase common stock vested was $664,000 and $3.7 million in the years ended December 31, 2017 and 2018. The fair value of options to purchase common stock vested was $2.4 million and $1.4 million in the six months ended June 30, 2018 and 2019 (unaudited), respectively.</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Stockholders' Deficit (Continued)</w:t>
      </w:r>
    </w:p>
    <w:p>
      <w:pPr>
        <w:spacing w:after="0" w:line="222" w:lineRule="exact"/>
        <w:rPr>
          <w:sz w:val="20"/>
          <w:szCs w:val="20"/>
          <w:color w:val="auto"/>
        </w:rPr>
      </w:pPr>
    </w:p>
    <w:p>
      <w:pPr>
        <w:ind w:right="360" w:firstLine="336"/>
        <w:spacing w:after="0" w:line="276" w:lineRule="auto"/>
        <w:rPr>
          <w:sz w:val="20"/>
          <w:szCs w:val="20"/>
          <w:color w:val="auto"/>
        </w:rPr>
      </w:pPr>
      <w:r>
        <w:rPr>
          <w:rFonts w:ascii="Arial" w:cs="Arial" w:eastAsia="Arial" w:hAnsi="Arial"/>
          <w:sz w:val="17"/>
          <w:szCs w:val="17"/>
          <w:color w:val="auto"/>
        </w:rPr>
        <w:t>Certain weighted-average information and assumptions used in the option-pricing model for options granted to employees, directors, and non-employees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4260" w:type="dxa"/>
            <w:vAlign w:val="bottom"/>
          </w:tcPr>
          <w:p>
            <w:pPr>
              <w:spacing w:after="0"/>
              <w:rPr>
                <w:sz w:val="13"/>
                <w:szCs w:val="13"/>
                <w:color w:val="auto"/>
              </w:rPr>
            </w:pPr>
          </w:p>
        </w:tc>
        <w:tc>
          <w:tcPr>
            <w:tcW w:w="2380" w:type="dxa"/>
            <w:vAlign w:val="bottom"/>
            <w:tcBorders>
              <w:bottom w:val="single" w:sz="8" w:color="auto"/>
            </w:tcBorders>
            <w:gridSpan w:val="5"/>
          </w:tcPr>
          <w:p>
            <w:pPr>
              <w:ind w:left="48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238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Six Months Ended June 30,</w:t>
            </w:r>
          </w:p>
        </w:tc>
      </w:tr>
      <w:tr>
        <w:trPr>
          <w:trHeight w:val="135"/>
        </w:trPr>
        <w:tc>
          <w:tcPr>
            <w:tcW w:w="4260" w:type="dxa"/>
            <w:vAlign w:val="bottom"/>
          </w:tcPr>
          <w:p>
            <w:pPr>
              <w:spacing w:after="0"/>
              <w:rPr>
                <w:sz w:val="11"/>
                <w:szCs w:val="11"/>
                <w:color w:val="auto"/>
              </w:rPr>
            </w:pPr>
          </w:p>
        </w:tc>
        <w:tc>
          <w:tcPr>
            <w:tcW w:w="1100" w:type="dxa"/>
            <w:vAlign w:val="bottom"/>
            <w:tcBorders>
              <w:bottom w:val="single" w:sz="8" w:color="auto"/>
            </w:tcBorders>
            <w:gridSpan w:val="2"/>
          </w:tcPr>
          <w:p>
            <w:pPr>
              <w:jc w:val="right"/>
              <w:ind w:right="336"/>
              <w:spacing w:after="0" w:line="136"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1120" w:type="dxa"/>
            <w:vAlign w:val="bottom"/>
            <w:tcBorders>
              <w:bottom w:val="single" w:sz="8" w:color="auto"/>
            </w:tcBorders>
            <w:gridSpan w:val="2"/>
          </w:tcPr>
          <w:p>
            <w:pPr>
              <w:jc w:val="right"/>
              <w:ind w:right="33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100" w:type="dxa"/>
            <w:vAlign w:val="bottom"/>
            <w:tcBorders>
              <w:bottom w:val="single" w:sz="8" w:color="auto"/>
            </w:tcBorders>
            <w:gridSpan w:val="2"/>
          </w:tcPr>
          <w:p>
            <w:pPr>
              <w:jc w:val="center"/>
              <w:spacing w:after="0" w:line="136"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1"/>
                <w:szCs w:val="11"/>
                <w:color w:val="auto"/>
              </w:rPr>
            </w:pPr>
          </w:p>
        </w:tc>
        <w:tc>
          <w:tcPr>
            <w:tcW w:w="1120" w:type="dxa"/>
            <w:vAlign w:val="bottom"/>
            <w:tcBorders>
              <w:bottom w:val="single" w:sz="8" w:color="auto"/>
            </w:tcBorders>
            <w:gridSpan w:val="2"/>
          </w:tcPr>
          <w:p>
            <w:pPr>
              <w:jc w:val="right"/>
              <w:ind w:right="356"/>
              <w:spacing w:after="0" w:line="136" w:lineRule="exact"/>
              <w:rPr>
                <w:sz w:val="20"/>
                <w:szCs w:val="20"/>
                <w:color w:val="auto"/>
              </w:rPr>
            </w:pPr>
            <w:r>
              <w:rPr>
                <w:rFonts w:ascii="Arial" w:cs="Arial" w:eastAsia="Arial" w:hAnsi="Arial"/>
                <w:sz w:val="13"/>
                <w:szCs w:val="13"/>
                <w:b w:val="1"/>
                <w:bCs w:val="1"/>
                <w:color w:val="auto"/>
              </w:rPr>
              <w:t>2019</w:t>
            </w:r>
          </w:p>
        </w:tc>
      </w:tr>
      <w:tr>
        <w:trPr>
          <w:trHeight w:val="135"/>
        </w:trPr>
        <w:tc>
          <w:tcPr>
            <w:tcW w:w="4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3"/>
          </w:tcPr>
          <w:p>
            <w:pPr>
              <w:jc w:val="right"/>
              <w:ind w:right="206"/>
              <w:spacing w:after="0" w:line="136" w:lineRule="exact"/>
              <w:rPr>
                <w:sz w:val="20"/>
                <w:szCs w:val="20"/>
                <w:color w:val="auto"/>
              </w:rPr>
            </w:pPr>
            <w:r>
              <w:rPr>
                <w:rFonts w:ascii="Arial" w:cs="Arial" w:eastAsia="Arial" w:hAnsi="Arial"/>
                <w:sz w:val="13"/>
                <w:szCs w:val="13"/>
                <w:b w:val="1"/>
                <w:bCs w:val="1"/>
                <w:color w:val="auto"/>
              </w:rPr>
              <w:t>(unaudited)</w:t>
            </w:r>
          </w:p>
        </w:tc>
        <w:tc>
          <w:tcPr>
            <w:tcW w:w="600" w:type="dxa"/>
            <w:vAlign w:val="bottom"/>
          </w:tcPr>
          <w:p>
            <w:pPr>
              <w:spacing w:after="0"/>
              <w:rPr>
                <w:sz w:val="11"/>
                <w:szCs w:val="11"/>
                <w:color w:val="auto"/>
              </w:rPr>
            </w:pPr>
          </w:p>
        </w:tc>
      </w:t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- 6.08</w:t>
            </w:r>
          </w:p>
        </w:tc>
      </w:tr>
      <w:tr>
        <w:trPr>
          <w:trHeight w:val="207"/>
        </w:trPr>
        <w:tc>
          <w:tcPr>
            <w:tcW w:w="42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7"/>
                <w:szCs w:val="17"/>
                <w:color w:val="auto"/>
              </w:rPr>
              <w:t>1.8%</w:t>
            </w:r>
          </w:p>
        </w:tc>
        <w:tc>
          <w:tcPr>
            <w:tcW w:w="600" w:type="dxa"/>
            <w:vAlign w:val="bottom"/>
          </w:tcPr>
          <w:p>
            <w:pPr>
              <w:ind w:left="20"/>
              <w:spacing w:after="0"/>
              <w:rPr>
                <w:sz w:val="20"/>
                <w:szCs w:val="20"/>
                <w:color w:val="auto"/>
              </w:rPr>
            </w:pPr>
            <w:r>
              <w:rPr>
                <w:rFonts w:ascii="Arial" w:cs="Arial" w:eastAsia="Arial" w:hAnsi="Arial"/>
                <w:sz w:val="17"/>
                <w:szCs w:val="17"/>
                <w:color w:val="auto"/>
              </w:rPr>
              <w:t>- 2.2%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600" w:type="dxa"/>
            <w:vAlign w:val="bottom"/>
          </w:tcPr>
          <w:p>
            <w:pPr>
              <w:ind w:left="20"/>
              <w:spacing w:after="0"/>
              <w:rPr>
                <w:sz w:val="20"/>
                <w:szCs w:val="20"/>
                <w:color w:val="auto"/>
              </w:rPr>
            </w:pPr>
            <w:r>
              <w:rPr>
                <w:rFonts w:ascii="Arial" w:cs="Arial" w:eastAsia="Arial" w:hAnsi="Arial"/>
                <w:sz w:val="17"/>
                <w:szCs w:val="17"/>
                <w:color w:val="auto"/>
              </w:rPr>
              <w:t>- 3.1%</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600" w:type="dxa"/>
            <w:vAlign w:val="bottom"/>
          </w:tcPr>
          <w:p>
            <w:pPr>
              <w:ind w:left="20"/>
              <w:spacing w:after="0"/>
              <w:rPr>
                <w:sz w:val="20"/>
                <w:szCs w:val="20"/>
                <w:color w:val="auto"/>
              </w:rPr>
            </w:pPr>
            <w:r>
              <w:rPr>
                <w:rFonts w:ascii="Arial" w:cs="Arial" w:eastAsia="Arial" w:hAnsi="Arial"/>
                <w:sz w:val="17"/>
                <w:szCs w:val="17"/>
                <w:color w:val="auto"/>
              </w:rPr>
              <w:t>- 2.7%</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600" w:type="dxa"/>
            <w:vAlign w:val="bottom"/>
          </w:tcPr>
          <w:p>
            <w:pPr>
              <w:ind w:left="20"/>
              <w:spacing w:after="0"/>
              <w:rPr>
                <w:sz w:val="20"/>
                <w:szCs w:val="20"/>
                <w:color w:val="auto"/>
              </w:rPr>
            </w:pPr>
            <w:r>
              <w:rPr>
                <w:rFonts w:ascii="Arial" w:cs="Arial" w:eastAsia="Arial" w:hAnsi="Arial"/>
                <w:sz w:val="17"/>
                <w:szCs w:val="17"/>
                <w:color w:val="auto"/>
              </w:rPr>
              <w:t>- 2.5%</w:t>
            </w:r>
          </w:p>
        </w:tc>
      </w:t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49.3%</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- 50.1%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- 48.9%</w:t>
            </w:r>
          </w:p>
        </w:tc>
        <w:tc>
          <w:tcPr>
            <w:tcW w:w="1260" w:type="dxa"/>
            <w:vAlign w:val="bottom"/>
            <w:gridSpan w:val="3"/>
            <w:shd w:val="clear" w:color="auto" w:fill="CCEEFF"/>
          </w:tcPr>
          <w:p>
            <w:pPr>
              <w:jc w:val="center"/>
              <w:ind w:left="76"/>
              <w:spacing w:after="0"/>
              <w:rPr>
                <w:sz w:val="20"/>
                <w:szCs w:val="20"/>
                <w:color w:val="auto"/>
              </w:rPr>
            </w:pPr>
            <w:r>
              <w:rPr>
                <w:rFonts w:ascii="Arial" w:cs="Arial" w:eastAsia="Arial" w:hAnsi="Arial"/>
                <w:sz w:val="17"/>
                <w:szCs w:val="17"/>
                <w:color w:val="auto"/>
                <w:w w:val="89"/>
              </w:rPr>
              <w:t>48.7 - 48.9%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- 49.0%</w:t>
            </w:r>
          </w:p>
        </w:tc>
      </w:tr>
      <w:tr>
        <w:trPr>
          <w:trHeight w:val="214"/>
        </w:trPr>
        <w:tc>
          <w:tcPr>
            <w:tcW w:w="4260" w:type="dxa"/>
            <w:vAlign w:val="bottom"/>
          </w:tcPr>
          <w:p>
            <w:pPr>
              <w:spacing w:after="0"/>
              <w:rPr>
                <w:sz w:val="20"/>
                <w:szCs w:val="20"/>
                <w:color w:val="auto"/>
              </w:rPr>
            </w:pPr>
            <w:r>
              <w:rPr>
                <w:rFonts w:ascii="Arial" w:cs="Arial" w:eastAsia="Arial" w:hAnsi="Arial"/>
                <w:sz w:val="17"/>
                <w:szCs w:val="17"/>
                <w:color w:val="auto"/>
              </w:rPr>
              <w:t>Expected dividend rate</w:t>
            </w:r>
          </w:p>
        </w:tc>
        <w:tc>
          <w:tcPr>
            <w:tcW w:w="110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r>
    </w:tbl>
    <w:p>
      <w:pPr>
        <w:spacing w:after="0" w:line="191" w:lineRule="exact"/>
        <w:rPr>
          <w:sz w:val="20"/>
          <w:szCs w:val="20"/>
          <w:color w:val="auto"/>
        </w:rPr>
      </w:pPr>
    </w:p>
    <w:p>
      <w:pPr>
        <w:ind w:right="160" w:firstLine="333"/>
        <w:spacing w:after="0" w:line="276" w:lineRule="auto"/>
        <w:rPr>
          <w:sz w:val="20"/>
          <w:szCs w:val="20"/>
          <w:color w:val="auto"/>
        </w:rPr>
      </w:pPr>
      <w:r>
        <w:rPr>
          <w:rFonts w:ascii="Arial" w:cs="Arial" w:eastAsia="Arial" w:hAnsi="Arial"/>
          <w:sz w:val="17"/>
          <w:szCs w:val="17"/>
          <w:color w:val="auto"/>
        </w:rPr>
        <w:t>The following table summarizes stock-based compensation expense for employees, which was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3"/>
                <w:szCs w:val="13"/>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040" w:type="dxa"/>
            <w:vAlign w:val="bottom"/>
            <w:gridSpan w:val="3"/>
          </w:tcPr>
          <w:p>
            <w:pPr>
              <w:jc w:val="center"/>
              <w:ind w:left="306"/>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45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4"/>
              <w:spacing w:after="0" w:line="136" w:lineRule="exact"/>
              <w:rPr>
                <w:sz w:val="20"/>
                <w:szCs w:val="20"/>
                <w:color w:val="auto"/>
              </w:rPr>
            </w:pPr>
            <w:r>
              <w:rPr>
                <w:rFonts w:ascii="Arial" w:cs="Arial" w:eastAsia="Arial" w:hAnsi="Arial"/>
                <w:sz w:val="13"/>
                <w:szCs w:val="13"/>
                <w:b w:val="1"/>
                <w:bCs w:val="1"/>
                <w:color w:val="auto"/>
                <w:w w:val="96"/>
              </w:rPr>
              <w:t>2017</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0"/>
              <w:spacing w:after="0" w:line="136"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06"/>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80"/>
              <w:spacing w:after="0" w:line="136"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1"/>
                <w:szCs w:val="1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center"/>
              <w:ind w:left="286"/>
              <w:spacing w:after="0" w:line="136" w:lineRule="exact"/>
              <w:rPr>
                <w:sz w:val="20"/>
                <w:szCs w:val="20"/>
                <w:color w:val="auto"/>
              </w:rPr>
            </w:pPr>
            <w:r>
              <w:rPr>
                <w:rFonts w:ascii="Arial" w:cs="Arial" w:eastAsia="Arial" w:hAnsi="Arial"/>
                <w:sz w:val="13"/>
                <w:szCs w:val="13"/>
                <w:b w:val="1"/>
                <w:bCs w:val="1"/>
                <w:color w:val="auto"/>
                <w:w w:val="90"/>
              </w:rPr>
              <w:t>(unaudited)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7"/>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w:t>
            </w:r>
          </w:p>
        </w:tc>
      </w:tr>
      <w:tr>
        <w:trPr>
          <w:trHeight w:val="207"/>
        </w:trPr>
        <w:tc>
          <w:tcPr>
            <w:tcW w:w="4540" w:type="dxa"/>
            <w:vAlign w:val="bottom"/>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309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366</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177</w:t>
            </w:r>
          </w:p>
        </w:tc>
        <w:tc>
          <w:tcPr>
            <w:tcW w:w="2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261</w:t>
            </w:r>
          </w:p>
        </w:tc>
      </w:tr>
      <w:tr>
        <w:trPr>
          <w:trHeight w:val="207"/>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2,535</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1,293</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1,143</w:t>
            </w:r>
          </w:p>
        </w:tc>
      </w:tr>
      <w:tr>
        <w:trPr>
          <w:trHeight w:val="200"/>
        </w:trPr>
        <w:tc>
          <w:tcPr>
            <w:tcW w:w="4540" w:type="dxa"/>
            <w:vAlign w:val="bottom"/>
          </w:tcPr>
          <w:p>
            <w:pPr>
              <w:spacing w:after="0"/>
              <w:rPr>
                <w:sz w:val="20"/>
                <w:szCs w:val="20"/>
                <w:color w:val="auto"/>
              </w:rPr>
            </w:pPr>
            <w:r>
              <w:rPr>
                <w:rFonts w:ascii="Arial" w:cs="Arial" w:eastAsia="Arial" w:hAnsi="Arial"/>
                <w:sz w:val="17"/>
                <w:szCs w:val="17"/>
                <w:color w:val="auto"/>
              </w:rPr>
              <w:t>Total stock-based compensation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1,559</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2,997</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1,508</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1,529</w:t>
            </w:r>
          </w:p>
        </w:tc>
        <w:tc>
          <w:tcPr>
            <w:tcW w:w="16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327"/>
        <w:spacing w:after="0" w:line="289" w:lineRule="auto"/>
        <w:rPr>
          <w:sz w:val="20"/>
          <w:szCs w:val="20"/>
          <w:color w:val="auto"/>
        </w:rPr>
      </w:pPr>
      <w:r>
        <w:rPr>
          <w:rFonts w:ascii="Arial" w:cs="Arial" w:eastAsia="Arial" w:hAnsi="Arial"/>
          <w:sz w:val="16"/>
          <w:szCs w:val="16"/>
          <w:color w:val="auto"/>
        </w:rPr>
        <w:t>At June 30, 2019 (unaudited), the total compensation cost related to unvested stock-based awards granted to employees under the Company's stock option plan but not yet recognized was approximately $18.2 million. This cost will be amortized on a straight-line basis over the remaining vesting period and will be adjusted for subsequent changes in estimated forfeitures. The weighted-average remaining recognition period is approximately 3.41 years.</w:t>
      </w:r>
    </w:p>
    <w:p>
      <w:pPr>
        <w:spacing w:after="0" w:line="163" w:lineRule="exact"/>
        <w:rPr>
          <w:sz w:val="20"/>
          <w:szCs w:val="20"/>
          <w:color w:val="auto"/>
        </w:rPr>
      </w:pPr>
    </w:p>
    <w:p>
      <w:pPr>
        <w:ind w:firstLine="336"/>
        <w:spacing w:after="0" w:line="277" w:lineRule="auto"/>
        <w:rPr>
          <w:sz w:val="20"/>
          <w:szCs w:val="20"/>
          <w:color w:val="auto"/>
        </w:rPr>
      </w:pPr>
      <w:r>
        <w:rPr>
          <w:rFonts w:ascii="Arial" w:cs="Arial" w:eastAsia="Arial" w:hAnsi="Arial"/>
          <w:sz w:val="16"/>
          <w:szCs w:val="16"/>
          <w:color w:val="auto"/>
        </w:rPr>
        <w:t>In February and June of 2016, the Company issued common stock warrants to non-employees to acquire 71,280 and 69,114 shares of the Company's common stock at an exercise price of $0.86 and $1.41 per share, respectively. The common stock warrants expire on the fifth anniversary of the grant. As of December 31, 2017 and 2018 and June 30, 2019 (unaudited), all warrants remain outstanding. For the years ended December 31, 2017 and 2018, the Company recognized total compensation expense $259,000, relating to the common stock warrants. All warrants were fully vested as of January 1, 2019. As a result of the adoption of ASU No. 2018-07, mark-to-market fair value accounting is not required and as all warrants were fully vested as of January 1, 2018, the Company did not recognize compensation expense relating to the common stock warrants for the six months ended June 30, 2019.</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Stockholders' Deficit (Continued)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the common stock warrants was determined using the Black-Scholes option-pricing model with the following assumptions:</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144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December 31,</w:t>
            </w:r>
          </w:p>
        </w:tc>
      </w:tr>
      <w:tr>
        <w:trPr>
          <w:trHeight w:val="135"/>
        </w:trPr>
        <w:tc>
          <w:tcPr>
            <w:tcW w:w="65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42"/>
              <w:spacing w:after="0" w:line="136" w:lineRule="exact"/>
              <w:rPr>
                <w:sz w:val="20"/>
                <w:szCs w:val="20"/>
                <w:color w:val="auto"/>
              </w:rPr>
            </w:pPr>
            <w:r>
              <w:rPr>
                <w:rFonts w:ascii="Arial" w:cs="Arial" w:eastAsia="Arial" w:hAnsi="Arial"/>
                <w:sz w:val="13"/>
                <w:szCs w:val="13"/>
                <w:b w:val="1"/>
                <w:bCs w:val="1"/>
                <w:color w:val="auto"/>
              </w:rPr>
              <w:t>2017</w:t>
            </w: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40"/>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r>
      <w:tr>
        <w:trPr>
          <w:trHeight w:val="200"/>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Contractual remaining life (years)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r>
      <w:tr>
        <w:trPr>
          <w:trHeight w:val="207"/>
        </w:trPr>
        <w:tc>
          <w:tcPr>
            <w:tcW w:w="65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2.4%</w:t>
            </w:r>
          </w:p>
        </w:tc>
      </w:tr>
      <w:tr>
        <w:trPr>
          <w:trHeight w:val="207"/>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48.6%</w:t>
            </w:r>
          </w:p>
        </w:tc>
      </w:tr>
      <w:tr>
        <w:trPr>
          <w:trHeight w:val="214"/>
        </w:trPr>
        <w:tc>
          <w:tcPr>
            <w:tcW w:w="65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tax benefit of $3,000 and $1.8 million was recorded for the year ended December 31, 2017 and 2018 as part of continuing operations.</w:t>
      </w:r>
    </w:p>
    <w:p>
      <w:pPr>
        <w:spacing w:after="0" w:line="218" w:lineRule="exact"/>
        <w:rPr>
          <w:sz w:val="20"/>
          <w:szCs w:val="20"/>
          <w:color w:val="auto"/>
        </w:rPr>
      </w:pPr>
    </w:p>
    <w:p>
      <w:pPr>
        <w:ind w:right="160" w:firstLine="336"/>
        <w:spacing w:after="0" w:line="258" w:lineRule="auto"/>
        <w:rPr>
          <w:sz w:val="20"/>
          <w:szCs w:val="20"/>
          <w:color w:val="auto"/>
        </w:rPr>
      </w:pPr>
      <w:r>
        <w:rPr>
          <w:rFonts w:ascii="Arial" w:cs="Arial" w:eastAsia="Arial" w:hAnsi="Arial"/>
          <w:sz w:val="17"/>
          <w:szCs w:val="17"/>
          <w:color w:val="auto"/>
        </w:rPr>
        <w:t>For the six months ended June 30, 2018 and 2019, the Company calculates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(loss) before income taxes, the geographic mix of income (loss) before income taxes and any significant permanent tax items. During the six months ended June 30, 2018, the Company recorded tax benefit of $835 from continued operations (unaudited). The Company's calculated tax provision was $64,000 for the six months ended June 30, 2019 (unaudited).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benefit from income taxes is composed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20" w:type="dxa"/>
            <w:vAlign w:val="bottom"/>
            <w:gridSpan w:val="6"/>
          </w:tcPr>
          <w:p>
            <w:pPr>
              <w:ind w:left="1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80"/>
              <w:spacing w:after="0" w:line="136" w:lineRule="exact"/>
              <w:rPr>
                <w:sz w:val="20"/>
                <w:szCs w:val="20"/>
                <w:color w:val="auto"/>
              </w:rPr>
            </w:pPr>
            <w:r>
              <w:rPr>
                <w:rFonts w:ascii="Arial" w:cs="Arial" w:eastAsia="Arial" w:hAnsi="Arial"/>
                <w:sz w:val="13"/>
                <w:szCs w:val="13"/>
                <w:b w:val="1"/>
                <w:bCs w:val="1"/>
                <w:color w:val="auto"/>
                <w:w w:val="89"/>
              </w:rPr>
              <w:t>2017</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8"/>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3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000" w:type="dxa"/>
            <w:vAlign w:val="bottom"/>
          </w:tcPr>
          <w:p>
            <w:pPr>
              <w:ind w:left="160"/>
              <w:spacing w:after="0"/>
              <w:rPr>
                <w:sz w:val="20"/>
                <w:szCs w:val="20"/>
                <w:color w:val="auto"/>
              </w:rPr>
            </w:pPr>
            <w:r>
              <w:rPr>
                <w:rFonts w:ascii="Arial" w:cs="Arial" w:eastAsia="Arial" w:hAnsi="Arial"/>
                <w:sz w:val="17"/>
                <w:szCs w:val="17"/>
                <w:color w:val="auto"/>
              </w:rPr>
              <w:t>Federal</w:t>
            </w:r>
          </w:p>
        </w:tc>
        <w:tc>
          <w:tcPr>
            <w:tcW w:w="3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(1,446)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State</w:t>
            </w:r>
          </w:p>
        </w:tc>
        <w:tc>
          <w:tcPr>
            <w:tcW w:w="3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vMerge w:val="restart"/>
          </w:tcPr>
          <w:p>
            <w:pPr>
              <w:ind w:left="160"/>
              <w:spacing w:after="0"/>
              <w:rPr>
                <w:sz w:val="20"/>
                <w:szCs w:val="20"/>
                <w:color w:val="auto"/>
              </w:rPr>
            </w:pPr>
            <w:r>
              <w:rPr>
                <w:rFonts w:ascii="Arial" w:cs="Arial" w:eastAsia="Arial" w:hAnsi="Arial"/>
                <w:sz w:val="17"/>
                <w:szCs w:val="17"/>
                <w:color w:val="auto"/>
              </w:rPr>
              <w:t>Total Current</w:t>
            </w:r>
          </w:p>
        </w:tc>
        <w:tc>
          <w:tcPr>
            <w:tcW w:w="3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tcPr>
          <w:p>
            <w:pPr>
              <w:spacing w:after="0"/>
              <w:rPr>
                <w:sz w:val="17"/>
                <w:szCs w:val="17"/>
                <w:color w:val="auto"/>
              </w:rPr>
            </w:pPr>
          </w:p>
        </w:tc>
        <w:tc>
          <w:tcPr>
            <w:tcW w:w="3000" w:type="dxa"/>
            <w:vAlign w:val="bottom"/>
            <w:vMerge w:val="continue"/>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89"/>
              </w:rPr>
              <w:t>(1,777)</w:t>
            </w:r>
          </w:p>
        </w:tc>
        <w:tc>
          <w:tcPr>
            <w:tcW w:w="1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3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000" w:type="dxa"/>
            <w:vAlign w:val="bottom"/>
          </w:tcPr>
          <w:p>
            <w:pPr>
              <w:ind w:left="160"/>
              <w:spacing w:after="0"/>
              <w:rPr>
                <w:sz w:val="20"/>
                <w:szCs w:val="20"/>
                <w:color w:val="auto"/>
              </w:rPr>
            </w:pPr>
            <w:r>
              <w:rPr>
                <w:rFonts w:ascii="Arial" w:cs="Arial" w:eastAsia="Arial" w:hAnsi="Arial"/>
                <w:sz w:val="17"/>
                <w:szCs w:val="17"/>
                <w:color w:val="auto"/>
              </w:rPr>
              <w:t>Federal</w:t>
            </w: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State</w:t>
            </w:r>
          </w:p>
        </w:tc>
        <w:tc>
          <w:tcPr>
            <w:tcW w:w="3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3000" w:type="dxa"/>
            <w:vAlign w:val="bottom"/>
          </w:tcPr>
          <w:p>
            <w:pPr>
              <w:ind w:left="160"/>
              <w:spacing w:after="0"/>
              <w:rPr>
                <w:sz w:val="20"/>
                <w:szCs w:val="20"/>
                <w:color w:val="auto"/>
              </w:rPr>
            </w:pPr>
            <w:r>
              <w:rPr>
                <w:rFonts w:ascii="Arial" w:cs="Arial" w:eastAsia="Arial" w:hAnsi="Arial"/>
                <w:sz w:val="17"/>
                <w:szCs w:val="17"/>
                <w:color w:val="auto"/>
              </w:rPr>
              <w:t>Total Deferred</w:t>
            </w: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Total benefit from Income taxes</w:t>
            </w:r>
          </w:p>
        </w:tc>
        <w:tc>
          <w:tcPr>
            <w:tcW w:w="3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580" w:type="dxa"/>
            <w:vAlign w:val="bottom"/>
            <w:gridSpan w:val="2"/>
          </w:tcPr>
          <w:p>
            <w:pPr>
              <w:jc w:val="right"/>
              <w:ind w:right="2336"/>
              <w:spacing w:after="0"/>
              <w:rPr>
                <w:sz w:val="20"/>
                <w:szCs w:val="20"/>
                <w:color w:val="auto"/>
              </w:rPr>
            </w:pPr>
            <w:r>
              <w:rPr>
                <w:rFonts w:ascii="Arial" w:cs="Arial" w:eastAsia="Arial" w:hAnsi="Arial"/>
                <w:sz w:val="17"/>
                <w:szCs w:val="17"/>
                <w:color w:val="auto"/>
              </w:rPr>
              <w:t>F-37</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Borders>
              <w:bottom w:val="single" w:sz="8" w:color="808080"/>
            </w:tcBorders>
          </w:tcPr>
          <w:p>
            <w:pPr>
              <w:spacing w:after="0"/>
              <w:rPr>
                <w:sz w:val="18"/>
                <w:szCs w:val="18"/>
                <w:color w:val="auto"/>
              </w:rPr>
            </w:pPr>
          </w:p>
        </w:tc>
        <w:tc>
          <w:tcPr>
            <w:tcW w:w="3000" w:type="dxa"/>
            <w:vAlign w:val="bottom"/>
            <w:tcBorders>
              <w:bottom w:val="single" w:sz="8" w:color="808080"/>
            </w:tcBorders>
          </w:tcPr>
          <w:p>
            <w:pPr>
              <w:spacing w:after="0"/>
              <w:rPr>
                <w:sz w:val="18"/>
                <w:szCs w:val="18"/>
                <w:color w:val="auto"/>
              </w:rPr>
            </w:pPr>
          </w:p>
        </w:tc>
        <w:tc>
          <w:tcPr>
            <w:tcW w:w="34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 (Continued)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U.S. statutory income tax rate to the Company's effective tax rate is as follows:</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155"/>
        </w:trPr>
        <w:tc>
          <w:tcPr>
            <w:tcW w:w="138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59"/>
              <w:spacing w:after="0" w:line="136"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8"/>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 at statutory rate</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State income taxes, net of federal benefit</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Stock compensation</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Warrant valuation</w:t>
            </w:r>
          </w:p>
        </w:tc>
        <w:tc>
          <w:tcPr>
            <w:tcW w:w="100" w:type="dxa"/>
            <w:vAlign w:val="bottom"/>
          </w:tcPr>
          <w:p>
            <w:pPr>
              <w:spacing w:after="0"/>
              <w:rPr>
                <w:sz w:val="17"/>
                <w:szCs w:val="17"/>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Effect of tax legislation</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State rate change</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8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7"/>
                <w:szCs w:val="17"/>
                <w:color w:val="auto"/>
                <w:w w:val="98"/>
              </w:rPr>
              <w:t>The components of the Company's net deferred tax assets and liabilities are as follows (in thousands):</w:t>
            </w: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9"/>
              <w:spacing w:after="0" w:line="136"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8"/>
              <w:spacing w:after="0" w:line="136"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tcPr>
          <w:p>
            <w:pPr>
              <w:ind w:left="160"/>
              <w:spacing w:after="0"/>
              <w:rPr>
                <w:sz w:val="20"/>
                <w:szCs w:val="20"/>
                <w:color w:val="auto"/>
              </w:rPr>
            </w:pPr>
            <w:r>
              <w:rPr>
                <w:rFonts w:ascii="Arial" w:cs="Arial" w:eastAsia="Arial" w:hAnsi="Arial"/>
                <w:sz w:val="17"/>
                <w:szCs w:val="17"/>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23,108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22,446</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Capitalized start-up costs</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tcPr>
          <w:p>
            <w:pPr>
              <w:ind w:left="160"/>
              <w:spacing w:after="0"/>
              <w:rPr>
                <w:sz w:val="20"/>
                <w:szCs w:val="20"/>
                <w:color w:val="auto"/>
              </w:rPr>
            </w:pPr>
            <w:r>
              <w:rPr>
                <w:rFonts w:ascii="Arial" w:cs="Arial" w:eastAsia="Arial" w:hAnsi="Arial"/>
                <w:sz w:val="17"/>
                <w:szCs w:val="17"/>
                <w:color w:val="auto"/>
              </w:rPr>
              <w:t>Research and development credits</w:t>
            </w:r>
          </w:p>
        </w:tc>
        <w:tc>
          <w:tcPr>
            <w:tcW w:w="10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1,059</w:t>
            </w:r>
          </w:p>
        </w:tc>
        <w:tc>
          <w:tcPr>
            <w:tcW w:w="2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1,059</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Accruals and reserves</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2,551</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tcPr>
          <w:p>
            <w:pPr>
              <w:ind w:left="160"/>
              <w:spacing w:after="0"/>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Intangibles</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120</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26,856</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25,827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(26,849)</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(25,781)</w:t>
            </w: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Deferred tax assets after valuation allowance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380" w:type="dxa"/>
            <w:vAlign w:val="bottom"/>
          </w:tcPr>
          <w:p>
            <w:pPr>
              <w:spacing w:after="0"/>
              <w:rPr>
                <w:sz w:val="16"/>
                <w:szCs w:val="16"/>
                <w:color w:val="auto"/>
              </w:rPr>
            </w:pPr>
          </w:p>
        </w:tc>
        <w:tc>
          <w:tcPr>
            <w:tcW w:w="62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Deferred tax liabilities:</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tcPr>
          <w:p>
            <w:pPr>
              <w:ind w:left="160"/>
              <w:spacing w:after="0"/>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gain</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0" w:type="dxa"/>
            <w:vAlign w:val="bottom"/>
            <w:vMerge w:val="restart"/>
          </w:tcPr>
          <w:p>
            <w:pPr>
              <w:spacing w:after="0"/>
              <w:rPr>
                <w:sz w:val="20"/>
                <w:szCs w:val="20"/>
                <w:color w:val="auto"/>
              </w:rPr>
            </w:pPr>
            <w:r>
              <w:rPr>
                <w:rFonts w:ascii="Arial" w:cs="Arial" w:eastAsia="Arial" w:hAnsi="Arial"/>
                <w:sz w:val="17"/>
                <w:szCs w:val="17"/>
                <w:color w:val="auto"/>
              </w:rPr>
              <w:t>Total deferred tax liabilities</w:t>
            </w: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80" w:type="dxa"/>
            <w:vAlign w:val="bottom"/>
          </w:tcPr>
          <w:p>
            <w:pPr>
              <w:spacing w:after="0"/>
              <w:rPr>
                <w:sz w:val="17"/>
                <w:szCs w:val="17"/>
                <w:color w:val="auto"/>
              </w:rPr>
            </w:pPr>
          </w:p>
        </w:tc>
        <w:tc>
          <w:tcPr>
            <w:tcW w:w="6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8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7"/>
        <w:spacing w:after="0" w:line="302" w:lineRule="auto"/>
        <w:rPr>
          <w:sz w:val="20"/>
          <w:szCs w:val="20"/>
          <w:color w:val="auto"/>
        </w:rPr>
      </w:pPr>
      <w:r>
        <w:rPr>
          <w:rFonts w:ascii="Arial" w:cs="Arial" w:eastAsia="Arial" w:hAnsi="Arial"/>
          <w:sz w:val="15"/>
          <w:szCs w:val="15"/>
          <w:color w:val="auto"/>
        </w:rPr>
        <w:t>Assessing the realizability of deferred tax assets requires the determination of whether it is more-likely-than-not that some portion or all the deferred tax assets will not be realized. In assessing the need for a valuation allowance, the Company considers all available positive and negative evidence, including future reversals of existing taxable temporary differences, projected future taxable income, loss carryback and tax-planning strategies. Generally, more weight is given to objectively verifiable evidence, such as the cumulative loss in recent years, as a significant piece of negative evidence to overcome. The valuation allowance decreased by approximately $7.8 million and $1.1 million during the years ended December 31, 2017 and 2018, respectively. As of June 30, 2019, the Company continues to</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 (Continued)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maintain a full valuation allowance against its net deferred tax assets due to the uncertainty surrounding the realization of such assets.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the Company has net operating loss carryforwards for federal and state income tax purposes of approximately $86 million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$68 million, respectively, which expire beginning in the year 2030. The federal and California research and development tax credits are approximately $756,000 and</w:t>
      </w:r>
    </w:p>
    <w:p>
      <w:pPr>
        <w:spacing w:after="0" w:line="34" w:lineRule="exact"/>
        <w:rPr>
          <w:sz w:val="20"/>
          <w:szCs w:val="20"/>
          <w:color w:val="auto"/>
        </w:rPr>
      </w:pPr>
    </w:p>
    <w:p>
      <w:pPr>
        <w:jc w:val="both"/>
        <w:ind w:right="60"/>
        <w:spacing w:after="0" w:line="258" w:lineRule="auto"/>
        <w:rPr>
          <w:sz w:val="20"/>
          <w:szCs w:val="20"/>
          <w:color w:val="auto"/>
        </w:rPr>
      </w:pPr>
      <w:r>
        <w:rPr>
          <w:rFonts w:ascii="Arial" w:cs="Arial" w:eastAsia="Arial" w:hAnsi="Arial"/>
          <w:sz w:val="17"/>
          <w:szCs w:val="17"/>
          <w:color w:val="auto"/>
        </w:rPr>
        <w:t>$830,000 respectively. The federal research credits will begin to expire in 2030 and the California research and development credits have no expiration date. Utilization of the net operating loss carryforwards and credits may be subject to a substantial annual limitation due to ownership changes that may have occurred previously or that could occur in the future, as provided by Section 382 of the Internal Revenue Code of 1986, as well as similar state provisions. Such annual limitation could result in the expiration of net operating losses and credits before their utilization.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2017 and 2018, the Company had not accrued any interest or penalties related to uncertain tax positions.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155"/>
        </w:trPr>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December 31,</w:t>
            </w:r>
          </w:p>
        </w:tc>
      </w:tr>
      <w:tr>
        <w:trPr>
          <w:trHeight w:val="135"/>
        </w:trPr>
        <w:tc>
          <w:tcPr>
            <w:tcW w:w="66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44"/>
              <w:spacing w:after="0" w:line="136"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1"/>
              <w:spacing w:after="0" w:line="136"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1"/>
                <w:szCs w:val="11"/>
                <w:color w:val="auto"/>
              </w:rPr>
            </w:pPr>
          </w:p>
        </w:tc>
      </w:tr>
      <w:tr>
        <w:trPr>
          <w:trHeight w:val="20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Balance at the beginning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397</w:t>
            </w:r>
          </w:p>
        </w:tc>
      </w:tr>
      <w:tr>
        <w:trPr>
          <w:trHeight w:val="207"/>
        </w:trPr>
        <w:tc>
          <w:tcPr>
            <w:tcW w:w="6620" w:type="dxa"/>
            <w:vAlign w:val="bottom"/>
          </w:tcPr>
          <w:p>
            <w:pPr>
              <w:spacing w:after="0"/>
              <w:rPr>
                <w:sz w:val="20"/>
                <w:szCs w:val="20"/>
                <w:color w:val="auto"/>
              </w:rPr>
            </w:pPr>
            <w:r>
              <w:rPr>
                <w:rFonts w:ascii="Arial" w:cs="Arial" w:eastAsia="Arial" w:hAnsi="Arial"/>
                <w:sz w:val="17"/>
                <w:szCs w:val="17"/>
                <w:color w:val="auto"/>
              </w:rPr>
              <w:t>Additions based upon tax positions related to the current year</w:t>
            </w: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6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Balance at the 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397</w:t>
            </w: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If the ending balance of $397,000 of unrecognized tax benefits as of December 31, 2018 were recognized, 100% of the amount would affect the income tax rate.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anticipate any material change in its unrecognized tax benefits over the next twelve months.</w:t>
      </w:r>
    </w:p>
    <w:p>
      <w:pPr>
        <w:spacing w:after="0" w:line="212" w:lineRule="exact"/>
        <w:rPr>
          <w:sz w:val="20"/>
          <w:szCs w:val="20"/>
          <w:color w:val="auto"/>
        </w:rPr>
      </w:pPr>
    </w:p>
    <w:p>
      <w:pPr>
        <w:ind w:firstLine="333"/>
        <w:spacing w:after="0" w:line="276" w:lineRule="auto"/>
        <w:rPr>
          <w:sz w:val="20"/>
          <w:szCs w:val="20"/>
          <w:color w:val="auto"/>
        </w:rPr>
      </w:pPr>
      <w:r>
        <w:rPr>
          <w:rFonts w:ascii="Arial" w:cs="Arial" w:eastAsia="Arial" w:hAnsi="Arial"/>
          <w:sz w:val="17"/>
          <w:szCs w:val="17"/>
          <w:color w:val="auto"/>
        </w:rPr>
        <w:t>The Company files U.S. federal and state income tax returns with varying statutes of limitations. All tax years since inception remain open to examination due to the carryover of unused net operating losses and tax credits.</w:t>
      </w:r>
    </w:p>
    <w:p>
      <w:pPr>
        <w:spacing w:after="0" w:line="171" w:lineRule="exact"/>
        <w:rPr>
          <w:sz w:val="20"/>
          <w:szCs w:val="20"/>
          <w:color w:val="auto"/>
        </w:rPr>
      </w:pPr>
    </w:p>
    <w:p>
      <w:pPr>
        <w:ind w:right="220" w:firstLine="333"/>
        <w:spacing w:after="0" w:line="261" w:lineRule="auto"/>
        <w:rPr>
          <w:sz w:val="20"/>
          <w:szCs w:val="20"/>
          <w:color w:val="auto"/>
        </w:rPr>
      </w:pPr>
      <w:r>
        <w:rPr>
          <w:rFonts w:ascii="Arial" w:cs="Arial" w:eastAsia="Arial" w:hAnsi="Arial"/>
          <w:sz w:val="17"/>
          <w:szCs w:val="17"/>
          <w:color w:val="auto"/>
        </w:rPr>
        <w:t>The Tax Cuts and Jobs Act (the "Tax Act") was enacted on December 22, 2017 and introduced significant changes to U.S. income tax law. Effective in 2018, The Tax Act reduced the U.S. corporate statutory tax rate from 35% to 21%, allowed for immediate expensing of certain qualified capital property, eliminated the net operating loss carryback but allowed for indefinite net operating loss carryforwards that can reduce up to 80% of taxable income and created a new limitation on the deductibility of interest expense.</w:t>
      </w:r>
    </w:p>
    <w:p>
      <w:pPr>
        <w:spacing w:after="0" w:line="184" w:lineRule="exact"/>
        <w:rPr>
          <w:sz w:val="20"/>
          <w:szCs w:val="20"/>
          <w:color w:val="auto"/>
        </w:rPr>
      </w:pPr>
    </w:p>
    <w:p>
      <w:pPr>
        <w:ind w:right="40" w:firstLine="327"/>
        <w:spacing w:after="0" w:line="261" w:lineRule="auto"/>
        <w:rPr>
          <w:sz w:val="20"/>
          <w:szCs w:val="20"/>
          <w:color w:val="auto"/>
        </w:rPr>
      </w:pPr>
      <w:r>
        <w:rPr>
          <w:rFonts w:ascii="Arial" w:cs="Arial" w:eastAsia="Arial" w:hAnsi="Arial"/>
          <w:sz w:val="17"/>
          <w:szCs w:val="17"/>
          <w:color w:val="auto"/>
        </w:rPr>
        <w:t>Accounting for the income tax effects of the Tax Act requires significant judgments and estimates in the interpretation and calculation of the provisions of the Tax Act. Due to the timing of the enactment and the complexity involved in applying the provisions of the Tax Act, the Company made reasonable estimates of the effects of the Tax Act in the consolidated financial statements for the year ended December 31, 2017, as permitted under ASU 2018-05 Income Taxes (Topic 740), Amendments to SEC Paragraphs Pursuant to SAB 118.</w:t>
      </w:r>
    </w:p>
    <w:p>
      <w:pPr>
        <w:spacing w:after="0" w:line="184" w:lineRule="exact"/>
        <w:rPr>
          <w:sz w:val="20"/>
          <w:szCs w:val="20"/>
          <w:color w:val="auto"/>
        </w:rPr>
      </w:pPr>
    </w:p>
    <w:p>
      <w:pPr>
        <w:ind w:right="40" w:firstLine="333"/>
        <w:spacing w:after="0" w:line="316" w:lineRule="auto"/>
        <w:rPr>
          <w:sz w:val="20"/>
          <w:szCs w:val="20"/>
          <w:color w:val="auto"/>
        </w:rPr>
      </w:pPr>
      <w:r>
        <w:rPr>
          <w:rFonts w:ascii="Arial" w:cs="Arial" w:eastAsia="Arial" w:hAnsi="Arial"/>
          <w:sz w:val="15"/>
          <w:szCs w:val="15"/>
          <w:color w:val="auto"/>
        </w:rPr>
        <w:t>The remeasurement of the Company's U.S. deferred taxes due to the reduction in the U.S. federal corporate tax rate resulted in a reduction of deferred tax assets offset by a reduction of the Company's valuation allowance, resulting in no net income impact during the year ended December 31, 2017. The accounting for these items was completed in the fourth quarter of 2018, the end of the measurement period for purposes of SAB 118, and there were no adjustments related to the provisional items.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678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Net (Loss) Income Per Share</w:t>
      </w:r>
    </w:p>
    <w:p>
      <w:pPr>
        <w:spacing w:after="0" w:line="222" w:lineRule="exact"/>
        <w:rPr>
          <w:sz w:val="20"/>
          <w:szCs w:val="20"/>
          <w:color w:val="auto"/>
        </w:rPr>
      </w:pPr>
    </w:p>
    <w:p>
      <w:pPr>
        <w:ind w:right="300" w:firstLine="327"/>
        <w:spacing w:after="0" w:line="276" w:lineRule="auto"/>
        <w:rPr>
          <w:sz w:val="20"/>
          <w:szCs w:val="20"/>
          <w:color w:val="auto"/>
        </w:rPr>
      </w:pPr>
      <w:r>
        <w:rPr>
          <w:rFonts w:ascii="Arial" w:cs="Arial" w:eastAsia="Arial" w:hAnsi="Arial"/>
          <w:sz w:val="17"/>
          <w:szCs w:val="17"/>
          <w:color w:val="auto"/>
        </w:rPr>
        <w:t>A reconciliation of net (loss) income available to common stockholders and the number of shares in the calculation of basic and diluted earnings (loss) per share follows (in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3060" w:type="dxa"/>
            <w:vAlign w:val="bottom"/>
            <w:gridSpan w:val="6"/>
          </w:tcPr>
          <w:p>
            <w:pPr>
              <w:jc w:val="center"/>
              <w:ind w:right="144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060" w:type="dxa"/>
            <w:vAlign w:val="bottom"/>
            <w:gridSpan w:val="3"/>
          </w:tcPr>
          <w:p>
            <w:pPr>
              <w:jc w:val="center"/>
              <w:ind w:left="480"/>
              <w:spacing w:after="0"/>
              <w:rPr>
                <w:sz w:val="20"/>
                <w:szCs w:val="20"/>
                <w:color w:val="auto"/>
              </w:rPr>
            </w:pPr>
            <w:r>
              <w:rPr>
                <w:rFonts w:ascii="Arial" w:cs="Arial" w:eastAsia="Arial" w:hAnsi="Arial"/>
                <w:sz w:val="13"/>
                <w:szCs w:val="13"/>
                <w:b w:val="1"/>
                <w:bCs w:val="1"/>
                <w:color w:val="auto"/>
                <w:w w:val="88"/>
              </w:rPr>
              <w:t>June 30,</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9"/>
              <w:spacing w:after="0" w:line="136"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7"/>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20"/>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7"/>
              <w:spacing w:after="0" w:line="136"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60" w:type="dxa"/>
            <w:vAlign w:val="bottom"/>
            <w:gridSpan w:val="6"/>
          </w:tcPr>
          <w:p>
            <w:pPr>
              <w:jc w:val="center"/>
              <w:ind w:right="1440"/>
              <w:spacing w:after="0" w:line="136"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(loss) income per common share: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Numerator: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(12,452)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3,322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000" w:type="dxa"/>
            <w:vAlign w:val="bottom"/>
          </w:tcPr>
          <w:p>
            <w:pPr>
              <w:ind w:left="180"/>
              <w:spacing w:after="0"/>
              <w:rPr>
                <w:sz w:val="20"/>
                <w:szCs w:val="20"/>
                <w:color w:val="auto"/>
              </w:rPr>
            </w:pPr>
            <w:r>
              <w:rPr>
                <w:rFonts w:ascii="Arial" w:cs="Arial" w:eastAsia="Arial" w:hAnsi="Arial"/>
                <w:sz w:val="17"/>
                <w:szCs w:val="17"/>
                <w:color w:val="auto"/>
              </w:rPr>
              <w:t>Less: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from discontinued operations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(5,777)</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(5,724)</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000" w:type="dxa"/>
            <w:vAlign w:val="bottom"/>
          </w:tcPr>
          <w:p>
            <w:pPr>
              <w:ind w:left="360"/>
              <w:spacing w:after="0"/>
              <w:rPr>
                <w:sz w:val="20"/>
                <w:szCs w:val="20"/>
                <w:color w:val="auto"/>
              </w:rPr>
            </w:pPr>
            <w:r>
              <w:rPr>
                <w:rFonts w:ascii="Arial" w:cs="Arial" w:eastAsia="Arial" w:hAnsi="Arial"/>
                <w:sz w:val="17"/>
                <w:szCs w:val="17"/>
                <w:color w:val="auto"/>
              </w:rPr>
              <w:t>Deemed dividends on convertible preferred stock</w:t>
            </w:r>
          </w:p>
        </w:tc>
        <w:tc>
          <w:tcPr>
            <w:tcW w:w="140" w:type="dxa"/>
            <w:vAlign w:val="bottom"/>
          </w:tcPr>
          <w:p>
            <w:pPr>
              <w:spacing w:after="0"/>
              <w:rPr>
                <w:sz w:val="17"/>
                <w:szCs w:val="17"/>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7"/>
                <w:szCs w:val="17"/>
                <w:color w:val="auto"/>
              </w:rPr>
              <w:t>(1,012)</w:t>
            </w: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(425)</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4,041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Undistributed earnings to participating securities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000" w:type="dxa"/>
            <w:vAlign w:val="bottom"/>
          </w:tcPr>
          <w:p>
            <w:pPr>
              <w:ind w:left="360"/>
              <w:spacing w:after="0"/>
              <w:rPr>
                <w:sz w:val="20"/>
                <w:szCs w:val="20"/>
                <w:color w:val="auto"/>
              </w:rPr>
            </w:pPr>
            <w:r>
              <w:rPr>
                <w:rFonts w:ascii="Arial" w:cs="Arial" w:eastAsia="Arial" w:hAnsi="Arial"/>
                <w:sz w:val="17"/>
                <w:szCs w:val="17"/>
                <w:color w:val="auto"/>
              </w:rPr>
              <w:t>Net (loss) income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(13,468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(5,541)</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(2,827)</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50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Denominator:</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000" w:type="dxa"/>
            <w:vAlign w:val="bottom"/>
          </w:tcPr>
          <w:p>
            <w:pPr>
              <w:ind w:left="180"/>
              <w:spacing w:after="0"/>
              <w:rPr>
                <w:sz w:val="20"/>
                <w:szCs w:val="20"/>
                <w:color w:val="auto"/>
              </w:rPr>
            </w:pPr>
            <w:r>
              <w:rPr>
                <w:rFonts w:ascii="Arial" w:cs="Arial" w:eastAsia="Arial" w:hAnsi="Arial"/>
                <w:sz w:val="17"/>
                <w:szCs w:val="17"/>
                <w:color w:val="auto"/>
                <w:w w:val="93"/>
              </w:rPr>
              <w:t>Weighted-average shares used in computing basic net (loss) income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7"/>
                <w:szCs w:val="17"/>
                <w:color w:val="auto"/>
              </w:rPr>
              <w:t>per share attributable to common stockholders</w:t>
            </w:r>
          </w:p>
        </w:tc>
        <w:tc>
          <w:tcPr>
            <w:tcW w:w="1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7"/>
                <w:szCs w:val="17"/>
                <w:color w:val="auto"/>
                <w:w w:val="95"/>
              </w:rPr>
              <w:t>5,677,860</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5,539,739</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5,691,643</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5,164,564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tcPr>
          <w:p>
            <w:pPr>
              <w:spacing w:after="0"/>
              <w:rPr>
                <w:sz w:val="15"/>
                <w:szCs w:val="15"/>
                <w:color w:val="auto"/>
              </w:rPr>
            </w:pPr>
          </w:p>
        </w:tc>
        <w:tc>
          <w:tcPr>
            <w:tcW w:w="5000" w:type="dxa"/>
            <w:vAlign w:val="bottom"/>
            <w:shd w:val="clear" w:color="auto" w:fill="CCEEFF"/>
          </w:tcPr>
          <w:p>
            <w:pPr>
              <w:ind w:left="180"/>
              <w:spacing w:after="0" w:line="178" w:lineRule="exact"/>
              <w:rPr>
                <w:sz w:val="20"/>
                <w:szCs w:val="20"/>
                <w:color w:val="auto"/>
              </w:rPr>
            </w:pPr>
            <w:r>
              <w:rPr>
                <w:rFonts w:ascii="Arial" w:cs="Arial" w:eastAsia="Arial" w:hAnsi="Arial"/>
                <w:sz w:val="17"/>
                <w:szCs w:val="17"/>
                <w:color w:val="auto"/>
              </w:rPr>
              <w:t>Basic net (loss) income per share attributable to common</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(2.37)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vMerge w:val="restart"/>
          </w:tcPr>
          <w:p>
            <w:pPr>
              <w:spacing w:after="0"/>
              <w:rPr>
                <w:sz w:val="20"/>
                <w:szCs w:val="20"/>
                <w:color w:val="auto"/>
              </w:rPr>
            </w:pPr>
            <w:r>
              <w:rPr>
                <w:rFonts w:ascii="Arial" w:cs="Arial" w:eastAsia="Arial" w:hAnsi="Arial"/>
                <w:sz w:val="17"/>
                <w:szCs w:val="17"/>
                <w:b w:val="1"/>
                <w:bCs w:val="1"/>
                <w:color w:val="auto"/>
              </w:rPr>
              <w:t>Diluted (loss) income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40" w:type="dxa"/>
            <w:vAlign w:val="bottom"/>
          </w:tcPr>
          <w:p>
            <w:pPr>
              <w:spacing w:after="0"/>
              <w:rPr>
                <w:sz w:val="16"/>
                <w:szCs w:val="16"/>
                <w:color w:val="auto"/>
              </w:rPr>
            </w:pPr>
          </w:p>
        </w:tc>
        <w:tc>
          <w:tcPr>
            <w:tcW w:w="5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000" w:type="dxa"/>
            <w:vAlign w:val="bottom"/>
          </w:tcPr>
          <w:p>
            <w:pPr>
              <w:ind w:left="360"/>
              <w:spacing w:after="0"/>
              <w:rPr>
                <w:sz w:val="20"/>
                <w:szCs w:val="20"/>
                <w:color w:val="auto"/>
              </w:rPr>
            </w:pPr>
            <w:r>
              <w:rPr>
                <w:rFonts w:ascii="Arial" w:cs="Arial" w:eastAsia="Arial" w:hAnsi="Arial"/>
                <w:sz w:val="17"/>
                <w:szCs w:val="17"/>
                <w:color w:val="auto"/>
              </w:rPr>
              <w:t>Net (loss) income attributable to common 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
              <w:spacing w:after="0"/>
              <w:rPr>
                <w:sz w:val="20"/>
                <w:szCs w:val="20"/>
                <w:color w:val="auto"/>
              </w:rPr>
            </w:pPr>
            <w:r>
              <w:rPr>
                <w:rFonts w:ascii="Arial" w:cs="Arial" w:eastAsia="Arial" w:hAnsi="Arial"/>
                <w:sz w:val="17"/>
                <w:szCs w:val="17"/>
                <w:color w:val="auto"/>
              </w:rPr>
              <w:t>(13,468)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(5,541)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(2,827)</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7"/>
              </w:rPr>
              <w:t>Adjustments to undistributed earnings of participating securities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000" w:type="dxa"/>
            <w:vAlign w:val="bottom"/>
          </w:tcPr>
          <w:p>
            <w:pPr>
              <w:ind w:left="360"/>
              <w:spacing w:after="0" w:line="191" w:lineRule="exact"/>
              <w:rPr>
                <w:sz w:val="20"/>
                <w:szCs w:val="20"/>
                <w:color w:val="auto"/>
              </w:rPr>
            </w:pPr>
            <w:r>
              <w:rPr>
                <w:rFonts w:ascii="Arial" w:cs="Arial" w:eastAsia="Arial" w:hAnsi="Arial"/>
                <w:sz w:val="17"/>
                <w:szCs w:val="17"/>
                <w:color w:val="auto"/>
              </w:rPr>
              <w:t>Diluted net (loss) income per share attributable to common</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000" w:type="dxa"/>
            <w:vAlign w:val="bottom"/>
          </w:tcPr>
          <w:p>
            <w:pPr>
              <w:ind w:left="520"/>
              <w:spacing w:after="0"/>
              <w:rPr>
                <w:sz w:val="20"/>
                <w:szCs w:val="20"/>
                <w:color w:val="auto"/>
              </w:rPr>
            </w:pPr>
            <w:r>
              <w:rPr>
                <w:rFonts w:ascii="Arial" w:cs="Arial" w:eastAsia="Arial" w:hAnsi="Arial"/>
                <w:sz w:val="17"/>
                <w:szCs w:val="17"/>
                <w:color w:val="auto"/>
              </w:rPr>
              <w:t>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
              <w:spacing w:after="0"/>
              <w:rPr>
                <w:sz w:val="20"/>
                <w:szCs w:val="20"/>
                <w:color w:val="auto"/>
              </w:rPr>
            </w:pPr>
            <w:r>
              <w:rPr>
                <w:rFonts w:ascii="Arial" w:cs="Arial" w:eastAsia="Arial" w:hAnsi="Arial"/>
                <w:sz w:val="17"/>
                <w:szCs w:val="17"/>
                <w:color w:val="auto"/>
              </w:rPr>
              <w:t>(13,468)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(5,541)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(2,827)</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200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tcPr>
          <w:p>
            <w:pPr>
              <w:spacing w:after="0"/>
              <w:rPr>
                <w:sz w:val="16"/>
                <w:szCs w:val="16"/>
                <w:color w:val="auto"/>
              </w:rPr>
            </w:pPr>
          </w:p>
        </w:tc>
        <w:tc>
          <w:tcPr>
            <w:tcW w:w="50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Denominator:</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000" w:type="dxa"/>
            <w:vAlign w:val="bottom"/>
          </w:tcPr>
          <w:p>
            <w:pPr>
              <w:ind w:left="180"/>
              <w:spacing w:after="0"/>
              <w:rPr>
                <w:sz w:val="20"/>
                <w:szCs w:val="20"/>
                <w:color w:val="auto"/>
              </w:rPr>
            </w:pPr>
            <w:r>
              <w:rPr>
                <w:rFonts w:ascii="Arial" w:cs="Arial" w:eastAsia="Arial" w:hAnsi="Arial"/>
                <w:sz w:val="17"/>
                <w:szCs w:val="17"/>
                <w:color w:val="auto"/>
                <w:w w:val="91"/>
              </w:rPr>
              <w:t>Weighted-average shares used in computing basic net earnings (loss)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7"/>
                <w:szCs w:val="17"/>
                <w:color w:val="auto"/>
              </w:rPr>
              <w:t>per share attributable to common stockholder</w:t>
            </w:r>
          </w:p>
        </w:tc>
        <w:tc>
          <w:tcPr>
            <w:tcW w:w="1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7"/>
                <w:szCs w:val="17"/>
                <w:color w:val="auto"/>
                <w:w w:val="95"/>
              </w:rPr>
              <w:t>5,677,860</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5,539,739</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5,691,643</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5,164,564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 options to purchase common stock</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000" w:type="dxa"/>
            <w:vAlign w:val="bottom"/>
          </w:tcPr>
          <w:p>
            <w:pPr>
              <w:ind w:left="180"/>
              <w:spacing w:after="0" w:line="191" w:lineRule="exact"/>
              <w:rPr>
                <w:sz w:val="20"/>
                <w:szCs w:val="20"/>
                <w:color w:val="auto"/>
              </w:rPr>
            </w:pPr>
            <w:r>
              <w:rPr>
                <w:rFonts w:ascii="Arial" w:cs="Arial" w:eastAsia="Arial" w:hAnsi="Arial"/>
                <w:sz w:val="17"/>
                <w:szCs w:val="17"/>
                <w:color w:val="auto"/>
                <w:w w:val="93"/>
              </w:rPr>
              <w:t>Weighted-average shares used in computing basic net (loss) income</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7"/>
                <w:szCs w:val="17"/>
                <w:color w:val="auto"/>
              </w:rPr>
              <w:t>per share attributable to common stockholders</w:t>
            </w:r>
          </w:p>
        </w:tc>
        <w:tc>
          <w:tcPr>
            <w:tcW w:w="1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7"/>
                <w:szCs w:val="17"/>
                <w:color w:val="auto"/>
                <w:w w:val="95"/>
              </w:rPr>
              <w:t>5,677,860</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5,539,739</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5,691,643</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5,164,564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tcPr>
          <w:p>
            <w:pPr>
              <w:spacing w:after="0"/>
              <w:rPr>
                <w:sz w:val="15"/>
                <w:szCs w:val="15"/>
                <w:color w:val="auto"/>
              </w:rPr>
            </w:pPr>
          </w:p>
        </w:tc>
        <w:tc>
          <w:tcPr>
            <w:tcW w:w="5000" w:type="dxa"/>
            <w:vAlign w:val="bottom"/>
            <w:shd w:val="clear" w:color="auto" w:fill="CCEEFF"/>
          </w:tcPr>
          <w:p>
            <w:pPr>
              <w:ind w:left="520"/>
              <w:spacing w:after="0" w:line="178" w:lineRule="exact"/>
              <w:rPr>
                <w:sz w:val="20"/>
                <w:szCs w:val="20"/>
                <w:color w:val="auto"/>
              </w:rPr>
            </w:pPr>
            <w:r>
              <w:rPr>
                <w:rFonts w:ascii="Arial" w:cs="Arial" w:eastAsia="Arial" w:hAnsi="Arial"/>
                <w:sz w:val="17"/>
                <w:szCs w:val="17"/>
                <w:color w:val="auto"/>
              </w:rPr>
              <w:t>Diluted net (loss) income per share attributable to</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(2.37)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vMerge w:val="restart"/>
          </w:tcPr>
          <w:p>
            <w:pPr>
              <w:ind w:left="4420"/>
              <w:spacing w:after="0"/>
              <w:rPr>
                <w:sz w:val="20"/>
                <w:szCs w:val="20"/>
                <w:color w:val="auto"/>
              </w:rPr>
            </w:pPr>
            <w:r>
              <w:rPr>
                <w:rFonts w:ascii="Arial" w:cs="Arial" w:eastAsia="Arial" w:hAnsi="Arial"/>
                <w:sz w:val="17"/>
                <w:szCs w:val="17"/>
                <w:color w:val="auto"/>
              </w:rPr>
              <w:t>F-40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1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40" w:type="dxa"/>
            <w:vAlign w:val="bottom"/>
            <w:tcBorders>
              <w:bottom w:val="single" w:sz="8" w:color="808080"/>
            </w:tcBorders>
          </w:tcPr>
          <w:p>
            <w:pPr>
              <w:spacing w:after="0"/>
              <w:rPr>
                <w:sz w:val="18"/>
                <w:szCs w:val="18"/>
                <w:color w:val="auto"/>
              </w:rPr>
            </w:pPr>
          </w:p>
        </w:tc>
        <w:tc>
          <w:tcPr>
            <w:tcW w:w="50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Net (Loss) Income Per Share (Continued)</w:t>
      </w:r>
    </w:p>
    <w:p>
      <w:pPr>
        <w:spacing w:after="0" w:line="222" w:lineRule="exact"/>
        <w:rPr>
          <w:sz w:val="20"/>
          <w:szCs w:val="20"/>
          <w:color w:val="auto"/>
        </w:rPr>
      </w:pPr>
    </w:p>
    <w:p>
      <w:pPr>
        <w:ind w:right="20" w:firstLine="333"/>
        <w:spacing w:after="0" w:line="276" w:lineRule="auto"/>
        <w:rPr>
          <w:sz w:val="20"/>
          <w:szCs w:val="20"/>
          <w:color w:val="auto"/>
        </w:rPr>
      </w:pPr>
      <w:r>
        <w:rPr>
          <w:rFonts w:ascii="Arial" w:cs="Arial" w:eastAsia="Arial" w:hAnsi="Arial"/>
          <w:sz w:val="17"/>
          <w:szCs w:val="17"/>
          <w:color w:val="auto"/>
        </w:rPr>
        <w:t>The following weighted-average outstanding shares of potentially dilutive securities were excluded from the computation of diluted net loss per share attributable to common stockholders for the period presented because including them would have been antidilutive: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000" w:type="dxa"/>
            <w:vAlign w:val="bottom"/>
          </w:tcPr>
          <w:p>
            <w:pPr>
              <w:spacing w:after="0"/>
              <w:rPr>
                <w:sz w:val="13"/>
                <w:szCs w:val="13"/>
                <w:color w:val="auto"/>
              </w:rPr>
            </w:pPr>
          </w:p>
        </w:tc>
        <w:tc>
          <w:tcPr>
            <w:tcW w:w="2060" w:type="dxa"/>
            <w:vAlign w:val="bottom"/>
            <w:gridSpan w:val="4"/>
          </w:tcPr>
          <w:p>
            <w:pPr>
              <w:jc w:val="right"/>
              <w:ind w:right="780"/>
              <w:spacing w:after="0"/>
              <w:rPr>
                <w:sz w:val="20"/>
                <w:szCs w:val="20"/>
                <w:color w:val="auto"/>
              </w:rPr>
            </w:pPr>
            <w:r>
              <w:rPr>
                <w:rFonts w:ascii="Arial" w:cs="Arial" w:eastAsia="Arial" w:hAnsi="Arial"/>
                <w:sz w:val="13"/>
                <w:szCs w:val="13"/>
                <w:b w:val="1"/>
                <w:bCs w:val="1"/>
                <w:color w:val="auto"/>
              </w:rPr>
              <w:t>Year Ended</w:t>
            </w:r>
          </w:p>
        </w:tc>
        <w:tc>
          <w:tcPr>
            <w:tcW w:w="20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Six Months Ended</w:t>
            </w:r>
          </w:p>
        </w:tc>
      </w:tr>
      <w:tr>
        <w:trPr>
          <w:trHeight w:val="155"/>
        </w:trPr>
        <w:tc>
          <w:tcPr>
            <w:tcW w:w="5000" w:type="dxa"/>
            <w:vAlign w:val="bottom"/>
          </w:tcPr>
          <w:p>
            <w:pPr>
              <w:spacing w:after="0"/>
              <w:rPr>
                <w:sz w:val="13"/>
                <w:szCs w:val="13"/>
                <w:color w:val="auto"/>
              </w:rPr>
            </w:pPr>
          </w:p>
        </w:tc>
        <w:tc>
          <w:tcPr>
            <w:tcW w:w="206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auto"/>
              </w:rPr>
              <w:t>December 31,</w:t>
            </w:r>
          </w:p>
        </w:tc>
        <w:tc>
          <w:tcPr>
            <w:tcW w:w="20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June 30,</w:t>
            </w:r>
          </w:p>
        </w:tc>
      </w:tr>
      <w:tr>
        <w:trPr>
          <w:trHeight w:val="135"/>
        </w:trPr>
        <w:tc>
          <w:tcPr>
            <w:tcW w:w="50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243"/>
              <w:spacing w:after="0" w:line="136"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19"/>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225"/>
              <w:spacing w:after="0" w:line="136"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19"/>
              <w:spacing w:after="0" w:line="136"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r>
      <w:tr>
        <w:trPr>
          <w:trHeight w:val="135"/>
        </w:trPr>
        <w:tc>
          <w:tcPr>
            <w:tcW w:w="5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4"/>
          </w:tcPr>
          <w:p>
            <w:pPr>
              <w:jc w:val="center"/>
              <w:ind w:right="140"/>
              <w:spacing w:after="0" w:line="136" w:lineRule="exact"/>
              <w:rPr>
                <w:sz w:val="20"/>
                <w:szCs w:val="20"/>
                <w:color w:val="auto"/>
              </w:rPr>
            </w:pPr>
            <w:r>
              <w:rPr>
                <w:rFonts w:ascii="Arial" w:cs="Arial" w:eastAsia="Arial" w:hAnsi="Arial"/>
                <w:sz w:val="13"/>
                <w:szCs w:val="13"/>
                <w:b w:val="1"/>
                <w:bCs w:val="1"/>
                <w:color w:val="auto"/>
                <w:w w:val="93"/>
              </w:rPr>
              <w:t>(unaudited)</w:t>
            </w: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62,078,914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65,960,205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66,498,714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65,428,088</w:t>
            </w: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339,452</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6,025,473</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2,764,003</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10,969,062</w:t>
            </w: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common stock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14,168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60,168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32,164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100,268</w:t>
            </w: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Warrants to purchase convertible preferred stock</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260,239</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1,139,465</w:t>
            </w:r>
          </w:p>
        </w:tc>
      </w:tr>
      <w:tr>
        <w:trPr>
          <w:trHeight w:val="20"/>
        </w:trPr>
        <w:tc>
          <w:tcPr>
            <w:tcW w:w="5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potential dilutive shares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62,432,534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72,306,085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69,294,341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77,636,883</w:t>
            </w: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Net Loss per Share</w:t>
      </w:r>
    </w:p>
    <w:p>
      <w:pPr>
        <w:spacing w:after="0" w:line="222" w:lineRule="exact"/>
        <w:rPr>
          <w:sz w:val="20"/>
          <w:szCs w:val="20"/>
          <w:color w:val="auto"/>
        </w:rPr>
      </w:pPr>
    </w:p>
    <w:p>
      <w:pPr>
        <w:ind w:right="40" w:firstLine="336"/>
        <w:spacing w:after="0" w:line="265" w:lineRule="auto"/>
        <w:rPr>
          <w:sz w:val="20"/>
          <w:szCs w:val="20"/>
          <w:color w:val="auto"/>
        </w:rPr>
      </w:pPr>
      <w:r>
        <w:rPr>
          <w:rFonts w:ascii="Arial" w:cs="Arial" w:eastAsia="Arial" w:hAnsi="Arial"/>
          <w:sz w:val="17"/>
          <w:szCs w:val="17"/>
          <w:color w:val="auto"/>
        </w:rPr>
        <w:t>Unaudited pro forma basic and diluted net (loss) income per share were computed to give effect to the automatic one-for-one conversion of all outstanding shares of convertible preferred stock into shares of common stock in connection with the IPO, using the as-converted method as though the conversion had occurred as of the beginning of the period presented or the date of issuance, if later.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Unaudited pro forma basic (loss) income per share is computed as follows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w w:val="89"/>
              </w:rPr>
              <w:t>Six Months</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2"/>
                <w:szCs w:val="12"/>
                <w:color w:val="auto"/>
              </w:rPr>
            </w:pPr>
          </w:p>
        </w:tc>
        <w:tc>
          <w:tcPr>
            <w:tcW w:w="2700" w:type="dxa"/>
            <w:vAlign w:val="bottom"/>
            <w:gridSpan w:val="3"/>
          </w:tcPr>
          <w:p>
            <w:pPr>
              <w:jc w:val="center"/>
              <w:ind w:right="1980"/>
              <w:spacing w:after="0" w:line="143"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2"/>
                <w:szCs w:val="12"/>
                <w:color w:val="auto"/>
              </w:rPr>
            </w:pPr>
          </w:p>
        </w:tc>
        <w:tc>
          <w:tcPr>
            <w:tcW w:w="2700" w:type="dxa"/>
            <w:vAlign w:val="bottom"/>
            <w:gridSpan w:val="3"/>
          </w:tcPr>
          <w:p>
            <w:pPr>
              <w:jc w:val="center"/>
              <w:ind w:right="2000"/>
              <w:spacing w:after="0" w:line="143"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60" w:type="dxa"/>
            <w:vAlign w:val="bottom"/>
            <w:gridSpan w:val="6"/>
          </w:tcPr>
          <w:p>
            <w:pPr>
              <w:ind w:left="620"/>
              <w:spacing w:after="0" w:line="136"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5740" w:type="dxa"/>
            <w:vAlign w:val="bottom"/>
          </w:tcPr>
          <w:p>
            <w:pPr>
              <w:ind w:left="160"/>
              <w:spacing w:after="0"/>
              <w:rPr>
                <w:sz w:val="20"/>
                <w:szCs w:val="20"/>
                <w:color w:val="auto"/>
              </w:rPr>
            </w:pPr>
            <w:r>
              <w:rPr>
                <w:rFonts w:ascii="Arial" w:cs="Arial" w:eastAsia="Arial" w:hAnsi="Arial"/>
                <w:sz w:val="17"/>
                <w:szCs w:val="17"/>
                <w:color w:val="auto"/>
              </w:rPr>
              <w:t>Net loss per share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(5,541)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 Deemed dividends on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4,041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740" w:type="dxa"/>
            <w:vAlign w:val="bottom"/>
          </w:tcPr>
          <w:p>
            <w:pPr>
              <w:ind w:left="160"/>
              <w:spacing w:after="0"/>
              <w:rPr>
                <w:sz w:val="20"/>
                <w:szCs w:val="20"/>
                <w:color w:val="auto"/>
              </w:rPr>
            </w:pPr>
            <w:r>
              <w:rPr>
                <w:rFonts w:ascii="Arial" w:cs="Arial" w:eastAsia="Arial" w:hAnsi="Arial"/>
                <w:sz w:val="17"/>
                <w:szCs w:val="17"/>
                <w:color w:val="auto"/>
              </w:rPr>
              <w:t>Pro forma net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(5,541)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4,041</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720" w:type="dxa"/>
            <w:vAlign w:val="bottom"/>
          </w:tcPr>
          <w:p>
            <w:pPr>
              <w:spacing w:after="0"/>
              <w:rPr>
                <w:sz w:val="16"/>
                <w:szCs w:val="16"/>
                <w:color w:val="auto"/>
              </w:rPr>
            </w:pPr>
          </w:p>
        </w:tc>
        <w:tc>
          <w:tcPr>
            <w:tcW w:w="57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Denominator:</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5740" w:type="dxa"/>
            <w:vAlign w:val="bottom"/>
          </w:tcPr>
          <w:p>
            <w:pPr>
              <w:ind w:left="160"/>
              <w:spacing w:after="0"/>
              <w:rPr>
                <w:sz w:val="20"/>
                <w:szCs w:val="20"/>
                <w:color w:val="auto"/>
              </w:rPr>
            </w:pPr>
            <w:r>
              <w:rPr>
                <w:rFonts w:ascii="Arial" w:cs="Arial" w:eastAsia="Arial" w:hAnsi="Arial"/>
                <w:sz w:val="17"/>
                <w:szCs w:val="17"/>
                <w:color w:val="auto"/>
              </w:rPr>
              <w:t>Weighted-average shares used in computing net (loss) income per share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7"/>
                <w:szCs w:val="17"/>
                <w:color w:val="auto"/>
              </w:rPr>
              <w:t>attributable to common stockholders</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5,539,739</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5,164,564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 Conversion of redeemable convertible preferred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65,960,205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65,428,088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5740" w:type="dxa"/>
            <w:vAlign w:val="bottom"/>
          </w:tcPr>
          <w:p>
            <w:pPr>
              <w:ind w:left="160"/>
              <w:spacing w:after="0" w:line="191" w:lineRule="exact"/>
              <w:rPr>
                <w:sz w:val="20"/>
                <w:szCs w:val="20"/>
                <w:color w:val="auto"/>
              </w:rPr>
            </w:pPr>
            <w:r>
              <w:rPr>
                <w:rFonts w:ascii="Arial" w:cs="Arial" w:eastAsia="Arial" w:hAnsi="Arial"/>
                <w:sz w:val="17"/>
                <w:szCs w:val="17"/>
                <w:color w:val="auto"/>
                <w:w w:val="96"/>
              </w:rPr>
              <w:t>Weighted-average shares used in computing pro forma net (loss) income per</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7"/>
                <w:szCs w:val="17"/>
                <w:color w:val="auto"/>
              </w:rPr>
              <w:t>share</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71,499,944</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70,592,652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tcPr>
          <w:p>
            <w:pPr>
              <w:spacing w:after="0"/>
              <w:rPr>
                <w:sz w:val="16"/>
                <w:szCs w:val="16"/>
                <w:color w:val="auto"/>
              </w:rPr>
            </w:pPr>
          </w:p>
        </w:tc>
        <w:tc>
          <w:tcPr>
            <w:tcW w:w="5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Pro forma net (loss)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(0.08)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0.06</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vMerge w:val="restart"/>
          </w:tcPr>
          <w:p>
            <w:pPr>
              <w:ind w:left="3840"/>
              <w:spacing w:after="0"/>
              <w:rPr>
                <w:sz w:val="20"/>
                <w:szCs w:val="20"/>
                <w:color w:val="auto"/>
              </w:rPr>
            </w:pPr>
            <w:r>
              <w:rPr>
                <w:rFonts w:ascii="Arial" w:cs="Arial" w:eastAsia="Arial" w:hAnsi="Arial"/>
                <w:sz w:val="17"/>
                <w:szCs w:val="17"/>
                <w:color w:val="auto"/>
              </w:rPr>
              <w:t>F-41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72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Borders>
              <w:bottom w:val="single" w:sz="8" w:color="808080"/>
            </w:tcBorders>
          </w:tcPr>
          <w:p>
            <w:pPr>
              <w:spacing w:after="0"/>
              <w:rPr>
                <w:sz w:val="18"/>
                <w:szCs w:val="18"/>
                <w:color w:val="auto"/>
              </w:rPr>
            </w:pPr>
          </w:p>
        </w:tc>
        <w:tc>
          <w:tcPr>
            <w:tcW w:w="57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Net (Loss) Income Per Share (Continued)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Unaudited pro forma diluted (loss) income per share is computed as follows (in thousands, except share and per share data):</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Six Months</w:t>
            </w: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0"/>
              </w:rPr>
              <w:t>Ended</w:t>
            </w: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88"/>
              </w:rPr>
              <w:t>June 30,</w:t>
            </w:r>
          </w:p>
        </w:tc>
      </w:tr>
      <w:tr>
        <w:trPr>
          <w:trHeight w:val="155"/>
        </w:trPr>
        <w:tc>
          <w:tcPr>
            <w:tcW w:w="5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3"/>
                <w:szCs w:val="13"/>
                <w:color w:val="auto"/>
              </w:rPr>
            </w:pPr>
          </w:p>
        </w:tc>
      </w:tr>
      <w:tr>
        <w:trPr>
          <w:trHeight w:val="135"/>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5"/>
          </w:tcPr>
          <w:p>
            <w:pPr>
              <w:jc w:val="right"/>
              <w:ind w:right="860"/>
              <w:spacing w:after="0" w:line="136" w:lineRule="exact"/>
              <w:rPr>
                <w:sz w:val="20"/>
                <w:szCs w:val="20"/>
                <w:color w:val="auto"/>
              </w:rPr>
            </w:pPr>
            <w:r>
              <w:rPr>
                <w:rFonts w:ascii="Arial" w:cs="Arial" w:eastAsia="Arial" w:hAnsi="Arial"/>
                <w:sz w:val="13"/>
                <w:szCs w:val="13"/>
                <w:b w:val="1"/>
                <w:bCs w:val="1"/>
                <w:color w:val="auto"/>
              </w:rPr>
              <w:t>(unaudited)</w:t>
            </w:r>
          </w:p>
        </w:tc>
      </w:tr>
      <w:tr>
        <w:trPr>
          <w:trHeight w:val="207"/>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7"/>
        </w:trPr>
        <w:tc>
          <w:tcPr>
            <w:tcW w:w="5740" w:type="dxa"/>
            <w:vAlign w:val="bottom"/>
          </w:tcPr>
          <w:p>
            <w:pPr>
              <w:ind w:left="160"/>
              <w:spacing w:after="0"/>
              <w:rPr>
                <w:sz w:val="20"/>
                <w:szCs w:val="20"/>
                <w:color w:val="auto"/>
              </w:rPr>
            </w:pPr>
            <w:r>
              <w:rPr>
                <w:rFonts w:ascii="Arial" w:cs="Arial" w:eastAsia="Arial" w:hAnsi="Arial"/>
                <w:sz w:val="17"/>
                <w:szCs w:val="17"/>
                <w:color w:val="auto"/>
              </w:rPr>
              <w:t>Net loss per share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(5,541)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7"/>
        </w:trPr>
        <w:tc>
          <w:tcPr>
            <w:tcW w:w="5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 Deemed dividends on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4,041</w:t>
            </w:r>
          </w:p>
        </w:tc>
      </w:tr>
      <w:tr>
        <w:trPr>
          <w:trHeight w:val="200"/>
        </w:trPr>
        <w:tc>
          <w:tcPr>
            <w:tcW w:w="5740" w:type="dxa"/>
            <w:vAlign w:val="bottom"/>
          </w:tcPr>
          <w:p>
            <w:pPr>
              <w:ind w:left="160"/>
              <w:spacing w:after="0"/>
              <w:rPr>
                <w:sz w:val="20"/>
                <w:szCs w:val="20"/>
                <w:color w:val="auto"/>
              </w:rPr>
            </w:pPr>
            <w:r>
              <w:rPr>
                <w:rFonts w:ascii="Arial" w:cs="Arial" w:eastAsia="Arial" w:hAnsi="Arial"/>
                <w:sz w:val="17"/>
                <w:szCs w:val="17"/>
                <w:color w:val="auto"/>
              </w:rPr>
              <w:t>Pro forma net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(5,541)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4,041</w:t>
            </w:r>
          </w:p>
        </w:tc>
        <w:tc>
          <w:tcPr>
            <w:tcW w:w="16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6"/>
        </w:trPr>
        <w:tc>
          <w:tcPr>
            <w:tcW w:w="57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Denominator:</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8"/>
        </w:trPr>
        <w:tc>
          <w:tcPr>
            <w:tcW w:w="5740" w:type="dxa"/>
            <w:vAlign w:val="bottom"/>
          </w:tcPr>
          <w:p>
            <w:pPr>
              <w:ind w:left="160"/>
              <w:spacing w:after="0"/>
              <w:rPr>
                <w:sz w:val="20"/>
                <w:szCs w:val="20"/>
                <w:color w:val="auto"/>
              </w:rPr>
            </w:pPr>
            <w:r>
              <w:rPr>
                <w:rFonts w:ascii="Arial" w:cs="Arial" w:eastAsia="Arial" w:hAnsi="Arial"/>
                <w:sz w:val="17"/>
                <w:szCs w:val="17"/>
                <w:color w:val="auto"/>
              </w:rPr>
              <w:t>Weighted-average shares used in computing net (loss) income per share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5740" w:type="dxa"/>
            <w:vAlign w:val="bottom"/>
          </w:tcPr>
          <w:p>
            <w:pPr>
              <w:ind w:left="340"/>
              <w:spacing w:after="0"/>
              <w:rPr>
                <w:sz w:val="20"/>
                <w:szCs w:val="20"/>
                <w:color w:val="auto"/>
              </w:rPr>
            </w:pPr>
            <w:r>
              <w:rPr>
                <w:rFonts w:ascii="Arial" w:cs="Arial" w:eastAsia="Arial" w:hAnsi="Arial"/>
                <w:sz w:val="17"/>
                <w:szCs w:val="17"/>
                <w:color w:val="auto"/>
              </w:rPr>
              <w:t>attributable to common stockholders</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71,499,944</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70,592,652</w:t>
            </w:r>
          </w:p>
        </w:tc>
      </w:tr>
      <w:tr>
        <w:trPr>
          <w:trHeight w:val="208"/>
        </w:trPr>
        <w:tc>
          <w:tcPr>
            <w:tcW w:w="5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 Options to purchase common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10,969,062</w:t>
            </w:r>
          </w:p>
        </w:tc>
      </w:tr>
      <w:tr>
        <w:trPr>
          <w:trHeight w:val="191"/>
        </w:trPr>
        <w:tc>
          <w:tcPr>
            <w:tcW w:w="5740" w:type="dxa"/>
            <w:vAlign w:val="bottom"/>
          </w:tcPr>
          <w:p>
            <w:pPr>
              <w:ind w:left="160"/>
              <w:spacing w:after="0" w:line="191" w:lineRule="exact"/>
              <w:rPr>
                <w:sz w:val="20"/>
                <w:szCs w:val="20"/>
                <w:color w:val="auto"/>
              </w:rPr>
            </w:pPr>
            <w:r>
              <w:rPr>
                <w:rFonts w:ascii="Arial" w:cs="Arial" w:eastAsia="Arial" w:hAnsi="Arial"/>
                <w:sz w:val="17"/>
                <w:szCs w:val="17"/>
                <w:color w:val="auto"/>
                <w:w w:val="96"/>
              </w:rPr>
              <w:t>Weighted-average shares used in computing pro forma net (loss) income per</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5"/>
        </w:trPr>
        <w:tc>
          <w:tcPr>
            <w:tcW w:w="5740" w:type="dxa"/>
            <w:vAlign w:val="bottom"/>
          </w:tcPr>
          <w:p>
            <w:pPr>
              <w:ind w:left="340"/>
              <w:spacing w:after="0"/>
              <w:rPr>
                <w:sz w:val="20"/>
                <w:szCs w:val="20"/>
                <w:color w:val="auto"/>
              </w:rPr>
            </w:pPr>
            <w:r>
              <w:rPr>
                <w:rFonts w:ascii="Arial" w:cs="Arial" w:eastAsia="Arial" w:hAnsi="Arial"/>
                <w:sz w:val="17"/>
                <w:szCs w:val="17"/>
                <w:color w:val="auto"/>
              </w:rPr>
              <w:t>share</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71,499,944</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81,561,714</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7"/>
        </w:trPr>
        <w:tc>
          <w:tcPr>
            <w:tcW w:w="57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Pro forma net (loss)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(0.08)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0.05</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401(k) Plan</w:t>
      </w:r>
    </w:p>
    <w:p>
      <w:pPr>
        <w:spacing w:after="0" w:line="222" w:lineRule="exact"/>
        <w:rPr>
          <w:sz w:val="20"/>
          <w:szCs w:val="20"/>
          <w:color w:val="auto"/>
        </w:rPr>
      </w:pPr>
    </w:p>
    <w:p>
      <w:pPr>
        <w:ind w:right="40" w:firstLine="333"/>
        <w:spacing w:after="0" w:line="289" w:lineRule="auto"/>
        <w:rPr>
          <w:sz w:val="20"/>
          <w:szCs w:val="20"/>
          <w:color w:val="auto"/>
        </w:rPr>
      </w:pPr>
      <w:r>
        <w:rPr>
          <w:rFonts w:ascii="Arial" w:cs="Arial" w:eastAsia="Arial" w:hAnsi="Arial"/>
          <w:sz w:val="16"/>
          <w:szCs w:val="16"/>
          <w:color w:val="auto"/>
        </w:rPr>
        <w:t>The Company sponsors a 401(k) defined contribution plan covering all employees. Employer contributions began in 2018 and the Company incurred expenses for the year ended December 31, 2018 of $263,000. In the six months ended June 30, 2019 (unaudited) the Company incurred expenses of $238,000 and $186,103 in the six months ended June 30, 2018 (unaudited). There were no employer contributions to the plan in the year ended December 31, 2017.</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Related Party Transactions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January 2018, the Company executed an agreement with a related party to sell the Eeva business, representing all of the medical device segment. Refer to Note 6.</w:t>
      </w:r>
    </w:p>
    <w:p>
      <w:pPr>
        <w:spacing w:after="0" w:line="241" w:lineRule="exact"/>
        <w:rPr>
          <w:sz w:val="20"/>
          <w:szCs w:val="20"/>
          <w:color w:val="auto"/>
        </w:rPr>
      </w:pPr>
    </w:p>
    <w:p>
      <w:pPr>
        <w:jc w:val="both"/>
        <w:ind w:right="100" w:firstLine="336"/>
        <w:spacing w:after="0" w:line="265" w:lineRule="auto"/>
        <w:rPr>
          <w:sz w:val="20"/>
          <w:szCs w:val="20"/>
          <w:color w:val="auto"/>
        </w:rPr>
      </w:pPr>
      <w:r>
        <w:rPr>
          <w:rFonts w:ascii="Arial" w:cs="Arial" w:eastAsia="Arial" w:hAnsi="Arial"/>
          <w:sz w:val="17"/>
          <w:szCs w:val="17"/>
          <w:color w:val="auto"/>
        </w:rPr>
        <w:t>In June 2018, the Company redeemed and retired 1,202,196 Series B convertible preferred stock from a former employee pursuant to their contractual right of first refusal at a purchase price of $2.5 million The excess of the purchase price over the carrying value $(1.73) of $425,000 has been recorded as a dividend in accumulated deficit as of December 31, 2018. Refer to Note 12 for further detail on this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222" w:lineRule="exact"/>
        <w:rPr>
          <w:sz w:val="20"/>
          <w:szCs w:val="20"/>
          <w:color w:val="auto"/>
        </w:rPr>
      </w:pPr>
    </w:p>
    <w:p>
      <w:pPr>
        <w:ind w:firstLine="333"/>
        <w:spacing w:after="0" w:line="276" w:lineRule="auto"/>
        <w:rPr>
          <w:sz w:val="20"/>
          <w:szCs w:val="20"/>
          <w:color w:val="auto"/>
        </w:rPr>
      </w:pPr>
      <w:r>
        <w:rPr>
          <w:rFonts w:ascii="Arial" w:cs="Arial" w:eastAsia="Arial" w:hAnsi="Arial"/>
          <w:sz w:val="17"/>
          <w:szCs w:val="17"/>
          <w:color w:val="auto"/>
        </w:rPr>
        <w:t>The Company has entered into a sublease agreement which will commence in September 2019. The sublease is for a 25,212 square foot office location in New York City and shall expire in May 2029.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PROGYNY, INC.</w:t>
      </w: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 (Continued)</w:t>
      </w:r>
    </w:p>
    <w:p>
      <w:pPr>
        <w:spacing w:after="0" w:line="222"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Pursuant to the sublease, the Company will pay the base rent of approximately $1.3 million per annum through the end of the fifth lease year, and approximately $1.4 million per annum through the expiration date.</w:t>
      </w:r>
    </w:p>
    <w:p>
      <w:pPr>
        <w:spacing w:after="0" w:line="171" w:lineRule="exact"/>
        <w:rPr>
          <w:sz w:val="20"/>
          <w:szCs w:val="20"/>
          <w:color w:val="auto"/>
        </w:rPr>
      </w:pPr>
    </w:p>
    <w:p>
      <w:pPr>
        <w:ind w:firstLine="336"/>
        <w:spacing w:after="0" w:line="276" w:lineRule="auto"/>
        <w:rPr>
          <w:sz w:val="20"/>
          <w:szCs w:val="20"/>
          <w:color w:val="auto"/>
        </w:rPr>
      </w:pPr>
      <w:r>
        <w:rPr>
          <w:rFonts w:ascii="Arial" w:cs="Arial" w:eastAsia="Arial" w:hAnsi="Arial"/>
          <w:sz w:val="17"/>
          <w:szCs w:val="17"/>
          <w:color w:val="auto"/>
        </w:rPr>
        <w:t>On July 15, 2019, the Company authorized an additional 2,500,000 shares of common stock, $0.0001 par value per share. As a result, the number of authorized shares of the Company's common stock increased from 441,000,000 to 443,500,000.</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678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96856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15200" cy="9685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407035</wp:posOffset>
            </wp:positionV>
            <wp:extent cx="7252335"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233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10,000,000 Shares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153035</wp:posOffset>
            </wp:positionV>
            <wp:extent cx="18973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973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1360170</wp:posOffset>
            </wp:positionV>
            <wp:extent cx="18973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9738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530225</wp:posOffset>
            </wp:positionV>
            <wp:extent cx="2340610" cy="697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340610" cy="69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4000" w:val="left"/>
          <w:tab w:leader="none" w:pos="9860" w:val="left"/>
        </w:tabs>
        <w:rPr>
          <w:sz w:val="20"/>
          <w:szCs w:val="20"/>
          <w:color w:val="auto"/>
        </w:rPr>
      </w:pPr>
      <w:r>
        <w:rPr>
          <w:rFonts w:ascii="Arial" w:cs="Arial" w:eastAsia="Arial" w:hAnsi="Arial"/>
          <w:sz w:val="23"/>
          <w:szCs w:val="23"/>
          <w:b w:val="1"/>
          <w:bCs w:val="1"/>
          <w:color w:val="auto"/>
        </w:rPr>
        <w:t>J.P. Morgan</w:t>
      </w:r>
      <w:r>
        <w:rPr>
          <w:sz w:val="20"/>
          <w:szCs w:val="20"/>
          <w:color w:val="auto"/>
        </w:rPr>
        <w:tab/>
      </w:r>
      <w:r>
        <w:rPr>
          <w:rFonts w:ascii="Arial" w:cs="Arial" w:eastAsia="Arial" w:hAnsi="Arial"/>
          <w:sz w:val="23"/>
          <w:szCs w:val="23"/>
          <w:b w:val="1"/>
          <w:bCs w:val="1"/>
          <w:color w:val="auto"/>
        </w:rPr>
        <w:t>Goldman Sachs &amp; Co. LLC</w:t>
      </w:r>
      <w:r>
        <w:rPr>
          <w:sz w:val="20"/>
          <w:szCs w:val="20"/>
          <w:color w:val="auto"/>
        </w:rPr>
        <w:tab/>
      </w:r>
      <w:r>
        <w:rPr>
          <w:rFonts w:ascii="Arial" w:cs="Arial" w:eastAsia="Arial" w:hAnsi="Arial"/>
          <w:sz w:val="20"/>
          <w:szCs w:val="20"/>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153035</wp:posOffset>
            </wp:positionV>
            <wp:extent cx="18973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153035</wp:posOffset>
            </wp:positionV>
            <wp:extent cx="18973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4580" w:val="left"/>
          <w:tab w:leader="none" w:pos="9160" w:val="left"/>
        </w:tabs>
        <w:rPr>
          <w:sz w:val="20"/>
          <w:szCs w:val="20"/>
          <w:color w:val="auto"/>
        </w:rPr>
      </w:pPr>
      <w:r>
        <w:rPr>
          <w:rFonts w:ascii="Arial" w:cs="Arial" w:eastAsia="Arial" w:hAnsi="Arial"/>
          <w:sz w:val="23"/>
          <w:szCs w:val="23"/>
          <w:b w:val="1"/>
          <w:bCs w:val="1"/>
          <w:color w:val="auto"/>
        </w:rPr>
        <w:t>Piper Jaffray</w:t>
      </w:r>
      <w:r>
        <w:rPr>
          <w:sz w:val="20"/>
          <w:szCs w:val="20"/>
          <w:color w:val="auto"/>
        </w:rPr>
        <w:tab/>
      </w:r>
      <w:r>
        <w:rPr>
          <w:rFonts w:ascii="Arial" w:cs="Arial" w:eastAsia="Arial" w:hAnsi="Arial"/>
          <w:sz w:val="23"/>
          <w:szCs w:val="23"/>
          <w:b w:val="1"/>
          <w:bCs w:val="1"/>
          <w:color w:val="auto"/>
        </w:rPr>
        <w:t>SVB Leerink</w:t>
      </w:r>
      <w:r>
        <w:rPr>
          <w:sz w:val="20"/>
          <w:szCs w:val="20"/>
          <w:color w:val="auto"/>
        </w:rPr>
        <w:tab/>
      </w:r>
      <w:r>
        <w:rPr>
          <w:rFonts w:ascii="Arial" w:cs="Arial" w:eastAsia="Arial" w:hAnsi="Arial"/>
          <w:sz w:val="22"/>
          <w:szCs w:val="22"/>
          <w:b w:val="1"/>
          <w:bCs w:val="1"/>
          <w:color w:val="auto"/>
        </w:rPr>
        <w:t>TPG Capital BD, LLC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October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163195</wp:posOffset>
            </wp:positionV>
            <wp:extent cx="7252335" cy="330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325120</wp:posOffset>
            </wp:positionV>
            <wp:extent cx="725678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1)"/>
      <w:numFmt w:val="decimal"/>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1)"/>
      <w:numFmt w:val="decimal"/>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1)"/>
      <w:numFmt w:val="decimal"/>
      <w:start w:val="212"/>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1)"/>
      <w:numFmt w:val="decimal"/>
      <w:start w:val="1"/>
    </w:lvl>
  </w:abstractNum>
  <w:abstractNum w:abstractNumId="17">
    <w:nsid w:val="77AE35EB"/>
    <w:multiLevelType w:val="hybridMultilevel"/>
    <w:lvl w:ilvl="0">
      <w:lvlJc w:val="left"/>
      <w:lvlText w:val="(%1)"/>
      <w:numFmt w:val="decimal"/>
      <w:start w:val="2"/>
    </w:lvl>
  </w:abstractNum>
  <w:abstractNum w:abstractNumId="18">
    <w:nsid w:val="579BE4F1"/>
    <w:multiLevelType w:val="hybridMultilevel"/>
    <w:lvl w:ilvl="0">
      <w:lvlJc w:val="left"/>
      <w:lvlText w:val="(%1)"/>
      <w:numFmt w:val="decimal"/>
      <w:start w:val="1"/>
    </w:lvl>
  </w:abstractNum>
  <w:abstractNum w:abstractNumId="19">
    <w:nsid w:val="310C50B3"/>
    <w:multiLevelType w:val="hybridMultilevel"/>
    <w:lvl w:ilvl="0">
      <w:lvlJc w:val="left"/>
      <w:lvlText w:val="(%1)"/>
      <w:numFmt w:val="decimal"/>
      <w:start w:val="1"/>
    </w:lvl>
  </w:abstractNum>
  <w:abstractNum w:abstractNumId="20">
    <w:nsid w:val="5FF87E05"/>
    <w:multiLevelType w:val="hybridMultilevel"/>
    <w:lvl w:ilvl="0">
      <w:lvlJc w:val="left"/>
      <w:lvlText w:val="(%1)"/>
      <w:numFmt w:val="lowerLetter"/>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1)"/>
      <w:numFmt w:val="decimal"/>
      <w:start w:val="1"/>
    </w:lvl>
  </w:abstractNum>
  <w:abstractNum w:abstractNumId="41">
    <w:nsid w:val="7BD3EE7B"/>
    <w:multiLevelType w:val="hybridMultilevel"/>
    <w:lvl w:ilvl="0">
      <w:lvlJc w:val="left"/>
      <w:lvlText w:val="(%1)"/>
      <w:numFmt w:val="decimal"/>
      <w:start w:val="2"/>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1)"/>
      <w:numFmt w:val="decimal"/>
      <w:start w:val="1"/>
    </w:lvl>
  </w:abstractNum>
  <w:abstractNum w:abstractNumId="45">
    <w:nsid w:val="11447B73"/>
    <w:multiLevelType w:val="hybridMultilevel"/>
    <w:lvl w:ilvl="0">
      <w:lvlJc w:val="left"/>
      <w:lvlText w:val="(%1)"/>
      <w:numFmt w:val="decimal"/>
      <w:start w:val="1"/>
    </w:lvl>
  </w:abstractNum>
  <w:abstractNum w:abstractNumId="46">
    <w:nsid w:val="42963E5A"/>
    <w:multiLevelType w:val="hybridMultilevel"/>
    <w:lvl w:ilvl="0">
      <w:lvlJc w:val="left"/>
      <w:lvlText w:val="(%1)"/>
      <w:numFmt w:val="decimal"/>
      <w:start w:val="2"/>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1)"/>
      <w:numFmt w:val="decimal"/>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1)"/>
      <w:numFmt w:val="decimal"/>
      <w:start w:val="1"/>
    </w:lvl>
  </w:abstractNum>
  <w:abstractNum w:abstractNumId="71">
    <w:nsid w:val="68EBC550"/>
    <w:multiLevelType w:val="hybridMultilevel"/>
    <w:lvl w:ilvl="0">
      <w:lvlJc w:val="left"/>
      <w:lvlText w:val="(%1)"/>
      <w:numFmt w:val="decimal"/>
      <w:start w:val="5"/>
    </w:lvl>
  </w:abstractNum>
  <w:abstractNum w:abstractNumId="72">
    <w:nsid w:val="2DF6D648"/>
    <w:multiLevelType w:val="hybridMultilevel"/>
    <w:lvl w:ilvl="0">
      <w:lvlJc w:val="left"/>
      <w:lvlText w:val="(%1)"/>
      <w:numFmt w:val="upperLetter"/>
      <w:start w:val="2"/>
    </w:lvl>
  </w:abstractNum>
  <w:abstractNum w:abstractNumId="73">
    <w:nsid w:val="46B7D447"/>
    <w:multiLevelType w:val="hybridMultilevel"/>
    <w:lvl w:ilvl="0">
      <w:lvlJc w:val="left"/>
      <w:lvlText w:val="(%1)"/>
      <w:numFmt w:val="decimal"/>
      <w:start w:val="1"/>
    </w:lvl>
  </w:abstractNum>
  <w:abstractNum w:abstractNumId="74">
    <w:nsid w:val="4A2AC315"/>
    <w:multiLevelType w:val="hybridMultilevel"/>
    <w:lvl w:ilvl="0">
      <w:lvlJc w:val="left"/>
      <w:lvlText w:val="(%1)"/>
      <w:numFmt w:val="decimal"/>
      <w:start w:val="4"/>
    </w:lvl>
  </w:abstractNum>
  <w:abstractNum w:abstractNumId="75">
    <w:nsid w:val="39EE015C"/>
    <w:multiLevelType w:val="hybridMultilevel"/>
    <w:lvl w:ilvl="0">
      <w:lvlJc w:val="left"/>
      <w:lvlText w:val="(%1)"/>
      <w:numFmt w:val="decimal"/>
      <w:start w:val="3"/>
    </w:lvl>
  </w:abstractNum>
  <w:abstractNum w:abstractNumId="76">
    <w:nsid w:val="57FC4FBB"/>
    <w:multiLevelType w:val="hybridMultilevel"/>
    <w:lvl w:ilvl="0">
      <w:lvlJc w:val="left"/>
      <w:lvlText w:val="(%1)"/>
      <w:numFmt w:val="lowerRoman"/>
      <w:start w:val="2"/>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
      <w:numFmt w:val="bullet"/>
      <w:start w:val="1"/>
    </w:lvl>
  </w:abstractNum>
  <w:abstractNum w:abstractNumId="79">
    <w:nsid w:val="60EF0119"/>
    <w:multiLevelType w:val="hybridMultilevel"/>
    <w:lvl w:ilvl="0">
      <w:lvlJc w:val="left"/>
      <w:lvlText w:val="(%1)"/>
      <w:numFmt w:val="decimal"/>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1)"/>
      <w:numFmt w:val="decimal"/>
      <w:start w:val="1"/>
    </w:lvl>
  </w:abstractNum>
  <w:abstractNum w:abstractNumId="83">
    <w:nsid w:val="7055A5F5"/>
    <w:multiLevelType w:val="hybridMultilevel"/>
    <w:lvl w:ilvl="0">
      <w:lvlJc w:val="left"/>
      <w:lvlText w:val="(%1)"/>
      <w:numFmt w:val="decimal"/>
      <w:start w:val="3"/>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
      <w:numFmt w:val="bullet"/>
      <w:start w:val="1"/>
    </w:lvl>
  </w:abstractNum>
  <w:abstractNum w:abstractNumId="86">
    <w:nsid w:val="488AC1A"/>
    <w:multiLevelType w:val="hybridMultilevel"/>
    <w:lvl w:ilvl="0">
      <w:lvlJc w:val="left"/>
      <w:lvlText w:val="•"/>
      <w:numFmt w:val="bullet"/>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1)"/>
      <w:numFmt w:val="lowerLetter"/>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1)"/>
      <w:numFmt w:val="lowerLetter"/>
      <w:start w:val="1"/>
    </w:lvl>
  </w:abstractNum>
  <w:abstractNum w:abstractNumId="93">
    <w:nsid w:val="5F3534A4"/>
    <w:multiLevelType w:val="hybridMultilevel"/>
    <w:lvl w:ilvl="0">
      <w:lvlJc w:val="left"/>
      <w:lvlText w:val="(%1)"/>
      <w:numFmt w:val="lowerLetter"/>
      <w:start w:val="1"/>
    </w:lvl>
  </w:abstractNum>
  <w:abstractNum w:abstractNumId="94">
    <w:nsid w:val="73A1821B"/>
    <w:multiLevelType w:val="hybridMultilevel"/>
    <w:lvl w:ilvl="0">
      <w:lvlJc w:val="left"/>
      <w:lvlText w:val="(%1)"/>
      <w:numFmt w:val="lowerRoman"/>
      <w:start w:val="8"/>
    </w:lvl>
  </w:abstractNum>
  <w:abstractNum w:abstractNumId="95">
    <w:nsid w:val="7DE67713"/>
    <w:multiLevelType w:val="hybridMultilevel"/>
    <w:lvl w:ilvl="0">
      <w:lvlJc w:val="left"/>
      <w:lvlText w:val="%1."/>
      <w:numFmt w:val="lowerRoman"/>
      <w:start w:val="1"/>
    </w:lvl>
    <w:lvl w:ilvl="1">
      <w:lvlJc w:val="left"/>
      <w:lvlText w:val="(%2)"/>
      <w:numFmt w:val="lowerLetter"/>
      <w:start w:val="1"/>
    </w:lvl>
  </w:abstractNum>
  <w:abstractNum w:abstractNumId="96">
    <w:nsid w:val="555C55B5"/>
    <w:multiLevelType w:val="hybridMultilevel"/>
    <w:lvl w:ilvl="0">
      <w:lvlJc w:val="left"/>
      <w:lvlText w:val="%1."/>
      <w:numFmt w:val="decimal"/>
      <w:start w:val="1"/>
    </w:lvl>
  </w:abstractNum>
  <w:abstractNum w:abstractNumId="97">
    <w:nsid w:val="3FA62ACA"/>
    <w:multiLevelType w:val="hybridMultilevel"/>
    <w:lvl w:ilvl="0">
      <w:lvlJc w:val="left"/>
      <w:lvlText w:val="%1."/>
      <w:numFmt w:val="decimal"/>
      <w:start w:val="2"/>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1)"/>
      <w:numFmt w:val="decimal"/>
      <w:start w:val="1"/>
    </w:lvl>
  </w:abstractNum>
  <w:abstractNum w:abstractNumId="100">
    <w:nsid w:val="71C91298"/>
    <w:multiLevelType w:val="hybridMultilevel"/>
    <w:lvl w:ilvl="0">
      <w:lvlJc w:val="left"/>
      <w:lvlText w:val="%1."/>
      <w:numFmt w:val="decimal"/>
      <w:start w:val="2"/>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1."/>
      <w:numFmt w:val="decimal"/>
      <w:start w:val="2"/>
    </w:lvl>
    <w:lvl w:ilvl="1">
      <w:lvlJc w:val="left"/>
      <w:lvlText w:val="•"/>
      <w:numFmt w:val="bullet"/>
      <w:start w:val="1"/>
    </w:lvl>
  </w:abstractNum>
  <w:abstractNum w:abstractNumId="104">
    <w:nsid w:val="5092CA79"/>
    <w:multiLevelType w:val="hybridMultilevel"/>
    <w:lvl w:ilvl="0">
      <w:lvlJc w:val="left"/>
      <w:lvlText w:val="%1."/>
      <w:numFmt w:val="lowerLetter"/>
      <w:start w:val="1"/>
    </w:lvl>
  </w:abstractNum>
  <w:abstractNum w:abstractNumId="105">
    <w:nsid w:val="1D545C4D"/>
    <w:multiLevelType w:val="hybridMultilevel"/>
    <w:lvl w:ilvl="0">
      <w:lvlJc w:val="left"/>
      <w:lvlText w:val="%1."/>
      <w:numFmt w:val="decimal"/>
      <w:start w:val="12"/>
    </w:lvl>
  </w:abstractNum>
  <w:abstractNum w:abstractNumId="106">
    <w:nsid w:val="59ADEA3D"/>
    <w:multiLevelType w:val="hybridMultilevel"/>
    <w:lvl w:ilvl="0">
      <w:lvlJc w:val="left"/>
      <w:lvlText w:val="%1."/>
      <w:numFmt w:val="decimal"/>
      <w:start w:val="13"/>
    </w:lvl>
  </w:abstractNum>
  <w:abstractNum w:abstractNumId="107">
    <w:nsid w:val="288F1A34"/>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2019-12-04T22:29:50Z</dcterms:created>
  <dcterms:modified xsi:type="dcterms:W3CDTF">2019-12-04T22:29:50Z</dcterms:modified>
</cp:coreProperties>
</file>