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36"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4" w:lineRule="exact"/>
        <w:rPr>
          <w:sz w:val="24"/>
          <w:szCs w:val="24"/>
          <w:color w:val="auto"/>
        </w:rPr>
      </w:pPr>
    </w:p>
    <w:p>
      <w:pPr>
        <w:ind w:left="640" w:hanging="614"/>
        <w:spacing w:after="0"/>
        <w:tabs>
          <w:tab w:leader="none" w:pos="640" w:val="left"/>
        </w:tabs>
        <w:numPr>
          <w:ilvl w:val="0"/>
          <w:numId w:val="1"/>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2022</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4" w:lineRule="exact"/>
        <w:rPr>
          <w:sz w:val="24"/>
          <w:szCs w:val="24"/>
          <w:color w:val="auto"/>
        </w:rPr>
      </w:pPr>
    </w:p>
    <w:p>
      <w:pPr>
        <w:ind w:left="640" w:hanging="614"/>
        <w:spacing w:after="0"/>
        <w:tabs>
          <w:tab w:leader="none" w:pos="640" w:val="left"/>
        </w:tabs>
        <w:numPr>
          <w:ilvl w:val="0"/>
          <w:numId w:val="2"/>
        </w:numPr>
        <w:rPr>
          <w:rFonts w:ascii="Arial" w:cs="Arial" w:eastAsia="Arial" w:hAnsi="Arial"/>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47"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___________________ to ___________________</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001-39100</w:t>
      </w:r>
    </w:p>
    <w:p>
      <w:pPr>
        <w:spacing w:after="0" w:line="2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Progyny, Inc.</w:t>
      </w:r>
    </w:p>
    <w:p>
      <w:pPr>
        <w:sectPr>
          <w:pgSz w:w="11900" w:h="16838" w:orient="portrait"/>
          <w:cols w:equalWidth="0" w:num="1">
            <w:col w:w="11260"/>
          </w:cols>
          <w:pgMar w:left="320" w:top="256" w:right="319" w:bottom="1440" w:gutter="0" w:footer="0" w:header="0"/>
        </w:sectPr>
      </w:pPr>
    </w:p>
    <w:p>
      <w:pPr>
        <w:spacing w:after="0" w:line="77" w:lineRule="exact"/>
        <w:rPr>
          <w:sz w:val="24"/>
          <w:szCs w:val="24"/>
          <w:color w:val="auto"/>
        </w:rPr>
      </w:pPr>
    </w:p>
    <w:p>
      <w:pPr>
        <w:jc w:val="center"/>
        <w:ind w:left="34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3440"/>
        <w:spacing w:after="0"/>
        <w:rPr>
          <w:sz w:val="20"/>
          <w:szCs w:val="20"/>
          <w:color w:val="auto"/>
        </w:rPr>
      </w:pPr>
      <w:r>
        <w:rPr>
          <w:rFonts w:ascii="Times New Roman" w:cs="Times New Roman" w:eastAsia="Times New Roman" w:hAnsi="Times New Roman"/>
          <w:sz w:val="19"/>
          <w:szCs w:val="19"/>
          <w:color w:val="auto"/>
        </w:rPr>
        <w:t>____________________________________________</w:t>
      </w:r>
    </w:p>
    <w:p>
      <w:pPr>
        <w:spacing w:after="0" w:line="158"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73"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9"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35"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1359 Broadway</w:t>
      </w:r>
    </w:p>
    <w:p>
      <w:pPr>
        <w:spacing w:after="0" w:line="28"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 xml:space="preserve">New York, </w:t>
      </w: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27-2220139</w:t>
      </w:r>
    </w:p>
    <w:p>
      <w:pPr>
        <w:spacing w:after="0" w:line="8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276"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10018</w:t>
      </w:r>
    </w:p>
    <w:p>
      <w:pPr>
        <w:spacing w:after="0" w:line="73" w:lineRule="exact"/>
        <w:rPr>
          <w:sz w:val="24"/>
          <w:szCs w:val="24"/>
          <w:color w:val="auto"/>
        </w:rPr>
      </w:pPr>
    </w:p>
    <w:p>
      <w:pPr>
        <w:sectPr>
          <w:pgSz w:w="11900" w:h="16838" w:orient="portrait"/>
          <w:cols w:equalWidth="0" w:num="2">
            <w:col w:w="7800" w:space="200"/>
            <w:col w:w="3260"/>
          </w:cols>
          <w:pgMar w:left="320" w:top="256" w:right="319" w:bottom="1440" w:gutter="0" w:footer="0" w:header="0"/>
          <w:type w:val="continuous"/>
        </w:sectPr>
      </w:pPr>
    </w:p>
    <w:p>
      <w:pPr>
        <w:ind w:left="1920"/>
        <w:spacing w:after="0"/>
        <w:tabs>
          <w:tab w:leader="none" w:pos="8160" w:val="left"/>
        </w:tabs>
        <w:rPr>
          <w:sz w:val="20"/>
          <w:szCs w:val="20"/>
          <w:color w:val="auto"/>
        </w:rPr>
      </w:pPr>
      <w:r>
        <w:rPr>
          <w:rFonts w:ascii="Times New Roman" w:cs="Times New Roman" w:eastAsia="Times New Roman" w:hAnsi="Times New Roman"/>
          <w:sz w:val="11"/>
          <w:szCs w:val="11"/>
          <w:b w:val="1"/>
          <w:bCs w:val="1"/>
          <w:color w:val="auto"/>
        </w:rPr>
        <w:t>(Address of principal executive offices)</w:t>
      </w:r>
      <w:r>
        <w:rPr>
          <w:sz w:val="20"/>
          <w:szCs w:val="20"/>
          <w:color w:val="auto"/>
        </w:rPr>
        <w:tab/>
      </w:r>
      <w:r>
        <w:rPr>
          <w:rFonts w:ascii="Times New Roman" w:cs="Times New Roman" w:eastAsia="Times New Roman" w:hAnsi="Times New Roman"/>
          <w:sz w:val="10"/>
          <w:szCs w:val="10"/>
          <w:b w:val="1"/>
          <w:bCs w:val="1"/>
          <w:color w:val="auto"/>
        </w:rPr>
        <w:t>(Zip Code)</w:t>
      </w:r>
    </w:p>
    <w:p>
      <w:pPr>
        <w:spacing w:after="0" w:line="2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(212) 888-3124</w:t>
      </w:r>
    </w:p>
    <w:p>
      <w:pPr>
        <w:spacing w:after="0" w:line="1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5"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0"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4057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411480"/>
                    </a:xfrm>
                    <a:prstGeom prst="rect">
                      <a:avLst/>
                    </a:prstGeom>
                    <a:noFill/>
                  </pic:spPr>
                </pic:pic>
              </a:graphicData>
            </a:graphic>
          </wp:anchor>
        </w:drawing>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1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176"/>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338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PGNY</w:t>
            </w:r>
          </w:p>
        </w:tc>
        <w:tc>
          <w:tcPr>
            <w:tcW w:w="41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ind w:left="1080"/>
        <w:spacing w:after="0"/>
        <w:rPr>
          <w:sz w:val="20"/>
          <w:szCs w:val="20"/>
          <w:color w:val="auto"/>
        </w:rPr>
      </w:pPr>
      <w:r>
        <w:rPr>
          <w:rFonts w:ascii="Times New Roman" w:cs="Times New Roman" w:eastAsia="Times New Roman" w:hAnsi="Times New Roman"/>
          <w:sz w:val="14"/>
          <w:szCs w:val="14"/>
          <w:color w:val="auto"/>
        </w:rPr>
        <w:t>$0.0001 par value per share</w:t>
      </w:r>
    </w:p>
    <w:p>
      <w:pPr>
        <w:spacing w:after="0" w:line="228" w:lineRule="exact"/>
        <w:rPr>
          <w:sz w:val="24"/>
          <w:szCs w:val="24"/>
          <w:color w:val="auto"/>
        </w:rPr>
      </w:pPr>
    </w:p>
    <w:p>
      <w:pPr>
        <w:jc w:val="both"/>
        <w:ind w:right="20" w:firstLine="648"/>
        <w:spacing w:after="0" w:line="32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o</w:t>
      </w:r>
    </w:p>
    <w:p>
      <w:pPr>
        <w:spacing w:after="0" w:line="37" w:lineRule="exact"/>
        <w:rPr>
          <w:sz w:val="24"/>
          <w:szCs w:val="24"/>
          <w:color w:val="auto"/>
        </w:rPr>
      </w:pPr>
    </w:p>
    <w:p>
      <w:pPr>
        <w:jc w:val="both"/>
        <w:ind w:right="20" w:firstLine="648"/>
        <w:spacing w:after="0" w:line="324"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o</w:t>
      </w:r>
    </w:p>
    <w:p>
      <w:pPr>
        <w:spacing w:after="0" w:line="24" w:lineRule="exact"/>
        <w:rPr>
          <w:sz w:val="24"/>
          <w:szCs w:val="24"/>
          <w:color w:val="auto"/>
        </w:rPr>
      </w:pPr>
    </w:p>
    <w:p>
      <w:pPr>
        <w:jc w:val="both"/>
        <w:ind w:right="20" w:firstLine="648"/>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1660" w:type="dxa"/>
        <w:tblCellMar>
          <w:top w:w="0" w:type="dxa"/>
          <w:left w:w="0" w:type="dxa"/>
          <w:bottom w:w="0" w:type="dxa"/>
          <w:right w:w="0" w:type="dxa"/>
        </w:tblCellMar>
      </w:tblPr>
      <w:tr>
        <w:trPr>
          <w:trHeight w:val="217"/>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460" w:type="dxa"/>
            <w:vAlign w:val="bottom"/>
          </w:tcPr>
          <w:p>
            <w:pPr>
              <w:ind w:left="760"/>
              <w:spacing w:after="0"/>
              <w:rPr>
                <w:sz w:val="20"/>
                <w:szCs w:val="20"/>
                <w:color w:val="auto"/>
              </w:rPr>
            </w:pPr>
            <w:r>
              <w:rPr>
                <w:rFonts w:ascii="Arial" w:cs="Arial" w:eastAsia="Arial" w:hAnsi="Arial"/>
                <w:sz w:val="14"/>
                <w:szCs w:val="14"/>
                <w:color w:val="auto"/>
              </w:rPr>
              <w:t>x</w:t>
            </w:r>
          </w:p>
        </w:tc>
        <w:tc>
          <w:tcPr>
            <w:tcW w:w="29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Accelerated filer</w:t>
            </w:r>
          </w:p>
        </w:tc>
        <w:tc>
          <w:tcPr>
            <w:tcW w:w="820" w:type="dxa"/>
            <w:vAlign w:val="bottom"/>
          </w:tcPr>
          <w:p>
            <w:pPr>
              <w:ind w:left="740"/>
              <w:spacing w:after="0"/>
              <w:rPr>
                <w:sz w:val="20"/>
                <w:szCs w:val="20"/>
                <w:color w:val="auto"/>
              </w:rPr>
            </w:pPr>
            <w:r>
              <w:rPr>
                <w:rFonts w:ascii="Arial" w:cs="Arial" w:eastAsia="Arial" w:hAnsi="Arial"/>
                <w:sz w:val="14"/>
                <w:szCs w:val="14"/>
                <w:color w:val="auto"/>
                <w:w w:val="76"/>
              </w:rPr>
              <w:t>o</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460" w:type="dxa"/>
            <w:vAlign w:val="bottom"/>
          </w:tcPr>
          <w:p>
            <w:pPr>
              <w:ind w:left="760"/>
              <w:spacing w:after="0"/>
              <w:rPr>
                <w:sz w:val="20"/>
                <w:szCs w:val="20"/>
                <w:color w:val="auto"/>
              </w:rPr>
            </w:pPr>
            <w:r>
              <w:rPr>
                <w:rFonts w:ascii="Arial" w:cs="Arial" w:eastAsia="Arial" w:hAnsi="Arial"/>
                <w:sz w:val="14"/>
                <w:szCs w:val="14"/>
                <w:color w:val="auto"/>
              </w:rPr>
              <w:t>o</w:t>
            </w:r>
          </w:p>
        </w:tc>
        <w:tc>
          <w:tcPr>
            <w:tcW w:w="29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20" w:type="dxa"/>
            <w:vAlign w:val="bottom"/>
          </w:tcPr>
          <w:p>
            <w:pPr>
              <w:ind w:left="740"/>
              <w:spacing w:after="0"/>
              <w:rPr>
                <w:sz w:val="20"/>
                <w:szCs w:val="20"/>
                <w:color w:val="auto"/>
              </w:rPr>
            </w:pPr>
            <w:r>
              <w:rPr>
                <w:rFonts w:ascii="Arial" w:cs="Arial" w:eastAsia="Arial" w:hAnsi="Arial"/>
                <w:sz w:val="14"/>
                <w:szCs w:val="14"/>
                <w:color w:val="auto"/>
                <w:w w:val="76"/>
              </w:rPr>
              <w:t>o</w:t>
            </w:r>
          </w:p>
        </w:tc>
      </w:tr>
      <w:tr>
        <w:trPr>
          <w:trHeight w:val="216"/>
        </w:trPr>
        <w:tc>
          <w:tcPr>
            <w:tcW w:w="2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96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Emerging growth company</w:t>
            </w:r>
          </w:p>
        </w:tc>
        <w:tc>
          <w:tcPr>
            <w:tcW w:w="820" w:type="dxa"/>
            <w:vAlign w:val="bottom"/>
          </w:tcPr>
          <w:p>
            <w:pPr>
              <w:ind w:left="740"/>
              <w:spacing w:after="0"/>
              <w:rPr>
                <w:sz w:val="20"/>
                <w:szCs w:val="20"/>
                <w:color w:val="auto"/>
              </w:rPr>
            </w:pPr>
            <w:r>
              <w:rPr>
                <w:rFonts w:ascii="Arial" w:cs="Arial" w:eastAsia="Arial" w:hAnsi="Arial"/>
                <w:sz w:val="14"/>
                <w:szCs w:val="14"/>
                <w:color w:val="auto"/>
                <w:w w:val="76"/>
              </w:rPr>
              <w:t>o</w:t>
            </w:r>
          </w:p>
        </w:tc>
      </w:tr>
    </w:tbl>
    <w:p>
      <w:pPr>
        <w:spacing w:after="0" w:line="188" w:lineRule="exact"/>
        <w:rPr>
          <w:sz w:val="24"/>
          <w:szCs w:val="24"/>
          <w:color w:val="auto"/>
        </w:rPr>
      </w:pPr>
    </w:p>
    <w:p>
      <w:pPr>
        <w:ind w:right="20" w:firstLine="648"/>
        <w:spacing w:after="0" w:line="304"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4"/>
          <w:szCs w:val="14"/>
          <w:color w:val="auto"/>
        </w:rPr>
        <w:t>o</w:t>
      </w:r>
    </w:p>
    <w:p>
      <w:pPr>
        <w:spacing w:after="0" w:line="64" w:lineRule="exact"/>
        <w:rPr>
          <w:sz w:val="24"/>
          <w:szCs w:val="24"/>
          <w:color w:val="auto"/>
        </w:rPr>
      </w:pPr>
    </w:p>
    <w:p>
      <w:pPr>
        <w:ind w:left="660" w:right="3380"/>
        <w:spacing w:after="0" w:line="46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Arial" w:cs="Arial" w:eastAsia="Arial" w:hAnsi="Arial"/>
          <w:sz w:val="14"/>
          <w:szCs w:val="14"/>
          <w:color w:val="auto"/>
        </w:rPr>
        <w:t>o</w:t>
      </w:r>
      <w:r>
        <w:rPr>
          <w:rFonts w:ascii="Times New Roman" w:cs="Times New Roman" w:eastAsia="Times New Roman" w:hAnsi="Times New Roman"/>
          <w:sz w:val="14"/>
          <w:szCs w:val="14"/>
          <w:color w:val="auto"/>
        </w:rPr>
        <w:t xml:space="preserve"> No </w:t>
      </w:r>
      <w:r>
        <w:rPr>
          <w:rFonts w:ascii="Arial" w:cs="Arial" w:eastAsia="Arial" w:hAnsi="Arial"/>
          <w:sz w:val="14"/>
          <w:szCs w:val="14"/>
          <w:color w:val="auto"/>
        </w:rPr>
        <w:t>x</w:t>
      </w:r>
      <w:r>
        <w:rPr>
          <w:rFonts w:ascii="Times New Roman" w:cs="Times New Roman" w:eastAsia="Times New Roman" w:hAnsi="Times New Roman"/>
          <w:sz w:val="14"/>
          <w:szCs w:val="14"/>
          <w:color w:val="auto"/>
        </w:rPr>
        <w:t xml:space="preserve"> As of October 31, 2022, the registrant had 92,883,242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5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60" w:type="dxa"/>
            <w:vAlign w:val="bottom"/>
            <w:vMerge w:val="restart"/>
          </w:tcPr>
          <w:p>
            <w:pPr>
              <w:spacing w:after="0"/>
              <w:rPr>
                <w:sz w:val="2"/>
                <w:szCs w:val="2"/>
                <w:color w:val="auto"/>
              </w:rPr>
            </w:pPr>
          </w:p>
        </w:tc>
        <w:tc>
          <w:tcPr>
            <w:tcW w:w="580" w:type="dxa"/>
            <w:vAlign w:val="bottom"/>
            <w:vMerge w:val="restart"/>
          </w:tcPr>
          <w:p>
            <w:pPr>
              <w:spacing w:after="0"/>
              <w:rPr>
                <w:sz w:val="2"/>
                <w:szCs w:val="2"/>
                <w:color w:val="auto"/>
              </w:rPr>
            </w:pPr>
          </w:p>
        </w:tc>
        <w:tc>
          <w:tcPr>
            <w:tcW w:w="24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6760" w:type="dxa"/>
            <w:vAlign w:val="bottom"/>
            <w:gridSpan w:val="11"/>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640" w:type="dxa"/>
            <w:vAlign w:val="bottom"/>
            <w:tcBorders>
              <w:bottom w:val="single" w:sz="8" w:color="0000FF"/>
            </w:tcBorders>
            <w:gridSpan w:val="3"/>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2400" w:type="dxa"/>
            <w:vAlign w:val="bottom"/>
            <w:tcBorders>
              <w:bottom w:val="single" w:sz="8" w:color="0000FF"/>
            </w:tcBorders>
            <w:gridSpan w:val="11"/>
            <w:vMerge w:val="continue"/>
          </w:tcPr>
          <w:p>
            <w:pPr>
              <w:spacing w:after="0"/>
              <w:rPr>
                <w:sz w:val="15"/>
                <w:szCs w:val="15"/>
                <w:color w:val="auto"/>
              </w:rPr>
            </w:pPr>
          </w:p>
        </w:tc>
        <w:tc>
          <w:tcPr>
            <w:tcW w:w="6760" w:type="dxa"/>
            <w:vAlign w:val="bottom"/>
            <w:gridSpan w:val="11"/>
            <w:vMerge w:val="continue"/>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180" w:type="dxa"/>
            <w:vAlign w:val="bottom"/>
            <w:gridSpan w:val="3"/>
          </w:tcPr>
          <w:p>
            <w:pPr>
              <w:spacing w:after="0"/>
              <w:rPr>
                <w:sz w:val="24"/>
                <w:szCs w:val="24"/>
                <w:color w:val="auto"/>
              </w:rPr>
            </w:pPr>
          </w:p>
        </w:tc>
        <w:tc>
          <w:tcPr>
            <w:tcW w:w="580" w:type="dxa"/>
            <w:vAlign w:val="bottom"/>
          </w:tcPr>
          <w:p>
            <w:pPr>
              <w:spacing w:after="0"/>
              <w:rPr>
                <w:sz w:val="24"/>
                <w:szCs w:val="24"/>
                <w:color w:val="auto"/>
              </w:rPr>
            </w:pPr>
          </w:p>
        </w:tc>
        <w:tc>
          <w:tcPr>
            <w:tcW w:w="91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Balance Sheets as of September 30, 2022 and December 31,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and Nine Months Ended September 30, 2022 and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Three and Nine Months Ended September 30, 2022 and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36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4"/>
              </w:rPr>
              <w:t>2021</w:t>
            </w:r>
          </w:p>
        </w:tc>
        <w:tc>
          <w:tcPr>
            <w:tcW w:w="60" w:type="dxa"/>
            <w:vAlign w:val="bottom"/>
            <w:tcBorders>
              <w:top w:val="single" w:sz="8" w:color="0000FF"/>
            </w:tcBorders>
          </w:tcPr>
          <w:p>
            <w:pPr>
              <w:spacing w:after="0"/>
              <w:rPr>
                <w:sz w:val="15"/>
                <w:szCs w:val="15"/>
                <w:color w:val="auto"/>
              </w:rPr>
            </w:pPr>
          </w:p>
        </w:tc>
        <w:tc>
          <w:tcPr>
            <w:tcW w:w="16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44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900" w:type="dxa"/>
            <w:vAlign w:val="bottom"/>
            <w:tcBorders>
              <w:top w:val="single" w:sz="8" w:color="0000FF"/>
            </w:tcBorders>
          </w:tcPr>
          <w:p>
            <w:pPr>
              <w:spacing w:after="0"/>
              <w:rPr>
                <w:sz w:val="15"/>
                <w:szCs w:val="15"/>
                <w:color w:val="auto"/>
              </w:rPr>
            </w:pPr>
          </w:p>
        </w:tc>
        <w:tc>
          <w:tcPr>
            <w:tcW w:w="104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1520" w:type="dxa"/>
            <w:vAlign w:val="bottom"/>
            <w:tcBorders>
              <w:top w:val="single" w:sz="8" w:color="0000FF"/>
            </w:tcBorders>
          </w:tcPr>
          <w:p>
            <w:pPr>
              <w:spacing w:after="0"/>
              <w:rPr>
                <w:sz w:val="15"/>
                <w:szCs w:val="15"/>
                <w:color w:val="auto"/>
              </w:rPr>
            </w:pPr>
          </w:p>
        </w:tc>
        <w:tc>
          <w:tcPr>
            <w:tcW w:w="560" w:type="dxa"/>
            <w:vAlign w:val="bottom"/>
            <w:tcBorders>
              <w:top w:val="single" w:sz="8" w:color="0000FF"/>
            </w:tcBorders>
          </w:tcPr>
          <w:p>
            <w:pPr>
              <w:spacing w:after="0"/>
              <w:rPr>
                <w:sz w:val="15"/>
                <w:szCs w:val="15"/>
                <w:color w:val="auto"/>
              </w:rPr>
            </w:pPr>
          </w:p>
        </w:tc>
        <w:tc>
          <w:tcPr>
            <w:tcW w:w="800" w:type="dxa"/>
            <w:vAlign w:val="bottom"/>
            <w:tcBorders>
              <w:top w:val="single" w:sz="8" w:color="0000FF"/>
            </w:tcBorders>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9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 for the Three and Nine Months Ended September 30, 2022</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6"/>
              </w:rPr>
              <w:t>and 2021</w:t>
            </w:r>
          </w:p>
        </w:tc>
        <w:tc>
          <w:tcPr>
            <w:tcW w:w="8000" w:type="dxa"/>
            <w:vAlign w:val="bottom"/>
            <w:tcBorders>
              <w:top w:val="single" w:sz="8" w:color="0000FF"/>
            </w:tcBorders>
            <w:gridSpan w:val="15"/>
          </w:tcPr>
          <w:p>
            <w:pPr>
              <w:spacing w:after="0"/>
              <w:rPr>
                <w:sz w:val="15"/>
                <w:szCs w:val="15"/>
                <w:color w:val="auto"/>
              </w:rPr>
            </w:pPr>
          </w:p>
        </w:tc>
        <w:tc>
          <w:tcPr>
            <w:tcW w:w="320" w:type="dxa"/>
            <w:vAlign w:val="bottom"/>
            <w:gridSpan w:val="2"/>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Nine Months Ended September 30, 2022 and 2021</w:t>
            </w:r>
          </w:p>
        </w:tc>
        <w:tc>
          <w:tcPr>
            <w:tcW w:w="1900" w:type="dxa"/>
            <w:vAlign w:val="bottom"/>
            <w:gridSpan w:val="4"/>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840" w:type="dxa"/>
            <w:vAlign w:val="bottom"/>
            <w:gridSpan w:val="9"/>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00" w:type="dxa"/>
            <w:vAlign w:val="bottom"/>
            <w:tcBorders>
              <w:bottom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0"/>
                <w:szCs w:val="20"/>
                <w:color w:val="auto"/>
              </w:rPr>
            </w:pPr>
          </w:p>
        </w:tc>
        <w:tc>
          <w:tcPr>
            <w:tcW w:w="2700" w:type="dxa"/>
            <w:vAlign w:val="bottom"/>
            <w:gridSpan w:val="5"/>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180" w:type="dxa"/>
            <w:vAlign w:val="bottom"/>
            <w:gridSpan w:val="3"/>
          </w:tcPr>
          <w:p>
            <w:pPr>
              <w:spacing w:after="0"/>
              <w:rPr>
                <w:sz w:val="20"/>
                <w:szCs w:val="20"/>
                <w:color w:val="auto"/>
              </w:rPr>
            </w:pPr>
          </w:p>
        </w:tc>
        <w:tc>
          <w:tcPr>
            <w:tcW w:w="580" w:type="dxa"/>
            <w:vAlign w:val="bottom"/>
          </w:tcPr>
          <w:p>
            <w:pPr>
              <w:spacing w:after="0"/>
              <w:rPr>
                <w:sz w:val="20"/>
                <w:szCs w:val="20"/>
                <w:color w:val="auto"/>
              </w:rPr>
            </w:pP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380" w:type="dxa"/>
            <w:vAlign w:val="bottom"/>
            <w:gridSpan w:val="14"/>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506"/>
        </w:trPr>
        <w:tc>
          <w:tcPr>
            <w:tcW w:w="20" w:type="dxa"/>
            <w:vAlign w:val="bottom"/>
          </w:tcPr>
          <w:p>
            <w:pPr>
              <w:spacing w:after="0"/>
              <w:rPr>
                <w:sz w:val="24"/>
                <w:szCs w:val="24"/>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w w:val="94"/>
              </w:rPr>
              <w:t>PART II.</w:t>
            </w:r>
          </w:p>
        </w:tc>
        <w:tc>
          <w:tcPr>
            <w:tcW w:w="580" w:type="dxa"/>
            <w:vAlign w:val="bottom"/>
          </w:tcPr>
          <w:p>
            <w:pPr>
              <w:spacing w:after="0"/>
              <w:rPr>
                <w:sz w:val="24"/>
                <w:szCs w:val="24"/>
                <w:color w:val="auto"/>
              </w:rPr>
            </w:pPr>
          </w:p>
        </w:tc>
        <w:tc>
          <w:tcPr>
            <w:tcW w:w="91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6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14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740" w:type="dxa"/>
            <w:vAlign w:val="bottom"/>
            <w:gridSpan w:val="23"/>
          </w:tcPr>
          <w:p>
            <w:pPr>
              <w:ind w:left="580"/>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3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800" w:type="dxa"/>
            <w:vAlign w:val="bottom"/>
            <w:gridSpan w:val="8"/>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820" w:type="dxa"/>
            <w:vAlign w:val="bottom"/>
            <w:gridSpan w:val="12"/>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580" w:type="dxa"/>
            <w:vAlign w:val="bottom"/>
          </w:tcPr>
          <w:p>
            <w:pPr>
              <w:spacing w:after="0"/>
              <w:rPr>
                <w:sz w:val="20"/>
                <w:szCs w:val="20"/>
                <w:color w:val="auto"/>
              </w:rPr>
            </w:pPr>
          </w:p>
        </w:tc>
        <w:tc>
          <w:tcPr>
            <w:tcW w:w="17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380" w:type="dxa"/>
            <w:vAlign w:val="bottom"/>
            <w:gridSpan w:val="14"/>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1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20" w:type="dxa"/>
            <w:vAlign w:val="bottom"/>
            <w:tcBorders>
              <w:top w:val="single" w:sz="8" w:color="0000FF"/>
            </w:tcBorders>
          </w:tcPr>
          <w:p>
            <w:pPr>
              <w:spacing w:after="0"/>
              <w:rPr>
                <w:sz w:val="20"/>
                <w:szCs w:val="20"/>
                <w:color w:val="auto"/>
              </w:rPr>
            </w:pPr>
          </w:p>
        </w:tc>
        <w:tc>
          <w:tcPr>
            <w:tcW w:w="1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20" w:type="dxa"/>
            <w:vAlign w:val="bottom"/>
            <w:gridSpan w:val="15"/>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0" w:type="dxa"/>
            <w:vAlign w:val="bottom"/>
            <w:gridSpan w:val="1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9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Borders>
              <w:top w:val="single" w:sz="8" w:color="0000FF"/>
            </w:tcBorders>
            <w:gridSpan w:val="4"/>
          </w:tcPr>
          <w:p>
            <w:pPr>
              <w:spacing w:after="0"/>
              <w:rPr>
                <w:sz w:val="24"/>
                <w:szCs w:val="24"/>
                <w:color w:val="auto"/>
              </w:rPr>
            </w:pPr>
          </w:p>
        </w:tc>
        <w:tc>
          <w:tcPr>
            <w:tcW w:w="5140" w:type="dxa"/>
            <w:vAlign w:val="bottom"/>
            <w:gridSpan w:val="12"/>
          </w:tcPr>
          <w:p>
            <w:pPr>
              <w:jc w:val="right"/>
              <w:ind w:right="154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on Form 10-Q are forward-looking statements,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anticipated sources and uses of cash; our business strategy and our ability to acquire new clients and successfully engage new and existing clients, our ability to effectively manage our growth; our ability to compete effectively with existing competitors and new market entrants; the impact of recently adopted accounting pronouncements; our ability to attract and retain qualified employees and key personnel; the plans and objectives of management for future operations and capital expenditures; general economic and market trends; the impacts of the COVID-19 pandemic, including variants, on our business, operations, and the markets and communities in which we and our clients, members and providers operate and the potential impact of evolving laws and regulations, including any laws and regulations restricting reproductive rights.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“seek,”, "assume", "future"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II, Item 1A. “Risk Factors” and Part I, Item 2. “Management’s Discussion and Analysis of Financial Condition and Results of Operations” of this Quarterly Report on Form 10-Q.</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RISKS AFFECTING OUR BUSINESS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in Part II, Item 1A. of this Quarterly Report on Form 10-Q and should be carefully considered, together with other information in this Quarterly Report on Form 10-Q and our other filings with the U.S. Securities and Exchange Commission, or the SEC, before making an investment decision regarding our common stock.</w:t>
      </w:r>
    </w:p>
    <w:p>
      <w:pPr>
        <w:spacing w:after="0" w:line="183" w:lineRule="exact"/>
        <w:rPr>
          <w:sz w:val="20"/>
          <w:szCs w:val="20"/>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including variants, has had and is expected to continue to have, and similar health epidemics or pandemics could in the future have, an adverse impact on our business, operations, and the markets and communities in which we and our clients, members and providers operate.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our publicly announced guidance or other expectations about our business and future operating results, which would cause our stock price to decline.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fertility market in which we participate is competitive, and if we do not continue to compete effectively, our results of operations could be harmed.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clients, our business, financial condition and results of operations would be adversely affected.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change in the level or the mix of the utilization of our solutions could have an adverse effect on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with our current platform of solutions, which makes it difficult to predict our future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sustain profitability in the future.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the health insurance markets in the United States, including passage and implementation of a law to create a single-payer or government-run health insurance program, could adversely harm our business and operating results.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benefits industry may be subject to negative publicity, which could adversely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those of our provider clinics, specialty pharmacies or other downstream vendors, lag, fail or suffer security breaches, we may incur a material disruption of our services or suffer a loss or inappropriate disclosure of confidential information, which could materially impact our business and the results of operations.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global economy or our industry could limit our ability to grow our business and negatively affect our results of operations.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and monitoring of, third parties, including channel partners, vendors and insurance carriers.</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efficient pharmacy distribution network or if there is a disruption to our network of specialty pharmacies or their supply chains, our business, financial condition and results of operations could suffer.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industry and must comply with a significant number of complex and evolving legal and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Quarterly Report on Form 10-Q to the terms “Progyny,” “the Company,” “we,” “our” and “us” refer to Progyny, Inc. and its wholly owned subsidiaries.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“Progyny®” and our other registered and common law trade names, trademarks and service marks are the property of Progyny, Inc. Other trade names, trademarks and service marks used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their rights thereto.</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announce material information to the public through filings with the SEC, our investor relations website at </w:t>
      </w:r>
      <w:r>
        <w:rPr>
          <w:rFonts w:ascii="Times New Roman" w:cs="Times New Roman" w:eastAsia="Times New Roman" w:hAnsi="Times New Roman"/>
          <w:sz w:val="18"/>
          <w:szCs w:val="18"/>
          <w:i w:val="1"/>
          <w:iCs w:val="1"/>
          <w:color w:val="auto"/>
        </w:rPr>
        <w:t>investors.progyny.com</w:t>
      </w:r>
      <w:r>
        <w:rPr>
          <w:rFonts w:ascii="Times New Roman" w:cs="Times New Roman" w:eastAsia="Times New Roman" w:hAnsi="Times New Roman"/>
          <w:sz w:val="18"/>
          <w:szCs w:val="18"/>
          <w:color w:val="auto"/>
        </w:rPr>
        <w:t>, press releases, public conference calls, and webcasts to achieve broad, non-exclusionary distribution of information. We therefore encourage investors and others interested in Progyny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81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91,413</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28,005</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$27,197 and $17,379 of allowances at September 30, 2022 and December 31,</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2021, respectively</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258,035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134,557</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401,866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258,539</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71,274</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0" w:type="dxa"/>
            <w:vAlign w:val="bottom"/>
          </w:tcPr>
          <w:p>
            <w:pPr>
              <w:spacing w:after="0"/>
              <w:rPr>
                <w:sz w:val="1"/>
                <w:szCs w:val="1"/>
                <w:color w:val="auto"/>
              </w:rPr>
            </w:pP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510,444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358,065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52,705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37,425</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156,868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98,824</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163,588</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106,243</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Commitments and Contingencies </w:t>
            </w:r>
            <w:r>
              <w:rPr>
                <w:rFonts w:ascii="Times New Roman" w:cs="Times New Roman" w:eastAsia="Times New Roman" w:hAnsi="Times New Roman"/>
                <w:sz w:val="18"/>
                <w:szCs w:val="18"/>
                <w:i w:val="1"/>
                <w:iCs w:val="1"/>
                <w:color w:val="auto"/>
              </w:rPr>
              <w:t>(Note 7)</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at September 30, 2022 and December 31,</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2021; 92,633,184 and 91,088,781 shares issued and outstanding at September 30, 2022 and December 31,</w:t>
            </w:r>
          </w:p>
        </w:tc>
        <w:tc>
          <w:tcPr>
            <w:tcW w:w="2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2021, respectively</w:t>
            </w:r>
          </w:p>
        </w:tc>
        <w:tc>
          <w:tcPr>
            <w:tcW w:w="2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255,339</w:t>
            </w:r>
          </w:p>
        </w:tc>
        <w:tc>
          <w:tcPr>
            <w:tcW w:w="0" w:type="dxa"/>
            <w:vAlign w:val="bottom"/>
          </w:tcPr>
          <w:p>
            <w:pPr>
              <w:spacing w:after="0"/>
              <w:rPr>
                <w:sz w:val="1"/>
                <w:szCs w:val="1"/>
                <w:color w:val="auto"/>
              </w:rPr>
            </w:pP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$0.0001 par value; 615,980 shares at September 30, 2022 and December 31, 2021</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earnings (deficit)</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346,856</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251,822</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510,444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358,065</w:t>
            </w:r>
          </w:p>
        </w:tc>
        <w:tc>
          <w:tcPr>
            <w:tcW w:w="0" w:type="dxa"/>
            <w:vAlign w:val="bottom"/>
          </w:tcPr>
          <w:p>
            <w:pPr>
              <w:spacing w:after="0"/>
              <w:rPr>
                <w:sz w:val="1"/>
                <w:szCs w:val="1"/>
                <w:color w:val="auto"/>
              </w:rPr>
            </w:pPr>
          </w:p>
        </w:tc>
      </w:tr>
      <w:tr>
        <w:trPr>
          <w:trHeight w:val="21"/>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6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2720" w:type="dxa"/>
            <w:vAlign w:val="bottom"/>
            <w:gridSpan w:val="4"/>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4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205,371</w:t>
            </w: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122,284</w:t>
            </w: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572,592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373,068</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159,376</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93,792</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449,761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286,048</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45,995</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28,492</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87,020</w:t>
            </w:r>
          </w:p>
        </w:tc>
        <w:tc>
          <w:tcPr>
            <w:tcW w:w="0" w:type="dxa"/>
            <w:vAlign w:val="bottom"/>
          </w:tcPr>
          <w:p>
            <w:pPr>
              <w:spacing w:after="0"/>
              <w:rPr>
                <w:sz w:val="1"/>
                <w:szCs w:val="1"/>
                <w:color w:val="auto"/>
              </w:rPr>
            </w:pPr>
          </w:p>
        </w:tc>
      </w:tr>
      <w:tr>
        <w:trPr>
          <w:trHeight w:val="25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32,677</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23,574</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70,119</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42,009</w:t>
            </w: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34,740</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19,427</w:t>
            </w:r>
          </w:p>
        </w:tc>
        <w:tc>
          <w:tcPr>
            <w:tcW w:w="2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102,796</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54,492</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32,528</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5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20,300</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32,833</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Benefit for income taxes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17,856</w:t>
            </w:r>
          </w:p>
        </w:tc>
        <w:tc>
          <w:tcPr>
            <w:tcW w:w="0" w:type="dxa"/>
            <w:vAlign w:val="bottom"/>
          </w:tcPr>
          <w:p>
            <w:pPr>
              <w:spacing w:after="0"/>
              <w:rPr>
                <w:sz w:val="1"/>
                <w:szCs w:val="1"/>
                <w:color w:val="auto"/>
              </w:rPr>
            </w:pPr>
          </w:p>
        </w:tc>
      </w:tr>
      <w:tr>
        <w:trPr>
          <w:trHeight w:val="281"/>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13,211</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16,796</w:t>
            </w:r>
          </w:p>
        </w:tc>
        <w:tc>
          <w:tcPr>
            <w:tcW w:w="2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26,950</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50,689</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4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57"/>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92,316,022</w:t>
            </w:r>
          </w:p>
        </w:tc>
        <w:tc>
          <w:tcPr>
            <w:tcW w:w="8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89,571,226</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91,901,778</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88,594,135</w:t>
            </w:r>
          </w:p>
        </w:tc>
        <w:tc>
          <w:tcPr>
            <w:tcW w:w="0" w:type="dxa"/>
            <w:vAlign w:val="bottom"/>
          </w:tcPr>
          <w:p>
            <w:pPr>
              <w:spacing w:after="0"/>
              <w:rPr>
                <w:sz w:val="1"/>
                <w:szCs w:val="1"/>
                <w:color w:val="auto"/>
              </w:rPr>
            </w:pPr>
          </w:p>
        </w:tc>
      </w:tr>
      <w:tr>
        <w:trPr>
          <w:trHeight w:val="250"/>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99,819,801</w:t>
            </w:r>
          </w:p>
        </w:tc>
        <w:tc>
          <w:tcPr>
            <w:tcW w:w="8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100,370,331</w:t>
            </w:r>
          </w:p>
        </w:tc>
        <w:tc>
          <w:tcPr>
            <w:tcW w:w="24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99,865,366</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100,326,221</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60" w:type="dxa"/>
            <w:vAlign w:val="bottom"/>
          </w:tcPr>
          <w:p>
            <w:pPr>
              <w:spacing w:after="0"/>
              <w:rPr>
                <w:sz w:val="14"/>
                <w:szCs w:val="14"/>
                <w:color w:val="auto"/>
              </w:rPr>
            </w:pPr>
          </w:p>
        </w:tc>
        <w:tc>
          <w:tcPr>
            <w:tcW w:w="248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5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gridSpan w:val="3"/>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50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50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50,689</w:t>
            </w: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7"/>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90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5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9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82"/>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13,398</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16,754</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27,248</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50,376</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PROGYNY, INC.</w:t>
      </w:r>
    </w:p>
    <w:p>
      <w:pPr>
        <w:spacing w:after="0" w:line="11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amounts)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900" w:type="dxa"/>
            <w:vAlign w:val="bottom"/>
            <w:gridSpan w:val="3"/>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540" w:type="dxa"/>
            <w:vAlign w:val="bottom"/>
          </w:tcPr>
          <w:p>
            <w:pPr>
              <w:spacing w:after="0"/>
              <w:rPr>
                <w:sz w:val="10"/>
                <w:szCs w:val="10"/>
                <w:color w:val="auto"/>
              </w:rPr>
            </w:pPr>
          </w:p>
        </w:tc>
        <w:tc>
          <w:tcPr>
            <w:tcW w:w="190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0"/>
                <w:szCs w:val="10"/>
                <w:color w:val="auto"/>
              </w:rPr>
            </w:pPr>
          </w:p>
        </w:tc>
        <w:tc>
          <w:tcPr>
            <w:tcW w:w="98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00" w:type="dxa"/>
            <w:vAlign w:val="bottom"/>
          </w:tcPr>
          <w:p>
            <w:pPr>
              <w:spacing w:after="0"/>
              <w:rPr>
                <w:sz w:val="10"/>
                <w:szCs w:val="10"/>
                <w:color w:val="auto"/>
              </w:rPr>
            </w:pPr>
          </w:p>
        </w:tc>
        <w:tc>
          <w:tcPr>
            <w:tcW w:w="1020" w:type="dxa"/>
            <w:vAlign w:val="bottom"/>
            <w:gridSpan w:val="2"/>
            <w:vMerge w:val="restart"/>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gridSpan w:val="3"/>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Pr>
          <w:p>
            <w:pPr>
              <w:spacing w:after="0"/>
              <w:rPr>
                <w:sz w:val="16"/>
                <w:szCs w:val="16"/>
                <w:color w:val="auto"/>
              </w:rPr>
            </w:pPr>
          </w:p>
        </w:tc>
        <w:tc>
          <w:tcPr>
            <w:tcW w:w="8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2022:</w:t>
            </w: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2022</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92,056,816</w:t>
            </w:r>
          </w:p>
        </w:tc>
        <w:tc>
          <w:tcPr>
            <w:tcW w:w="100" w:type="dxa"/>
            <w:vAlign w:val="bottom"/>
          </w:tcPr>
          <w:p>
            <w:pPr>
              <w:spacing w:after="0"/>
              <w:rPr>
                <w:sz w:val="16"/>
                <w:szCs w:val="16"/>
                <w:color w:val="auto"/>
              </w:rPr>
            </w:pPr>
          </w:p>
        </w:tc>
        <w:tc>
          <w:tcPr>
            <w:tcW w:w="7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300,691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11,315</w:t>
            </w:r>
          </w:p>
        </w:tc>
        <w:tc>
          <w:tcPr>
            <w:tcW w:w="8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311,024</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withheld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576,368</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0" w:type="dxa"/>
            <w:vAlign w:val="bottom"/>
          </w:tcPr>
          <w:p>
            <w:pPr>
              <w:spacing w:after="0"/>
              <w:rPr>
                <w:sz w:val="1"/>
                <w:szCs w:val="1"/>
                <w:color w:val="auto"/>
              </w:rPr>
            </w:pPr>
          </w:p>
        </w:tc>
      </w:tr>
      <w:tr>
        <w:trPr>
          <w:trHeight w:val="193"/>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23,418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23,418</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93"/>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13,211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13,211</w:t>
            </w:r>
          </w:p>
        </w:tc>
        <w:tc>
          <w:tcPr>
            <w:tcW w:w="0" w:type="dxa"/>
            <w:vAlign w:val="bottom"/>
          </w:tcPr>
          <w:p>
            <w:pPr>
              <w:spacing w:after="0"/>
              <w:rPr>
                <w:sz w:val="1"/>
                <w:szCs w:val="1"/>
                <w:color w:val="auto"/>
              </w:rPr>
            </w:pPr>
          </w:p>
        </w:tc>
      </w:tr>
      <w:tr>
        <w:trPr>
          <w:trHeight w:val="23"/>
        </w:trPr>
        <w:tc>
          <w:tcPr>
            <w:tcW w:w="3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92,633,184</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323,125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24,526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346,856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2021:</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2021</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89,360,084</w:t>
            </w:r>
          </w:p>
        </w:tc>
        <w:tc>
          <w:tcPr>
            <w:tcW w:w="100" w:type="dxa"/>
            <w:vAlign w:val="bottom"/>
          </w:tcPr>
          <w:p>
            <w:pPr>
              <w:spacing w:after="0"/>
              <w:rPr>
                <w:sz w:val="16"/>
                <w:szCs w:val="16"/>
                <w:color w:val="auto"/>
              </w:rPr>
            </w:pPr>
          </w:p>
        </w:tc>
        <w:tc>
          <w:tcPr>
            <w:tcW w:w="7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240,111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(34,300)</w:t>
            </w:r>
          </w:p>
        </w:tc>
        <w:tc>
          <w:tcPr>
            <w:tcW w:w="8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204,541</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withheld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648,726</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(4,361)</w:t>
            </w:r>
          </w:p>
        </w:tc>
        <w:tc>
          <w:tcPr>
            <w:tcW w:w="0" w:type="dxa"/>
            <w:vAlign w:val="bottom"/>
          </w:tcPr>
          <w:p>
            <w:pPr>
              <w:spacing w:after="0"/>
              <w:rPr>
                <w:sz w:val="1"/>
                <w:szCs w:val="1"/>
                <w:color w:val="auto"/>
              </w:rPr>
            </w:pPr>
          </w:p>
        </w:tc>
      </w:tr>
      <w:tr>
        <w:trPr>
          <w:trHeight w:val="193"/>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7,179</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93"/>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16,796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16,796</w:t>
            </w:r>
          </w:p>
        </w:tc>
        <w:tc>
          <w:tcPr>
            <w:tcW w:w="0" w:type="dxa"/>
            <w:vAlign w:val="bottom"/>
          </w:tcPr>
          <w:p>
            <w:pPr>
              <w:spacing w:after="0"/>
              <w:rPr>
                <w:sz w:val="1"/>
                <w:szCs w:val="1"/>
                <w:color w:val="auto"/>
              </w:rPr>
            </w:pPr>
          </w:p>
        </w:tc>
      </w:tr>
      <w:tr>
        <w:trPr>
          <w:trHeight w:val="23"/>
        </w:trPr>
        <w:tc>
          <w:tcPr>
            <w:tcW w:w="3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90,008,810</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242,929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(17,504)</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224,113</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2022:</w:t>
            </w: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91,088,781</w:t>
            </w:r>
          </w:p>
        </w:tc>
        <w:tc>
          <w:tcPr>
            <w:tcW w:w="100" w:type="dxa"/>
            <w:vAlign w:val="bottom"/>
          </w:tcPr>
          <w:p>
            <w:pPr>
              <w:spacing w:after="0"/>
              <w:rPr>
                <w:sz w:val="16"/>
                <w:szCs w:val="16"/>
                <w:color w:val="auto"/>
              </w:rPr>
            </w:pPr>
          </w:p>
        </w:tc>
        <w:tc>
          <w:tcPr>
            <w:tcW w:w="7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255,339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w:t>
            </w:r>
          </w:p>
        </w:tc>
        <w:tc>
          <w:tcPr>
            <w:tcW w:w="8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251,822</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withheld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1,544,403</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(4,157)</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(4,157)</w:t>
            </w:r>
          </w:p>
        </w:tc>
        <w:tc>
          <w:tcPr>
            <w:tcW w:w="0" w:type="dxa"/>
            <w:vAlign w:val="bottom"/>
          </w:tcPr>
          <w:p>
            <w:pPr>
              <w:spacing w:after="0"/>
              <w:rPr>
                <w:sz w:val="1"/>
                <w:szCs w:val="1"/>
                <w:color w:val="auto"/>
              </w:rPr>
            </w:pPr>
          </w:p>
        </w:tc>
      </w:tr>
      <w:tr>
        <w:trPr>
          <w:trHeight w:val="193"/>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71,943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71,943</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193"/>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26,950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26,950</w:t>
            </w:r>
          </w:p>
        </w:tc>
        <w:tc>
          <w:tcPr>
            <w:tcW w:w="0" w:type="dxa"/>
            <w:vAlign w:val="bottom"/>
          </w:tcPr>
          <w:p>
            <w:pPr>
              <w:spacing w:after="0"/>
              <w:rPr>
                <w:sz w:val="1"/>
                <w:szCs w:val="1"/>
                <w:color w:val="auto"/>
              </w:rPr>
            </w:pPr>
          </w:p>
        </w:tc>
      </w:tr>
      <w:tr>
        <w:trPr>
          <w:trHeight w:val="23"/>
        </w:trPr>
        <w:tc>
          <w:tcPr>
            <w:tcW w:w="35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3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92,633,184</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323,125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24,526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346,856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2021:</w:t>
            </w: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87,054,329</w:t>
            </w:r>
          </w:p>
        </w:tc>
        <w:tc>
          <w:tcPr>
            <w:tcW w:w="100" w:type="dxa"/>
            <w:vAlign w:val="bottom"/>
          </w:tcPr>
          <w:p>
            <w:pPr>
              <w:spacing w:after="0"/>
              <w:rPr>
                <w:sz w:val="16"/>
                <w:szCs w:val="16"/>
                <w:color w:val="auto"/>
              </w:rPr>
            </w:pPr>
          </w:p>
        </w:tc>
        <w:tc>
          <w:tcPr>
            <w:tcW w:w="780" w:type="dxa"/>
            <w:vAlign w:val="bottom"/>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236,139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(68,193)</w:t>
            </w:r>
          </w:p>
        </w:tc>
        <w:tc>
          <w:tcPr>
            <w:tcW w:w="80" w:type="dxa"/>
            <w:vAlign w:val="bottom"/>
          </w:tcPr>
          <w:p>
            <w:pPr>
              <w:spacing w:after="0"/>
              <w:rPr>
                <w:sz w:val="16"/>
                <w:szCs w:val="16"/>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166,947</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w:t>
            </w: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withheld</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2,129,490</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(11,952)</w:t>
            </w:r>
          </w:p>
        </w:tc>
        <w:tc>
          <w:tcPr>
            <w:tcW w:w="0" w:type="dxa"/>
            <w:vAlign w:val="bottom"/>
          </w:tcPr>
          <w:p>
            <w:pPr>
              <w:spacing w:after="0"/>
              <w:rPr>
                <w:sz w:val="1"/>
                <w:szCs w:val="1"/>
                <w:color w:val="auto"/>
              </w:rPr>
            </w:pPr>
          </w:p>
        </w:tc>
      </w:tr>
      <w:tr>
        <w:trPr>
          <w:trHeight w:val="193"/>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18,742</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Warrant exercise</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824,991</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93"/>
        </w:trPr>
        <w:tc>
          <w:tcPr>
            <w:tcW w:w="35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160" w:type="dxa"/>
            <w:vAlign w:val="bottom"/>
          </w:tcPr>
          <w:p>
            <w:pPr>
              <w:spacing w:after="0"/>
              <w:rPr>
                <w:sz w:val="16"/>
                <w:szCs w:val="16"/>
                <w:color w:val="auto"/>
              </w:rPr>
            </w:pP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50,689</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50,689</w:t>
            </w:r>
          </w:p>
        </w:tc>
        <w:tc>
          <w:tcPr>
            <w:tcW w:w="0" w:type="dxa"/>
            <w:vAlign w:val="bottom"/>
          </w:tcPr>
          <w:p>
            <w:pPr>
              <w:spacing w:after="0"/>
              <w:rPr>
                <w:sz w:val="1"/>
                <w:szCs w:val="1"/>
                <w:color w:val="auto"/>
              </w:rPr>
            </w:pPr>
          </w:p>
        </w:tc>
      </w:tr>
      <w:tr>
        <w:trPr>
          <w:trHeight w:val="210"/>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2021</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90,008,810</w:t>
            </w:r>
          </w:p>
        </w:tc>
        <w:tc>
          <w:tcPr>
            <w:tcW w:w="1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(1,009)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242,929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(17,504)</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224,113</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PROGYNY, INC.</w:t>
      </w:r>
    </w:p>
    <w:p>
      <w:pPr>
        <w:spacing w:after="0" w:line="11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p>
      <w:pPr>
        <w:spacing w:after="0" w:line="256"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340" w:type="dxa"/>
            <w:vAlign w:val="bottom"/>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26,950</w:t>
            </w:r>
          </w:p>
        </w:tc>
        <w:tc>
          <w:tcPr>
            <w:tcW w:w="100" w:type="dxa"/>
            <w:vAlign w:val="bottom"/>
          </w:tcPr>
          <w:p>
            <w:pPr>
              <w:spacing w:after="0"/>
              <w:rPr>
                <w:sz w:val="18"/>
                <w:szCs w:val="18"/>
                <w:color w:val="auto"/>
              </w:rPr>
            </w:pP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50,689</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Deferred tax benefit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(17,856)</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Non-cash interest expense</w:t>
            </w: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208"/>
        </w:trPr>
        <w:tc>
          <w:tcPr>
            <w:tcW w:w="8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985</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71,451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18,698</w:t>
            </w:r>
          </w:p>
        </w:tc>
      </w:tr>
      <w:tr>
        <w:trPr>
          <w:trHeight w:val="208"/>
        </w:trPr>
        <w:tc>
          <w:tcPr>
            <w:tcW w:w="81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Bad debt expense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7,221</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Accounts receivable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(133,163)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(66,738)</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414</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Accounts payable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42,707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11,674</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Accrued expenses and other current liabilities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16,330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13,089</w:t>
            </w:r>
          </w:p>
        </w:tc>
      </w:tr>
      <w:tr>
        <w:trPr>
          <w:trHeight w:val="208"/>
        </w:trPr>
        <w:tc>
          <w:tcPr>
            <w:tcW w:w="81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Other noncurrent assets and liabilities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(992)</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28,878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17,222</w:t>
            </w: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of property and equipment, net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(1,517)</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 of marketable securities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(125,156)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(90,481)</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Sale of marketable securities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84,983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107,076</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Net cash (used in) provided by investing activities</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(42,693)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15,078</w:t>
            </w: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exercise of stock options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1,753</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Payment of employee taxes related to equity awards</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(7,957)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(13,106)</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contributions to employee stock purchase plan</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972</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(10,381)</w:t>
            </w:r>
          </w:p>
        </w:tc>
      </w:tr>
      <w:tr>
        <w:trPr>
          <w:trHeight w:val="201"/>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(decrease) increase in cash and cash equivalents</w:t>
            </w: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(18,893)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21,919</w:t>
            </w: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91,413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70,305</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34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72,520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92,224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CASH FLOW INFORMATION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paid for income taxes, net of refunds received</w:t>
            </w:r>
          </w:p>
        </w:tc>
        <w:tc>
          <w:tcPr>
            <w:tcW w:w="340" w:type="dxa"/>
            <w:vAlign w:val="bottom"/>
            <w:tcBorders>
              <w:bottom w:val="single" w:sz="8" w:color="CCEEFF"/>
            </w:tcBorders>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
        </w:trPr>
        <w:tc>
          <w:tcPr>
            <w:tcW w:w="8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Additions of property and equipment, net included in accounts payable and accrued expenses</w:t>
            </w:r>
          </w:p>
        </w:tc>
        <w:tc>
          <w:tcPr>
            <w:tcW w:w="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w:t>
            </w:r>
          </w:p>
        </w:tc>
      </w:tr>
      <w:tr>
        <w:trPr>
          <w:trHeight w:val="22"/>
        </w:trPr>
        <w:tc>
          <w:tcPr>
            <w:tcW w:w="8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Progyny, Inc. (together with its subsidiaries referred to as “Progyny” or the “Company”) was incorporated in the state of Delaware on April 3, 2008, and maintains its corporate headquarters in New York, NY.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Progyny is a provider of a fertility benefits solution and pharmacy benefits solution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account management teams, and end to end comprehensive concierge member support provided by Progyny’s in-house staff of Patient Care Advocates (“PCAs”) (collectively, the “care management services”).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enhanced its fertility benefits solution with the launch of Progyny Rx, its pharmacy benefits solution, effective January 1, 2018. Progyny Rx provides the Company's members with access to the medications needed during their fertility treatment. As part of this solution, the Company provides care management services, which include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interim unaudited consolidated financial statements include the accounts of Progyny, Inc. and its wholly owned subsidiaries. The interim unaudited consolidated financial statements have been prepared in accordance with accounting principles generally accepted in the United States of America (“U.S. GAAP”) and pursuant to the rules and regulations of the Securities and Exchange Commission (“SEC”) applicable to interim financial reporting. These interim consolidated financial statements have been prepared on a basis consistent with the annual consolidated financial statements and, in the opinion of management, include all adjustments necessary to fairly state the Company's financial position as of September 30, 2022, the results of the Company's operations for the three and nine months ended September 30, 2022 and 2021 and the results of the Company's cash flows for the nine months ended September 30, 2022 and 2021. Therefore, these unaudited consolidated financial statements should be read in conjunction with the audited consolidated financial statements and related footnotes included in the Company’s Annual Report on Form 10-K for the fiscal year ended December 31, 2021, filed with the SEC on March 1, 2022 (the “Annual Report on Form 10-K”).</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results for the three and nine months ended September 30, 2022 are not necessarily indicative of the operating results expected for the year ending December 31, 2022 or any other future period. Additionally, there are many uncertainties regarding the coronavirus (“COVID-19”) pandemic, including variants, and the Company is closely monitoring the impact of the pandemic on all aspects of its business, including how it has impacted and may continue to impact its customers and members, its provider network, specialty pharmacy partners, employees, suppliers, vendors, and other business partners. The full extent to which the COVID-19 pandemic will directly or indirectly impact the Company’s business, future results of operations and financial condition will depend on future developments that are highly uncertain and cannot be accurately predicted, including new information that may emerge concerning COVID-19 and variants, the actions taken to contain it or treat its impact, vaccine roll-out efforts and impact, including vaccine hesitancy, break-through cases and the economic impact on local, regional and national markets. The overall disruption of the healthcare and fertility markets and the other risks and uncertainties associated with the pandemic could have a material adverse effect on the Company’s business, financial condition, results of operations and growth prospects. The Company will continue to assess the evolving impact of the COVID-19 pandemic and will make adjustments to its operations as necessary.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accrued receivables related to revenue recognition, accrued claims payable, allowance for doubtful accounts, stock-based compensation expense, lease liabilities, and accounting for income taxes.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as compared to the significant accounting policies described in Note 2 of the Company’s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applies the following five-step model to recognize revenue from contracts with clients: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client;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a performance obligation is satisfied.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which are all variable: a per employee per month (“PEPM”) administration fee (in most, but not all contracts) and a fixed rate per Smart Cycle. The PEPM</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benefits services provided. As a result, the fixed rate per Smart Cycle is included in the transaction price and recognized in the period in which the Smart Cycle is provided to the member.</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estimates of service level agreement refunds, have not historically resulted in significant adjustments to the transaction price.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benefits services provided. As a result, the fixed fee per fertility drug is included in the transaction price and recognized in the period in which the Company is entitled to consideration from a client, which is when a prescription is filled and delivered to the members.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material contract asset or contract liability balances as of September 30, 2022 and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Receivables and Accrued Claims Payable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Accrued receivables are estimated based on historical experience for those fertility benefits services provided but for which a claim has not been received from the provider clinic at the end of the reporting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expected gross margin on fertility benefits services. Estimates are adjusted to actual at the time of billing. Adjustments to original estimates have not been material.</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accrued receivables were $56.5 million and $30.2 million, respectively. Accrued receivables are included within accounts receivable in the consolidated balance sheet.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Accrued claims payable of $37.3 million and $20.0 million as of September 30, 2022 and December 31, 2021, respectively, are included within accrued expenses and other current liabilities in the consolidated balance sheet. Claims payable are generally paid within 30 days based on contractual terms.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2022 and December 31, 2021, unbilled receivables, which represent claims received and approved but unbilled at the end of the reporting period, were $65.7 million and $23.7 million, respectively. Unbilled receivables are typically billed to clients within 30 days of the approved claim based on the contractual billing schedule agreed upon with the client. Unbilled receivables are included in accounts receivable in the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accounts receivable balance primarily includes amounts due from clients and members. The Company estimates the allowance for doubtful accounts based on the lifetime expected credit losses for the client and member receivable pools, respectively. Under this current expected credit losses model, the Company determines the allowance for doubtful accounts based on factors such as the age of the receivable balance, historical experience, current economic conditions, and reasonable and supportable forecasts of future economic conditions. An allowance for credit losses is applied at the time the asset is recognized. Expected credit losses are recorded as general and administrative expenses on the consolidated statements of operations. The following table provides a summary of the activity in this allowance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Charged</w:t>
            </w: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2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 Costs</w:t>
            </w:r>
          </w:p>
        </w:tc>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w w:val="99"/>
              </w:rPr>
              <w:t>at End</w:t>
            </w:r>
          </w:p>
        </w:tc>
      </w:tr>
      <w:tr>
        <w:trPr>
          <w:trHeight w:val="20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of Period</w:t>
            </w: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27,197</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Fertility benefits services costs include: (1) fees paid to provider clinics within the Company’s network, labs and anesthesiologists; (2) costs incurred (including salaries, bonuses, benefits, stock-based compensation expense, other related costs, and an allocation of the Company's general overhead, depreciation and amortization) for those employees associated with care management service functions: Provider Account Management, PCA, Provider Relations and Claims Processing teams; and (3) related information technology support costs. Contracts with provider clinics are typically for a term of one to two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specialty pharmacy partners; (2) costs incurred (including salaries, bonuses, benefits, stock-based compensation expense, other related costs, and an allocation of the Company's general overhead, depreciation and amortization) for those employees associated with care management service functions: PCA, Provider Relations and Claims Processing teams; and (3) related information technology support costs. Contracts with the specialty pharmacies are typically for a term of one year.</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a pharmacy program partners (such as through a specialty pharmacy). These rebates are recognized as a reduction of cost of services when prescriptions are dispensed and are generally estimated and billed to manufacturers within 20 days after the end of each month. The effect of adjustments resulting from the reconciliation of rebates recognized to the amounts billed and collected has not been material to the Company’s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2019-12, </w:t>
      </w:r>
      <w:r>
        <w:rPr>
          <w:rFonts w:ascii="Times New Roman" w:cs="Times New Roman" w:eastAsia="Times New Roman" w:hAnsi="Times New Roman"/>
          <w:sz w:val="18"/>
          <w:szCs w:val="18"/>
          <w:i w:val="1"/>
          <w:iCs w:val="1"/>
          <w:color w:val="auto"/>
        </w:rPr>
        <w:t>Income Taxes (Topic 740): Simplifying the Accounting for Income Taxes</w:t>
      </w:r>
      <w:r>
        <w:rPr>
          <w:rFonts w:ascii="Times New Roman" w:cs="Times New Roman" w:eastAsia="Times New Roman" w:hAnsi="Times New Roman"/>
          <w:sz w:val="18"/>
          <w:szCs w:val="18"/>
          <w:color w:val="auto"/>
        </w:rPr>
        <w:t>. The standard is intended to simplify the accounting for income taxes by removing certain exceptions to the general principles in Topic 740, as well as improve consistent application of and simplify U.S. GAAP for other areas of Topic 740 by clarifying and amending existing guidance. The Company adopted this standard as of January 1, 2021. The adoption of this standard did not have a material impact on the Company’s consolidated financial statements.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2021, the FASB issued ASU No. 2021-04 (“ASU 2021-04”) “</w:t>
      </w:r>
      <w:r>
        <w:rPr>
          <w:rFonts w:ascii="Times New Roman" w:cs="Times New Roman" w:eastAsia="Times New Roman" w:hAnsi="Times New Roman"/>
          <w:sz w:val="18"/>
          <w:szCs w:val="18"/>
          <w:i w:val="1"/>
          <w:iCs w:val="1"/>
          <w:color w:val="auto"/>
        </w:rPr>
        <w:t>Earnings Per Share (Topic 260), Debt-Modifications and Extinguishments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470-50), Compensation- Stock Compensation (Topic 718), and Derivatives and Hedging-Contracts in Entity’s Own Equity (Subtopic 815- 40)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provides guidance on modifications or exchanges of a freestanding equity-classified written call options that are not within the scope of another Topic, such as warrants. The Company adopted this standard as of January 1, 2022 on a prospective basis to modifications or exchanges occurring on or after this date. The adoption of this standard did not have a material impact on the Company’s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revenue by service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4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48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4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48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7"/>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Fertility benefits services 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129,301</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85,313</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367,009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266,433</w:t>
            </w:r>
          </w:p>
        </w:tc>
      </w:tr>
      <w:tr>
        <w:trPr>
          <w:trHeight w:val="250"/>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Pharmacy benefits services revenue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76,070</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36,971</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205,583</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106,635</w:t>
            </w:r>
          </w:p>
        </w:tc>
      </w:tr>
      <w:tr>
        <w:trPr>
          <w:trHeight w:val="282"/>
        </w:trPr>
        <w:tc>
          <w:tcPr>
            <w:tcW w:w="4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205,371</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122,284</w:t>
            </w:r>
          </w:p>
        </w:tc>
        <w:tc>
          <w:tcPr>
            <w:tcW w:w="2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572,592</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373,068</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financial instruments is determined based on assumptions that market participants would use when pricing an asset or liability at the balance sheet date. Certain assets are categorized based on the following fair value hierarchy of market participant assumptions: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assets or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Level 3 — Prices or valuation techniques that require inputs that are both significant to the fair value of the asset or liability and supported by little or no market activity.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uses observable market data when available, and minimizes the use of unobservable inputs when determining fair value.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$74.4 million and $93.7 million, respectively, in financial assets held in money market accounts and $68.5 million and $28.0 million, respectively, held in marketable securities, including U.S. treasury bills. All were classified as Level 1 in the fair value hierarchy. The Company measured these assets at fair value. The Company classified these assets as Level 1 because the values of these assets are determined using unadjusted quoted prices in active markets for identical assets.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Company did not have any assets or liabilities classified as Level 2 or Level 3 in the fair value hierarchy.</w:t>
      </w:r>
    </w:p>
    <w:p>
      <w:pPr>
        <w:spacing w:after="0" w:line="158"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2019, the Company’s lease agreement for its corporate headquarters commenced and is scheduled to expire in May 2029. Pursuant to the lease, the Company is obligated to pay the base rent of approximately $1.3 million per annum through the end of the fifth lease year and approximately $1.4 million per annum thereafter through the expiration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lease expense on a straight-line basis over the lease term. Lease expense for each of the three months ended September 30, 2022 and 2021 was $0.3 million. For each of the nine months ended September 30, 2022 and 2021, lease expense was $0.9 million.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Cash outflows from operating activities attributable to the operating lease for each of the nine months ended September 30, 2022 and 2021 was $1.0 million.</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related to the Company's leases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462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6"/>
                <w:szCs w:val="16"/>
                <w:color w:val="auto"/>
              </w:rPr>
            </w:pPr>
          </w:p>
        </w:tc>
        <w:tc>
          <w:tcPr>
            <w:tcW w:w="136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0" w:type="dxa"/>
            <w:vAlign w:val="bottom"/>
          </w:tcPr>
          <w:p>
            <w:pPr>
              <w:spacing w:after="0"/>
              <w:rPr>
                <w:sz w:val="1"/>
                <w:szCs w:val="1"/>
                <w:color w:val="auto"/>
              </w:rPr>
            </w:pPr>
          </w:p>
        </w:tc>
      </w:tr>
      <w:tr>
        <w:trPr>
          <w:trHeight w:val="25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6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4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operating lease</w:t>
            </w:r>
          </w:p>
        </w:tc>
        <w:tc>
          <w:tcPr>
            <w:tcW w:w="120" w:type="dxa"/>
            <w:vAlign w:val="bottom"/>
          </w:tcPr>
          <w:p>
            <w:pPr>
              <w:spacing w:after="0"/>
              <w:rPr>
                <w:sz w:val="21"/>
                <w:szCs w:val="21"/>
                <w:color w:val="auto"/>
              </w:rPr>
            </w:pPr>
          </w:p>
        </w:tc>
        <w:tc>
          <w:tcPr>
            <w:tcW w:w="14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6.7 years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years</w:t>
            </w:r>
          </w:p>
        </w:tc>
        <w:tc>
          <w:tcPr>
            <w:tcW w:w="0" w:type="dxa"/>
            <w:vAlign w:val="bottom"/>
          </w:tcPr>
          <w:p>
            <w:pPr>
              <w:spacing w:after="0"/>
              <w:rPr>
                <w:sz w:val="1"/>
                <w:szCs w:val="1"/>
                <w:color w:val="auto"/>
              </w:rPr>
            </w:pPr>
          </w:p>
        </w:tc>
      </w:tr>
      <w:tr>
        <w:trPr>
          <w:trHeight w:val="26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operating lease</w:t>
            </w:r>
          </w:p>
        </w:tc>
        <w:tc>
          <w:tcPr>
            <w:tcW w:w="4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Future minimum facility lease payments related to the Company's operating lease liabilities as of September 30, 2022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3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Operating Lease Payments as of September 30,</w:t>
            </w:r>
          </w:p>
        </w:tc>
      </w:tr>
      <w:tr>
        <w:trPr>
          <w:trHeight w:val="190"/>
        </w:trPr>
        <w:tc>
          <w:tcPr>
            <w:tcW w:w="8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740" w:type="dxa"/>
            <w:vAlign w:val="bottom"/>
          </w:tcPr>
          <w:p>
            <w:pPr>
              <w:spacing w:after="0"/>
              <w:rPr>
                <w:sz w:val="16"/>
                <w:szCs w:val="16"/>
                <w:color w:val="auto"/>
              </w:rPr>
            </w:pPr>
          </w:p>
        </w:tc>
        <w:tc>
          <w:tcPr>
            <w:tcW w:w="2320" w:type="dxa"/>
            <w:vAlign w:val="bottom"/>
          </w:tcPr>
          <w:p>
            <w:pPr>
              <w:jc w:val="right"/>
              <w:ind w:right="12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81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7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74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40" w:type="dxa"/>
            <w:vAlign w:val="bottom"/>
            <w:shd w:val="clear" w:color="auto" w:fill="CCEEFF"/>
          </w:tcPr>
          <w:p>
            <w:pPr>
              <w:spacing w:after="0"/>
              <w:rPr>
                <w:sz w:val="22"/>
                <w:szCs w:val="22"/>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4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shd w:val="clear" w:color="auto" w:fill="CCEEFF"/>
          </w:tcPr>
          <w:p>
            <w:pPr>
              <w:spacing w:after="0"/>
              <w:rPr>
                <w:sz w:val="22"/>
                <w:szCs w:val="22"/>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5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3,400</w:t>
            </w: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7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9,147</w:t>
            </w:r>
          </w:p>
        </w:tc>
      </w:tr>
      <w:tr>
        <w:trPr>
          <w:trHeight w:val="25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7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7,951</w:t>
            </w:r>
          </w:p>
        </w:tc>
      </w:tr>
      <w:tr>
        <w:trPr>
          <w:trHeight w:val="25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7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74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2022 Lease Agreement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February 2022, the Company entered into a lease agreement for additional space in its corporate offices in New York, New York, consisting of a 24,099 square foot office and a 21,262 square foot office, and also for continued occupancy of the 25,212 square foot office after the expiration of the current sublease. For the 24,099 square foot office, the lease commencement date, which is when the premises will become available to the Company for use, is currently expected to be in the first quarter of 2023. The Company is obligated to pay the base rent of approximately $1.4 million per year starting in the first quarter of 2024 for five years and approximately $1.5 million per year thereafter through the first quarter of 2035, the expiration date. For the 21,262 square foot office, the lease commencement date, which is when the premises will become available to the Company for use, is currently expected to be in the fourth quarter of 2024. The Company is obligated to pay the base rent of approximately $1.3 million starting in the first quarter of 2025 for five years and approximately $1.4 million per year thereafter through the first quarter of 2035, the expiration date. For the current 25,212 square foot office, the Company is obligated to pay the base rent of approximately $1.6 million per year beginning in June 2029, which is the lease commencement, through the first quarter of 2035, the expiration date.</w:t>
      </w:r>
    </w:p>
    <w:p>
      <w:pPr>
        <w:spacing w:after="0" w:line="190"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June 2018, the Company entered into a loan agreement with Silicon Valley Bank for a revolving line of credit up to $15.0 million based upon an advance rate of 80% on “eligible” accounts receivable to fund its working capital and other general corporate needs, which was amended in April 2019, January 2020, June 2020, and February 2021 (as amended, the “SVB Line of Credit”). Eligible accounts receivable was defined in the loan agreement as accounts billed with aging 90 days or less and excluded accounts receivable due for member co-payments, co-insurance, and deductibles. The SVB Line of Credit matured in June 2021.</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was required to pay a revolving line commitment fee of $225,000 in three equal annual installments of $75,000 starting on the one-year anniversary of the revolving line. The Company made the first installment payment of $75,000 in June 2019 and accrued this cost monthly. When the Company held unrestricted cash balances greater than $5.0 million, interest accrued at a floating rate per annum equal to the greater of prime rate or 4.75%. If the unrestricted cash balance was less than $5.0 million, interest accrued at a floating rate per annum equal to the greater of prime rate plus 0.5% or 4.75%, with interest payable monthly. Interest was paid based upon the borrowed funds.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SVB Line of Credit contained customary affirmative covenants, financial covenants, as well as negative covenants that, among other things, restricted the Company’s ability to incur additional indebtedness (including guarantees of certain obligations); create liens; engage in mergers, consolidations, liquidations and dissolutions; sell assets; maintain collateral; pay dividends or make other payments in respect of capital stock; make acquisitions; make investments, loans and advances; enter into transactions with affiliates; make payments with respect to or modify subordinated debt instruments; and enter into agreements with negative pledge clauses or clauses restricting subsidiary distributions. The financial covenant required the Company to achieve a specified minimum quarterly revenue as defined by the SVB Line of Credit.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nine months ended September 30, 2021, the Company recorded interest expense on the SVB Line of Credit of $38,000.</w:t>
      </w:r>
    </w:p>
    <w:p>
      <w:pPr>
        <w:spacing w:after="0" w:line="22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accruals for loss contingencies when it is probable that a liability will be incurred and the amount of the loss can be reasonably estimated. If the Company determines that a loss is reasonably possible, the Company discloses the matter, and the amount or range of the possible loss, if estimable, in the notes to the consolidated financial statements.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claims and litigation arising in the normal course of business. The Company is not aware of any legal proceedings or claims, that the Company believes will have, individually or in the aggregate, a material adverse effect on the Company’s financial position or results of operations.</w:t>
      </w:r>
    </w:p>
    <w:p>
      <w:pPr>
        <w:spacing w:after="0" w:line="172"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stock-based compensation expense, which was included in the statements of operations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50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4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49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49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49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18,603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15,026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11,845</w:t>
            </w: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4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37,822</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w:t>
            </w:r>
          </w:p>
        </w:tc>
      </w:tr>
      <w:tr>
        <w:trPr>
          <w:trHeight w:val="243"/>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23,297</w:t>
            </w:r>
          </w:p>
        </w:tc>
        <w:tc>
          <w:tcPr>
            <w:tcW w:w="100" w:type="dxa"/>
            <w:vAlign w:val="bottom"/>
          </w:tcPr>
          <w:p>
            <w:pPr>
              <w:spacing w:after="0"/>
              <w:rPr>
                <w:sz w:val="21"/>
                <w:szCs w:val="21"/>
                <w:color w:val="auto"/>
              </w:rPr>
            </w:pP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240" w:type="dxa"/>
            <w:vAlign w:val="bottom"/>
          </w:tcPr>
          <w:p>
            <w:pPr>
              <w:spacing w:after="0"/>
              <w:rPr>
                <w:sz w:val="21"/>
                <w:szCs w:val="21"/>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71,451</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18,698</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2022 Executive Equity Grants</w:t>
      </w:r>
    </w:p>
    <w:p>
      <w:pPr>
        <w:spacing w:after="0" w:line="254"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On November 4, 2021, the Company announced that David Schlanger would transition to the role of Executive Chairman, effective as of January 1, 2022, and would continue to serve as a director. In connection with this transition, the Company entered into an amended and restated employment agreement with Mr. Schlanger, effective as of January 1, 2022. Pursuant to this agreement, Mr. Schlanger received an equity award for fiscal year 2022 comprised of 333,000 non-qualified stock options and 84,000 restricted stock units, in each case vesting as to 25% on the first anniversary of the vesting commencement date with the remaining 75% of such award vesting in equal quarterly installments thereafter over the next three years, as well as a performance stock unit award with respect to a maximum number of 83,000 shares that are eligible to be earned based on the achievement of specified revenue targets.</w:t>
      </w:r>
    </w:p>
    <w:p>
      <w:pPr>
        <w:spacing w:after="0" w:line="208"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Peter Anevski, who served as President and Chief Operating Officer, succeeded Mr. Schlanger as Chief Executive Officer, effective as of January 1, 2022. In connection with this transition, the Company entered into an amended and restated employment agreement with Mr. Anevski, effective as of January 1, 2022. Pursuant to this agreement, Mr. Anevski received an equity award for fiscal year 2022 comprised of 1,000,000 non-qualified stock options and 250,000</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restricted stock units, in each case vesting as to 25% on the first anniversary of the vesting commencement date with the remaining 75% of such award vesting in equal quarterly installments thereafter over the next three years, as well as a performance stock unit award with respect to a maximum number of 250,000 shares that are eligible to be earned based on the achievement of specified revenue targets.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November 2022 Retention Grants</w:t>
      </w:r>
    </w:p>
    <w:p>
      <w:pPr>
        <w:spacing w:after="0" w:line="254"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On October 18, 2022, the Company's Board of Directors granted 3,706,800 non-qualified stock options and 207,400 restricted stock unit awards under the Company's 2019 Equity Incentive Plan to certain key executives and employees of the Company. In each case, the awards vest 25% on the first anniversary of the vesting commencement date with the remaining 75% of such award vesting in equal quarterly installments thereafter over the next three years.</w:t>
      </w:r>
    </w:p>
    <w:p>
      <w:pPr>
        <w:spacing w:after="0" w:line="200" w:lineRule="exact"/>
        <w:rPr>
          <w:sz w:val="20"/>
          <w:szCs w:val="20"/>
          <w:color w:val="auto"/>
        </w:rPr>
      </w:pPr>
    </w:p>
    <w:p>
      <w:pPr>
        <w:spacing w:after="0" w:line="216"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2022 and 2021, the Company calculated its year-to-date provision for income taxes by applying the estimated annual effective tax rate to the year-to-date profit from operations before income taxes and adjusts the provision for income taxes for discrete tax items recorded in the period. The Company updates its estimate of its annual effective tax rate at the end of each quarterly period. The estimate takes into account annual forecasted income before income taxes and any significant permanent tax items. During the nine months ended September 30, 2022 and 2021, the Company recorded a benefit for taxes of $6.7 million and $17.9 million, respectively, primarily due to equity compensation activity that occurred during the period.</w:t>
      </w:r>
    </w:p>
    <w:p>
      <w:pPr>
        <w:spacing w:after="0" w:line="183"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Basic net income per share is calculated by dividing the net income by the weighted-average number of shares of common stock outstanding for the period.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Diluted net income per share is computed by dividing the diluted net income by the weighted-average number of common shares outstanding for the period, including potential dilutive common shares assuming dilutive effect of outstanding common stock options, restricted stock units, common stock warrants, and shares issuable under the employee stock purchase program. In periods when the Company has incurred a net loss, diluted net loss per share is the same as basic net loss per share because dilutive common shares are not assumed to have been issued if their effect is anti-dilutive. A reconciliation of net income and the number of shares in the calculation of basic and diluted net income per share is as follows (in thousands, except share and per share amounts):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gridSpan w:val="3"/>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Basic net income per common share:</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13,211</w:t>
            </w:r>
          </w:p>
        </w:tc>
        <w:tc>
          <w:tcPr>
            <w:tcW w:w="8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16,796</w:t>
            </w:r>
          </w:p>
        </w:tc>
        <w:tc>
          <w:tcPr>
            <w:tcW w:w="2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26,950</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50,689</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Weighted-average shares used in computing basic net income per 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92,316,022</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89,571,226</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91,901,778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88,594,135</w:t>
            </w:r>
          </w:p>
        </w:tc>
        <w:tc>
          <w:tcPr>
            <w:tcW w:w="0" w:type="dxa"/>
            <w:vAlign w:val="bottom"/>
          </w:tcPr>
          <w:p>
            <w:pPr>
              <w:spacing w:after="0"/>
              <w:rPr>
                <w:sz w:val="1"/>
                <w:szCs w:val="1"/>
                <w:color w:val="auto"/>
              </w:rPr>
            </w:pPr>
          </w:p>
        </w:tc>
      </w:tr>
      <w:tr>
        <w:trPr>
          <w:trHeight w:val="233"/>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0.57</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Diluted net income per common share:</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13,211</w:t>
            </w:r>
          </w:p>
        </w:tc>
        <w:tc>
          <w:tcPr>
            <w:tcW w:w="8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16,796</w:t>
            </w:r>
          </w:p>
        </w:tc>
        <w:tc>
          <w:tcPr>
            <w:tcW w:w="24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26,950</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50,689</w:t>
            </w: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Weighted-average shares used in computing basic net income per share</w:t>
            </w: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92,316,022</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89,571,226</w:t>
            </w:r>
          </w:p>
        </w:tc>
        <w:tc>
          <w:tcPr>
            <w:tcW w:w="2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91,901,778</w:t>
            </w:r>
          </w:p>
        </w:tc>
        <w:tc>
          <w:tcPr>
            <w:tcW w:w="1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88,594,135</w:t>
            </w:r>
          </w:p>
        </w:tc>
        <w:tc>
          <w:tcPr>
            <w:tcW w:w="0" w:type="dxa"/>
            <w:vAlign w:val="bottom"/>
          </w:tcPr>
          <w:p>
            <w:pPr>
              <w:spacing w:after="0"/>
              <w:rPr>
                <w:sz w:val="1"/>
                <w:szCs w:val="1"/>
                <w:color w:val="auto"/>
              </w:rPr>
            </w:pPr>
          </w:p>
        </w:tc>
      </w:tr>
      <w:tr>
        <w:trPr>
          <w:trHeight w:val="210"/>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7,503,779</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10,799,105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7,963,588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11,732,086</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860" w:type="dxa"/>
            <w:vAlign w:val="bottom"/>
            <w:shd w:val="clear" w:color="auto" w:fill="CCEEFF"/>
          </w:tcPr>
          <w:p>
            <w:pPr>
              <w:ind w:left="180"/>
              <w:spacing w:after="0" w:line="155" w:lineRule="exact"/>
              <w:rPr>
                <w:sz w:val="20"/>
                <w:szCs w:val="20"/>
                <w:color w:val="auto"/>
              </w:rPr>
            </w:pPr>
            <w:r>
              <w:rPr>
                <w:rFonts w:ascii="Times New Roman" w:cs="Times New Roman" w:eastAsia="Times New Roman" w:hAnsi="Times New Roman"/>
                <w:sz w:val="16"/>
                <w:szCs w:val="16"/>
                <w:color w:val="auto"/>
              </w:rPr>
              <w:t>Weighted-average shares used in computing diluted net income per</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99,819,801</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100,370,331</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99,865,366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100,326,221</w:t>
            </w:r>
          </w:p>
        </w:tc>
        <w:tc>
          <w:tcPr>
            <w:tcW w:w="0" w:type="dxa"/>
            <w:vAlign w:val="bottom"/>
          </w:tcPr>
          <w:p>
            <w:pPr>
              <w:spacing w:after="0"/>
              <w:rPr>
                <w:sz w:val="1"/>
                <w:szCs w:val="1"/>
                <w:color w:val="auto"/>
              </w:rPr>
            </w:pPr>
          </w:p>
        </w:tc>
      </w:tr>
      <w:tr>
        <w:trPr>
          <w:trHeight w:val="233"/>
        </w:trPr>
        <w:tc>
          <w:tcPr>
            <w:tcW w:w="4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24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1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shares of potentially dilutive securities were excluded from the computation of diluted income per share for the period presented because including them would have been antidilutive: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33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0"/>
        </w:trPr>
        <w:tc>
          <w:tcPr>
            <w:tcW w:w="4860" w:type="dxa"/>
            <w:vAlign w:val="bottom"/>
          </w:tcPr>
          <w:p>
            <w:pPr>
              <w:spacing w:after="0"/>
              <w:rPr>
                <w:sz w:val="16"/>
                <w:szCs w:val="16"/>
                <w:color w:val="auto"/>
              </w:rPr>
            </w:pPr>
          </w:p>
        </w:tc>
        <w:tc>
          <w:tcPr>
            <w:tcW w:w="2080" w:type="dxa"/>
            <w:vAlign w:val="bottom"/>
            <w:gridSpan w:val="3"/>
          </w:tcPr>
          <w:p>
            <w:pPr>
              <w:jc w:val="center"/>
              <w:ind w:left="91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8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4860" w:type="dxa"/>
            <w:vAlign w:val="bottom"/>
          </w:tcPr>
          <w:p>
            <w:pPr>
              <w:spacing w:after="0"/>
              <w:rPr>
                <w:sz w:val="16"/>
                <w:szCs w:val="16"/>
                <w:color w:val="auto"/>
              </w:rPr>
            </w:pPr>
          </w:p>
        </w:tc>
        <w:tc>
          <w:tcPr>
            <w:tcW w:w="150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48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7,184,651</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1,165,092</w:t>
            </w:r>
          </w:p>
        </w:tc>
        <w:tc>
          <w:tcPr>
            <w:tcW w:w="2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7,159,982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860,650</w:t>
            </w:r>
          </w:p>
        </w:tc>
      </w:tr>
      <w:tr>
        <w:trPr>
          <w:trHeight w:val="25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under ESPP</w:t>
            </w:r>
          </w:p>
        </w:tc>
        <w:tc>
          <w:tcPr>
            <w:tcW w:w="20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240" w:type="dxa"/>
            <w:vAlign w:val="bottom"/>
          </w:tcPr>
          <w:p>
            <w:pPr>
              <w:spacing w:after="0"/>
              <w:rPr>
                <w:sz w:val="21"/>
                <w:szCs w:val="21"/>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5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1,627,946</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74,123</w:t>
            </w:r>
          </w:p>
        </w:tc>
        <w:tc>
          <w:tcPr>
            <w:tcW w:w="24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1,928,378</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28,654</w:t>
            </w:r>
          </w:p>
        </w:tc>
      </w:tr>
      <w:tr>
        <w:trPr>
          <w:trHeight w:val="256"/>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8,812,597</w:t>
            </w:r>
          </w:p>
        </w:tc>
        <w:tc>
          <w:tcPr>
            <w:tcW w:w="8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1,240,297</w:t>
            </w:r>
          </w:p>
        </w:tc>
        <w:tc>
          <w:tcPr>
            <w:tcW w:w="24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9,088,360</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889,444</w:t>
            </w:r>
          </w:p>
        </w:tc>
      </w:tr>
      <w:tr>
        <w:trPr>
          <w:trHeight w:val="20"/>
        </w:trPr>
        <w:tc>
          <w:tcPr>
            <w:tcW w:w="48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Quarterly Report on Form 10-Q and our Annual Report on Form 10-K for the fiscal year ended December 31, 2021, filed with the Securities and Exchange Commission, or the SEC, on March 1, 2022. In addition to historical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in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current base of clients to over 280 with at least 1,000 covered lives. We currently provide coverage to approximately 4.6 million employees and their partners (known in our industry as covered lives),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inception, and our member satisfaction over that same period is evidenced by our industry-leading Net Promoter Score, or NPS, of +81 for our fertility benefits solution and +79 for our integrated pharmacy benefits solution, Progyny Rx as of December 31, 2021. Our members experience healthier pregnancies and superior rates of pregnancy and live births, as well as reduced rates of miscarriages and multiple births, saving valuable time and money and limiting personal and professional disruption.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vMerge w:val="restart"/>
          </w:tcPr>
          <w:p>
            <w:pPr>
              <w:jc w:val="center"/>
              <w:ind w:right="80"/>
              <w:spacing w:after="0" w:line="161" w:lineRule="exact"/>
              <w:rPr>
                <w:sz w:val="20"/>
                <w:szCs w:val="20"/>
                <w:color w:val="auto"/>
              </w:rPr>
            </w:pPr>
            <w:r>
              <w:rPr>
                <w:rFonts w:ascii="Times New Roman" w:cs="Times New Roman" w:eastAsia="Times New Roman" w:hAnsi="Times New Roman"/>
                <w:sz w:val="14"/>
                <w:szCs w:val="14"/>
                <w:b w:val="1"/>
                <w:bCs w:val="1"/>
                <w:color w:val="auto"/>
              </w:rPr>
              <w:t>Progyny In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Network</w:t>
            </w:r>
          </w:p>
        </w:tc>
        <w:tc>
          <w:tcPr>
            <w:tcW w:w="1820" w:type="dxa"/>
            <w:vAlign w:val="bottom"/>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Progyny In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Network</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Provider Clinic</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National Averages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Provider Clinic</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Averages</w:t>
            </w: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All Provider</w:t>
            </w: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Averages</w:t>
            </w: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Progyny</w:t>
            </w:r>
          </w:p>
        </w:tc>
        <w:tc>
          <w:tcPr>
            <w:tcW w:w="0" w:type="dxa"/>
            <w:vAlign w:val="bottom"/>
          </w:tcPr>
          <w:p>
            <w:pPr>
              <w:spacing w:after="0"/>
              <w:rPr>
                <w:sz w:val="1"/>
                <w:szCs w:val="1"/>
                <w:color w:val="auto"/>
              </w:rPr>
            </w:pPr>
          </w:p>
        </w:tc>
      </w:tr>
      <w:tr>
        <w:trPr>
          <w:trHeight w:val="227"/>
        </w:trPr>
        <w:tc>
          <w:tcPr>
            <w:tcW w:w="5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Clinics</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All Patients</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Members Only</w:t>
            </w:r>
            <w:r>
              <w:rPr>
                <w:rFonts w:ascii="Times New Roman" w:cs="Times New Roman" w:eastAsia="Times New Roman" w:hAnsi="Times New Roman"/>
                <w:sz w:val="18"/>
                <w:szCs w:val="18"/>
                <w:b w:val="1"/>
                <w:bCs w:val="1"/>
                <w:color w:val="auto"/>
                <w:w w:val="98"/>
                <w:vertAlign w:val="superscript"/>
              </w:rPr>
              <w:t>(3)</w:t>
            </w:r>
          </w:p>
        </w:tc>
        <w:tc>
          <w:tcPr>
            <w:tcW w:w="0" w:type="dxa"/>
            <w:vAlign w:val="bottom"/>
          </w:tcPr>
          <w:p>
            <w:pPr>
              <w:spacing w:after="0"/>
              <w:rPr>
                <w:sz w:val="1"/>
                <w:szCs w:val="1"/>
                <w:color w:val="auto"/>
              </w:rPr>
            </w:pPr>
          </w:p>
        </w:tc>
      </w:tr>
      <w:tr>
        <w:trPr>
          <w:trHeight w:val="250"/>
        </w:trPr>
        <w:tc>
          <w:tcPr>
            <w:tcW w:w="560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Single embryo transfer rate</w:t>
            </w:r>
            <w:r>
              <w:rPr>
                <w:rFonts w:ascii="Times New Roman" w:cs="Times New Roman" w:eastAsia="Times New Roman" w:hAnsi="Times New Roman"/>
                <w:sz w:val="23"/>
                <w:szCs w:val="23"/>
                <w:color w:val="auto"/>
                <w:vertAlign w:val="superscript"/>
              </w:rPr>
              <w:t>(1)</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56"/>
        </w:trPr>
        <w:tc>
          <w:tcPr>
            <w:tcW w:w="56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Pregnancy rate per IVF transfer</w:t>
            </w:r>
            <w:r>
              <w:rPr>
                <w:rFonts w:ascii="Times New Roman" w:cs="Times New Roman" w:eastAsia="Times New Roman" w:hAnsi="Times New Roman"/>
                <w:sz w:val="23"/>
                <w:szCs w:val="23"/>
                <w:color w:val="auto"/>
                <w:vertAlign w:val="superscript"/>
              </w:rPr>
              <w:t>(1)</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57"/>
        </w:trPr>
        <w:tc>
          <w:tcPr>
            <w:tcW w:w="56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Miscarriage rate</w:t>
            </w:r>
            <w:r>
              <w:rPr>
                <w:rFonts w:ascii="Times New Roman" w:cs="Times New Roman" w:eastAsia="Times New Roman" w:hAnsi="Times New Roman"/>
                <w:sz w:val="23"/>
                <w:szCs w:val="23"/>
                <w:color w:val="auto"/>
                <w:vertAlign w:val="superscript"/>
              </w:rPr>
              <w:t>(1)</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57"/>
        </w:trPr>
        <w:tc>
          <w:tcPr>
            <w:tcW w:w="56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Live birth rate</w:t>
            </w:r>
            <w:r>
              <w:rPr>
                <w:rFonts w:ascii="Times New Roman" w:cs="Times New Roman" w:eastAsia="Times New Roman" w:hAnsi="Times New Roman"/>
                <w:sz w:val="23"/>
                <w:szCs w:val="23"/>
                <w:color w:val="auto"/>
                <w:vertAlign w:val="superscript"/>
              </w:rPr>
              <w:t>(2)</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56"/>
        </w:trPr>
        <w:tc>
          <w:tcPr>
            <w:tcW w:w="560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IVF multiples rate</w:t>
            </w:r>
            <w:r>
              <w:rPr>
                <w:rFonts w:ascii="Times New Roman" w:cs="Times New Roman" w:eastAsia="Times New Roman" w:hAnsi="Times New Roman"/>
                <w:sz w:val="23"/>
                <w:szCs w:val="23"/>
                <w:color w:val="auto"/>
                <w:vertAlign w:val="superscript"/>
              </w:rPr>
              <w:t>(2)</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63"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Society for Assisted Reproductive Technology, or SART, 2019 National Summary Report, finalized in 2022.</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CDC, 2020 National Summary and Clinic Data Sets, published in 2022.</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12-month period ended December 31, 2021.</w:t>
      </w:r>
    </w:p>
    <w:p>
      <w:pPr>
        <w:spacing w:after="0" w:line="22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Fertility Benefits Solution</w:t>
      </w:r>
      <w:r>
        <w:rPr>
          <w:rFonts w:ascii="Times New Roman" w:cs="Times New Roman" w:eastAsia="Times New Roman" w:hAnsi="Times New Roman"/>
          <w:sz w:val="18"/>
          <w:szCs w:val="18"/>
          <w:color w:val="auto"/>
        </w:rPr>
        <w:t>. Our fertility benefits solution includes providing members with access to effective and cost-efficient fertility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(such as, in the case of in vitro fertilization, or IVF, preimplantation genetic testing). We currently offer 19 different Smart Cycle treatment bundles, which may be used in various combinations depending on the member’s need. Each Smart Cycle treatment bundle has a</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separate unit value (i.e., some have fractional values and some have whole values). Our clients contract to purchase a cumulative Smart Cycle unit value per eligible member. These can range from one to an unlimited unit value. Members, in consultation with their Patient Care Advocates, or PCAs, can choose their preferred provider clinics within our network and utilize the specific Smart Cycle treatment bundles necessary for the treatment pathway they determine throughout their fertility journey.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account management teams and end-to-end comprehensive concierge member support provided by our in-house staff of PCAs. Clients can also add adoption and surrogacy reimbursement programs as part of this solution.</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Pharmacy Benefits Solution. </w:t>
      </w:r>
      <w:r>
        <w:rPr>
          <w:rFonts w:ascii="Times New Roman" w:cs="Times New Roman" w:eastAsia="Times New Roman" w:hAnsi="Times New Roman"/>
          <w:sz w:val="18"/>
          <w:szCs w:val="18"/>
          <w:color w:val="auto"/>
        </w:rPr>
        <w:t>We went live with our integrated pharmacy benefits solution in 2018. Progyny Rx can only be purchased by clients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purchase our fertility 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Clients. </w:t>
      </w:r>
      <w:r>
        <w:rPr>
          <w:rFonts w:ascii="Times New Roman" w:cs="Times New Roman" w:eastAsia="Times New Roman" w:hAnsi="Times New Roman"/>
          <w:sz w:val="18"/>
          <w:szCs w:val="18"/>
          <w:color w:val="auto"/>
        </w:rPr>
        <w:t>We currently serve over 280 employers with at least 1,000 covered lives in the United States across more than 30 industries.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 clients, who are industry leaders across both high-growth and mature industries and who range in size from approximately 1,000 to 600,000 employees, represent approximately 4.6 million covered lives.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58" w:lineRule="exact"/>
        <w:rPr>
          <w:sz w:val="20"/>
          <w:szCs w:val="20"/>
          <w:color w:val="auto"/>
        </w:rPr>
      </w:pPr>
    </w:p>
    <w:p>
      <w:pPr>
        <w:jc w:val="both"/>
        <w:ind w:left="660" w:hanging="328"/>
        <w:spacing w:after="0" w:line="257"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Utilization Component. </w:t>
      </w:r>
      <w:r>
        <w:rPr>
          <w:rFonts w:ascii="Times New Roman" w:cs="Times New Roman" w:eastAsia="Times New Roman" w:hAnsi="Times New Roman"/>
          <w:sz w:val="18"/>
          <w:szCs w:val="18"/>
          <w:color w:val="auto"/>
        </w:rPr>
        <w:t>Clients pay us for the fertility benefits and Progyny Rx solutions utilized by their employees. With respect to the fertility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Population-Based Component. </w:t>
      </w:r>
      <w:r>
        <w:rPr>
          <w:rFonts w:ascii="Times New Roman" w:cs="Times New Roman" w:eastAsia="Times New Roman" w:hAnsi="Times New Roman"/>
          <w:sz w:val="18"/>
          <w:szCs w:val="18"/>
          <w:color w:val="auto"/>
        </w:rPr>
        <w:t>Clients who purchase our fertility benefits solution also typically pay us a per employee per month fee, or PEPM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fee, which is population-based. This allows us to provide access to our PCAs for fertility and family building education and guidance and other digital tools to all of our members, regardless of whether they ultimately pursue fertility treatment. PEPM fees represented 1% of our total revenue for the nine months ended September 30, 2022 and 2021, respectively.</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Our revenue in a given year is determined by the level and mix of the utilization of our fertility benefits and Progyny Rx solutions by our members as well as the number of members enrolled in our clients’ benefits plans. Each year, we contract with new clients for our fertility benefits solution and, where added by the client, our Progyny Rx solution. Given that the majority of our clients contract with us for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w:t>
      </w:r>
    </w:p>
    <w:p>
      <w:pPr>
        <w:spacing w:after="0" w:line="196"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8"/>
          <w:szCs w:val="18"/>
          <w:color w:val="auto"/>
        </w:rPr>
        <w:t>Similarly, for existing clients, any changes in plan designs are typically elected by the end of October so that clients can inform their employees of the benefits during the open enrollment period ahead of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plan year start.</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Member and Client Base. </w:t>
      </w:r>
      <w:r>
        <w:rPr>
          <w:rFonts w:ascii="Times New Roman" w:cs="Times New Roman" w:eastAsia="Times New Roman" w:hAnsi="Times New Roman"/>
          <w:sz w:val="18"/>
          <w:szCs w:val="18"/>
          <w:color w:val="auto"/>
        </w:rPr>
        <w:t>Our addressable market is primarily large self-insured employers. There are approximately 8,000 employers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(excluding quasi-governmental entities, such as universities, school systems, and labor unions) who have a minimum of 1,000 employees, representing approximately 75 million potential covered lives in total. Our current member base of approximately 4.6 million covered lives represents a mid-single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September 30, 2022 and December 31, 2021, we served 282 and 191 clients, respectively, representing 4,567,000 and 2,935,000 members, respectively.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Importantly, as we have continued to grow, we have meaningfully diversified our client base across more than 30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188" w:lineRule="exact"/>
        <w:rPr>
          <w:sz w:val="20"/>
          <w:szCs w:val="20"/>
          <w:color w:val="auto"/>
        </w:rPr>
      </w:pPr>
    </w:p>
    <w:p>
      <w:pPr>
        <w:jc w:val="both"/>
        <w:ind w:right="20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Benefits Utilization</w:t>
      </w:r>
      <w:r>
        <w:rPr>
          <w:rFonts w:ascii="Times New Roman" w:cs="Times New Roman" w:eastAsia="Times New Roman" w:hAnsi="Times New Roman"/>
          <w:sz w:val="18"/>
          <w:szCs w:val="18"/>
          <w:color w:val="auto"/>
        </w:rPr>
        <w:t>. A key driver of our revenue is the number of members we serve and the rate at which they utilize their fertility benefits.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client base has grown, our membership has grown from approximately 110,000 members in 2016 when we launched our fertility benefits solution to approximately 4.6 million members as of September 30, 2022.</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number of assisted reproductive treatment, or ART, cycles performed for Progyny members and the member utilization rates for each of the periods presented: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316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60" w:type="dxa"/>
            <w:vAlign w:val="bottom"/>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6"/>
        </w:trPr>
        <w:tc>
          <w:tcPr>
            <w:tcW w:w="502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5020" w:type="dxa"/>
            <w:vAlign w:val="bottom"/>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Assisted Reproductive Treatment (ART) Cycles</w:t>
            </w:r>
            <w:r>
              <w:rPr>
                <w:rFonts w:ascii="Times New Roman" w:cs="Times New Roman" w:eastAsia="Times New Roman" w:hAnsi="Times New Roman"/>
                <w:sz w:val="23"/>
                <w:szCs w:val="23"/>
                <w:color w:val="auto"/>
                <w:vertAlign w:val="superscript"/>
              </w:rPr>
              <w:t>(1)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20,790</w:t>
            </w:r>
          </w:p>
        </w:tc>
      </w:tr>
      <w:tr>
        <w:trPr>
          <w:trHeight w:val="257"/>
        </w:trPr>
        <w:tc>
          <w:tcPr>
            <w:tcW w:w="50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Utilization - All Members</w:t>
            </w:r>
            <w:r>
              <w:rPr>
                <w:rFonts w:ascii="Times New Roman" w:cs="Times New Roman" w:eastAsia="Times New Roman" w:hAnsi="Times New Roman"/>
                <w:sz w:val="23"/>
                <w:szCs w:val="23"/>
                <w:color w:val="auto"/>
                <w:vertAlign w:val="superscript"/>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57"/>
        </w:trPr>
        <w:tc>
          <w:tcPr>
            <w:tcW w:w="502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Utilization - Female Only</w:t>
            </w:r>
            <w:r>
              <w:rPr>
                <w:rFonts w:ascii="Times New Roman" w:cs="Times New Roman" w:eastAsia="Times New Roman" w:hAnsi="Times New Roman"/>
                <w:sz w:val="23"/>
                <w:szCs w:val="23"/>
                <w:color w:val="auto"/>
                <w:vertAlign w:val="superscript"/>
              </w:rPr>
              <w:t>(2)</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Members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4,482,000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4,301,000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2,774,000</w:t>
            </w:r>
          </w:p>
        </w:tc>
      </w:tr>
      <w:tr>
        <w:trPr>
          <w:trHeight w:val="31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36" w:lineRule="exact"/>
        <w:rPr>
          <w:sz w:val="20"/>
          <w:szCs w:val="20"/>
          <w:color w:val="auto"/>
        </w:rPr>
      </w:pPr>
    </w:p>
    <w:p>
      <w:pPr>
        <w:ind w:left="340" w:right="260" w:hanging="332"/>
        <w:spacing w:after="0" w:line="282"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ART cycles performed, including IVF with a fresh embryo transfer, IVF freeze all cycles/embryo banking, frozen embryo transfers and egg freezing.</w:t>
      </w:r>
    </w:p>
    <w:p>
      <w:pPr>
        <w:spacing w:after="0" w:line="161" w:lineRule="exact"/>
        <w:rPr>
          <w:rFonts w:ascii="Times New Roman" w:cs="Times New Roman" w:eastAsia="Times New Roman" w:hAnsi="Times New Roman"/>
          <w:sz w:val="18"/>
          <w:szCs w:val="18"/>
          <w:color w:val="auto"/>
        </w:rPr>
      </w:pPr>
    </w:p>
    <w:p>
      <w:pPr>
        <w:ind w:left="340" w:right="180" w:hanging="332"/>
        <w:spacing w:after="0" w:line="258"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COVID-19 on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COVID-19 pandemic has significantly impacted various markets around the world, including the United States. Restrictions related to COVID-19, including variants, and our responses to them have significantly impacted and may continue to impact how our members use our services, access our providers, and how our employees work and provide services to our clients and members, resulting in an impact on our revenue. We believe we have sufficient liquidity to satisfy our cash needs, however, we continue to monitor liquidity, as necessary, and ensure that our business can continue to operate during these uncertain times. COVID-19, including variants, and related restrictions continued to have a negative impact on our revenue growth for the nine months ended September 30, 2022. To the extent that the markets we serve experience increased cases of COVID-19, including variants, state or local governments may reinstitute measures to control its spread, which could again negatively impact our members’ access to care, which could in turn impact our business. We will continue to evaluate the nature and extent of these potential impacts to our business, results of operations and liquidity.</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various risks posed by the COVID-19 pandemic, please refer to Part II, Item 1A. "Risk Factors" included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includes fertility benefits solution revenue, pharmacy benefits solution revenue and PEPM fees.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Smart Cycle services are completed for a member. Revenue is also accrued for authorized Smart Cycle services rendered based on member appointments scheduled with a fertility specialist in our network but for which no claim has yet been reported, net of expected changes and cancellations of services.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as well as the related clinical and care management services. Revenue from these arrangements is recognized when the drugs are dispensed. This solution was introduced in the marketplace in the third quarter of 2017 and went live with a select number of clients on January 1, 2018.</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 employee per month (PEPM) fee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cost of services has three primary components: (1) fertility benefits services; (2) pharmacy benefits services; and (3) vendor rebates.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Fertility benefits services costs include: (1) fees paid to provider clinics within our network, labs and anesthesiologists; (2) costs incurred (including salaries, bonuses, benefits, stock-based compensation expense,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our specialty pharmacy partners; (2) costs incurred (including salaries, bonuses, benefits, stock-based compensation expense,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and the related personnel costs, including stock-based compensation expense, and other costs necessary to deliver our care management services will continue to grow as we continue to add clients and their associated members.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expenses consist of sales and marketing and general and administrative expenses.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consists primarily of employee related costs, including salaries, bonuses, commissions, benefits, stock-based compensation expense,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primarily of employee related costs, including salaries, bonuses, benefits, stock-based compensation expense, other related costs, and an allocation of our general overhead, depreciation and amortization for those employees associated with general and administrative services such as executive, legal, human resources, information technology, accounting, and finance. These expenses also include third-party consulting services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facilities costs. We anticipate that we will incur additional general and administrative expenses on an ongoing basis as a public company and to support the growth of our business.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net primarily includes investment income and losses as well as interest income and expense.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Benefit for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income taxes in the United States.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 evidence, both positive and negative, that could affect its view of the future realization of deferred tax assets. We believe there is sufficient positive evidence to conclude that it is more likely than not that the net deferred tax assets were realizable.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of 2022 was enacted into law, which includes changes to the United States corporate income tax system, including an adjusted book income minimum tax, which is effective for tax years beginning after December 31, 2022. We do not expect these provisions to have a material impact on our income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revenue for those periods: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205,371</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122,284</w:t>
            </w:r>
          </w:p>
        </w:tc>
        <w:tc>
          <w:tcPr>
            <w:tcW w:w="24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572,592</w:t>
            </w:r>
          </w:p>
        </w:tc>
        <w:tc>
          <w:tcPr>
            <w:tcW w:w="100" w:type="dxa"/>
            <w:vAlign w:val="bottom"/>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373,068</w:t>
            </w:r>
          </w:p>
        </w:tc>
        <w:tc>
          <w:tcPr>
            <w:tcW w:w="0" w:type="dxa"/>
            <w:vAlign w:val="bottom"/>
          </w:tcPr>
          <w:p>
            <w:pPr>
              <w:spacing w:after="0"/>
              <w:rPr>
                <w:sz w:val="1"/>
                <w:szCs w:val="1"/>
                <w:color w:val="auto"/>
              </w:rPr>
            </w:pPr>
          </w:p>
        </w:tc>
      </w:tr>
      <w:tr>
        <w:trPr>
          <w:trHeight w:val="257"/>
        </w:trPr>
        <w:tc>
          <w:tcPr>
            <w:tcW w:w="4880" w:type="dxa"/>
            <w:vAlign w:val="bottom"/>
            <w:tcBorders>
              <w:bottom w:val="single" w:sz="8" w:color="CCEEFF"/>
            </w:tcBorders>
            <w:gridSpan w:val="4"/>
          </w:tcPr>
          <w:p>
            <w:pPr>
              <w:ind w:left="20"/>
              <w:spacing w:after="0" w:line="256" w:lineRule="exact"/>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159,376</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93,792</w:t>
            </w:r>
          </w:p>
        </w:tc>
        <w:tc>
          <w:tcPr>
            <w:tcW w:w="2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449,761</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286,048</w:t>
            </w:r>
          </w:p>
        </w:tc>
        <w:tc>
          <w:tcPr>
            <w:tcW w:w="0" w:type="dxa"/>
            <w:vAlign w:val="bottom"/>
          </w:tcPr>
          <w:p>
            <w:pPr>
              <w:spacing w:after="0"/>
              <w:rPr>
                <w:sz w:val="1"/>
                <w:szCs w:val="1"/>
                <w:color w:val="auto"/>
              </w:rPr>
            </w:pPr>
          </w:p>
        </w:tc>
      </w:tr>
      <w:tr>
        <w:trPr>
          <w:trHeight w:val="250"/>
        </w:trPr>
        <w:tc>
          <w:tcPr>
            <w:tcW w:w="4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45,995</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28,492</w:t>
            </w:r>
          </w:p>
        </w:tc>
        <w:tc>
          <w:tcPr>
            <w:tcW w:w="2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87,020</w:t>
            </w:r>
          </w:p>
        </w:tc>
        <w:tc>
          <w:tcPr>
            <w:tcW w:w="0" w:type="dxa"/>
            <w:vAlign w:val="bottom"/>
          </w:tcPr>
          <w:p>
            <w:pPr>
              <w:spacing w:after="0"/>
              <w:rPr>
                <w:sz w:val="1"/>
                <w:szCs w:val="1"/>
                <w:color w:val="auto"/>
              </w:rPr>
            </w:pPr>
          </w:p>
        </w:tc>
      </w:tr>
      <w:tr>
        <w:trPr>
          <w:trHeight w:val="250"/>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18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shd w:val="clear" w:color="auto" w:fill="CCEEFF"/>
              </w:rPr>
              <w:t>Sales and marketing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shd w:val="clear" w:color="auto" w:fill="CCEEFF"/>
              </w:rPr>
              <w:t>(1)</w:t>
            </w:r>
          </w:p>
        </w:tc>
        <w:tc>
          <w:tcPr>
            <w:tcW w:w="3100" w:type="dxa"/>
            <w:vAlign w:val="bottom"/>
            <w:vMerge w:val="restart"/>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11,166</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32,677</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w:t>
            </w:r>
          </w:p>
        </w:tc>
        <w:tc>
          <w:tcPr>
            <w:tcW w:w="0" w:type="dxa"/>
            <w:vAlign w:val="bottom"/>
          </w:tcPr>
          <w:p>
            <w:pPr>
              <w:spacing w:after="0"/>
              <w:rPr>
                <w:sz w:val="1"/>
                <w:szCs w:val="1"/>
                <w:color w:val="auto"/>
              </w:rPr>
            </w:pPr>
          </w:p>
        </w:tc>
      </w:tr>
      <w:tr>
        <w:trPr>
          <w:trHeight w:val="81"/>
        </w:trPr>
        <w:tc>
          <w:tcPr>
            <w:tcW w:w="180" w:type="dxa"/>
            <w:vAlign w:val="bottom"/>
            <w:tcBorders>
              <w:bottom w:val="single" w:sz="8" w:color="CCEEFF"/>
            </w:tcBorders>
            <w:shd w:val="clear" w:color="auto" w:fill="CCEEFF"/>
          </w:tcPr>
          <w:p>
            <w:pPr>
              <w:spacing w:after="0"/>
              <w:rPr>
                <w:sz w:val="7"/>
                <w:szCs w:val="7"/>
                <w:color w:val="auto"/>
              </w:rPr>
            </w:pPr>
          </w:p>
        </w:tc>
        <w:tc>
          <w:tcPr>
            <w:tcW w:w="146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3100" w:type="dxa"/>
            <w:vAlign w:val="bottom"/>
            <w:tcBorders>
              <w:bottom w:val="single" w:sz="8" w:color="CCEEFF"/>
            </w:tcBorders>
            <w:vMerge w:val="continue"/>
            <w:shd w:val="clear" w:color="auto" w:fill="CCEEFF"/>
          </w:tcPr>
          <w:p>
            <w:pPr>
              <w:spacing w:after="0"/>
              <w:rPr>
                <w:sz w:val="7"/>
                <w:szCs w:val="7"/>
                <w:color w:val="auto"/>
              </w:rPr>
            </w:pPr>
          </w:p>
        </w:tc>
        <w:tc>
          <w:tcPr>
            <w:tcW w:w="36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240" w:type="dxa"/>
            <w:vAlign w:val="bottom"/>
            <w:tcBorders>
              <w:bottom w:val="single" w:sz="8" w:color="CCEEFF"/>
            </w:tcBorders>
            <w:shd w:val="clear" w:color="auto" w:fill="CCEEFF"/>
          </w:tcPr>
          <w:p>
            <w:pPr>
              <w:spacing w:after="0"/>
              <w:rPr>
                <w:sz w:val="7"/>
                <w:szCs w:val="7"/>
                <w:color w:val="auto"/>
              </w:rPr>
            </w:pPr>
          </w:p>
        </w:tc>
        <w:tc>
          <w:tcPr>
            <w:tcW w:w="460" w:type="dxa"/>
            <w:vAlign w:val="bottom"/>
            <w:tcBorders>
              <w:bottom w:val="single" w:sz="8" w:color="CCEEFF"/>
            </w:tcBorders>
            <w:shd w:val="clear" w:color="auto" w:fill="CCEEFF"/>
          </w:tcPr>
          <w:p>
            <w:pPr>
              <w:spacing w:after="0"/>
              <w:rPr>
                <w:sz w:val="7"/>
                <w:szCs w:val="7"/>
                <w:color w:val="auto"/>
              </w:rPr>
            </w:pPr>
          </w:p>
        </w:tc>
        <w:tc>
          <w:tcPr>
            <w:tcW w:w="10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CCEEFF"/>
            </w:tcBorders>
            <w:shd w:val="clear" w:color="auto" w:fill="CCEEFF"/>
          </w:tcPr>
          <w:p>
            <w:pPr>
              <w:spacing w:after="0"/>
              <w:rPr>
                <w:sz w:val="7"/>
                <w:szCs w:val="7"/>
                <w:color w:val="auto"/>
              </w:rPr>
            </w:pPr>
          </w:p>
        </w:tc>
        <w:tc>
          <w:tcPr>
            <w:tcW w:w="9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180" w:type="dxa"/>
            <w:vAlign w:val="bottom"/>
            <w:tcBorders>
              <w:bottom w:val="single" w:sz="8" w:color="CCEEFF"/>
            </w:tcBorders>
          </w:tcPr>
          <w:p>
            <w:pPr>
              <w:spacing w:after="0"/>
              <w:rPr>
                <w:sz w:val="22"/>
                <w:szCs w:val="22"/>
                <w:color w:val="auto"/>
              </w:rPr>
            </w:pPr>
          </w:p>
        </w:tc>
        <w:tc>
          <w:tcPr>
            <w:tcW w:w="4700" w:type="dxa"/>
            <w:vAlign w:val="bottom"/>
            <w:tcBorders>
              <w:bottom w:val="single" w:sz="8" w:color="CCEEFF"/>
            </w:tcBorders>
            <w:gridSpan w:val="3"/>
          </w:tcPr>
          <w:p>
            <w:pPr>
              <w:spacing w:after="0" w:line="256"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23,574</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2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70,119</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42,009</w:t>
            </w:r>
          </w:p>
        </w:tc>
        <w:tc>
          <w:tcPr>
            <w:tcW w:w="0" w:type="dxa"/>
            <w:vAlign w:val="bottom"/>
          </w:tcPr>
          <w:p>
            <w:pPr>
              <w:spacing w:after="0"/>
              <w:rPr>
                <w:sz w:val="1"/>
                <w:szCs w:val="1"/>
                <w:color w:val="auto"/>
              </w:rPr>
            </w:pPr>
          </w:p>
        </w:tc>
      </w:tr>
      <w:tr>
        <w:trPr>
          <w:trHeight w:val="243"/>
        </w:trPr>
        <w:tc>
          <w:tcPr>
            <w:tcW w:w="180" w:type="dxa"/>
            <w:vAlign w:val="bottom"/>
            <w:shd w:val="clear" w:color="auto" w:fill="CCEEFF"/>
          </w:tcPr>
          <w:p>
            <w:pPr>
              <w:spacing w:after="0"/>
              <w:rPr>
                <w:sz w:val="21"/>
                <w:szCs w:val="21"/>
                <w:color w:val="auto"/>
              </w:rPr>
            </w:pPr>
          </w:p>
        </w:tc>
        <w:tc>
          <w:tcPr>
            <w:tcW w:w="47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34,740</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19,427</w:t>
            </w:r>
          </w:p>
        </w:tc>
        <w:tc>
          <w:tcPr>
            <w:tcW w:w="24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102,796</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54,492</w:t>
            </w:r>
          </w:p>
        </w:tc>
        <w:tc>
          <w:tcPr>
            <w:tcW w:w="0" w:type="dxa"/>
            <w:vAlign w:val="bottom"/>
          </w:tcPr>
          <w:p>
            <w:pPr>
              <w:spacing w:after="0"/>
              <w:rPr>
                <w:sz w:val="1"/>
                <w:szCs w:val="1"/>
                <w:color w:val="auto"/>
              </w:rPr>
            </w:pPr>
          </w:p>
        </w:tc>
      </w:tr>
      <w:tr>
        <w:trPr>
          <w:trHeight w:val="250"/>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32,528</w:t>
            </w:r>
          </w:p>
        </w:tc>
        <w:tc>
          <w:tcPr>
            <w:tcW w:w="0" w:type="dxa"/>
            <w:vAlign w:val="bottom"/>
          </w:tcPr>
          <w:p>
            <w:pPr>
              <w:spacing w:after="0"/>
              <w:rPr>
                <w:sz w:val="1"/>
                <w:szCs w:val="1"/>
                <w:color w:val="auto"/>
              </w:rPr>
            </w:pPr>
          </w:p>
        </w:tc>
      </w:tr>
      <w:tr>
        <w:trPr>
          <w:trHeight w:val="257"/>
        </w:trPr>
        <w:tc>
          <w:tcPr>
            <w:tcW w:w="48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50"/>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9,117</w:t>
            </w: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32,833</w:t>
            </w:r>
          </w:p>
        </w:tc>
        <w:tc>
          <w:tcPr>
            <w:tcW w:w="0" w:type="dxa"/>
            <w:vAlign w:val="bottom"/>
          </w:tcPr>
          <w:p>
            <w:pPr>
              <w:spacing w:after="0"/>
              <w:rPr>
                <w:sz w:val="1"/>
                <w:szCs w:val="1"/>
                <w:color w:val="auto"/>
              </w:rPr>
            </w:pPr>
          </w:p>
        </w:tc>
      </w:tr>
      <w:tr>
        <w:trPr>
          <w:trHeight w:val="257"/>
        </w:trPr>
        <w:tc>
          <w:tcPr>
            <w:tcW w:w="180" w:type="dxa"/>
            <w:vAlign w:val="bottom"/>
            <w:shd w:val="clear" w:color="auto" w:fill="CCEEFF"/>
          </w:tcPr>
          <w:p>
            <w:pPr>
              <w:spacing w:after="0"/>
              <w:rPr>
                <w:sz w:val="22"/>
                <w:szCs w:val="22"/>
                <w:color w:val="auto"/>
              </w:rPr>
            </w:pPr>
          </w:p>
        </w:tc>
        <w:tc>
          <w:tcPr>
            <w:tcW w:w="4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8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24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17,856</w:t>
            </w:r>
          </w:p>
        </w:tc>
        <w:tc>
          <w:tcPr>
            <w:tcW w:w="0" w:type="dxa"/>
            <w:vAlign w:val="bottom"/>
          </w:tcPr>
          <w:p>
            <w:pPr>
              <w:spacing w:after="0"/>
              <w:rPr>
                <w:sz w:val="1"/>
                <w:szCs w:val="1"/>
                <w:color w:val="auto"/>
              </w:rPr>
            </w:pPr>
          </w:p>
        </w:tc>
      </w:tr>
      <w:tr>
        <w:trPr>
          <w:trHeight w:val="257"/>
        </w:trPr>
        <w:tc>
          <w:tcPr>
            <w:tcW w:w="48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13,211</w:t>
            </w:r>
          </w:p>
        </w:tc>
        <w:tc>
          <w:tcPr>
            <w:tcW w:w="8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16,796</w:t>
            </w:r>
          </w:p>
        </w:tc>
        <w:tc>
          <w:tcPr>
            <w:tcW w:w="24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26,950</w:t>
            </w:r>
          </w:p>
        </w:tc>
        <w:tc>
          <w:tcPr>
            <w:tcW w:w="6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50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4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49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49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49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18,603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15,026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w:t>
            </w:r>
          </w:p>
        </w:tc>
      </w:tr>
      <w:tr>
        <w:trPr>
          <w:trHeight w:val="26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11,845</w:t>
            </w: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4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37,822</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w:t>
            </w:r>
          </w:p>
        </w:tc>
      </w:tr>
      <w:tr>
        <w:trPr>
          <w:trHeight w:val="263"/>
        </w:trPr>
        <w:tc>
          <w:tcPr>
            <w:tcW w:w="49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23,297</w:t>
            </w:r>
          </w:p>
        </w:tc>
        <w:tc>
          <w:tcPr>
            <w:tcW w:w="100" w:type="dxa"/>
            <w:vAlign w:val="bottom"/>
          </w:tcPr>
          <w:p>
            <w:pPr>
              <w:spacing w:after="0"/>
              <w:rPr>
                <w:sz w:val="22"/>
                <w:szCs w:val="22"/>
                <w:color w:val="auto"/>
              </w:rPr>
            </w:pP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240" w:type="dxa"/>
            <w:vAlign w:val="bottom"/>
          </w:tcPr>
          <w:p>
            <w:pPr>
              <w:spacing w:after="0"/>
              <w:rPr>
                <w:sz w:val="22"/>
                <w:szCs w:val="22"/>
                <w:color w:val="auto"/>
              </w:rPr>
            </w:pP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71,451</w:t>
            </w:r>
          </w:p>
        </w:tc>
        <w:tc>
          <w:tcPr>
            <w:tcW w:w="100" w:type="dxa"/>
            <w:vAlign w:val="bottom"/>
          </w:tcPr>
          <w:p>
            <w:pPr>
              <w:spacing w:after="0"/>
              <w:rPr>
                <w:sz w:val="22"/>
                <w:szCs w:val="22"/>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18,698</w:t>
            </w:r>
          </w:p>
        </w:tc>
      </w:tr>
    </w:tbl>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3"/>
          </w:tcPr>
          <w:p>
            <w:pPr>
              <w:jc w:val="center"/>
              <w:ind w:left="8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4"/>
                <w:szCs w:val="14"/>
                <w:color w:val="auto"/>
              </w:rPr>
            </w:pPr>
          </w:p>
        </w:tc>
      </w:tr>
      <w:tr>
        <w:trPr>
          <w:trHeight w:val="190"/>
        </w:trPr>
        <w:tc>
          <w:tcPr>
            <w:tcW w:w="4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3"/>
          </w:tcPr>
          <w:p>
            <w:pPr>
              <w:jc w:val="center"/>
              <w:ind w:left="89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r>
      <w:tr>
        <w:trPr>
          <w:trHeight w:val="23"/>
        </w:trPr>
        <w:tc>
          <w:tcPr>
            <w:tcW w:w="46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6"/>
        </w:trPr>
        <w:tc>
          <w:tcPr>
            <w:tcW w:w="5520" w:type="dxa"/>
            <w:vAlign w:val="bottom"/>
            <w:gridSpan w:val="2"/>
          </w:tcPr>
          <w:p>
            <w:pPr>
              <w:ind w:left="5240"/>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552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7"/>
        </w:trPr>
        <w:tc>
          <w:tcPr>
            <w:tcW w:w="460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Consolidated Statements of Operations Data, as a</w:t>
            </w:r>
          </w:p>
        </w:tc>
        <w:tc>
          <w:tcPr>
            <w:tcW w:w="9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r>
      <w:tr>
        <w:trPr>
          <w:trHeight w:val="245"/>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revenue:</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77.6</w:t>
            </w:r>
          </w:p>
        </w:tc>
        <w:tc>
          <w:tcPr>
            <w:tcW w:w="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76.7</w:t>
            </w:r>
          </w:p>
        </w:tc>
        <w:tc>
          <w:tcPr>
            <w:tcW w:w="2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76.7</w:t>
            </w:r>
          </w:p>
        </w:tc>
      </w:tr>
      <w:tr>
        <w:trPr>
          <w:trHeight w:val="257"/>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23.3</w:t>
            </w:r>
          </w:p>
        </w:tc>
      </w:tr>
      <w:tr>
        <w:trPr>
          <w:trHeight w:val="25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5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w:t>
            </w:r>
          </w:p>
        </w:tc>
      </w:tr>
      <w:tr>
        <w:trPr>
          <w:trHeight w:val="250"/>
        </w:trPr>
        <w:tc>
          <w:tcPr>
            <w:tcW w:w="46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11.3</w:t>
            </w:r>
          </w:p>
        </w:tc>
      </w:tr>
      <w:tr>
        <w:trPr>
          <w:trHeight w:val="250"/>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14.6</w:t>
            </w:r>
          </w:p>
        </w:tc>
      </w:tr>
      <w:tr>
        <w:trPr>
          <w:trHeight w:val="25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21"/>
                <w:szCs w:val="21"/>
                <w:color w:val="auto"/>
              </w:rPr>
            </w:pP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w:t>
            </w:r>
          </w:p>
        </w:tc>
      </w:tr>
      <w:tr>
        <w:trPr>
          <w:trHeight w:val="257"/>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r>
      <w:tr>
        <w:trPr>
          <w:trHeight w:val="250"/>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21"/>
                <w:szCs w:val="21"/>
                <w:color w:val="auto"/>
              </w:rPr>
            </w:pPr>
          </w:p>
        </w:tc>
        <w:tc>
          <w:tcPr>
            <w:tcW w:w="15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8.8</w:t>
            </w:r>
          </w:p>
        </w:tc>
      </w:tr>
      <w:tr>
        <w:trPr>
          <w:trHeight w:val="257"/>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for income taxes</w:t>
            </w:r>
          </w:p>
        </w:tc>
        <w:tc>
          <w:tcPr>
            <w:tcW w:w="9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4.8</w:t>
            </w:r>
          </w:p>
        </w:tc>
      </w:tr>
      <w:tr>
        <w:trPr>
          <w:trHeight w:val="257"/>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22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0"/>
        </w:trPr>
        <w:tc>
          <w:tcPr>
            <w:tcW w:w="4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 – Adjusted EBITDA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income and expenses, including other (income) expense, net and interest (income) expense, net; and (5) it does not reflect tax payments that may represent a reduction in cash available to us.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gross margin, and other U.S. GAAP results.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calculate Adjusted EBITDA as net income, adjusted to exclude depreciation and amortization, stock-based compensation expense, other (income) expense, net, interest income, net, and benefit for income taxes. The following table presents a reconciliation of Adjusted EBITDA to net income, the most directly comparable financial measure stated in accordance with U.S. GAAP, for each of the periods indicated: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246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90"/>
        </w:trPr>
        <w:tc>
          <w:tcPr>
            <w:tcW w:w="4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8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7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3"/>
        </w:trPr>
        <w:tc>
          <w:tcPr>
            <w:tcW w:w="49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49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3"/>
        </w:trPr>
        <w:tc>
          <w:tcPr>
            <w:tcW w:w="49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7"/>
        </w:trPr>
        <w:tc>
          <w:tcPr>
            <w:tcW w:w="4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
        </w:trPr>
        <w:tc>
          <w:tcPr>
            <w:tcW w:w="4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16,796</w:t>
            </w:r>
          </w:p>
        </w:tc>
        <w:tc>
          <w:tcPr>
            <w:tcW w:w="24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50,689</w:t>
            </w: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r>
      <w:tr>
        <w:trPr>
          <w:trHeight w:val="257"/>
        </w:trPr>
        <w:tc>
          <w:tcPr>
            <w:tcW w:w="49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8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23,297</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71,451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18,698</w:t>
            </w:r>
          </w:p>
        </w:tc>
      </w:tr>
      <w:tr>
        <w:trPr>
          <w:trHeight w:val="257"/>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57"/>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8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57"/>
        </w:trPr>
        <w:tc>
          <w:tcPr>
            <w:tcW w:w="4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Benefit for income taxes</w:t>
            </w:r>
          </w:p>
        </w:tc>
        <w:tc>
          <w:tcPr>
            <w:tcW w:w="8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(7,679)</w:t>
            </w:r>
          </w:p>
        </w:tc>
        <w:tc>
          <w:tcPr>
            <w:tcW w:w="24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(17,856)</w:t>
            </w:r>
          </w:p>
        </w:tc>
      </w:tr>
      <w:tr>
        <w:trPr>
          <w:trHeight w:val="25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34,957</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16,479</w:t>
            </w:r>
          </w:p>
        </w:tc>
        <w:tc>
          <w:tcPr>
            <w:tcW w:w="24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92,641</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52,211</w:t>
            </w:r>
          </w:p>
        </w:tc>
      </w:tr>
      <w:tr>
        <w:trPr>
          <w:trHeight w:val="21"/>
        </w:trPr>
        <w:tc>
          <w:tcPr>
            <w:tcW w:w="49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September 30,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060" w:type="dxa"/>
            <w:vAlign w:val="bottom"/>
            <w:gridSpan w:val="3"/>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$205,371</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$122,284</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Revenue increased by $83.1 million, or 68%, for the three months ended September 30, 2022 compared to the three months ended September 30, 2021. This increase is primarily due to a $44.0 million, or 52%, increase in revenue from our fertility benefits solution and a $39.1 million, or 106%,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the Progyny Rx benefit. Progyny Rx went live with only a select number of clients on January 1, 2018 and has continued to add both new and existing fertility benefits solution clients since its initial launch.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060" w:type="dxa"/>
            <w:vAlign w:val="bottom"/>
            <w:gridSpan w:val="3"/>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$159,376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$93,792</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services increased by $65.6 million, or 70%, for the three months ended September 30, 2022 compared to the three months ended September 30, 2021 primarily due to an increase in medical treatment and pharmacy prescription costs associated with fertility treatments delivered. This increase in cost of services was also attributable to an increase in personnel-related costs primarily due to incremental headcount as well as a $4.7 million increase in stock-based compensation expense.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2320" w:type="dxa"/>
            <w:vAlign w:val="bottom"/>
            <w:gridSpan w:val="3"/>
          </w:tcPr>
          <w:p>
            <w:pPr>
              <w:jc w:val="center"/>
              <w:ind w:left="8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280" w:type="dxa"/>
            <w:vAlign w:val="bottom"/>
          </w:tcPr>
          <w:p>
            <w:pPr>
              <w:spacing w:after="0"/>
              <w:rPr>
                <w:sz w:val="16"/>
                <w:szCs w:val="16"/>
                <w:color w:val="auto"/>
              </w:rPr>
            </w:pPr>
          </w:p>
        </w:tc>
        <w:tc>
          <w:tcPr>
            <w:tcW w:w="15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280" w:type="dxa"/>
            <w:vAlign w:val="bottom"/>
          </w:tcPr>
          <w:p>
            <w:pPr>
              <w:spacing w:after="0"/>
              <w:rPr>
                <w:sz w:val="23"/>
                <w:szCs w:val="23"/>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$45,995</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$28,492</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profit increased by $17.5 million, or 61%, for the three months ended September 30, 2022 compared to the three months ended September 30, 2021.</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Gross margin decreased 90 basis points for the three months ended September 30, 2022 compared to the three months ended September 30, 2021, primarily due to an increase in stock-based compensation expense for employees supporting our care management service functions, partially offset by ongoing efficiencies realized in the delivery of our care management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060" w:type="dxa"/>
            <w:vAlign w:val="bottom"/>
            <w:gridSpan w:val="3"/>
          </w:tcPr>
          <w:p>
            <w:pPr>
              <w:jc w:val="center"/>
              <w:ind w:left="9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$11,166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by $6.7 million, or 151% for the three months ended September 30, 2022 compared to the three months ended September 30, 2021. This increase was primarily due to a $6.1 million increase in personnel-related costs attributable to an increase in stock-based compensation expense of $4.3 million, incremental headcount and an increase in sales commissions, as well as a $0.6 million increase in other related sales and marketing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60" w:type="dxa"/>
            <w:vAlign w:val="bottom"/>
            <w:gridSpan w:val="3"/>
          </w:tcPr>
          <w:p>
            <w:pPr>
              <w:jc w:val="center"/>
              <w:ind w:left="7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$23,574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$14,986</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$8.6 million, or 57%, for the three months ended September 30, 2022 compared to the three months ended September 30, 2021. This increase was primarily due to a $7.3 million increase in personnel-related costs including an increase in stock-based compensation expense of $7.2 million, as well as a $1.2 million increase in bad debt expense.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2600" w:type="dxa"/>
            <w:vAlign w:val="bottom"/>
            <w:gridSpan w:val="4"/>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5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600" w:type="dxa"/>
            <w:vAlign w:val="bottom"/>
          </w:tcPr>
          <w:p>
            <w:pPr>
              <w:spacing w:after="0"/>
              <w:rPr>
                <w:sz w:val="23"/>
                <w:szCs w:val="23"/>
                <w:color w:val="auto"/>
              </w:rPr>
            </w:pPr>
          </w:p>
        </w:tc>
        <w:tc>
          <w:tcPr>
            <w:tcW w:w="2600" w:type="dxa"/>
            <w:vAlign w:val="bottom"/>
            <w:gridSpan w:val="4"/>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560" w:type="dxa"/>
            <w:vAlign w:val="bottom"/>
            <w:gridSpan w:val="2"/>
            <w:shd w:val="clear" w:color="auto" w:fill="CCEEFF"/>
          </w:tcPr>
          <w:p>
            <w:pPr>
              <w:jc w:val="right"/>
              <w:ind w:right="6168"/>
              <w:spacing w:after="0"/>
              <w:rPr>
                <w:sz w:val="20"/>
                <w:szCs w:val="20"/>
                <w:color w:val="auto"/>
              </w:rPr>
            </w:pPr>
            <w:r>
              <w:rPr>
                <w:rFonts w:ascii="Times New Roman" w:cs="Times New Roman" w:eastAsia="Times New Roman" w:hAnsi="Times New Roman"/>
                <w:sz w:val="18"/>
                <w:szCs w:val="18"/>
                <w:color w:val="auto"/>
              </w:rPr>
              <w:t>Other income, net</w:t>
            </w:r>
          </w:p>
        </w:tc>
        <w:tc>
          <w:tcPr>
            <w:tcW w:w="5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net increased by $0.2 million for the three months ended September 30, 2022 compared to the three months ended September 30, 2021, primarily due to an increase in investment and interest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for Income Taxes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460" w:type="dxa"/>
            <w:vAlign w:val="bottom"/>
            <w:gridSpan w:val="4"/>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2460" w:type="dxa"/>
            <w:vAlign w:val="bottom"/>
            <w:gridSpan w:val="4"/>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380" w:type="dxa"/>
            <w:vAlign w:val="bottom"/>
            <w:gridSpan w:val="2"/>
            <w:shd w:val="clear" w:color="auto" w:fill="CCEEFF"/>
          </w:tcPr>
          <w:p>
            <w:pPr>
              <w:jc w:val="right"/>
              <w:ind w:right="5508"/>
              <w:spacing w:after="0"/>
              <w:rPr>
                <w:sz w:val="20"/>
                <w:szCs w:val="20"/>
                <w:color w:val="auto"/>
              </w:rPr>
            </w:pPr>
            <w:r>
              <w:rPr>
                <w:rFonts w:ascii="Times New Roman" w:cs="Times New Roman" w:eastAsia="Times New Roman" w:hAnsi="Times New Roman"/>
                <w:sz w:val="18"/>
                <w:szCs w:val="18"/>
                <w:color w:val="auto"/>
              </w:rPr>
              <w:t>Benefit for income taxes</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6"/>
              </w:rPr>
              <w:t>$1,672</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we recorded a benefit for income taxes of $1.7 million, as compared to a benefit for income taxes of $7.7 million for the three months ended September 30, 2021 primarily due to less equity compensation activity that occurred during the current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Nine Months Ended September 30,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160" w:type="dxa"/>
            <w:vAlign w:val="bottom"/>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$572,592</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$373,068</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 increased by $199.5 million, or 53%, for the nine months ended September 30, 2022 compared to the nine months ended September 30, 2021. This increase is primarily due to a $100.6 million, or 38%, increase in revenue from our fertility benefits solution and a $98.9 million, or 93%,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the Progyny Rx benefit. Progyny Rx went live with only a select number of clients on January 1, 2018 and has continued to add both new and existing fertility benefits solution clients since its initial launch. Our revenue growth for the nine months ended September 30, 2022 and September 30, 2021 was negatively impacted by COVID-19.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160" w:type="dxa"/>
            <w:vAlign w:val="bottom"/>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$449,761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$286,048</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services increased by $163.7 million, or 57%, for the nine months ended September 30, 2022 compared to the nine months ended September 30, 2021 primarily due to an increase in medical treatment and pharmacy prescription costs associated with fertility treatments delivered. This increase in cost of services was also attributable to an increase in personnel-related costs primarily due to incremental headcount as well as a $14.3 million increase in stock-based compensation expense.</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2320" w:type="dxa"/>
            <w:vAlign w:val="bottom"/>
            <w:gridSpan w:val="3"/>
          </w:tcPr>
          <w:p>
            <w:pPr>
              <w:jc w:val="center"/>
              <w:ind w:left="8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280" w:type="dxa"/>
            <w:vAlign w:val="bottom"/>
          </w:tcPr>
          <w:p>
            <w:pPr>
              <w:spacing w:after="0"/>
              <w:rPr>
                <w:sz w:val="16"/>
                <w:szCs w:val="16"/>
                <w:color w:val="auto"/>
              </w:rPr>
            </w:pPr>
          </w:p>
        </w:tc>
        <w:tc>
          <w:tcPr>
            <w:tcW w:w="15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280" w:type="dxa"/>
            <w:vAlign w:val="bottom"/>
          </w:tcPr>
          <w:p>
            <w:pPr>
              <w:spacing w:after="0"/>
              <w:rPr>
                <w:sz w:val="23"/>
                <w:szCs w:val="23"/>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$122,831</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$87,020</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57"/>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profit increased by $35.8 million, or 41%, for the nine months ended September 30, 2022 compared to the nine months ended September 30, 2021.</w:t>
      </w:r>
    </w:p>
    <w:p>
      <w:pPr>
        <w:spacing w:after="0" w:line="16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Gross margin decreased 180 basis points for the nine months ended September 30, 2022 compared to the nine months ended September 30, 2021, primarily due to an increase in stock-based compensation expense for employees supporting our care management service functions.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160" w:type="dxa"/>
            <w:vAlign w:val="bottom"/>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$32,677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$12,483</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by $20.2 million, or 162% for the nine months ended September 30, 2022 compared to the nine months ended September 30, 2021. This increase was primarily due to a $18.3 million increase in personnel-related costs attributable to an increase in stock-based compensation expense of $12.6 million, incremental headcount and an increase in sales commissions, as well as a $1.9 million increase in other related sales and marketing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2160" w:type="dxa"/>
            <w:vAlign w:val="bottom"/>
            <w:gridSpan w:val="3"/>
          </w:tcPr>
          <w:p>
            <w:pPr>
              <w:jc w:val="center"/>
              <w:ind w:left="8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160" w:type="dxa"/>
            <w:vAlign w:val="bottom"/>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$70,119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$42,009</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increased by $28.1 million, or 67%, for the nine months ended September 30, 2022 compared to the nine months ended September 30, 2021. This increase was primarily due to a $26.4 million increase in personnel-related costs resulting including an increase in stock-based compensation expense of $25.8 million, as well as a $2.5 million increase in bad debt expense. This increase was partially offset by a $0.8 million decrease in other related general and administrative expenses.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4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2540" w:type="dxa"/>
            <w:vAlign w:val="bottom"/>
            <w:gridSpan w:val="4"/>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380" w:type="dxa"/>
            <w:vAlign w:val="bottom"/>
            <w:gridSpan w:val="2"/>
            <w:shd w:val="clear" w:color="auto" w:fill="CCEEFF"/>
          </w:tcPr>
          <w:p>
            <w:pPr>
              <w:jc w:val="right"/>
              <w:ind w:right="5988"/>
              <w:spacing w:after="0"/>
              <w:rPr>
                <w:sz w:val="20"/>
                <w:szCs w:val="20"/>
                <w:color w:val="auto"/>
              </w:rPr>
            </w:pPr>
            <w:r>
              <w:rPr>
                <w:rFonts w:ascii="Times New Roman" w:cs="Times New Roman" w:eastAsia="Times New Roman" w:hAnsi="Times New Roman"/>
                <w:sz w:val="18"/>
                <w:szCs w:val="18"/>
                <w:color w:val="auto"/>
              </w:rPr>
              <w:t>Other income, net</w:t>
            </w:r>
          </w:p>
        </w:tc>
        <w:tc>
          <w:tcPr>
            <w:tcW w:w="5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net decreased by $40,000, or 13%, for the nine months ended September 30, 2022 compared to the nine months ended September 30, 2021, primarily due to a decrease in interest income, partially offset by an increase to investment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for Income Taxes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380" w:type="dxa"/>
            <w:vAlign w:val="bottom"/>
            <w:gridSpan w:val="2"/>
            <w:shd w:val="clear" w:color="auto" w:fill="CCEEFF"/>
          </w:tcPr>
          <w:p>
            <w:pPr>
              <w:jc w:val="right"/>
              <w:ind w:right="5508"/>
              <w:spacing w:after="0"/>
              <w:rPr>
                <w:sz w:val="20"/>
                <w:szCs w:val="20"/>
                <w:color w:val="auto"/>
              </w:rPr>
            </w:pPr>
            <w:r>
              <w:rPr>
                <w:rFonts w:ascii="Times New Roman" w:cs="Times New Roman" w:eastAsia="Times New Roman" w:hAnsi="Times New Roman"/>
                <w:sz w:val="18"/>
                <w:szCs w:val="18"/>
                <w:color w:val="auto"/>
              </w:rPr>
              <w:t>Benefit for income taxes</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6"/>
              </w:rPr>
              <w:t>$6,650</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$17,856</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we recorded a benefit for income taxes of $6.7 million as compared to a benefit for income taxes of $17.9 million for the nine months ended September 30, 2021 primarily due to less equity compensation activity that occurred during the current year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As of September 30, 2022, we had $72.5 million of cash and cash equivalents and $68.5 million of marketable securities. Since inception, we have financed our operations primarily through sales of our solutions and the net proceeds we have received from sales of equity securities. Our cash and cash equivalents and working capital are affected by the timing of payments to third-party providers and collections from clients and have increased as our revenue has increased. In particular, during the ramp up and onboarding of new clients who typically begin their benefits plan year as of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29, 2019, we completed our initial public offering, or IPO in which we issued and sold 6,700,000 shares of our common stock at a public offering price of $13.00 per share. We received net proceeds of approximately $77.6 million from the IPO, after deducting underwriters’ discounts and commissions of $5.9 million and offering costs of $3.6 million.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marketable securities and cash flow from operations, will be sufficient to support working capital and capital expenditure requirements for at least the next 12 months. Our future capital requirements will depend on many factors, including sales of our solutions and client renewals, the timing and the amount of cash received from clients, the expansion of our sales and marketing activities, and the continuing market adoption of our solutions.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Other than the impact on our revenue growth and the related cash flows resulting from the various restrictions on activities due to the COVID-19 pandemic, our sources and uses of cash were not otherwise materially impacted by the COVID-19 pandemic in the nine months ended September 30, 2022 and, to date, we have not identified any material liquidity deficiencies as a result of the COVID-19 pandemic. Based on the information currently available to us, we do not expect the COVID-19 pandemic to have a material impact on our liquidity. We will continue to monitor and assess the impact the COVID-19 pandemic, including variants, may have on our business and financial results. In addition, while the potential impact and duration of the COVID-19 pandemic on the global economy and our business in particular may be difficult to assess or predict, the pandemic has resulted in, and may continue to result in, significant disruption of global financial markets, which could reduce our ability to access capital and could negatively affect our liquidity in the future. If the disruption persists and deepens, we could experience an inability to access additional capital, which could in the future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negatively affect our operations. For additional information on the various risks posed by the COVID-19 pandemic, please refer to Part II, Item 1A. "Risk Factors" included in this Quarterly Report on Form 10-Q.</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June 2018, we entered into an agreement with Silicon Valley Bank to replace our then-outstanding term loan with a revolving line of credit of up to $15 million, which was amended in April 2019, January 2020, June 2020, and February 2021. The line of credit matured on June 8, 2021.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operations for the periods presented:</w:t>
      </w:r>
    </w:p>
    <w:p>
      <w:pPr>
        <w:spacing w:after="0" w:line="27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7"/>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23"/>
                <w:szCs w:val="23"/>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center"/>
              <w:ind w:left="274"/>
              <w:spacing w:after="0"/>
              <w:rPr>
                <w:sz w:val="20"/>
                <w:szCs w:val="20"/>
                <w:color w:val="auto"/>
              </w:rPr>
            </w:pPr>
            <w:r>
              <w:rPr>
                <w:rFonts w:ascii="Times New Roman" w:cs="Times New Roman" w:eastAsia="Times New Roman" w:hAnsi="Times New Roman"/>
                <w:sz w:val="18"/>
                <w:szCs w:val="18"/>
                <w:color w:val="auto"/>
                <w:w w:val="96"/>
              </w:rPr>
              <w:t>17,222</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center"/>
              <w:ind w:left="274"/>
              <w:spacing w:after="0"/>
              <w:rPr>
                <w:sz w:val="20"/>
                <w:szCs w:val="20"/>
                <w:color w:val="auto"/>
              </w:rPr>
            </w:pPr>
            <w:r>
              <w:rPr>
                <w:rFonts w:ascii="Times New Roman" w:cs="Times New Roman" w:eastAsia="Times New Roman" w:hAnsi="Times New Roman"/>
                <w:sz w:val="18"/>
                <w:szCs w:val="18"/>
                <w:color w:val="auto"/>
                <w:w w:val="96"/>
              </w:rPr>
              <w:t>15,078</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rPr>
              <w:t>(10,381)</w:t>
            </w:r>
          </w:p>
        </w:tc>
      </w:tr>
      <w:tr>
        <w:trPr>
          <w:trHeight w:val="257"/>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(18,893)</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center"/>
              <w:ind w:left="274"/>
              <w:spacing w:after="0"/>
              <w:rPr>
                <w:sz w:val="20"/>
                <w:szCs w:val="20"/>
                <w:color w:val="auto"/>
              </w:rPr>
            </w:pPr>
            <w:r>
              <w:rPr>
                <w:rFonts w:ascii="Times New Roman" w:cs="Times New Roman" w:eastAsia="Times New Roman" w:hAnsi="Times New Roman"/>
                <w:sz w:val="18"/>
                <w:szCs w:val="18"/>
                <w:color w:val="auto"/>
                <w:w w:val="96"/>
              </w:rPr>
              <w:t>21,919</w:t>
            </w: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$28.9 million for the nine months ended September 30, 2022, primarily consisting of net income of $27.0 million adjusted for certain non-cash items, which include $71.5 million of stock-based compensation expense, $9.7 million of bad debt expense, $6.7 million of deferred tax benefit, and $1.2 million of depreciation and amortization. Changes in operating assets and liabilities resulted in cash used in operating activities from increases in accounts receivable of $133.2 million and other noncurrent assets and liabilities of $1.2 million, partially offset by cash provided by operating activities from increases in accounts payable of $42.7 million and accrued expenses and other current liabilities of $16.3 million, and a decrease in prepaid expenses and other current assets of $1.7 million. These changes were a result of the impact of revenue growth and our operating results as well as the timing of cash collections and payments to third parties.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$17.2 million for the nine months ended September 30, 2021, primarily consisting of net income of $50.7 million adjusted for certain non-cash items, which include $18.7 million of stock-based compensation expense, $17.9 million of deferred tax benefit, $7.2 million of bad debt expense, and $1.0 million of depreciation and amortization. Changes in operating assets and liabilities resulted in cash used in operating activities from an increase in accounts receivable of $66.7 million and other noncurrent assets and liabilities of $1.0 million, partially offset by cash provided by operating activities from increases in accrued expenses and other current liabilities of $13.1 million and accounts payable of $11.7 million, and decreases in prepaid expenses and other current assets of $0.4 million. These changes were a result of the impact of revenue growth and our operating results as well as the timing of payments to third parties and collections from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$42.7 million for the nine months ended September 30, 2022, which primarily consisted of net investments in marketable securities of $40.2 million. Net cash provided by investing activities was $15.1 million for the nine months ended September 30, 2021, which primarily consisted of net proceeds of $16.6 million from marketable securities. The remainder of the activity for each of the nine months ended September 30, 2022 and September 30, 2021 consisted of purchases of computers, software, including capitalized software development costs, and leasehold improvements.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$5.1 million for the nine months ended September 30, 2022, consisting of payments of $8.0 million for employee taxes related to equity awards, partially offset by $2.1 million in proceeds from stock option exercises and $0.7 million in proceeds from contributions to our employee stock purchase plan.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$10.4 million for the nine months ended September 30, 2021, consisting of payments of $13.1 million for employee taxes related to equity awards, partially offset by $1.7 million in proceeds from stock option exercises and $1.0 million in proceeds from contributions to our employee stock purchase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2019, we commenced a sublease agreement for our corporate offices in New York, New York. The sublease is for a 25,212 square foot office and will expire in May 2029. Pursuant to the sublease, we will pay the base rent of approximately $1.3 million per year through the end of the fifth lease year and approximately $1.4 million per year thereafter through the expiration date.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February 2022, we entered into a lease agreement for additional space in our corporate offices in New York, New York, consisting of a 24,099 square foot office and a 21,262 square foot office, and also for continued occupancy of the 25,212 square foot office after the expiration of the current sublease. For the 24,099 square foot office, we will pay the base rent of approximately $1.4 million per year starting in the first quarter of 2024 for five years and approximately $1.5 million per year thereafter through the first quarter of 2035, the expiration date. For the 21,262 square foot office, we will pay the base rent of approximately $1.3 million starting in the first quarter of 2025 for five years and approximately $1.4 million per year thereafter through the first quarter of 2035, the expiration date. For our current 25,212 square foot office, we will pay the base rent of approximately $1.6 million per year beginning in June 2029 through the first quarter of 2035, the expiration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have been prepared in accordance with U.S. GAAP. The preparation of these consolidated financial statements requires us to make estimates and assumptions that affect the amounts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our accrued receivables related to revenue recognition, accrued claims payable, stock-based compensation expense, and accounting for income taxes have the greatest potential impact on our financial statements. Therefore, we consider these to be our critical accounting estimates.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additional information about our critical accounting policies and estimates, see the disclosure included in our Annual Report on Form 10-K as well as "Financial Statements (Unaudited) — Note 1 – Business and Basis of Presentation" and "Financial Statements (Unaudited) — Note 2 – Significant Accounting Policies" in the notes to the consolidated financial statements included in Part I, Item 1 of this Quarterly Report on Form 10-Q. There have been no material changes to the Company’s critical accounting policies and estimates since our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 full discussion of recently adopted accounting pronouncements, see "Financial Statements (Unaudited) —Note 2 – Significant Accounting Policies", to the consolidated financial statements included in Part I, Item 1 of this Quarterly Report on Form 10-Q.</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2022, we had cash and cash equivalents of $72.5 million and marketable securities of $68.5 million.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Rate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The rate of inflation may, however, affect our expenses, including fees paid to providers within our network, fees for prescription drugs and clinical services provided by our specialty pharmacy partners, care management costs related to providing our services, as well as other operating expenses. If our costs were to become subject to significant inflationary pressures, we may not be able to fully offset such higher costs through price increases. To the extent inflation has a significant impact on our expenses, which we are unable to recover from our customers, it may adversely affect our results of operations, financial condition and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that term is defined in Rules 13a-15(e) and 15d-15(e) under the Securities Exchange Act of 1934, as amended, or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as of the end of the period covered by this Quarterly Report on Form 10-Q, the effectiveness of our disclosure controls and procedures (as that term is defined in Rules 13a-15(e) and 15d-15(e) under the Exchange Act). Based on this evaluation, our principal executive officer and principal financial officer concluded that our disclosure controls and procedures were effective at the reasonable assurance level as of September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under the Exchange Act) that occurred during the quarter ended September 30, 2022 that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Part I, Item 1 “Financial Statements (Unaudited) — Note 7 —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October 29, 2019, in connection with our IPO, we issued and sold 6,700,000 shares of our common stock and certain of our selling stockholders offered and sold 4,800,000 shares of our common stock at a price to the public of $13.00 per share resulting in net proceeds to us of $77.6 million, after deducting the underwriting discount of $5.9 million and offering expenses of $3.6 million. All of the shares issued and sold in our IPO were registered under the Securities Act pursuant to a registration statement on Form S-1 (File No. 333-233965), which was declared effective by the SEC on October 24, 2019. The net proceeds of $77.6 million from our IPO have been invested in investment grade, interest-bearing instruments. There has been no material change in the expected use of the net proceeds from our IPO as described in our final prospectus, filed with the SEC on October 25, 2019 pursuant to Rule 424(b) relating to our Registration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Settlement of Equity Awards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Our restricted stock units are subject to vesting and the underlying shares of common stock are issued when the restricted stock units vest.</w:t>
      </w:r>
    </w:p>
    <w:p>
      <w:pPr>
        <w:spacing w:after="0" w:line="225"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In the third quarter of 2022, we withheld shares through net settlements (where the award holder receives the net of the shares vested, after surrendering a portion of the shares back to the Company for tax withholding) for certain restricted stock units that vested.</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shares surrendered back to the Company for tax withholding on restricted stock units that vested under our equity incentive plans in the three months ended September 30,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20" w:type="dxa"/>
            <w:vAlign w:val="bottom"/>
          </w:tcPr>
          <w:p>
            <w:pPr>
              <w:spacing w:after="0"/>
              <w:rPr>
                <w:sz w:val="14"/>
                <w:szCs w:val="14"/>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Maximum Dollar</w:t>
            </w:r>
          </w:p>
        </w:tc>
      </w:tr>
      <w:tr>
        <w:trPr>
          <w:trHeight w:val="162"/>
        </w:trPr>
        <w:tc>
          <w:tcPr>
            <w:tcW w:w="4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Shares That</w:t>
            </w:r>
          </w:p>
        </w:tc>
      </w:tr>
      <w:tr>
        <w:trPr>
          <w:trHeight w:val="160"/>
        </w:trPr>
        <w:tc>
          <w:tcPr>
            <w:tcW w:w="4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right"/>
              <w:ind w:right="156"/>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80" w:type="dxa"/>
            <w:vAlign w:val="bottom"/>
          </w:tcPr>
          <w:p>
            <w:pPr>
              <w:spacing w:after="0"/>
              <w:rPr>
                <w:sz w:val="13"/>
                <w:szCs w:val="13"/>
                <w:color w:val="auto"/>
              </w:rPr>
            </w:pPr>
          </w:p>
        </w:tc>
        <w:tc>
          <w:tcPr>
            <w:tcW w:w="1580" w:type="dxa"/>
            <w:vAlign w:val="bottom"/>
            <w:gridSpan w:val="3"/>
          </w:tcPr>
          <w:p>
            <w:pPr>
              <w:jc w:val="right"/>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8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480" w:type="dxa"/>
            <w:vAlign w:val="bottom"/>
            <w:gridSpan w:val="2"/>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May Yet Be Purchased</w:t>
            </w: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Shares Repurchased </w:t>
            </w:r>
            <w:r>
              <w:rPr>
                <w:rFonts w:ascii="Times New Roman" w:cs="Times New Roman" w:eastAsia="Times New Roman" w:hAnsi="Times New Roman"/>
                <w:sz w:val="18"/>
                <w:szCs w:val="18"/>
                <w:b w:val="1"/>
                <w:bCs w:val="1"/>
                <w:color w:val="auto"/>
                <w:vertAlign w:val="superscript"/>
              </w:rPr>
              <w:t>(1)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20" w:type="dxa"/>
            <w:vAlign w:val="bottom"/>
          </w:tcPr>
          <w:p>
            <w:pPr>
              <w:spacing w:after="0"/>
              <w:rPr>
                <w:sz w:val="19"/>
                <w:szCs w:val="19"/>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Under the Program</w:t>
            </w:r>
          </w:p>
        </w:tc>
      </w:tr>
      <w:tr>
        <w:trPr>
          <w:trHeight w:val="250"/>
        </w:trPr>
        <w:tc>
          <w:tcPr>
            <w:tcW w:w="4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57"/>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2022 through July 31, 2022</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42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00" w:type="dxa"/>
            <w:vAlign w:val="bottom"/>
            <w:shd w:val="clear" w:color="auto" w:fill="CCEEFF"/>
          </w:tcPr>
          <w:p>
            <w:pPr>
              <w:spacing w:after="0"/>
              <w:rPr>
                <w:sz w:val="22"/>
                <w:szCs w:val="22"/>
                <w:color w:val="auto"/>
              </w:rPr>
            </w:pPr>
          </w:p>
        </w:tc>
        <w:tc>
          <w:tcPr>
            <w:tcW w:w="158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2022 through August 30,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00" w:type="dxa"/>
            <w:vAlign w:val="bottom"/>
          </w:tcPr>
          <w:p>
            <w:pPr>
              <w:spacing w:after="0"/>
              <w:rPr>
                <w:sz w:val="21"/>
                <w:szCs w:val="21"/>
                <w:color w:val="auto"/>
              </w:rPr>
            </w:pPr>
          </w:p>
        </w:tc>
        <w:tc>
          <w:tcPr>
            <w:tcW w:w="158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2022 through September 30,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16,285</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30,869</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00" w:type="dxa"/>
            <w:vAlign w:val="bottom"/>
          </w:tcPr>
          <w:p>
            <w:pPr>
              <w:spacing w:after="0"/>
              <w:rPr>
                <w:sz w:val="22"/>
                <w:szCs w:val="22"/>
                <w:color w:val="auto"/>
              </w:rPr>
            </w:pPr>
          </w:p>
        </w:tc>
        <w:tc>
          <w:tcPr>
            <w:tcW w:w="158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160" w:hanging="152"/>
        <w:spacing w:after="0"/>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Represents shares withheld on net settlements of restricted stock units that vested under our equity incentive plans.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all of the information contained in this Quarterly Report on Form 10-Q, including the sections titled “Cautionary Note Regarding Forward-Looking Statements” and Part I, Item 2. “Management’s Discussion and Analysis of Financial Condition and Results of Operation” and our consolidated financial statements and the accompanying notes included elsewhere in this Quarterly Report on Form 10-Q.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including variants, has had and is expected to continue to have, and similar health epidemics or pandemics could in the future have, an adverse impact on our business, operations, and the markets and communities in which we and our clients, members and providers operate.</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COVID-19 pandemic continues to evolve, with pockets of resurgence and the emergence of variant strains contributing to continued uncertainty about its scope, duration, severity, trajectory and lasting impact. The pandemic has adversely impacted, and may continue to adversely impact, many aspects of our business. Our revenue growth for the nine months ended September 30, 2022 and 2021 was negatively impacted by COVID-19, including variants, and our revenue growth in future periods may continue to be adversely impacted by COVID-19. Our providers have delayed and may in the future delay new fertility cycles because they operate in areas acutely affected by the COVID-19 pandemic, on account of executive orders to postpone non-emergent surgeries or other medical treatments, or in order to conserve medical resources for non-fertility related medical treatments. Many of our members live in communities that have been acutely affected by the COVID-19 pandemic and have delayed and may not want to continue or begin new fertility cycles during the pandemic, including due to any resurgences in infections. Emerging research and the limited consumer information on the impact of COVID-19 vaccines on pregnancy may also affect member behavior and utilization. Furthermore, as certain of our potential clients experience downturns or uncertainty in their own business operations and revenue because of the economic effects resulting from the COVID-19 pandemic, they have and may continue to decrease their spending on health benefits, which may disproportionately impact fertility benefits, and delay or cancel implementation of fertility benefits. Each of these factors could affect member behavior, our utilization rates and the number of members enrolled in our clients’ benefit plans.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potential direct impacts to our business, the economy may continue to be impacted as a result of the COVID-19 pandemic, including any resurgences in infections, and actions taken in response to it. To the extent a weakened economy impacts clients’ or members’ ability or willingness to pay for our benefit, or our vendors’, including any pharmacy program partners’, ability to provide services to us, we could see our business and results of operations negatively impacted.</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corporate offices are open to employees on a hybrid basis, while implementing additional health and safety measures and protocols in response to the pandemic. We may take further actions that alter our operations as may be required by federal, state, or local authorities, or which we determine are in the best interests of our business, our employees and the communities we serve. While most of our operations can be performed remotely, there is no guarantee that we will be as effective while working partially remotely, or, if required, fully remotely, because our team is dispersed, many employees may have additional personal needs to attend to, and employees may become sick themselves and be unable to work or travel to our office. Decreased effectiveness of our team could adversely affect our results due to our inability to meet in person with potential clients, and in some cases, relative to our previous expectations, delays in onboarding new clients, responding to members, data collection and review, and a corresponding reduction in growth, or other decreases in productivity that could seriously harm our business. In addition, working remotely could increase our cybersecurity risk and make us more susceptible to communication disruptions, which could adversely impact our business operations or delay necessary interactions with our clients, members, providers and other third parties. Furthermore, we may decide to postpone or cancel planned investments in our business in response to changes in our business as a result of the COVID-19 pandemic, which may impact our member utilization and rate of growth, either of which could seriously harm our business.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while the potential impact and duration of the COVID-19 pandemic on the global economy and our business in particular may be difficult to assess or predict, the pandemic has resulted in, and may continue to result in, significant disruption of global financial markets, which could reduce our ability to access capital and could negatively affect our liquidity in the future.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to expand our customer base and develop and expand our sales and marketing capabilities.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global impact of COVID-19, due to variants and resurgences of infections, continues to rapidly evolve, and we will continue to monitor the situation closely. We do not yet know the full extent of potential delays or impacts on our business, operations, or the global economy as a whole. The ultimate impact of the COVID-19 pandemic or a similar health epidemic or pandemic is highly uncertain and subject to change; and will depend on numerous evolving factors that we may not be able to accurately predict, including without limitation: the trajectory, duration, scope, severity, and 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resurgences of the COVID-19 pandemic; the effectiveness and evolution of vaccine rollout plans, including any mandates, in particular as new variants emerge; the public’s perception of the safety of the vaccines and other treatments and their willingness to take the vaccines or other treatments; the existence and prevalence of new variants of the virus; the continued impact on worldwide macroeconomic conditions, including interest rates, employment rates and consumer confidence; governmental, business, and individuals' actions that have been, and continue to be, taken in response to the pandemic; the effect on our providers, clients and members; changes in demand for our services; our ability to sell and provide our services; the ability of our clients and members to pay for our services; the health of, and the effect on, our workforce; and the potential effects on our internal controls, including our internal control over financial reporting, as a result of changes in working environments for our employees and business partners. While the effects of the COVID-19 pandemic may eventually be contained or mitigated, there is no guarantee that any future resurgences or future outbreak of this or any other widespread epidemics or pandemics will not occur, or that the global economy will recover, either of which could seriously harm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operating results, which would cause our stock price to decline.</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have provided and may continue to provide guidance about our business and future operating results. On November 3, 2022, we issued guidance for the fiscal quarter and fiscal year ending December 31, 2022. This guidance, which consists of forward-looking statements, is qualified by, and subject to, such assumptions, estimates and expectations as of the date such guidance is given and may be revised at a later time, solely in our discretion, as we learn more information. Such forward 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developing this guidance, our management must make certain assumptions and judgments about its future performance. Some of those key assumptions relate to the impact of the COVID-19 pandemic, economic conditions globally, and the impact on the volumes and behavior of both clinics and members which are inherently difficult to predict. While the guidance may be presented with numerical specificity, it is necessarily speculative in nature.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and which could adversely affect our business and future operating results. Additionally, we are relying on the reports and models of economic and medical experts in making assumptions relating to the duration of the COVID-19 pandemic and predictions as to timing and pace of any future economic recovery. If these models are incorrect or incomplete, or if we fail to accurately predict the full impact that the COVID-19 pandemic or other factors will have on all aspects of our business, the guidance and other forward-looking statements we provide may also be incorrect or incomplete. Furthermore, if we make downward revisions of our previously announced guidance, or if our publicly announced guidance of future operating results fails to meet expectations of securities analysts, investors or other interested parties, the price of our common stock would decline.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fertility market in which we participate is competitive, and if we do not continue to compete effectively, our results of operations could be harmed.</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The market for our solutions is competitive and is likely to attract increased competition, which could make it hard for us to succeed. We compete on the basis of several factors, including the comprehensiveness of our benefits solutions and the Smart Cycle (our unique approach to benefits plan design which ensures that members always have coverage for a full treatment cycle as their access to treatment is not limited by a dollar maximum that could be exhausted mid-treatment), superior clinical outcomes, access for all employee groups (including LGBTQ+ and single mothers by choice), equitable access to care across geographies, quality of the member experience and comprehensive member support, access to our selective Center of Excellence (our proprietary, credentialed network of high-quality fertility specialists), data reporting and sharing and access to an integrated pharmacy solution. While we do not believe any single competitor offers a similarly robust and integrated fertility and family building benefits solution as to what we provide, there are alternative solutions in the market such as the health insurance companies who are able to provide fertility benefits management services as part of their overall administration of a company's health plan and who are our primary competition. In addition, other competitors include specialty fertility-focused solutions owned or sponsored by the health insurance companies to provide more comprehensive support to fertility patients than their general medical coverage provides, such as case management or educational support, and the venture capital or private equity-backed companies who focus on maternity and reproductive health services more broadly, or who provide fertility-specific benefits solutions.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we market our solutions to potential clients that currently utilize other vendors to manage their employees’ fertility benefits,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Progyny Rx.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 failure of our platform to continue to maintain market acceptance, which would harm our business, financial condition and results of operations.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Many healthcare industry participants are consolidating to create larger and more integrated healthcare delivery systems with greater market power and we expect regulatory and economic conditions to result in additional consolidation in the healthcare industry. Additionally, financial investors are acquiring fertility practices and this may accelerate consolidation within the industry. Although comprehensive, our solution is a standalone fertility benefit. Clients may prefer a single healthcare solution, which could adversely affect our ability to retain existing clients or grow our client base. In addition, we work with partner organizations to market our benefit to potential clients. As consolidation accelerates, the economies of scale of our partners’ organizations may grow. If a partner experiences sizable growth following consolidation, it may determine that it no longer needs to rely on us and may reduce its demand for our services. Furthermore, as healthcare providers consolidate to create larger and more integrated healthcare delivery systems with greater market power, these providers may try to use their market power to negotiate fee increases for their services. Finally, consolidation may also result in the acquisition of our partners by competitors or development by our partners of products and services that compete with our products and services. Any of these potential results of consolidation could have a material adverse effect on our business, financial condition and results of operations.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our growth strategy, we are focused on retaining and expanding our services within our existing client base. A client can expand the fertility benefits they offer to their employees a number of ways, including by adding egg freezing or increasing the number of Smart Cycle units under their benefits plan (i.e., from two to three Smart Cycles per household). In addition, our fertility benefits solution clients can purchase our add-on Progyny Rx solution. We went live with Progyny Rx in 2018 and 84% of our clients have now launched this solution, including approximately 93% of the clients we signed in 2021.</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affect our ability to retain our existing clients and sell additional solutions to them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timeliness and outcomes of our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timeliness, outcome, performance and functionality of competing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appropriately expand our Center of Excellence network of high-quality fertility specialists;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complementary solutions and services that will enhance our comprehensive fertility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laws, regulations or the enforcement of such laws and regulations, or trends;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increase in unemployment rate;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and the business environment of our clients and, in particular, slowing growth or reduction in our clients’ headcount;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our clients, resulting in a change to their benefits program or a shift to one of our competitors.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serve over 280 employers with at least 1,000 covered lives in the United States across more than 30 industries. For the nine months ended September 30, 2022, two of our clients accounted for 16% and 10%, or a combined 26%, of our total revenue. For the nine months ended September 30, 2021, two clients accounted for 18% and 15%, or a combined 33%, of our total revenue. No other clients accounted for more than 10% of our total revenue for the nine months ended September 30, 2022 and 2021. Engagement with these clients is generally covered through contracts that are multi-year in duration. One or both of these clients may terminate early or decline to renew their existing contracts with us upon expiration and any such termination or failure to renew could have a negative impact on our revenue and compromise our growth strategy. Clients, including our two largest clients, could also renegotiate pricing terms at the time of renewal, which could have a negative impact on our revenue. In addition, we generate a significant portion of our revenue from clients in the technology industry. Any of a variety of changes in that industry, including changes in economic conditions, mergers or consolidations, reduced spending on benefits programs and other factors, could adversely affect our business, financial condition and results of operations.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clients, our business, financial condition and results of operations would be adversely affected.</w:t>
      </w:r>
    </w:p>
    <w:p>
      <w:pPr>
        <w:spacing w:after="0" w:line="20"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8"/>
          <w:szCs w:val="18"/>
          <w:color w:val="auto"/>
        </w:rPr>
        <w:t>To increase our revenue, we must continue to attract new clients. Our ability to do so depends in large part on the success of our sales and marketing efforts, and the success of attracting industry leaders in diversified sectors, which could prompt others in the same sectors to follow suit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including due to general economic conditions, and high unemployment rates, impacts related to outbreaks and resurgences of contagious diseases or worsening thereof, including the COVID-19 pandemic, a decrease in business investments, including spending on employee benefits, and other factors. If the markets for our solutions decline or grow more slowly than we expect, or if the number of clients that contract with us for our solutions declines or fails to increase as we expect, our financial results could be harmed.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2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change in the level or the mix of the utilization of our solutions could have an adverse effect on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control nor can we impact the level of utilization of our solutions or the mix of utilization of our solutions for each of our clients, in particular for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 that results in business failures and high unemployment rates; outbreaks and resurgence of contagious diseases and or the worsening thereof, including the COVID-19 pandemic; employers no longer offering comprehensive health coverage or offering alternative solutions such as coverage on a voluntary, employee-funded basis; labor shortages at our clinics; federal and state legal and/or regulatory changes; changes to taxability of medical benefits; failure to adapt and respond effectively to the changing medical landscape, changing laws, regulations and government enforcement priorities, changing client needs, requirements or preferences; premium increases and benefits changes; negative publicity, through social media or otherwise and news coverage.</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 is also difficult for us to predict the level or mix of utilization of our services at the member level nor do we have any control over the level or mix of utilization of our services. If the actual utilization of our services by members is significantly greater than budgeted, the client may be responsible for corresponding costs that exceed its planned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expenditure. If we cannot help our clients accurately predict the level of utilization by their employees, our clients may turn to alternative solutions, and our business and profitability would be adversely impacted.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with our current platform of solutions, which makes it difficult to predict our future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healthcare trends and regulations, changes to science relating to the fertility market, a decrease in the growth of the fertility market, or our failure, for any reason, to continue to take advantage of growth opportunities.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sustain profitability in the future.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experienced net losses from 2015 to 2019. Our net loss from continuing operations was $8.6 million for the year ended December 31, 2019. While we have experienced significant revenue growth since 2016, achieved profitability starting in 2020 and currently project future profitability, we cannot guarantee whether we will obtain sufficient levels of sales to sustain our growth or maintain profitability in the future. We also expect our costs and expenses to increase in future periods, which could negatively affect our future results of operations if our revenue does not increase. In particular, we intend to continue to incrementally expand our sales and client account management teams to educate potential clients and drive new client adoption, as well as enhance the scope of Progyny benefits within our existing client base. We also expect to incur additional costs as we introduce new solutions and services to enhance our comprehensive fertility offering. We will also face increased compliance costs associated with our growth, and the expansion of our client base. In addition, we incur significant legal, accounting and other expenses related to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or developments in the health insurance markets in the United States, including passage and implementation of a law to create a single-payer or government-run health insurance program, could adversely harm our business and operating results.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operates within the public and private sectors of the U.S. health insurance system, which are evolving quickly and subject to a changing regulatory environment, and our future financial performance will depend in part on growth in the market for private health insurance, as our solutions are integrated with health insurance plans offered by insurance carriers for our clients or our clients’ self-insured plans, as well as our ability to adapt to regulatory developments. Changes and developments in the health insurance system in the United States could reduce demand for our services and harm our business. For example, there has been an ongoing national debate relating to the health insurance system in the United States. Certain elected officials have introduced proposals that would create a new single-payer national health insurance program for all United States residents, replacing virtually all other sources of public and private insurance, to more incremental approaches, or creating a new public health insurance option that would compete with private insurers. Additionally, proposals to establish a single-payer or government-run healthcare system at the state level are regularly introduced, such as in New York and California. At the federal level, President Biden and Congress may consider other legislation and/or executive orders to change elements of the ACA. In June 2021, the U.S. Supreme Court dismissed the most recent judicial challenge to the ACA brought by several states and ruled that the plaintiffs lacked standing to challenge the individual mandate provision, thus leaving the ACA in effect without ruling on the constitutionality of the individual mandate.</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28, 2021, President Biden issued an Executive Order that iterates the policy of the Administration to protect and strengthen the ACA, making high-quality healthcare accessible and affordable to all Americans. The Executive Order directed federal agencies to examine agency actions to determine whether they are consistent with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Administration’s commitment regarding the ACA, and begin rulemaking to suspend, revise, or rescind any inconsistent actions. Areas of focus include policies or practices that may reduce affordability of coverage, present unnecessary barriers to coverage, or undermine protections for people with preexisting conditions. We continue to evaluate the effect that the ACA and its possible modifications, repeal and replacement has on our business. We cannot predict the timing or impact of any future rulemaking, court decisions or other changes in the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that laws, regulations or rules that eliminate or reduce private sources of health insurance or require such benefits to be taxable are adopted, the subsequent impact on the insurance carriers and/or self-insured plans may in turn adversely impact our ability to accurately forecast future results and harm our business, financial condition and results of operations.</w:t>
      </w:r>
    </w:p>
    <w:p>
      <w:pPr>
        <w:spacing w:after="0" w:line="172"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health benefits industry may be subject to negative publicity, which can arise from, among other things, increases in premium rates, industry consolidation, cost of care initiatives, drug prices and the ongoing debate over the ACA. In addition, negative publicity may result in increased regulation and legislative review of industry practices, which may further increase our costs of doing business and adversely affect our profitability. For example, PBM programs and drug rebates have been criticized as leading to a lack of transparency about the true cost of a drug, and certain members of Congress as well as HHS’s Office of Inspector General, or OIG, have proposed regulatory changes that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our provider clinics, specialty pharmacies or other downstream vendors lag, fail or suffer security breaches, we may incur a material disruption of our services or suffer a loss or inappropriate disclosure of confidential information, which could materially impact our business and the results of operations</w:t>
      </w:r>
      <w:r>
        <w:rPr>
          <w:rFonts w:ascii="Times New Roman" w:cs="Times New Roman" w:eastAsia="Times New Roman" w:hAnsi="Times New Roman"/>
          <w:sz w:val="18"/>
          <w:szCs w:val="18"/>
          <w:i w:val="1"/>
          <w:iCs w:val="1"/>
          <w:color w:val="auto"/>
        </w:rPr>
        <w: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technology systems that support our business strategy initiatives and processes in a compliant, secure, and cost and resource efficient manner. If we or our provider clinics, specialty pharmacies or other downstream vendors have an issue with our or their respective technology systems, it may result in a disruption to our operations or downstream disruption to our relationships with our clients or our selective network of high-quality fertility specialists. Additionally, if we choose to insource any of the services currently handled by a third party, it may result in technological or operational disruptions.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current environment, there are numerous and evolving risks to cybersecurity and privacy, including criminal hackers, hacktivists, state-sponsored intrusions, industrial espionage, employee malfeasance and human or technological error. High-profile security breaches at other companies and in government agencies have increased in recent years. There is possibility of targeted cyber-attacks by foreign countries or entities that could impact United States government and private companies’ technological infrastructures, some of which we utilize to provide our services. The healthcare industry has seen a shift to an accelerated use of digital and technological platforms, especially due to the COVID-19 pandemic, including its variants. As a result of such shift, there have been and may continue to be more targeted cybersecurity attacks and threats on us, our vendors, provider clinics and specialty pharmacies. Despite the implementation of security measures, including steps designed to secure our technology infrastructure and sensitive data, we can provide no assurance that our current technology system or any updates or upgrades thereto, the current or future technology systems of our provider clinics, specialty pharmacies or other downstream vendors, are fully protected against malicious intrusion, malware, computer viruses, unauthorized access, natural disasters, terrorism, war, telecommunication and electrical failures, information or data theft or other similar risks.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experienced in the past and expect to continue to experience actual and attempted cyber-attacks of our IT networks,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security breach were to result in a loss or inappropriate disclosure of confidential information, we could incur liability. We have access to sensitive information relating to members, our employees and our business partners in the ordinary course of our business. Any failure or perceived failure by us, or our third-party contractors on our behalf, to comply with local and foreign laws regarding privacy and data security, as well as contractual commitments in this respect, may result in governmental enforcement claims,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customers and have a material adverse effect on us. To the extent such disruptions or uncertainties result in the theft, destruction, loss or misappropriation or release of our confidential data or our intellectual property, our business and results of operations could be materially and adversely affected. See “—Risks Related to Government Regulation— We operate in a highly regulated industry and must comply with a significant number of complex and evolving legal and regulatory requirements—Data Protection and Breaches.”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clients rely on our client account management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account management personnel, our ability to provide adequate and timely support to our members and clients would be negatively impacted, and our members’ and clients’ satisfaction with our solutions and services would be adversely affected.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marketing efforts depend significantly on our ability to receive positive references from our existing clients, channel partners and benefit consultants.</w:t>
      </w:r>
    </w:p>
    <w:p>
      <w:pPr>
        <w:spacing w:after="0" w:line="159"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Our marketing efforts depend significantly on our ability to call on our current clients, channel partners and benefit consultants to provide positive references to new, potential clients. Given our limited number of long-term clients, the loss or dissatisfaction of any client, channel partnership or benefit consulting relationship could substantially harm our brand and reputation, inhibit the market adoption of our offering and impair our ability to attract new clients and maintain existing clients. Any of these consequences could have an adverse effect on our business, financial condition and results of operations.</w:t>
      </w:r>
    </w:p>
    <w:p>
      <w:pPr>
        <w:spacing w:after="0" w:line="16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client base and achieve broader market acceptance of solutions we provide.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revenue may not grow at the rates they historically have, or at all.</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6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attract new clients and maintain existing clients;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solutions and services effectively so that we are able to attract new clients, expand sales to our existing clients and maintain profitability;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clients and members with client support that meets their needs, including through dedicated PCAs;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successful collection of member cost shares and other applicable receivable balances directly from members;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maintain relationships with high-quality and respected fertility specialists;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highly qualified personnel to support all clients and members;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satisfactory relationships with insurance carriers;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and successfully compete with other companies.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225"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our revenue growth does not meet our expectations in future periods, we may not maintain profitability in the future, our business, financial position and results of operations may be harmed.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Market opportunity estimates and growth forecasts are subject to significant uncertainty and are based on assumptions and estimates that may not prove to be accurate. Furthermore, the healthcare industry is rapidly evolving and the markets for fertility benefits management and the related fertility pharmacy benefits management are relatively immature. Market opportunity estimates and growth forecasts, including those we have generated ourselves, are subject to significant uncertainty and are based on assumptions and estimates that may not prove to be accurate, including the risks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herein. Even if the markets in which we compete achieve the forecasted growth, our business could fail to grow at similar rates, if at all.</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estimates of the market opportunity for our services are based on the assumption that the purpose-built, data-driven and disruptive fertility benefits platform with the Smart Cycle plan design we offer will be attractive to employers. Employers may pursue alternatives or may not see the value in providing enhanced fertility-related coverage and services to their employees. In addition, we believe we are helping to expand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87" w:lineRule="exact"/>
        <w:rPr>
          <w:sz w:val="20"/>
          <w:szCs w:val="20"/>
          <w:color w:val="auto"/>
        </w:rPr>
      </w:pPr>
    </w:p>
    <w:p>
      <w:pPr>
        <w:jc w:val="both"/>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Additionally, in June 2022 the U.S. Supreme Court in </w:t>
      </w:r>
      <w:r>
        <w:rPr>
          <w:rFonts w:ascii="Times New Roman" w:cs="Times New Roman" w:eastAsia="Times New Roman" w:hAnsi="Times New Roman"/>
          <w:sz w:val="18"/>
          <w:szCs w:val="18"/>
          <w:i w:val="1"/>
          <w:iCs w:val="1"/>
          <w:color w:val="auto"/>
        </w:rPr>
        <w:t>Dobbs v. Jackson Women's Health Organization</w:t>
      </w:r>
      <w:r>
        <w:rPr>
          <w:rFonts w:ascii="Times New Roman" w:cs="Times New Roman" w:eastAsia="Times New Roman" w:hAnsi="Times New Roman"/>
          <w:sz w:val="18"/>
          <w:szCs w:val="18"/>
          <w:color w:val="auto"/>
        </w:rPr>
        <w:t xml:space="preserve"> reversed </w:t>
      </w:r>
      <w:r>
        <w:rPr>
          <w:rFonts w:ascii="Times New Roman" w:cs="Times New Roman" w:eastAsia="Times New Roman" w:hAnsi="Times New Roman"/>
          <w:sz w:val="18"/>
          <w:szCs w:val="18"/>
          <w:i w:val="1"/>
          <w:iCs w:val="1"/>
          <w:color w:val="auto"/>
        </w:rPr>
        <w:t>Roe v. Wade</w:t>
      </w:r>
      <w:r>
        <w:rPr>
          <w:rFonts w:ascii="Times New Roman" w:cs="Times New Roman" w:eastAsia="Times New Roman" w:hAnsi="Times New Roman"/>
          <w:sz w:val="18"/>
          <w:szCs w:val="18"/>
          <w:color w:val="auto"/>
        </w:rPr>
        <w:t xml:space="preserve"> by holding that there is no constitutional right to abortion. Consequently, certain states have recently enacted or proposed restrictive abortion laws that may also implicate fertility procedures and travel reimbursement programs, which may decrease the demand for, or availability of, certain fertility services. Although President Biden issued executive orders intended to protect access to reproductive healthcare services, the enactment of certain state laws restricting abortion care may conflict with, and ultimately limit, the covered benefits offered by a company to its employees and the types of fertility treatment services available at provider clinics. We cannot predict the timing or impact of any future rulemaking, executive orders, court decisions or other changes in the law, or in how such laws, once enacted, would be interpreted and enforced.</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 Any losses, costs or liabilities may not be covered by, or may exceed the coverage limits of, any or all applicable insurance policies.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usage of our solutions grows, we will need to devote additional resources to improving and maintaining our infrastructure. In addition, we will need to appropriately scale our internal business systems and our client account management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the global economy or our industry could limit our ability to grow our business and negatively affect our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Market volatility and uncertainty related to general economic conditions remain widespread, making it very difficult for our clients and us to accurately forecast and plan future business activities. Negative conditions in the general economy in the United States, including conditions resulting from changes in gross domestic product growth, financial and credit market fluctuations, inflation, consumer confidence, international trade relations, political turmoil, natural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catastrophes, resurgences or outbreaks of contagious diseases or the worsening thereof, including the COVID-19 pandemic, warfare and terrorist attacks on the United States, could cause a decrease in business investments, including spending on employee benefits, and negatively affect the growth of our business. Economic conditions including inflation, interest rate fluctuations, changes in capital market conditions and regulatory changes, such as the taxability of medical benefits like ours, may affect our ability to obtain necessary financing on acceptable terms.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Unfavorable changes in our industry, including reductions in general healthcare spending, or in the United States economy could have a negative effect on our and our clients’ and potential clients’ results of operations. This could result in the delay or cancellation by certain clients, especially if purchases of our solution are perceived by clients and potential clients to be discretionary, or if they experience a reduction in their employee headcounts, whether due to reductions in force or turnover, or are unable to grow employee headcounts or there are material defaults by members on past amounts due. An increase in the cost of obtaining fertility medication or general medical cost inflation could also negatively impact our results of operation. In addition, the increased pace of consolidation in the healthcare industry may result in competitors with greater market power. We cannot predict the timing, strength, or duration of any economic slowdown, instability, or recovery, generally or within any particular industry.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experiences seasonality, which may cause fluctuations in our sales and results of operations.</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Our business experiences moderate seasonality in revenue with a slightly higher proportion of revenue during the second half of the year as compared with the first half. Given that the majority of our clients contract with us for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benefits plan start date and that the average cost of treatments earlier in the overall treatment process is somewhat lower than the average cost as treatment progresses, our revenue from treatment services tend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date, we have derived a substantial majority of our revenue from sales of our fertility benefits and Progyny Rx solutions. As we operate in an evolving industry and new markets, our long-term results of operations and continued growth will depend on our ability to successfully develop and market new successful solutions and services to our clients. If our existing clients 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 unable to modify our solutions and services on a timely basis, we may lose clients. Our results of operations would also suffer if our innovations are not responsive to the needs of the members, appropriately timed with market opportunity or effectively brought to market.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the changing medical landscape, changing laws, regulations and government enforcement priorities, changing client needs, requirements or preferences, our offerings may become less competitive.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market in which we compete is subject to a changing medical landscape and changing laws, regulations and government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upon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could be harmed.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and future growth depend largely upon the continued services of our management team and our other key employees, and on our ability to continue to identify, attract, develop, integrate and retain them. From time to time, there are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other key employees, or the failure by our executive team to effectively work with our employees and lead our company could in the future harm our business.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experienced sales and client account management personnel. There is no guarantee we will be able to attract such personnel or that competition among potential employers will not result in us being required to offer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Additionally, our performance also depends in part on the successful integration of newly hired executive officers or other key employees into their roles. If we fail to attract new personnel or fail to retain and motivate our current personnel, our business and future growth prospects could be harmed. Further, if members of our management and other key personnel in critical functions across our organization are unable to perform their duties or have limited availability, including due to the impacts of the COVID-19 pandemic, we may not be able to execute on our business strategy and/or our operations may be negatively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mission we are pursuing promotes a sense of greater purpose and fulfillment in our employees. We have invested substantial time and resources in building our culture, and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is dependent upon our continued ability to maintain a selective Center of Excellence, our proprietary, credentialed network of high-quality fertility specialists. Fertility specialists and our other network providers could refuse to contract,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profitably. If we are not successful in maintaining our relationships with top fertility specialists, these fertility specialists may refuse to renew their contracts with us, and potential competitors may be effective in onboarding these or other high-quality fertility specialists to create a similarly high-quality network. Any of these events could have a material adverse effect on the provision of services to our members and our operations.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not associated with us, such as legal and regulatory changes, including changes in government enforcement priorities, impacting providers or consolidation activity among hospitals, physician groups and healthcare providers. In addition, in some markets and geographies,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and may change the competitive landscape. Such organizations or groups of healthcare providers may compete directly with us, which could adversely affect our operations, and our results of operations, financial position, and cash flows by impacting our relationships with these providers or affecting the way that we price our products and estimate our costs, which might require us to incur costs to change our operations. Healthcare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our network providers may assert, or threaten to assert, claims seeking to terminate our contractual arrangements. If enough provider agreements were terminated, such termination could adversely impact the adequacy of our network to service our members, and may put us at risk of non-compliance with applicable federal and state laws. If we are unable to retain our current provider contract terms or enter into new provider contracts timely or on favorable terms, our profitability may be harmed. In addition, from time to time, we may in the future be subject to class action or other lawsuits by healthcare providers with respect to claims payment procedures, reimbursement policies, network participation, or similar matters. In addition,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perceived value of our solutions and our reputation may be negatively impacted if the services provided by one or more of our fertility specialists or another network healthcare provider are not satisfactory to our members, including as a result of provider error that could result in litigation. For example, if a provider within our network experiences an issue with their cryopreservation techniques or releases sensitive information of our members, it could result in us incurring additional expenses, expose us to public scrutiny, adversely affect our brand and reputation, expose us to litigation and/or regulatory action, and otherwise make our operations vulnerable. Further, if a fertility specialist provides services that result in less than favorable outcomes, this could cause us to fail to meet our contractually guaranteed specified service metrics, and we could be obligated to provide the client with a fee reduction. The failure to maintain our selective network of high-quality fertility specialists and other healthcare providers or the failure of those providers to meet and exceed our members’ expectations, may result in a loss of or inability to grow or maintain our client base, which could adversely affect our business, financial condition and results of operations.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and monitoring of, third parties, including channel partners, vendors, as well as insurance carriers.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grow our business, we anticipate that we will continue to depend on our relationships with third parties, including channel partners, vendors and insurance carriers among others.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18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addition, our arrangements with these third parties may expose us to public scrutiny, adversely affect our brand and reputation, expose us to litigation and/or regulatory action, and otherwise make our operations vulnerable if we fail to adequately monitor their performance or if they fail to meet their contractual obligations to us or to comply with applicable laws or regulations.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efficient pharmacy distribution network or if there is a disruption to our network of specialty pharmacies or their supply chains, our business, financial condition and results of operations could suffer.</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timely delivery of fertility prescriptions is essential for fertility treatments. If prescriptions are delivered late or become unavailable, it may result in postponement of a member’s treatment cycle and member dissatisfaction with our solutions. We believe that our ability to maintain and grow the adoption of Progyny Rx is highly dependent on our success in maintaining an efficient pharmacy distribution network and our record of on-time delivery. The specialty pharmacies in our network could refuse to contract, demand higher drug pricing or take other actions that could result in higher medical costs or less attractive services for our members.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Specialty pharmacies could face supply chain issues or regulatory delays impacting the availability or distribution of certain fertility prescriptions requiring drug substitutions that could result in higher medical costs or negatively impact our revenues, rebates and results of operations. We do not control the pricing strategies or supply chains of our specialty pharmacy partners, each of whom may be impacted by general economic considerations including inflation and other independent considerations and drivers that are outside our control and each of whom has the ability to set or impact market price for different prescription medications. We also cannot provide any assurance that we will be able to continue to renew our existing contracts, current negotiated pricing or discounts, or enter into new contracts on a timely 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it may adversely affect our business, financial condition and results of operations. For example, in October 2022, the manufacturer of Menopur temporarily paused delivery of the drug, which has created a shortage in supply, as they await the FDA's approval to changes that were made in the manufacturing process of one of their suppliers. While we do not currently expect the Menopur shortage to negatively impact member utilization because clinicians are able to employ a combination of alternative medications to replicate the effects of Menopur, we do anticipate a temporary impact to our revenue and results of operations. A prolonged halt to the production of Menopur could continue to result in a negative impact to our revenue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our relationship with one or more key pharmacy program partners, or if the rebates provided by pharmacy program partners decline, our business and results of operations could be adversely affected.</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maintain contractual relationships with select pharmacy program partners, which provide us with access to limited distribution specialty pharmaceutical rebates for drugs we purchase. While we have contractual relationships with such pharmacy program partners, they in turn often negotiate complex and multi-party pricing structures with other industry participants, and we have no control over the policies and strategies implemented in negotiating these pricing structures. Such structures may set or significantly impact market prices for prescription drugs we purchase and associated rebates for such drugs. Pharmacy program partners generally direct medication pricing by setting medication list prices and offering rebates and/or discounts for their medications. Various market considerations—such as the number of competitor medications, the availability of fertility medications and alternative treatment options, and negotiated rates among industry participants—impact the list prices for medications. Our ability to obtain and maintain specialty pharmaceutical rebates, our relative bargaining power, the value of any such rebates and our ability to generate revenue are directly affected by the 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shortages of drugs provided by such manufacturers, the termination or material alteration of our contractual relationships, or our failure to renew such contracts on favorable terms could have a material adverse effect on our business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marketing efforts depend on our ability to maintain our relationship with benefits consultants.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 with the benefits consultants, our marketing efforts, business and profitability would be adversely impacted.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credit risk from our members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industry and must comply with a significant number of complex and evolving legal and regulatory requirements.</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corporate structure, solutions or services violate, or cause our clients to violate, applicable laws, regulations or other requirements could subject us or our clients to significant administrative, civil or criminal penalties. Such a determination also could require us to change or terminate portions of our business, disqualify us from serving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our reputation and could adversely affect our ability to retain and 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 additional federal and state statutes, regulations, guidance and contractual provisions related to or impacting the healthcare industry that may apply to our business activities directly or indirectly, including, but not limited to:</w:t>
      </w:r>
    </w:p>
    <w:p>
      <w:pPr>
        <w:spacing w:after="0" w:line="183" w:lineRule="exact"/>
        <w:rPr>
          <w:sz w:val="20"/>
          <w:szCs w:val="20"/>
          <w:color w:val="auto"/>
        </w:rPr>
      </w:pPr>
    </w:p>
    <w:p>
      <w:pPr>
        <w:jc w:val="both"/>
        <w:ind w:left="660" w:hanging="328"/>
        <w:spacing w:after="0" w:line="254"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Licensing and Licensed Personnel</w:t>
      </w:r>
      <w:r>
        <w:rPr>
          <w:rFonts w:ascii="Times New Roman" w:cs="Times New Roman" w:eastAsia="Times New Roman" w:hAnsi="Times New Roman"/>
          <w:sz w:val="18"/>
          <w:szCs w:val="18"/>
          <w:color w:val="auto"/>
        </w:rPr>
        <w:t>. Many states have licensure or registration requirements for entities acting as a third-party administrator,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TPA, and/or PBMs. The scope of these laws differs from state to state, and the application of such laws to the activities of TPAs and/or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believe that we are otherwise authorized under such laws in those states in which we provide our TPA and PBM services. These licenses require us to comply with the rules and regulations of the governmental bodies that issued such licenses, including maintaining certain solvency or bonds requirements. Our failure to comply with such rules and regulations could result in significant administrative penalties, the suspension of a license, or the loss of a license, all of which could negatively impact our business. Additionally, from time to time, legislation is considered that would purport to declare a PBM a fiduciary with respect to its clients. While the validity of such laws is questionable and we do not believe any such laws are currently in effect, we cannot predict what effect, if any, such statutes, if enacted, may have on our business and financial results.</w:t>
      </w:r>
    </w:p>
    <w:p>
      <w:pPr>
        <w:spacing w:after="0" w:line="186"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Separately, states impose licensing requirements on insurers, risk-bearing entities, and insurance agents, as well as those entities that provide utilization review services. We do not believe that the nature of our services requires us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to be licensed under applicable state law. We are unable to predict, however,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manage regulatory compliance, and paying additional regulatory fees or penalties, which could adversely affect our results of operation. Additionally, we may need to cease operations until we are able to obtain appropriate licensure, which may adversely affect our revenue for a period of time that we cannot estimate.</w:t>
      </w:r>
    </w:p>
    <w:p>
      <w:pPr>
        <w:spacing w:after="0" w:line="18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addition, 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 We may additionally need to suspend the PCA services we provide while our personnel obtain the necessary licensure, which may adversely affect our relationships with our clients and members and cause us to be in breach of our contracts.</w:t>
      </w:r>
    </w:p>
    <w:p>
      <w:pPr>
        <w:spacing w:after="0" w:line="185" w:lineRule="exact"/>
        <w:rPr>
          <w:sz w:val="20"/>
          <w:szCs w:val="20"/>
          <w:color w:val="auto"/>
        </w:rPr>
      </w:pPr>
    </w:p>
    <w:p>
      <w:pPr>
        <w:jc w:val="both"/>
        <w:ind w:left="660" w:hanging="328"/>
        <w:spacing w:after="0" w:line="254"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HIPAA Privacy and Security Requirements</w:t>
      </w:r>
      <w:r>
        <w:rPr>
          <w:rFonts w:ascii="Times New Roman" w:cs="Times New Roman" w:eastAsia="Times New Roman" w:hAnsi="Times New Roman"/>
          <w:sz w:val="18"/>
          <w:szCs w:val="18"/>
          <w:color w:val="auto"/>
        </w:rPr>
        <w:t>. Regulations promulgated pursuant to HIPAA establish privacy and security standards that limit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use and disclosure of certain individually identifiable health information (known as “protected health information”) and require the implementation of administrative, physical and technological organizational safeguards to protect the privacy of protected health information and ensure the confidentiality, integrity and 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 specified under the privacy regulations. We also have downstream Business Associates, which provide us with services and are also subject to HIPAA regulations.</w:t>
      </w:r>
    </w:p>
    <w:p>
      <w:pPr>
        <w:spacing w:after="0" w:line="186" w:lineRule="exact"/>
        <w:rPr>
          <w:rFonts w:ascii="Times New Roman" w:cs="Times New Roman" w:eastAsia="Times New Roman" w:hAnsi="Times New Roman"/>
          <w:sz w:val="18"/>
          <w:szCs w:val="18"/>
          <w:color w:val="auto"/>
        </w:rPr>
      </w:pP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any of our downstream Business Associates, are unable to properly protect the privacy and security of protected health information entrusted to us, we could be found to have breached our contracts with our clients and be subject to investigation by HHS, Office for Civil Rights, or OCR. In the event OCR finds that we have failed to comply with applicable HIPAA privacy and security standards, we could face civil and criminal penalties. In addition, OCR performs compliance audits of Covered Entities and Business Associates in order to 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 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Privacy and Security Requirements</w:t>
      </w:r>
      <w:r>
        <w:rPr>
          <w:rFonts w:ascii="Times New Roman" w:cs="Times New Roman" w:eastAsia="Times New Roman" w:hAnsi="Times New Roman"/>
          <w:sz w:val="18"/>
          <w:szCs w:val="18"/>
          <w:color w:val="auto"/>
        </w:rPr>
        <w:t>. In addition to HIPAA, numerous other federal and state laws govern the collection, dissemination,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access to and confidentiality of personal information, some of which may be 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the CCPA, went into effect on January 1, 2020 which gives California residents certain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Further, the California Privacy Rights Act, or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Colorado, Connecticut and Utah, and have been proposed in other states and at the federal level, reflecting a trend toward more stringent privacy legislation in the United States. The enactment of such laws could have potentially conflicting requirements that would make compliance challenging.</w:t>
      </w:r>
    </w:p>
    <w:p>
      <w:pPr>
        <w:spacing w:after="0" w:line="187"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Certain of our solutions and services involve the transmission and storage of client and member data in various jurisdictions, which subjects the operation of those solutions and services to privacy or data protection laws and regulations in those jurisdictions. While we believe these solutions and services comply with current regulatory and security requirements in the jurisdictions in which we provide these solutions and services, there can be no assurance that such requirements will not change or that we will not otherwise 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and regulations. An adverse outcome under any such investigation or audit could result in fines, penalties, other liability, or could result in adverse publicity or a loss of reputation, and 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results of operations.</w:t>
      </w:r>
    </w:p>
    <w:p>
      <w:pPr>
        <w:spacing w:after="0" w:line="192" w:lineRule="exact"/>
        <w:rPr>
          <w:sz w:val="20"/>
          <w:szCs w:val="20"/>
          <w:color w:val="auto"/>
        </w:rPr>
      </w:pPr>
    </w:p>
    <w:p>
      <w:pPr>
        <w:jc w:val="both"/>
        <w:ind w:left="660" w:hanging="328"/>
        <w:spacing w:after="0" w:line="25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Protection and Breaches</w:t>
      </w:r>
      <w:r>
        <w:rPr>
          <w:rFonts w:ascii="Times New Roman" w:cs="Times New Roman" w:eastAsia="Times New Roman" w:hAnsi="Times New Roman"/>
          <w:sz w:val="18"/>
          <w:szCs w:val="18"/>
          <w:color w:val="auto"/>
        </w:rPr>
        <w:t>. In recent years, there have been a number of well-publicized data breaches involving the improper dissemination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personal information of individuals both within and outside of the healthcare industry. Laws in all 50 states require businesses to provide notice to clients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186"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 other sensitive client, member, or employee data, including HIPAA-regulated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187"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spacing w:after="0" w:line="183" w:lineRule="exact"/>
        <w:rPr>
          <w:sz w:val="20"/>
          <w:szCs w:val="20"/>
          <w:color w:val="auto"/>
        </w:rPr>
      </w:pPr>
    </w:p>
    <w:p>
      <w:pPr>
        <w:jc w:val="both"/>
        <w:ind w:left="660" w:hanging="328"/>
        <w:spacing w:after="0" w:line="255"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HIPAA Transaction and Identifier Standards</w:t>
      </w:r>
      <w:r>
        <w:rPr>
          <w:rFonts w:ascii="Times New Roman" w:cs="Times New Roman" w:eastAsia="Times New Roman" w:hAnsi="Times New Roman"/>
          <w:sz w:val="18"/>
          <w:szCs w:val="18"/>
          <w:color w:val="auto"/>
        </w:rPr>
        <w:t>. HIPAA and its implementing regulations mandate format and data content standards and provider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 implementation of the remaining types of covered transactions. The ACA also requires HHS to establish standards for health claims attachment transactions. HHS has modified the standards for electronic healthcare transactions (such as, eligibility, claims submission and payment and electronic remittance) from Version 4010/4010A to Version 5010. Further, HHS now requires the use of updated standard code sets for diagnoses and procedures known as the ICD-10 code sets. Enforcement of compliance with these standards falls under HHS and is carried out by CMS.</w:t>
      </w:r>
    </w:p>
    <w:p>
      <w:pPr>
        <w:spacing w:after="0" w:line="188"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Fraud and Abuse Laws</w:t>
      </w:r>
      <w:r>
        <w:rPr>
          <w:rFonts w:ascii="Times New Roman" w:cs="Times New Roman" w:eastAsia="Times New Roman" w:hAnsi="Times New Roman"/>
          <w:sz w:val="18"/>
          <w:szCs w:val="18"/>
          <w:color w:val="auto"/>
        </w:rPr>
        <w:t>. Many of our clients, insurance carriers, and network healthcare providers are impacted directly and indirectly by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fraud and abuse laws, including the federal Anti-Kickback Statute, the Physician Self-Referral Law, commonly referred to as the Stark Law, and the False Claims Act, as well as their state</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equivalents. Because the solutions and services we provide are not reimbursed by government healthcare payors, such fraud and abuse laws generally do not directly apply to our business; however, some laws may be applicable to us. For example, certain states have anti-kickback and false claims laws that may be broader in scope than analogous federal laws and may apply to items and services reimbursed by any third-party payor, including private insurers, self-insured employers and on a cash basis by patients.</w:t>
      </w:r>
    </w:p>
    <w:p>
      <w:pPr>
        <w:spacing w:after="0" w:line="18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laws, regulations and other requirements in this area are both broad and complex and judicial and regulatory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and state healthcare programs. Any determination by a federal or state regulatory authority that any of our activities or those of our clients or vendors violate any of these laws or regulations could subject us to significant administrative, civil or criminal penalties, damages, disgorgement, monetary fines or imprisonment, require us to enter into corporate integrity agreements or similar agreements with ongoing compliance obligations, disqualify us from providing services to clients that are, or do business with, government healthcare programs and/or have an adverse impact on our business, financial condition and results of operations. Even an unsuccessful challenge by a regulatory authority of our activities could result in adverse publicity and could require a costly response from us.</w:t>
      </w:r>
    </w:p>
    <w:p>
      <w:pPr>
        <w:spacing w:after="0" w:line="184" w:lineRule="exact"/>
        <w:rPr>
          <w:sz w:val="20"/>
          <w:szCs w:val="20"/>
          <w:color w:val="auto"/>
        </w:rPr>
      </w:pPr>
    </w:p>
    <w:p>
      <w:pPr>
        <w:jc w:val="both"/>
        <w:ind w:left="660" w:hanging="328"/>
        <w:spacing w:after="0" w:line="253"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State Corporate Practice and Fee-Splitting Prohibitions. </w:t>
      </w:r>
      <w:r>
        <w:rPr>
          <w:rFonts w:ascii="Times New Roman" w:cs="Times New Roman" w:eastAsia="Times New Roman" w:hAnsi="Times New Roman"/>
          <w:sz w:val="18"/>
          <w:szCs w:val="18"/>
          <w:color w:val="auto"/>
        </w:rPr>
        <w:t>There is a risk that regulatory authorities in some jurisdictions may find that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contractual relationships with our fertility specialists violate laws prohibiting the corporate practice of medicine and/or fee-splitting. These laws generally prohibit non-physician entities from practicing medicine, exercising control over physicians or engaging in certain practices such as fee-splitting with physicians. Although we believe all of our arrangements with our network providers are in compliance with such laws, where applicable, there can be no assurance that these laws will be interpreted in a manner consistent with our practices or that other laws or regulations will not be enacted in the future that could have a material and adverse effect on our business, results of operations, and financial condition. Regulatory authorities, state medical boards, state attorneys general and other parties, including our network physicians, may assert that we are engaged in the prohibited corporate practice of medicine, and/or that our arrangement with our network providers constitutes unlawful fee-splitting. If a state’s prohibition on corporate practice of medicine or fee-splitting law is interpreted in a manner that is inconsistent with our practices, we would be required to restructure or terminate our contractual relationship with our network providers to bring our activities into compliance with such laws, disciplinary action, penalties, damages, fines, and/or a loss of revenue, any of which could have a material and adverse effect on our business, results of operations, and financial condition. State corporate practice of medicine doctrines and fee-splitting prohibitions also often impose penalties on physicians themselves for aiding the corporate practice of medicine or unlawful fee-splitting, which could discourage physicians from participating in our network of providers.</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ERISA Regulation</w:t>
      </w:r>
      <w:r>
        <w:rPr>
          <w:rFonts w:ascii="Times New Roman" w:cs="Times New Roman" w:eastAsia="Times New Roman" w:hAnsi="Times New Roman"/>
          <w:sz w:val="18"/>
          <w:szCs w:val="18"/>
          <w:color w:val="auto"/>
        </w:rPr>
        <w:t>. The Employee Retirement Income Security Act of 1974, or ERISA, regulates certain aspects of employee health plans,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including both insured and self-funded health plans sponsored by our clients, with which we have agreements to provide TPA services. As part of our agreements with a number of these clients, we offer PBM services through Progyny Rx. Because we believe the conduct of our business vis-à-vis these plans is not of a fiduciary nature, it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ERISA also imposes civil and criminal liability on service providers to health plans subject to ERISA and certain other persons with 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 ERISA plans are subject to certain rules, published by the DOL, including certain reporting requirements for direct and indirect compensation received by plan service providers. Separately, although ERISA generally preempts state laws that relate to ERISA plans, the recent Supreme Court ruling in </w:t>
      </w:r>
      <w:r>
        <w:rPr>
          <w:rFonts w:ascii="Times New Roman" w:cs="Times New Roman" w:eastAsia="Times New Roman" w:hAnsi="Times New Roman"/>
          <w:sz w:val="18"/>
          <w:szCs w:val="18"/>
          <w:i w:val="1"/>
          <w:iCs w:val="1"/>
          <w:color w:val="auto"/>
        </w:rPr>
        <w:t>Rutledge v. Pharm. 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Mgmt. Ass’n </w:t>
      </w:r>
      <w:r>
        <w:rPr>
          <w:rFonts w:ascii="Times New Roman" w:cs="Times New Roman" w:eastAsia="Times New Roman" w:hAnsi="Times New Roman"/>
          <w:sz w:val="18"/>
          <w:szCs w:val="18"/>
          <w:color w:val="auto"/>
        </w:rPr>
        <w:t>established that ERISA does not preempt all state laws imposing transparency or other requirements on PBMs.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660" w:hanging="328"/>
        <w:spacing w:after="0" w:line="254"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Prompt Pay Laws</w:t>
      </w:r>
      <w:r>
        <w:rPr>
          <w:rFonts w:ascii="Times New Roman" w:cs="Times New Roman" w:eastAsia="Times New Roman" w:hAnsi="Times New Roman"/>
          <w:sz w:val="18"/>
          <w:szCs w:val="18"/>
          <w:color w:val="auto"/>
        </w:rPr>
        <w:t>. Certain states have laws regulating the amount of time that may elapse from when a third-party payor receives a claim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rendered to when those services are paid. These “prompt pay” laws may impact us as well as our self-insured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 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 providers. In addition, our reputation may be harmed and our contractual obligations to certain clients may be breached, causing us to lose revenue or otherwise pay penalties under such contracts.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Network Adequacy and Access Requirements</w:t>
      </w:r>
      <w:r>
        <w:rPr>
          <w:rFonts w:ascii="Times New Roman" w:cs="Times New Roman" w:eastAsia="Times New Roman" w:hAnsi="Times New Roman"/>
          <w:sz w:val="18"/>
          <w:szCs w:val="18"/>
          <w:color w:val="auto"/>
        </w:rPr>
        <w:t>. Network adequacy and access laws require health plans to maintain a network of healthcare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providers 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now have some form of legislation affecting our payor clients’ ability to limit access to a provider network or remove a provider from the network. Such legislation may require our clients to admit any healthcare provider including any pharmacy provider willing to meet the plan’s price and other terms for network participation (“any willing provider” legislation) or may provide that a provider may not be removed from a network except in compliance with certain procedures (“due process” legislation). Further, to ensure network adequacy and quality, a network may seek to accredit its healthcare providers through any number of accrediting bodies, such as the National Committee for Quality Assurance, 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Consumer Protection Laws</w:t>
      </w:r>
      <w:r>
        <w:rPr>
          <w:rFonts w:ascii="Times New Roman" w:cs="Times New Roman" w:eastAsia="Times New Roman" w:hAnsi="Times New Roman"/>
          <w:sz w:val="18"/>
          <w:szCs w:val="18"/>
          <w:color w:val="auto"/>
        </w:rPr>
        <w:t>. Federal and state consumer protection laws are being applied increasingly by the Federal Trade Commission, or FTC,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Restrictions on Communication</w:t>
      </w:r>
      <w:r>
        <w:rPr>
          <w:rFonts w:ascii="Times New Roman" w:cs="Times New Roman" w:eastAsia="Times New Roman" w:hAnsi="Times New Roman"/>
          <w:sz w:val="18"/>
          <w:szCs w:val="18"/>
          <w:color w:val="auto"/>
        </w:rPr>
        <w:t>. Communications with our members increasingly may be subject to and restricted by laws and regulations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of our revenue is derived from the healthcare industry, which is highly regulated and subject to changing political, legislative, regulatory and other influences. Healthcare laws and regulations are rapidly evolving and may change significantly in the future. For example, the ACA may affect the coverage and plan designs that are or will be provided by certain insurance carriers and certain of our clients with self-insured plans, taxability of benefits under such plans, as well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the overall reimbursement and drug pricing environment for healthcare providers. Since its enactment, there have been judicial, executive and Congressional challenges to certain aspects of the ACA as well as efforts to repeal or replace certain aspects of the ACA, which may continue in the future. For example, on June 17, 2021, the U.S. Supreme Court dismissed the most recent judicial challenge to the ACA brought by several states without specifically ruling on the constitutionality of the ACA. Other health reform efforts have been proposed by members of Congress, such as measures that would expand the role of government-sponsored coverage, including further reform to the ACA, which could have far-reaching implications for the healthcare industry if enacted. On January 28, 2021, President Joe Biden issued an Executive Order directing federal agencies to examine all existing regulations, orders, guidance documents, policies and similar agency actions to determine if any such actions are inconsistent with the policy set forth in the Executive Order to protect and strengthen the ACA and make high-quality healthcare accessible and affordable for every American. Most significantly, on August 16, 2022, President Biden signed the Inflation Reduction Act of 2022 (IRA) into law. This statute marks the most significant action by Congress with respect to the pharmaceutical industry since adoption of the ACA in 2010. The health reform measures included in the IRA largely focus on pharmaceutical manufacturers, but are likely to impact the reimbursement and drug pricing environment for healthcare providers and insurers more broadly, in ways that cannot yet be fully determined.</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another example of recent healthcare legislative changes, the Consolidated Appropriations Act, or CAA, effective December 27, 2021, contains provisions impacting group health plans, including protections for plan participants from surprise medical bills and ensuring health plan price transparency. The CAA prohibits plans from entering into services agreements that directly or indirectly restrict the plans from disclosing provider-specific costs and quality of care information. It also requires disclosure by health insurance brokers and consultants to plan sponsors regarding reasonably expected direct and indirect compensation for referral of services to group health plans. Additionally, the CAA requires plans to submit reports to the Department of Labor, HHS and IRS with certain information on pharmacy benefits and drug costs for participants and beneficiaries and the application of in-network rates to out of network services. The CAA also requires certain service providers for health plans to comply with certain ERISA fee disclosure rules.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effective January 1, 2022, the No Surprises Act (enacted as part of the CAA) provides protection against surprise medical bills by prohibiting plans and providers from balance billing patients for emergency care performed by out-of-network providers as well as non-emergency and ancillary services performed by out-of-network providers at in-network facilities, subject to certain notice and consent exceptions for non-emergency and ancillary services. The law also grants additional patient protections, including requiring providers to send a good faith estimate of the expected charges for furnishing items or services to an insured patient’s health plan (or directly to an uninsured patient) before such items or services are delivered (including items or services reasonably expected to be provided in conjunction with scheduled items or services or that are reasonably expected to be delivered by another provider). The No Surprises Act also provides a dispute resolution process in the event the actual charges for such items and services are substantially higher than the plan’s estimate, and will prohibit providers from charging patients an amount beyond the in-network cost sharing amount for services rendered by out-of-network providers, subject to certain exceptions. Several states have also enacted comprehensive balance billing or surprise billing laws and the CAA defers to existing state requirements with respect to state-established payment amounts. Such state laws vary in their approach, resulting in different impacts on the healthcare system as a whole.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unable to predict how these changes to the ACA and other healthcare reform initiatives from new legislation, regulation, judicial action and/or executive action, including the CAA and No Surprises Act and state laws, will ultimately impact the healthcare industry and what the potential impact may be on our business or on our business and on our relationships with future clients, insurance carriers, and healthcare providers. Additionally, we cannot predict the timing or impact of any future rulemaking, court decisions or other changes in the law. If we are unable to comply with these laws or regulations or provide adequate assistance to our clients subject to these laws or regulations, it is reasonably possible that our business operations and operating results could be materially adversely affected.</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potential changes in laws, regulations, government enforcement priorities, public policy, industry standards and other requirements, including with respect to Progyny Rx’s PBM practices, which create risks and challenges with respect to our compliance efforts and our business strategies, and may adversely affect our business.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not be clear. Because our clients are subject to various requirements, we may be impacted as a result of our contractual obligations even when we are not directly subject to such requirements. In particular, many existing healthcare laws and regulations, when enacted, did not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anticipate the solutions and services that we provide, and these laws and regulations may be applied to our solutions and services in ways that we do not anticipate. The ACA, efforts to revise, expand or materially change the ACA, as well as the recently-enacted IRA, and other federal and state efforts to reform or revise aspects of the healthcare industry or to revise or create additional legal or and regulatory requirements could impact our operations, the use of our solutions and services, and our ability to market new solutions and services, or could create unexpected liabilities for us. We also may be impacted by laws, industry standards and other requirements that are not specific to the healthcare industry, such as consumer protection laws and payment card industry standards. These requirements may impact our operations and, if not followed, could result in fines, penalties and other liabilities and adverse publicity and injury to our reputation.</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recent years, there have been a number of reform efforts, including from federal and state legislatures as well as the HHS OIG, around PBM program pricing and transparency that could affect our business. Current PBM laws and regulations govern, and proposed legislation and regulations may govern and/or further restrict critical PBM practices, including, among other things, disclosure, receipt and retention of rebates and other payments received from pharmaceutical manufacturers or pharmacy program partners, rules governing contractual provisions between PBMs and their contracted payers and/or pharmacies, and registration or licensing of PBMs. For example, in 2019, the U.S. Senate and House of Representatives proposed a number of bills that would, among other things, require PBMs to submit information on their costs, fees and rebates, requiring 100% of the rebates to be passed on to consumers, and/or impose rebates on manufacturers that chose to increase their drug prices more rapidly than inflation. More recently, in June 2022, the Federal Trade Commission announced an inquiry regarding the role of PBMs and stated its intent to closely scrutinize the impact of PBM rebates and fees on patients and payers.</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Further, the U.S. Supreme Court’s decision in </w:t>
      </w:r>
      <w:r>
        <w:rPr>
          <w:rFonts w:ascii="Times New Roman" w:cs="Times New Roman" w:eastAsia="Times New Roman" w:hAnsi="Times New Roman"/>
          <w:sz w:val="18"/>
          <w:szCs w:val="18"/>
          <w:i w:val="1"/>
          <w:iCs w:val="1"/>
          <w:color w:val="auto"/>
        </w:rPr>
        <w:t>Rutledge v. Pharm. Care Mgmt. Ass’n</w:t>
      </w:r>
      <w:r>
        <w:rPr>
          <w:rFonts w:ascii="Times New Roman" w:cs="Times New Roman" w:eastAsia="Times New Roman" w:hAnsi="Times New Roman"/>
          <w:sz w:val="18"/>
          <w:szCs w:val="18"/>
          <w:color w:val="auto"/>
        </w:rPr>
        <w:t xml:space="preserve"> on December 10, 2020, which held that an Arkansas state law requiring PBMs to reimburse pharmacies at a price equal to or greater than the price pharmacies pay in purchasing medications from a wholesaler, was not preempted by the federal ERISA statute. The Supreme Court’s ruling solidifies the legality of state-level legislation regulating PBMs, which may encourage a new wave of legislation aimed at controlling prescription drug costs and providing pricing transparency. In the wake of the </w:t>
      </w:r>
      <w:r>
        <w:rPr>
          <w:rFonts w:ascii="Times New Roman" w:cs="Times New Roman" w:eastAsia="Times New Roman" w:hAnsi="Times New Roman"/>
          <w:sz w:val="18"/>
          <w:szCs w:val="18"/>
          <w:i w:val="1"/>
          <w:iCs w:val="1"/>
          <w:color w:val="auto"/>
        </w:rPr>
        <w:t>Rutledge</w:t>
      </w:r>
      <w:r>
        <w:rPr>
          <w:rFonts w:ascii="Times New Roman" w:cs="Times New Roman" w:eastAsia="Times New Roman" w:hAnsi="Times New Roman"/>
          <w:sz w:val="18"/>
          <w:szCs w:val="18"/>
          <w:color w:val="auto"/>
        </w:rPr>
        <w:t xml:space="preserve"> ruling, for example, New York reintroduced previously vetoed PBM legislation and former Governor Andrew Cuomo issued an Executive Budget for 2022 that highlights the need for PBM accountability. Several states have proposed separate PBM bills, and at least 18 states have adopted PBM oversight laws. A number of these proposed laws would require PBMs to submit annual transparency reports or otherwise disclose contractual arrangements with health benefit plans or health insurance issuers, or allow regulators to conduct audits of PBM operations.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Additionally, certain quasi-regulatory organizations, including the National Association of Boards of Pharmacy and the National Association of Insurance Commissioners, have issued model regulations or may propose future model regulations concerning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We do not believe our operations are directly subject to such laws (including regulations under the federal anti-kickback statute directly applicable to PBMs) as the PBM solutions and services we provide are not reimbursed by government healthcare payors. Some states’ anti-kickback and false claims laws may be broader in scope than analogous federal laws and may apply to items and services reimbursed by any third-party payor, including private insurers, self-insured employers and on a cash basis by patients, and may be applicable to us.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Accordingly, it is reasonably possible that our business operations and operating results could be materially adversely affected by legislative, regulatory and public policy changes at the federal or state level, increased government involvement in drug reimbursement and pricing, and/or increased regulation of PBMs. Adoption of new laws, rules or regulations or changes in government enforcement priorities of or new interpretations of, existing laws, rules or regulations relating to PBMs could materially adversely affect our business and results of operations with respect to Progyny Rx. Additionally, such legal and regulatory changes may adversely affect our ability to conduct business on commercially reasonable terms in states where PBM legislation is in effect and the Company’s ability to standardize its Progyny Rx PBM products and services across state lines. Further, failure by the Company to comply with these laws or regulations could result in material fines and/or sanctions and could have a material adverse effect on the Company’s operating results and/or cash flows.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While we operate only in the United States, we remain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 our business and sales outside the United States and to the public sector, we may engage with business partners and third-party intermediaries to market our services and to obtain for us the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potential sales to government entities are subject to a number of challenges and risks.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our intellectual property rights could impair our ability to protect our proprietary technology and our brand.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protect our brand and proprietary trade secret and confidential information, including unpatented know-how, technology and other proprietary information, maintaining, defending and enforcing our intellectual property rights. We rely on our agreements with our clients, and non-disclosure and confidentiality agreements with employees and third parties, and our trademarks, trade secrets, and copyrights to protect our intellectual property rights. However, any of these parties may breach such agreements and disclose our proprietary information, and we may not be able to obtain adequate remedies for such breaches.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the third-party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personnel from their normal responsibilities.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clients in our markets of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litigation against us could be costly and time-consuming to defend and could harm our business, financial condition and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 Insurance might not cover litigation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in the future seek to acquire or invest in businesses, joint ventures, products and services, or technologies that we believe could complement or expand our platform,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services, personnel or operations of the acquired 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expectations, or we fail to successfully integrate such businesses into our own, our business, financial condition and results of operations may be adversely affected or we may be exposed to unknown risks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liabilities may have an adverse effect on our 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effective tax rate could be impacted due to several factors, including, but not limited to:</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future tax audits, examinations, or administrative appeals;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 and</w:t>
      </w:r>
    </w:p>
    <w:p>
      <w:pPr>
        <w:spacing w:after="0" w:line="225" w:lineRule="exact"/>
        <w:rPr>
          <w:rFonts w:ascii="Times New Roman" w:cs="Times New Roman" w:eastAsia="Times New Roman" w:hAnsi="Times New Roman"/>
          <w:sz w:val="18"/>
          <w:szCs w:val="18"/>
          <w:color w:val="auto"/>
        </w:rPr>
      </w:pPr>
    </w:p>
    <w:p>
      <w:pPr>
        <w:ind w:left="660" w:right="1620" w:hanging="328"/>
        <w:spacing w:after="0" w:line="498"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impact tax items, including such items resulting from the amount and timing of equity exercises and our share price. Any of these developments could have an adverse effect on our results of operations.</w:t>
      </w:r>
    </w:p>
    <w:p>
      <w:pPr>
        <w:spacing w:after="0" w:line="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U.S. state tax authorities may assert that we have a state nexus and seek to impose state and local taxes which could adversely affect our results of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file state tax returns in certain states. There is a risk that certain state tax authorities, where we do not currently file a state tax return, could assert that we are liable for state and local taxes based upon income or gross receipts allocable to such states. States are becoming increasingly aggressive in asserting a nexus for state tax purposes. We could be subject to state and local taxation, including penalties and interest attributable to prior periods, if a state tax authority in which we do not currently file a state tax return successfully asserts that our activities give rise to a taxable nexus. Such tax assessments, penalties and interest may adversely affect our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utilize a significant portion of our net operating loss or research tax credit carryforwards, which could adversely affect our profitability.</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which could adversely affect our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Accounting principles generally accepted in the United States are subject to interpretation by the Financial Accounting Standards Board, or FASB, the SEC and various bodies formed to promulgate and interpret appropriate accounting principles. We adopted ASC No. 2021-04,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(Topic 260), Debt-Modifications and Extinguishments (Subtopic 470-50), Compensation- Stock Compensation (Topic 718), and Derivatives and Hedging-Contracts in Entity’s Own Equity (Subtopic 815- 40) </w:t>
      </w:r>
      <w:r>
        <w:rPr>
          <w:rFonts w:ascii="Times New Roman" w:cs="Times New Roman" w:eastAsia="Times New Roman" w:hAnsi="Times New Roman"/>
          <w:sz w:val="18"/>
          <w:szCs w:val="18"/>
          <w:color w:val="auto"/>
        </w:rPr>
        <w:t>and ASC No. 2019-12,</w:t>
      </w:r>
      <w:r>
        <w:rPr>
          <w:rFonts w:ascii="Times New Roman" w:cs="Times New Roman" w:eastAsia="Times New Roman" w:hAnsi="Times New Roman"/>
          <w:sz w:val="18"/>
          <w:szCs w:val="18"/>
          <w:i w:val="1"/>
          <w:iCs w:val="1"/>
          <w:color w:val="auto"/>
        </w:rPr>
        <w:t xml:space="preserve"> Income Taxes (Topic 740): Simplifying the Accounting for Income </w:t>
      </w:r>
      <w:r>
        <w:rPr>
          <w:rFonts w:ascii="Times New Roman" w:cs="Times New Roman" w:eastAsia="Times New Roman" w:hAnsi="Times New Roman"/>
          <w:sz w:val="18"/>
          <w:szCs w:val="18"/>
          <w:color w:val="auto"/>
        </w:rPr>
        <w:t>Taxes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1, 2022 and January 1, 2021, respectively. Neither accounting pronouncement had a material impact on our consolidated financial statements. See Note 2 – Significant Accounting Policies included in Part I, Item 1 of this Quarterly Report on Form 10-Q for additional information on recently adopted accounting standards. A change in accounting principles or interpretations could have a significant effect on our reported results of operations and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could affect the reporting of transactions already completed before the announcement of a change. The adoption of new or revised accounting principles may require us to make changes to our systems, processes and control,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Quarterly Report on Form 10-Q. We base our estimates on historical experience and on various other assumptions that we believe to be reasonable under the circumstances, as provided in Part I, Item 2. “Management’s Discussion and Analysis of Financial Condition and Results of Operations-Critical Accounting Policies and Estimates” of this Quarterly Report on Form 10-Q.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accrued receivables related to revenue recognition, accrued claims payable, stock-based compensation expense, and accounting for income taxes have the greatest potential impact on our consolidated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common stock may decline.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tenured investors look to monetize their positions, we have seen large blocks of shares enter the public market over a short period of time. The market price of our common stock may be highly volatile and may fluctuate or decline substantially as a result of this and a variety of factors, some of which are beyond our control, including, but not limited to:</w:t>
      </w:r>
    </w:p>
    <w:p>
      <w:pPr>
        <w:spacing w:after="0" w:line="176"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volume of direct sales into the market by large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our solutions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and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of our company, providers, vendors or pharmacies;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 or threats of litigation against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or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incidents of terrorism, or responses to these events;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including those related to the COVID-19 pandemic, may also negatively impact the market price of our common stock. Fluctuations in our quarterly operating results and the price of our common stock may be particularly pronounced in the current economic environment, including due to the uncertainty caused by the COVID-19 pandemic. 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76"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and mix of utilization of our solutions by members;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clients;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clients;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expansion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clients’ budgets and in the timing of their budget cycles and purchasing decisions;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 and healthcare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sales and marketing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expense, goodwill impairments and other non-cash charges;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as well as economic conditions specifically affecting industries in which our clients participate, including those related to the COVID-19 pandemic;</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clients;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solutions and services.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7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 may adversely affect investor confidence in our company and, as a result, the value of our common stock.</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("Section 404"), to furnish a report by management on, among other things, the effectiveness of our internal control over financial reporting and our independent registered public accounting firm is required to attest to the effectiveness of our internal control over financial reporting. To maintain compliance with Section 404, we perform system and process evaluation and testing of our internal control over financial reporting to allow management to report on the effectiveness of our internal control over financial reporting in our Annual Report on Form 10-K filing for each year, as required by Section 404 of SOX. Our existing management team has and will continue to devote a substantial amount of time to these compliance initiatives, and we may need to hire additional accounting and financial staff with appropriate public company experience to assist us in ongoing compliance with these requirements. Moreover, these rules and regulations have increased and will continue to increase our legal and financial compliance costs and will make some activities more time consuming and costly.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 if we identify one or more material weaknesses in our internal control over financial reporting, we will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over financial reporting, which we determined we had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the market price of our common stock to decline.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registered all of the shares of common stock issuable upon exercise of outstanding options or other equity awards we may grant in the future, for public resale under the Securities Act. Accordingly, these shares will be eligible for sale in the public market to the extent such options are exercised and restricted stock units are vested, in compliance with applicable securities laws.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Further, holders of a substantial number of shares of our common stock have rights, subject to certain conditions, to require us to file registration statements covering the sale of their shares or to include their shares in registration statements that we may file for ourselves or other stockholders.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market price and trading volume of our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 We have experienced and may in the future experience analyst coverage reduction due to analysts leaving firms, changing firms or going on temporary leaves of absences. Such reduction in analyst coverage, even if temporary, could lead to volatility in our stock price.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public company, we have incurred and will continue to incur significant legal, accounting, and other expenses that we did not incur prior to our initial public offering. The Sarbanes-Oxley Act, the Dodd-Frank Wall Street Reform and Consumer Protection Act, the listing requirements of the Nasdaq Stock Market, or Nasdaq, and other applicable securities rules and regulations impose various requirements on public companies. Our management and other personnel devote a substantial amount of time to compliance with these requirements. Effective January 1, 2021, we became a “large accelerated filer” under SEC reporting rules and are required to file our annual report and quarterly reports more quickly than we previously had been required to file them, which may require us to dedicate additional resources to the timely filing of such reports. Moreover, these rules and regulations have increased and will continue to increase our legal and financial compliance costs and make some activities more time-consuming and costly. We cannot predict or estimate the amount of additional costs we will incur as a public company or the specific timing of such costs.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76" w:lineRule="exact"/>
        <w:rPr>
          <w:sz w:val="20"/>
          <w:szCs w:val="20"/>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and 2/3% of our outstanding shares of voting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and 2/3% of our outstanding shares of voting stock to amend our bylaws and certain provisions of our certificate of incorporation.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Delaware General Corporation Law, our amended and restated certificate of incorporation, or our amended and restated bylaws; (4) or any action or proceeding to interpret, apply, enforce or determine the validity of our amended and restated certificate of incorporation or our amended and restated bylaws; (5) any action or proceeding as to which the Delaware General Corporation Law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require significant additional costs.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pacing w:after="0" w:line="200" w:lineRule="exact"/>
        <w:rPr>
          <w:sz w:val="20"/>
          <w:szCs w:val="20"/>
          <w:color w:val="auto"/>
        </w:rPr>
      </w:pPr>
    </w:p>
    <w:p>
      <w:pPr>
        <w:spacing w:after="0" w:line="22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impact our ability to obtain any necessary financing and adversely impact our business, financial condition and share price.</w:t>
      </w:r>
    </w:p>
    <w:p>
      <w:pPr>
        <w:spacing w:after="0" w:line="172"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The global economy, including financial and credit markets, has recently experienced volatility and uncertainty, including rising interest and inflation rates, declines in economic growth, and declines in global equity markets. If the equity and credit markets continue to deteriorate, or the United States enters a recession, it may make any necessary debt or equity financing more difficult to obtain in a timely manner or on favorable terms, more costly or more dilutive. As a result, our business, results of operations, and price of our common stock may be adversely affected.</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the SEC regarding our environmental practices and reporting could cause us to incur additional costs, devote additional resources and expose us to additional risks, which could adversely impact our reputation, as well as our investor attraction and retention.</w:t>
      </w:r>
    </w:p>
    <w:p>
      <w:pPr>
        <w:spacing w:after="0" w:line="20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related to their environmental, social and governance (“ESG”) practices and reporting. The SEC has focused increasingly on ESG practices and placed increasing importance on the implications and social cost of ESG reporting. With this increased focus and demand, public reporting regarding ESG practices is becoming more broadly expected. If our ESG practices and reporting do not meet SEC expectations, which continue to evolve, our brand, reputation and investor retention may be negatively impacted.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ability to achieve any ESG objective is subject to numerous risks, many of which are outside of our control. Examples of such risks include:</w:t>
      </w:r>
    </w:p>
    <w:p>
      <w:pPr>
        <w:spacing w:after="0" w:line="252"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evolving regulatory requirements affecting ESG standards or disclosures;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suppliers that can meet sustainability standards</w:t>
      </w:r>
    </w:p>
    <w:p>
      <w:pPr>
        <w:spacing w:after="0" w:line="25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If we fail, or are perceived to be failing, to meet the standards included in any sustainability disclosure or the expectations of our various stakeholders, it could negatively impact our reputation, as well as our investor attraction and retention. In addition, new sustainability rules and regulations have been adopted and may continue to be introduced in various states and other jurisdictions, and our failure to comply with any applicable rules or regulations could lead to penalties and adversely impact our reputation, as well as our investor attraction and retention.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28"/>
        </w:trPr>
        <w:tc>
          <w:tcPr>
            <w:tcW w:w="2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60" w:type="dxa"/>
            <w:vAlign w:val="bottom"/>
            <w:gridSpan w:val="10"/>
            <w:vMerge w:val="restart"/>
          </w:tcPr>
          <w:p>
            <w:pPr>
              <w:jc w:val="right"/>
              <w:ind w:right="19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1"/>
                <w:szCs w:val="11"/>
                <w:color w:val="auto"/>
              </w:rPr>
            </w:pPr>
          </w:p>
        </w:tc>
        <w:tc>
          <w:tcPr>
            <w:tcW w:w="68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Borders>
              <w:top w:val="single" w:sz="8" w:color="auto"/>
            </w:tcBorders>
            <w:vMerge w:val="restart"/>
          </w:tcPr>
          <w:p>
            <w:pPr>
              <w:spacing w:after="0"/>
              <w:rPr>
                <w:sz w:val="11"/>
                <w:szCs w:val="11"/>
                <w:color w:val="auto"/>
              </w:rPr>
            </w:pPr>
          </w:p>
        </w:tc>
        <w:tc>
          <w:tcPr>
            <w:tcW w:w="1280" w:type="dxa"/>
            <w:vAlign w:val="bottom"/>
            <w:tcBorders>
              <w:top w:val="single" w:sz="8" w:color="auto"/>
            </w:tcBorders>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 w:type="dxa"/>
            <w:vAlign w:val="bottom"/>
            <w:tcBorders>
              <w:top w:val="single" w:sz="8" w:color="auto"/>
            </w:tcBorders>
            <w:vMerge w:val="restart"/>
          </w:tcPr>
          <w:p>
            <w:pPr>
              <w:spacing w:after="0"/>
              <w:rPr>
                <w:sz w:val="11"/>
                <w:szCs w:val="11"/>
                <w:color w:val="auto"/>
              </w:rPr>
            </w:pPr>
          </w:p>
        </w:tc>
        <w:tc>
          <w:tcPr>
            <w:tcW w:w="76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Borders>
              <w:top w:val="single" w:sz="8" w:color="auto"/>
            </w:tcBorders>
            <w:vMerge w:val="restart"/>
          </w:tcPr>
          <w:p>
            <w:pPr>
              <w:spacing w:after="0"/>
              <w:rPr>
                <w:sz w:val="11"/>
                <w:szCs w:val="11"/>
                <w:color w:val="auto"/>
              </w:rPr>
            </w:pPr>
          </w:p>
        </w:tc>
        <w:tc>
          <w:tcPr>
            <w:tcW w:w="1220" w:type="dxa"/>
            <w:vAlign w:val="bottom"/>
            <w:tcBorders>
              <w:top w:val="single" w:sz="8" w:color="auto"/>
            </w:tcBorders>
          </w:tcPr>
          <w:p>
            <w:pPr>
              <w:ind w:left="440"/>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1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10"/>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02"/>
        </w:trPr>
        <w:tc>
          <w:tcPr>
            <w:tcW w:w="2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w w:val="97"/>
              </w:rPr>
              <w:t>3.1</w:t>
            </w: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gridSpan w:val="16"/>
          </w:tcPr>
          <w:p>
            <w:pPr>
              <w:spacing w:after="0" w:line="202"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Amended and Restated Certificate of Incorporation of Progyny,</w:t>
              </w:r>
            </w:hyperlink>
          </w:p>
        </w:tc>
        <w:tc>
          <w:tcPr>
            <w:tcW w:w="7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8-K</w:t>
            </w:r>
          </w:p>
        </w:tc>
        <w:tc>
          <w:tcPr>
            <w:tcW w:w="12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001-39100</w:t>
            </w:r>
          </w:p>
        </w:tc>
        <w:tc>
          <w:tcPr>
            <w:tcW w:w="80" w:type="dxa"/>
            <w:vAlign w:val="bottom"/>
          </w:tcPr>
          <w:p>
            <w:pPr>
              <w:spacing w:after="0"/>
              <w:rPr>
                <w:sz w:val="17"/>
                <w:szCs w:val="17"/>
                <w:color w:val="auto"/>
              </w:rPr>
            </w:pPr>
          </w:p>
        </w:tc>
        <w:tc>
          <w:tcPr>
            <w:tcW w:w="760" w:type="dxa"/>
            <w:vAlign w:val="bottom"/>
          </w:tcPr>
          <w:p>
            <w:pPr>
              <w:jc w:val="right"/>
              <w:ind w:right="432"/>
              <w:spacing w:after="0" w:line="202"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7"/>
                <w:szCs w:val="17"/>
                <w:color w:val="auto"/>
              </w:rPr>
            </w:pPr>
          </w:p>
        </w:tc>
        <w:tc>
          <w:tcPr>
            <w:tcW w:w="12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10/31/2019</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80" w:type="dxa"/>
            <w:vAlign w:val="bottom"/>
            <w:tcBorders>
              <w:top w:val="single" w:sz="8" w:color="0000EE"/>
            </w:tcBorders>
            <w:gridSpan w:val="14"/>
          </w:tcPr>
          <w:p>
            <w:pPr>
              <w:spacing w:after="0" w:line="182"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Inc.</w:t>
              </w:r>
            </w:hyperlink>
          </w:p>
        </w:tc>
        <w:tc>
          <w:tcPr>
            <w:tcW w:w="20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3.2</w:t>
            </w: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gridSpan w:val="16"/>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Amended and Restated By-laws of Progyny, Inc.</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80" w:type="dxa"/>
            <w:vAlign w:val="bottom"/>
          </w:tcPr>
          <w:p>
            <w:pPr>
              <w:spacing w:after="0"/>
              <w:rPr>
                <w:sz w:val="21"/>
                <w:szCs w:val="21"/>
                <w:color w:val="auto"/>
              </w:rPr>
            </w:pPr>
          </w:p>
        </w:tc>
        <w:tc>
          <w:tcPr>
            <w:tcW w:w="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21"/>
                <w:szCs w:val="21"/>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9/27/2019</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4.1</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Form of common stock certificate</w:t>
              </w:r>
            </w:hyperlink>
          </w:p>
        </w:tc>
        <w:tc>
          <w:tcPr>
            <w:tcW w:w="1060" w:type="dxa"/>
            <w:vAlign w:val="bottom"/>
            <w:tcBorders>
              <w:top w:val="single" w:sz="8" w:color="0000EE"/>
            </w:tcBorders>
            <w:gridSpan w:val="2"/>
          </w:tcPr>
          <w:p>
            <w:pPr>
              <w:spacing w:after="0"/>
              <w:rPr>
                <w:sz w:val="20"/>
                <w:szCs w:val="20"/>
                <w:color w:val="auto"/>
              </w:rPr>
            </w:pPr>
          </w:p>
        </w:tc>
        <w:tc>
          <w:tcPr>
            <w:tcW w:w="1260" w:type="dxa"/>
            <w:vAlign w:val="bottom"/>
            <w:gridSpan w:val="8"/>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80" w:type="dxa"/>
            <w:vAlign w:val="bottom"/>
          </w:tcPr>
          <w:p>
            <w:pPr>
              <w:spacing w:after="0"/>
              <w:rPr>
                <w:sz w:val="20"/>
                <w:szCs w:val="20"/>
                <w:color w:val="auto"/>
              </w:rPr>
            </w:pPr>
          </w:p>
        </w:tc>
        <w:tc>
          <w:tcPr>
            <w:tcW w:w="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10/15/2019</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4.2</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16"/>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Form of 2013 Preferred Stock Warrant.</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80" w:type="dxa"/>
            <w:vAlign w:val="bottom"/>
          </w:tcPr>
          <w:p>
            <w:pPr>
              <w:spacing w:after="0"/>
              <w:rPr>
                <w:sz w:val="20"/>
                <w:szCs w:val="20"/>
                <w:color w:val="auto"/>
              </w:rPr>
            </w:pPr>
          </w:p>
        </w:tc>
        <w:tc>
          <w:tcPr>
            <w:tcW w:w="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10/15/2019</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4.3</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16"/>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2014 Preferred Stock Warrant.</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80" w:type="dxa"/>
            <w:vAlign w:val="bottom"/>
          </w:tcPr>
          <w:p>
            <w:pPr>
              <w:spacing w:after="0"/>
              <w:rPr>
                <w:sz w:val="20"/>
                <w:szCs w:val="20"/>
                <w:color w:val="auto"/>
              </w:rPr>
            </w:pPr>
          </w:p>
        </w:tc>
        <w:tc>
          <w:tcPr>
            <w:tcW w:w="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97"/>
              </w:rPr>
              <w:t>4.3</w:t>
            </w: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10/15/2019</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4.4</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16"/>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2015 Preferred Stock Warrant.</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80" w:type="dxa"/>
            <w:vAlign w:val="bottom"/>
          </w:tcPr>
          <w:p>
            <w:pPr>
              <w:spacing w:after="0"/>
              <w:rPr>
                <w:sz w:val="20"/>
                <w:szCs w:val="20"/>
                <w:color w:val="auto"/>
              </w:rPr>
            </w:pPr>
          </w:p>
        </w:tc>
        <w:tc>
          <w:tcPr>
            <w:tcW w:w="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10/15/2019</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4.5</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16"/>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Warrant to Purchase Stock issued to Silicon Valley Bank dated</w:t>
              </w:r>
            </w:hyperlink>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80" w:type="dxa"/>
            <w:vAlign w:val="bottom"/>
          </w:tcPr>
          <w:p>
            <w:pPr>
              <w:spacing w:after="0"/>
              <w:rPr>
                <w:sz w:val="20"/>
                <w:szCs w:val="20"/>
                <w:color w:val="auto"/>
              </w:rPr>
            </w:pPr>
          </w:p>
        </w:tc>
        <w:tc>
          <w:tcPr>
            <w:tcW w:w="76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Pr>
          <w:p>
            <w:pPr>
              <w:spacing w:after="0"/>
              <w:rPr>
                <w:sz w:val="20"/>
                <w:szCs w:val="20"/>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10/15/2019</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tcBorders>
              <w:top w:val="single" w:sz="8" w:color="0000EE"/>
              <w:bottom w:val="single" w:sz="8" w:color="0000EE"/>
            </w:tcBorders>
            <w:gridSpan w:val="3"/>
          </w:tcPr>
          <w:p>
            <w:pPr>
              <w:spacing w:after="0" w:line="182"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October 9, 2013.</w:t>
              </w:r>
            </w:hyperlink>
          </w:p>
        </w:tc>
        <w:tc>
          <w:tcPr>
            <w:tcW w:w="3300" w:type="dxa"/>
            <w:vAlign w:val="bottom"/>
            <w:tcBorders>
              <w:top w:val="single" w:sz="8" w:color="0000EE"/>
            </w:tcBorders>
            <w:gridSpan w:val="10"/>
          </w:tcPr>
          <w:p>
            <w:pPr>
              <w:spacing w:after="0"/>
              <w:rPr>
                <w:sz w:val="15"/>
                <w:szCs w:val="15"/>
                <w:color w:val="auto"/>
              </w:rPr>
            </w:pPr>
          </w:p>
        </w:tc>
        <w:tc>
          <w:tcPr>
            <w:tcW w:w="260" w:type="dxa"/>
            <w:vAlign w:val="bottom"/>
            <w:gridSpan w:val="3"/>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Exchange</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8"/>
              </w:rPr>
              <w:t>Act Rule 13a-14(a).</w:t>
            </w:r>
          </w:p>
        </w:tc>
        <w:tc>
          <w:tcPr>
            <w:tcW w:w="3040" w:type="dxa"/>
            <w:vAlign w:val="bottom"/>
            <w:tcBorders>
              <w:top w:val="single" w:sz="8" w:color="0000FF"/>
            </w:tcBorders>
            <w:gridSpan w:val="8"/>
          </w:tcPr>
          <w:p>
            <w:pPr>
              <w:spacing w:after="0"/>
              <w:rPr>
                <w:sz w:val="15"/>
                <w:szCs w:val="15"/>
                <w:color w:val="auto"/>
              </w:rPr>
            </w:pPr>
          </w:p>
        </w:tc>
        <w:tc>
          <w:tcPr>
            <w:tcW w:w="300" w:type="dxa"/>
            <w:vAlign w:val="bottom"/>
            <w:gridSpan w:val="4"/>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8"/>
              </w:rPr>
              <w:t>Act Rule 13a-14(a).</w:t>
            </w:r>
          </w:p>
        </w:tc>
        <w:tc>
          <w:tcPr>
            <w:tcW w:w="3000" w:type="dxa"/>
            <w:vAlign w:val="bottom"/>
            <w:tcBorders>
              <w:top w:val="single" w:sz="8" w:color="0000FF"/>
            </w:tcBorders>
            <w:gridSpan w:val="6"/>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gridSpan w:val="5"/>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U.S.C. Section 1350.</w:t>
            </w:r>
          </w:p>
        </w:tc>
        <w:tc>
          <w:tcPr>
            <w:tcW w:w="260" w:type="dxa"/>
            <w:vAlign w:val="bottom"/>
            <w:gridSpan w:val="2"/>
          </w:tcPr>
          <w:p>
            <w:pPr>
              <w:spacing w:after="0"/>
              <w:rPr>
                <w:sz w:val="15"/>
                <w:szCs w:val="15"/>
                <w:color w:val="auto"/>
              </w:rPr>
            </w:pPr>
          </w:p>
        </w:tc>
        <w:tc>
          <w:tcPr>
            <w:tcW w:w="320" w:type="dxa"/>
            <w:vAlign w:val="bottom"/>
            <w:gridSpan w:val="5"/>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Section 1350.</w:t>
            </w:r>
          </w:p>
        </w:tc>
        <w:tc>
          <w:tcPr>
            <w:tcW w:w="3460" w:type="dxa"/>
            <w:vAlign w:val="bottom"/>
            <w:tcBorders>
              <w:top w:val="single" w:sz="8" w:color="0000FF"/>
            </w:tcBorders>
            <w:gridSpan w:val="9"/>
          </w:tcPr>
          <w:p>
            <w:pPr>
              <w:spacing w:after="0"/>
              <w:rPr>
                <w:sz w:val="15"/>
                <w:szCs w:val="15"/>
                <w:color w:val="auto"/>
              </w:rPr>
            </w:pPr>
          </w:p>
        </w:tc>
        <w:tc>
          <w:tcPr>
            <w:tcW w:w="320" w:type="dxa"/>
            <w:vAlign w:val="bottom"/>
            <w:gridSpan w:val="5"/>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56"/>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2"/>
                <w:szCs w:val="22"/>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5"/>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2"/>
                <w:szCs w:val="22"/>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5"/>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62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_____________________________</w:t>
            </w: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20" w:type="dxa"/>
            <w:vAlign w:val="bottom"/>
            <w:gridSpan w:val="19"/>
          </w:tcPr>
          <w:p>
            <w:pPr>
              <w:ind w:left="100"/>
              <w:spacing w:after="0"/>
              <w:rPr>
                <w:sz w:val="20"/>
                <w:szCs w:val="20"/>
                <w:color w:val="auto"/>
              </w:rPr>
            </w:pPr>
            <w:r>
              <w:rPr>
                <w:rFonts w:ascii="Times New Roman" w:cs="Times New Roman" w:eastAsia="Times New Roman" w:hAnsi="Times New Roman"/>
                <w:sz w:val="18"/>
                <w:szCs w:val="18"/>
                <w:color w:val="auto"/>
              </w:rPr>
              <w:t>Furnished herewith.</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3"/>
        </w:trPr>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00" w:type="dxa"/>
            <w:vAlign w:val="bottom"/>
            <w:gridSpan w:val="16"/>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Progyny, Inc.</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left="20"/>
        <w:spacing w:after="0"/>
        <w:tabs>
          <w:tab w:leader="none" w:pos="5680" w:val="left"/>
          <w:tab w:leader="none" w:pos="8060" w:val="left"/>
        </w:tabs>
        <w:rPr>
          <w:sz w:val="20"/>
          <w:szCs w:val="20"/>
          <w:color w:val="auto"/>
        </w:rPr>
      </w:pPr>
      <w:r>
        <w:rPr>
          <w:rFonts w:ascii="Times New Roman" w:cs="Times New Roman" w:eastAsia="Times New Roman" w:hAnsi="Times New Roman"/>
          <w:sz w:val="18"/>
          <w:szCs w:val="18"/>
          <w:color w:val="auto"/>
        </w:rPr>
        <w:t>Date: November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26035</wp:posOffset>
            </wp:positionV>
            <wp:extent cx="32315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4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Peter Anevski</w:t>
      </w:r>
    </w:p>
    <w:p>
      <w:pPr>
        <w:spacing w:after="0" w:line="6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November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26035</wp:posOffset>
            </wp:positionV>
            <wp:extent cx="32315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43"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Mark Livingston</w:t>
      </w:r>
    </w:p>
    <w:p>
      <w:pPr>
        <w:spacing w:after="0" w:line="6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40"/>
          </w:cols>
          <w:pgMar w:left="320" w:top="256"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Anevski, certify that:</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Progyny,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4440" w:val="left"/>
          <w:tab w:leader="none" w:pos="7480" w:val="left"/>
        </w:tabs>
        <w:rPr>
          <w:sz w:val="20"/>
          <w:szCs w:val="20"/>
          <w:color w:val="auto"/>
        </w:rPr>
      </w:pPr>
      <w:r>
        <w:rPr>
          <w:rFonts w:ascii="Times New Roman" w:cs="Times New Roman" w:eastAsia="Times New Roman" w:hAnsi="Times New Roman"/>
          <w:sz w:val="18"/>
          <w:szCs w:val="18"/>
          <w:color w:val="auto"/>
        </w:rPr>
        <w:t>Date: November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26035</wp:posOffset>
            </wp:positionV>
            <wp:extent cx="39604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4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Peter Anevski</w:t>
      </w:r>
    </w:p>
    <w:p>
      <w:pPr>
        <w:spacing w:after="0" w:line="63"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Executive Chief Officer</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Livingston, certify that:</w:t>
      </w:r>
    </w:p>
    <w:p>
      <w:pPr>
        <w:spacing w:after="0" w:line="225"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Progyny,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4860" w:val="left"/>
          <w:tab w:leader="none" w:pos="7580" w:val="left"/>
        </w:tabs>
        <w:rPr>
          <w:sz w:val="20"/>
          <w:szCs w:val="20"/>
          <w:color w:val="auto"/>
        </w:rPr>
      </w:pPr>
      <w:r>
        <w:rPr>
          <w:rFonts w:ascii="Times New Roman" w:cs="Times New Roman" w:eastAsia="Times New Roman" w:hAnsi="Times New Roman"/>
          <w:sz w:val="18"/>
          <w:szCs w:val="18"/>
          <w:color w:val="auto"/>
        </w:rPr>
        <w:t>Date: November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26035</wp:posOffset>
            </wp:positionV>
            <wp:extent cx="3703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4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Mark Livingston</w:t>
      </w:r>
    </w:p>
    <w:p>
      <w:pPr>
        <w:spacing w:after="0" w:line="6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43"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Progyny, Inc. (the “Company”) for the period ended September 30, 2022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4600" w:val="left"/>
          <w:tab w:leader="none" w:pos="7520" w:val="left"/>
        </w:tabs>
        <w:rPr>
          <w:sz w:val="20"/>
          <w:szCs w:val="20"/>
          <w:color w:val="auto"/>
        </w:rPr>
      </w:pPr>
      <w:r>
        <w:rPr>
          <w:rFonts w:ascii="Times New Roman" w:cs="Times New Roman" w:eastAsia="Times New Roman" w:hAnsi="Times New Roman"/>
          <w:sz w:val="18"/>
          <w:szCs w:val="18"/>
          <w:color w:val="auto"/>
        </w:rPr>
        <w:t>Date: November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4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Peter Anevski</w:t>
      </w:r>
    </w:p>
    <w:p>
      <w:pPr>
        <w:spacing w:after="0" w:line="6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43"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Progyny, Inc. (the “Company”) for the period ended September 30, 2022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4640" w:val="left"/>
          <w:tab w:leader="none" w:pos="7440" w:val="left"/>
        </w:tabs>
        <w:rPr>
          <w:sz w:val="20"/>
          <w:szCs w:val="20"/>
          <w:color w:val="auto"/>
        </w:rPr>
      </w:pPr>
      <w:r>
        <w:rPr>
          <w:rFonts w:ascii="Times New Roman" w:cs="Times New Roman" w:eastAsia="Times New Roman" w:hAnsi="Times New Roman"/>
          <w:sz w:val="18"/>
          <w:szCs w:val="18"/>
          <w:color w:val="auto"/>
        </w:rPr>
        <w:t>Date: November 4,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26035</wp:posOffset>
            </wp:positionV>
            <wp:extent cx="390017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4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Mark Livingston</w:t>
      </w:r>
    </w:p>
    <w:p>
      <w:pPr>
        <w:spacing w:after="0" w:line="6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x"/>
      <w:numFmt w:val="bullet"/>
      <w:start w:val="1"/>
    </w:lvl>
  </w:abstractNum>
  <w:abstractNum w:abstractNumId="1">
    <w:nsid w:val="333AB105"/>
    <w:multiLevelType w:val="hybridMultilevel"/>
    <w:lvl w:ilvl="0">
      <w:lvlJc w:val="left"/>
      <w:lvlText w:val="o"/>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2"/>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3"/>
    </w:lvl>
  </w:abstractNum>
  <w:abstractNum w:abstractNumId="8">
    <w:nsid w:val="79838CB2"/>
    <w:multiLevelType w:val="hybridMultilevel"/>
    <w:lvl w:ilvl="0">
      <w:lvlJc w:val="left"/>
      <w:lvlText w:val="%1."/>
      <w:numFmt w:val="decimal"/>
      <w:start w:val="4"/>
    </w:lvl>
  </w:abstractNum>
  <w:abstractNum w:abstractNumId="9">
    <w:nsid w:val="4353D0CD"/>
    <w:multiLevelType w:val="hybridMultilevel"/>
    <w:lvl w:ilvl="0">
      <w:lvlJc w:val="left"/>
      <w:lvlText w:val="%1."/>
      <w:numFmt w:val="decimal"/>
      <w:start w:val="5"/>
    </w:lvl>
  </w:abstractNum>
  <w:abstractNum w:abstractNumId="10">
    <w:nsid w:val="B03E0C6"/>
    <w:multiLevelType w:val="hybridMultilevel"/>
    <w:lvl w:ilvl="0">
      <w:lvlJc w:val="left"/>
      <w:lvlText w:val="%1."/>
      <w:numFmt w:val="decimal"/>
      <w:start w:val="6"/>
    </w:lvl>
  </w:abstractNum>
  <w:abstractNum w:abstractNumId="11">
    <w:nsid w:val="189A769B"/>
    <w:multiLevelType w:val="hybridMultilevel"/>
    <w:lvl w:ilvl="0">
      <w:lvlJc w:val="left"/>
      <w:lvlText w:val="%1."/>
      <w:numFmt w:val="decimal"/>
      <w:start w:val="7"/>
    </w:lvl>
  </w:abstractNum>
  <w:abstractNum w:abstractNumId="12">
    <w:nsid w:val="54E49EB4"/>
    <w:multiLevelType w:val="hybridMultilevel"/>
    <w:lvl w:ilvl="0">
      <w:lvlJc w:val="left"/>
      <w:lvlText w:val="%1."/>
      <w:numFmt w:val="decimal"/>
      <w:start w:val="8"/>
    </w:lvl>
  </w:abstractNum>
  <w:abstractNum w:abstractNumId="13">
    <w:nsid w:val="71F32454"/>
    <w:multiLevelType w:val="hybridMultilevel"/>
    <w:lvl w:ilvl="0">
      <w:lvlJc w:val="left"/>
      <w:lvlText w:val="%1."/>
      <w:numFmt w:val="decimal"/>
      <w:start w:val="9"/>
    </w:lvl>
  </w:abstractNum>
  <w:abstractNum w:abstractNumId="14">
    <w:nsid w:val="2CA88611"/>
    <w:multiLevelType w:val="hybridMultilevel"/>
    <w:lvl w:ilvl="0">
      <w:lvlJc w:val="left"/>
      <w:lvlText w:val="%1."/>
      <w:numFmt w:val="decimal"/>
      <w:start w:val="10"/>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84" Type="http://schemas.openxmlformats.org/officeDocument/2006/relationships/hyperlink" Target="http://www.sec.gov/Archives/edgar/data/1551306/000110465919058484/a19-21599_1ex3d1.htm" TargetMode="External"/><Relationship Id="rId85" Type="http://schemas.openxmlformats.org/officeDocument/2006/relationships/hyperlink" Target="http://www.sec.gov/Archives/edgar/data/1551306/000104746919005487/a2239750zex-3_4.htm" TargetMode="External"/><Relationship Id="rId86" Type="http://schemas.openxmlformats.org/officeDocument/2006/relationships/hyperlink" Target="http://www.sec.gov/Archives/edgar/data/1551306/000104746919005727/a2239825zex-4_1.htm" TargetMode="External"/><Relationship Id="rId87" Type="http://schemas.openxmlformats.org/officeDocument/2006/relationships/hyperlink" Target="http://www.sec.gov/Archives/edgar/data/1551306/000104746919005727/a2239825zex-4_2.htm" TargetMode="External"/><Relationship Id="rId88" Type="http://schemas.openxmlformats.org/officeDocument/2006/relationships/hyperlink" Target="http://www.sec.gov/Archives/edgar/data/1551306/000104746919005727/a2239825zex-4_3.htm" TargetMode="External"/><Relationship Id="rId89" Type="http://schemas.openxmlformats.org/officeDocument/2006/relationships/hyperlink" Target="http://www.sec.gov/Archives/edgar/data/1551306/000104746919005727/a2239825zex-4_4.htm" TargetMode="External"/><Relationship Id="rId90" Type="http://schemas.openxmlformats.org/officeDocument/2006/relationships/hyperlink" Target="http://www.sec.gov/Archives/edgar/data/1551306/000104746919005727/a2239825zex-4_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2022-11-04T08:26:39Z</dcterms:created>
  <dcterms:modified xsi:type="dcterms:W3CDTF">2022-11-04T08:26:39Z</dcterms:modified>
</cp:coreProperties>
</file>