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408940</wp:posOffset>
            </wp:positionV>
            <wp:extent cx="6292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UNITED STATES</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2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77470</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187"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97155</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22"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101" w:lineRule="exact"/>
        <w:rPr>
          <w:sz w:val="24"/>
          <w:szCs w:val="24"/>
          <w:color w:val="auto"/>
        </w:rPr>
      </w:pPr>
    </w:p>
    <w:p>
      <w:pPr>
        <w:ind w:left="3640"/>
        <w:spacing w:after="0"/>
        <w:rPr>
          <w:sz w:val="20"/>
          <w:szCs w:val="20"/>
          <w:color w:val="auto"/>
        </w:rPr>
      </w:pPr>
      <w:r>
        <w:rPr>
          <w:rFonts w:ascii="Arial" w:cs="Arial" w:eastAsia="Arial" w:hAnsi="Arial"/>
          <w:sz w:val="16"/>
          <w:szCs w:val="16"/>
          <w:b w:val="1"/>
          <w:bCs w:val="1"/>
          <w:color w:val="auto"/>
        </w:rPr>
        <w:t>For the quarterly period ended June 30, 2021</w:t>
      </w:r>
    </w:p>
    <w:p>
      <w:pPr>
        <w:spacing w:after="0" w:line="26" w:lineRule="exact"/>
        <w:rPr>
          <w:sz w:val="24"/>
          <w:szCs w:val="24"/>
          <w:color w:val="auto"/>
        </w:rPr>
      </w:pPr>
    </w:p>
    <w:p>
      <w:pPr>
        <w:ind w:left="4880"/>
        <w:spacing w:after="0"/>
        <w:rPr>
          <w:sz w:val="20"/>
          <w:szCs w:val="20"/>
          <w:color w:val="auto"/>
        </w:rPr>
      </w:pPr>
      <w:r>
        <w:rPr>
          <w:rFonts w:ascii="Arial" w:cs="Arial" w:eastAsia="Arial" w:hAnsi="Arial"/>
          <w:sz w:val="16"/>
          <w:szCs w:val="16"/>
          <w:b w:val="1"/>
          <w:bCs w:val="1"/>
          <w:color w:val="auto"/>
        </w:rPr>
        <w:t>or</w:t>
      </w:r>
    </w:p>
    <w:p>
      <w:pPr>
        <w:spacing w:after="0" w:line="19" w:lineRule="exact"/>
        <w:rPr>
          <w:sz w:val="24"/>
          <w:szCs w:val="24"/>
          <w:color w:val="auto"/>
        </w:rPr>
      </w:pPr>
    </w:p>
    <w:p>
      <w:pPr>
        <w:ind w:left="2240" w:right="1200" w:hanging="2232"/>
        <w:spacing w:after="0" w:line="382" w:lineRule="auto"/>
        <w:tabs>
          <w:tab w:leader="none" w:pos="484"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 period from ___________________ to ___________________</w:t>
      </w:r>
    </w:p>
    <w:p>
      <w:pPr>
        <w:ind w:left="368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Commission File Number: 001-39100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88900</wp:posOffset>
            </wp:positionV>
            <wp:extent cx="15773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176" w:lineRule="exact"/>
        <w:rPr>
          <w:sz w:val="24"/>
          <w:szCs w:val="24"/>
          <w:color w:val="auto"/>
        </w:rPr>
      </w:pPr>
    </w:p>
    <w:p>
      <w:pPr>
        <w:jc w:val="center"/>
        <w:ind w:right="20"/>
        <w:spacing w:after="0"/>
        <w:rPr>
          <w:sz w:val="20"/>
          <w:szCs w:val="20"/>
          <w:color w:val="auto"/>
        </w:rPr>
      </w:pPr>
      <w:r>
        <w:rPr>
          <w:rFonts w:ascii="Arial" w:cs="Arial" w:eastAsia="Arial" w:hAnsi="Arial"/>
          <w:sz w:val="41"/>
          <w:szCs w:val="41"/>
          <w:b w:val="1"/>
          <w:bCs w:val="1"/>
          <w:color w:val="auto"/>
        </w:rPr>
        <w:t>Progyny, Inc.</w:t>
      </w:r>
    </w:p>
    <w:p>
      <w:pPr>
        <w:sectPr>
          <w:pgSz w:w="11900" w:h="16838" w:orient="portrait"/>
          <w:cols w:equalWidth="0" w:num="1">
            <w:col w:w="9940"/>
          </w:cols>
          <w:pgMar w:left="980" w:top="665" w:right="979" w:bottom="1440" w:gutter="0" w:footer="0" w:header="0"/>
        </w:sectPr>
      </w:pPr>
    </w:p>
    <w:p>
      <w:pPr>
        <w:spacing w:after="0" w:line="58"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86360</wp:posOffset>
            </wp:positionV>
            <wp:extent cx="1577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37" w:lineRule="exact"/>
        <w:rPr>
          <w:sz w:val="24"/>
          <w:szCs w:val="24"/>
          <w:color w:val="auto"/>
        </w:rPr>
      </w:pPr>
    </w:p>
    <w:p>
      <w:pPr>
        <w:jc w:val="center"/>
        <w:ind w:right="1800"/>
        <w:spacing w:after="0"/>
        <w:rPr>
          <w:sz w:val="20"/>
          <w:szCs w:val="20"/>
          <w:color w:val="auto"/>
        </w:rPr>
      </w:pPr>
      <w:r>
        <w:rPr>
          <w:rFonts w:ascii="Arial" w:cs="Arial" w:eastAsia="Arial" w:hAnsi="Arial"/>
          <w:sz w:val="16"/>
          <w:szCs w:val="16"/>
          <w:b w:val="1"/>
          <w:bCs w:val="1"/>
          <w:color w:val="auto"/>
        </w:rPr>
        <w:t>Delaware</w:t>
      </w:r>
    </w:p>
    <w:p>
      <w:pPr>
        <w:spacing w:after="0" w:line="26" w:lineRule="exact"/>
        <w:rPr>
          <w:sz w:val="24"/>
          <w:szCs w:val="24"/>
          <w:color w:val="auto"/>
        </w:rPr>
      </w:pPr>
    </w:p>
    <w:p>
      <w:pPr>
        <w:ind w:left="1800"/>
        <w:spacing w:after="0"/>
        <w:rPr>
          <w:sz w:val="20"/>
          <w:szCs w:val="20"/>
          <w:color w:val="auto"/>
        </w:rPr>
      </w:pPr>
      <w:r>
        <w:rPr>
          <w:rFonts w:ascii="Arial" w:cs="Arial" w:eastAsia="Arial" w:hAnsi="Arial"/>
          <w:sz w:val="11"/>
          <w:szCs w:val="11"/>
          <w:b w:val="1"/>
          <w:bCs w:val="1"/>
          <w:color w:val="auto"/>
        </w:rPr>
        <w:t>(State or other jurisdiction of</w:t>
      </w:r>
    </w:p>
    <w:p>
      <w:pPr>
        <w:ind w:left="1780"/>
        <w:spacing w:after="0"/>
        <w:rPr>
          <w:sz w:val="20"/>
          <w:szCs w:val="20"/>
          <w:color w:val="auto"/>
        </w:rPr>
      </w:pPr>
      <w:r>
        <w:rPr>
          <w:rFonts w:ascii="Arial" w:cs="Arial" w:eastAsia="Arial" w:hAnsi="Arial"/>
          <w:sz w:val="11"/>
          <w:szCs w:val="11"/>
          <w:b w:val="1"/>
          <w:bCs w:val="1"/>
          <w:color w:val="auto"/>
        </w:rPr>
        <w:t>incorporation or organization)</w:t>
      </w:r>
    </w:p>
    <w:p>
      <w:pPr>
        <w:spacing w:after="0" w:line="2" w:lineRule="exact"/>
        <w:rPr>
          <w:sz w:val="24"/>
          <w:szCs w:val="24"/>
          <w:color w:val="auto"/>
        </w:rPr>
      </w:pPr>
    </w:p>
    <w:p>
      <w:pPr>
        <w:jc w:val="center"/>
        <w:ind w:right="1800"/>
        <w:spacing w:after="0"/>
        <w:rPr>
          <w:sz w:val="20"/>
          <w:szCs w:val="20"/>
          <w:color w:val="auto"/>
        </w:rPr>
      </w:pPr>
      <w:r>
        <w:rPr>
          <w:rFonts w:ascii="Arial" w:cs="Arial" w:eastAsia="Arial" w:hAnsi="Arial"/>
          <w:sz w:val="16"/>
          <w:szCs w:val="16"/>
          <w:b w:val="1"/>
          <w:bCs w:val="1"/>
          <w:color w:val="auto"/>
        </w:rPr>
        <w:t>1359 Broadway</w:t>
      </w:r>
    </w:p>
    <w:p>
      <w:pPr>
        <w:spacing w:after="0" w:line="27" w:lineRule="exact"/>
        <w:rPr>
          <w:sz w:val="24"/>
          <w:szCs w:val="24"/>
          <w:color w:val="auto"/>
        </w:rPr>
      </w:pPr>
    </w:p>
    <w:p>
      <w:pPr>
        <w:jc w:val="center"/>
        <w:ind w:right="1800"/>
        <w:spacing w:after="0"/>
        <w:rPr>
          <w:sz w:val="20"/>
          <w:szCs w:val="20"/>
          <w:color w:val="auto"/>
        </w:rPr>
      </w:pPr>
      <w:r>
        <w:rPr>
          <w:rFonts w:ascii="Arial" w:cs="Arial" w:eastAsia="Arial" w:hAnsi="Arial"/>
          <w:sz w:val="14"/>
          <w:szCs w:val="14"/>
          <w:b w:val="1"/>
          <w:bCs w:val="1"/>
          <w:color w:val="auto"/>
        </w:rPr>
        <w:t>New York, New York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ind w:left="20"/>
        <w:spacing w:after="0"/>
        <w:rPr>
          <w:sz w:val="20"/>
          <w:szCs w:val="20"/>
          <w:color w:val="auto"/>
        </w:rPr>
      </w:pPr>
      <w:r>
        <w:rPr>
          <w:rFonts w:ascii="Arial" w:cs="Arial" w:eastAsia="Arial" w:hAnsi="Arial"/>
          <w:sz w:val="15"/>
          <w:szCs w:val="15"/>
          <w:b w:val="1"/>
          <w:bCs w:val="1"/>
          <w:color w:val="auto"/>
        </w:rPr>
        <w:t>27-2220139</w:t>
      </w:r>
    </w:p>
    <w:p>
      <w:pPr>
        <w:spacing w:after="0" w:line="44" w:lineRule="exact"/>
        <w:rPr>
          <w:sz w:val="24"/>
          <w:szCs w:val="24"/>
          <w:color w:val="auto"/>
        </w:rPr>
      </w:pPr>
    </w:p>
    <w:p>
      <w:pPr>
        <w:ind w:left="20"/>
        <w:spacing w:after="0"/>
        <w:rPr>
          <w:sz w:val="20"/>
          <w:szCs w:val="20"/>
          <w:color w:val="auto"/>
        </w:rPr>
      </w:pPr>
      <w:r>
        <w:rPr>
          <w:rFonts w:ascii="Arial" w:cs="Arial" w:eastAsia="Arial" w:hAnsi="Arial"/>
          <w:sz w:val="10"/>
          <w:szCs w:val="10"/>
          <w:b w:val="1"/>
          <w:bCs w:val="1"/>
          <w:color w:val="auto"/>
        </w:rPr>
        <w:t>(I.R.S. Employer</w:t>
      </w:r>
    </w:p>
    <w:p>
      <w:pPr>
        <w:spacing w:after="0" w:line="19" w:lineRule="exact"/>
        <w:rPr>
          <w:sz w:val="24"/>
          <w:szCs w:val="24"/>
          <w:color w:val="auto"/>
        </w:rPr>
      </w:pPr>
    </w:p>
    <w:p>
      <w:pPr>
        <w:spacing w:after="0"/>
        <w:rPr>
          <w:sz w:val="20"/>
          <w:szCs w:val="20"/>
          <w:color w:val="auto"/>
        </w:rPr>
      </w:pPr>
      <w:r>
        <w:rPr>
          <w:rFonts w:ascii="Arial" w:cs="Arial" w:eastAsia="Arial" w:hAnsi="Arial"/>
          <w:sz w:val="9"/>
          <w:szCs w:val="9"/>
          <w:b w:val="1"/>
          <w:bCs w:val="1"/>
          <w:color w:val="auto"/>
        </w:rPr>
        <w:t>Identification No.)</w:t>
      </w:r>
    </w:p>
    <w:p>
      <w:pPr>
        <w:spacing w:after="0" w:line="235" w:lineRule="exact"/>
        <w:rPr>
          <w:sz w:val="24"/>
          <w:szCs w:val="24"/>
          <w:color w:val="auto"/>
        </w:rPr>
      </w:pPr>
    </w:p>
    <w:p>
      <w:pPr>
        <w:ind w:left="220"/>
        <w:spacing w:after="0"/>
        <w:rPr>
          <w:sz w:val="20"/>
          <w:szCs w:val="20"/>
          <w:color w:val="auto"/>
        </w:rPr>
      </w:pPr>
      <w:r>
        <w:rPr>
          <w:rFonts w:ascii="Arial" w:cs="Arial" w:eastAsia="Arial" w:hAnsi="Arial"/>
          <w:sz w:val="16"/>
          <w:szCs w:val="16"/>
          <w:b w:val="1"/>
          <w:bCs w:val="1"/>
          <w:color w:val="auto"/>
        </w:rPr>
        <w:t>10018</w:t>
      </w:r>
    </w:p>
    <w:p>
      <w:pPr>
        <w:spacing w:after="0" w:line="86" w:lineRule="exact"/>
        <w:rPr>
          <w:sz w:val="24"/>
          <w:szCs w:val="24"/>
          <w:color w:val="auto"/>
        </w:rPr>
      </w:pPr>
    </w:p>
    <w:p>
      <w:pPr>
        <w:sectPr>
          <w:pgSz w:w="11900" w:h="16838" w:orient="portrait"/>
          <w:cols w:equalWidth="0" w:num="2">
            <w:col w:w="6760" w:space="260"/>
            <w:col w:w="2920"/>
          </w:cols>
          <w:pgMar w:left="980" w:top="665" w:right="979" w:bottom="1440" w:gutter="0" w:footer="0" w:header="0"/>
          <w:type w:val="continuous"/>
        </w:sectPr>
      </w:pPr>
    </w:p>
    <w:p>
      <w:pPr>
        <w:ind w:left="1580"/>
        <w:spacing w:after="0"/>
        <w:tabs>
          <w:tab w:leader="none" w:pos="7160" w:val="left"/>
        </w:tabs>
        <w:rPr>
          <w:sz w:val="20"/>
          <w:szCs w:val="20"/>
          <w:color w:val="auto"/>
        </w:rPr>
      </w:pPr>
      <w:r>
        <w:rPr>
          <w:rFonts w:ascii="Arial" w:cs="Arial" w:eastAsia="Arial" w:hAnsi="Arial"/>
          <w:sz w:val="11"/>
          <w:szCs w:val="11"/>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15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(212) 888-3124</w:t>
      </w:r>
    </w:p>
    <w:p>
      <w:pPr>
        <w:spacing w:after="0" w:line="26" w:lineRule="exact"/>
        <w:rPr>
          <w:sz w:val="24"/>
          <w:szCs w:val="24"/>
          <w:color w:val="auto"/>
        </w:rPr>
      </w:pPr>
    </w:p>
    <w:p>
      <w:pPr>
        <w:ind w:left="334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66" w:lineRule="exact"/>
        <w:rPr>
          <w:sz w:val="24"/>
          <w:szCs w:val="24"/>
          <w:color w:val="auto"/>
        </w:rPr>
      </w:pPr>
    </w:p>
    <w:p>
      <w:pPr>
        <w:ind w:left="4840"/>
        <w:spacing w:after="0"/>
        <w:rPr>
          <w:sz w:val="20"/>
          <w:szCs w:val="20"/>
          <w:color w:val="auto"/>
        </w:rPr>
      </w:pPr>
      <w:r>
        <w:rPr>
          <w:rFonts w:ascii="Arial" w:cs="Arial" w:eastAsia="Arial" w:hAnsi="Arial"/>
          <w:sz w:val="14"/>
          <w:szCs w:val="14"/>
          <w:b w:val="1"/>
          <w:bCs w:val="1"/>
          <w:color w:val="auto"/>
        </w:rPr>
        <w:t>N/A</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64770</wp:posOffset>
            </wp:positionV>
            <wp:extent cx="15773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18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74930</wp:posOffset>
            </wp:positionV>
            <wp:extent cx="6301105" cy="386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01105" cy="386080"/>
                    </a:xfrm>
                    <a:prstGeom prst="rect">
                      <a:avLst/>
                    </a:prstGeom>
                    <a:noFill/>
                  </pic:spPr>
                </pic:pic>
              </a:graphicData>
            </a:graphic>
          </wp:anchor>
        </w:drawing>
      </w:r>
    </w:p>
    <w:p>
      <w:pPr>
        <w:spacing w:after="0" w:line="78"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340" w:type="dxa"/>
            <w:vAlign w:val="bottom"/>
            <w:tcBorders>
              <w:top w:val="single" w:sz="8" w:color="auto"/>
              <w:bottom w:val="single" w:sz="8" w:color="auto"/>
            </w:tcBorders>
          </w:tcPr>
          <w:p>
            <w:pPr>
              <w:jc w:val="center"/>
              <w:ind w:left="108"/>
              <w:spacing w:after="0"/>
              <w:rPr>
                <w:sz w:val="20"/>
                <w:szCs w:val="20"/>
                <w:color w:val="auto"/>
              </w:rPr>
            </w:pPr>
            <w:r>
              <w:rPr>
                <w:rFonts w:ascii="Arial" w:cs="Arial" w:eastAsia="Arial" w:hAnsi="Arial"/>
                <w:sz w:val="14"/>
                <w:szCs w:val="14"/>
                <w:b w:val="1"/>
                <w:bCs w:val="1"/>
                <w:color w:val="auto"/>
                <w:w w:val="89"/>
              </w:rPr>
              <w:t>Title of each class</w:t>
            </w:r>
          </w:p>
        </w:tc>
        <w:tc>
          <w:tcPr>
            <w:tcW w:w="2860" w:type="dxa"/>
            <w:vAlign w:val="bottom"/>
            <w:tcBorders>
              <w:top w:val="single" w:sz="8" w:color="auto"/>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2"/>
              </w:rPr>
              <w:t>Trading Symbol(s)</w:t>
            </w:r>
          </w:p>
        </w:tc>
        <w:tc>
          <w:tcPr>
            <w:tcW w:w="3740" w:type="dxa"/>
            <w:vAlign w:val="bottom"/>
            <w:tcBorders>
              <w:top w:val="single" w:sz="8" w:color="auto"/>
              <w:bottom w:val="single" w:sz="8" w:color="auto"/>
            </w:tcBorders>
          </w:tcPr>
          <w:p>
            <w:pPr>
              <w:jc w:val="center"/>
              <w:ind w:left="188"/>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89"/>
        </w:trPr>
        <w:tc>
          <w:tcPr>
            <w:tcW w:w="3340" w:type="dxa"/>
            <w:vAlign w:val="bottom"/>
          </w:tcPr>
          <w:p>
            <w:pPr>
              <w:jc w:val="center"/>
              <w:ind w:left="88"/>
              <w:spacing w:after="0"/>
              <w:rPr>
                <w:sz w:val="20"/>
                <w:szCs w:val="20"/>
                <w:color w:val="auto"/>
              </w:rPr>
            </w:pPr>
            <w:r>
              <w:rPr>
                <w:rFonts w:ascii="Arial" w:cs="Arial" w:eastAsia="Arial" w:hAnsi="Arial"/>
                <w:sz w:val="14"/>
                <w:szCs w:val="14"/>
                <w:color w:val="auto"/>
                <w:w w:val="94"/>
              </w:rPr>
              <w:t>Common Stock,</w:t>
            </w:r>
          </w:p>
        </w:tc>
        <w:tc>
          <w:tcPr>
            <w:tcW w:w="2860" w:type="dxa"/>
            <w:vAlign w:val="bottom"/>
          </w:tcPr>
          <w:p>
            <w:pPr>
              <w:jc w:val="center"/>
              <w:ind w:left="348"/>
              <w:spacing w:after="0"/>
              <w:rPr>
                <w:sz w:val="20"/>
                <w:szCs w:val="20"/>
                <w:color w:val="auto"/>
              </w:rPr>
            </w:pPr>
            <w:r>
              <w:rPr>
                <w:rFonts w:ascii="Arial" w:cs="Arial" w:eastAsia="Arial" w:hAnsi="Arial"/>
                <w:sz w:val="14"/>
                <w:szCs w:val="14"/>
                <w:color w:val="auto"/>
              </w:rPr>
              <w:t>PGNY</w:t>
            </w:r>
          </w:p>
        </w:tc>
        <w:tc>
          <w:tcPr>
            <w:tcW w:w="3740" w:type="dxa"/>
            <w:vAlign w:val="bottom"/>
          </w:tcPr>
          <w:p>
            <w:pPr>
              <w:jc w:val="center"/>
              <w:ind w:left="188"/>
              <w:spacing w:after="0"/>
              <w:rPr>
                <w:sz w:val="20"/>
                <w:szCs w:val="20"/>
                <w:color w:val="auto"/>
              </w:rPr>
            </w:pPr>
            <w:r>
              <w:rPr>
                <w:rFonts w:ascii="Arial" w:cs="Arial" w:eastAsia="Arial" w:hAnsi="Arial"/>
                <w:sz w:val="14"/>
                <w:szCs w:val="14"/>
                <w:color w:val="auto"/>
                <w:w w:val="93"/>
              </w:rPr>
              <w:t>The Nasdaq Global Select Market</w:t>
            </w:r>
          </w:p>
        </w:tc>
      </w:tr>
    </w:tbl>
    <w:p>
      <w:pPr>
        <w:ind w:left="960"/>
        <w:spacing w:after="0"/>
        <w:rPr>
          <w:sz w:val="20"/>
          <w:szCs w:val="20"/>
          <w:color w:val="auto"/>
        </w:rPr>
      </w:pPr>
      <w:r>
        <w:rPr>
          <w:rFonts w:ascii="Arial" w:cs="Arial" w:eastAsia="Arial" w:hAnsi="Arial"/>
          <w:sz w:val="14"/>
          <w:szCs w:val="14"/>
          <w:color w:val="auto"/>
        </w:rPr>
        <w:t>$0.0001 par value per share</w:t>
      </w:r>
    </w:p>
    <w:p>
      <w:pPr>
        <w:spacing w:after="0" w:line="151" w:lineRule="exact"/>
        <w:rPr>
          <w:sz w:val="24"/>
          <w:szCs w:val="24"/>
          <w:color w:val="auto"/>
        </w:rPr>
      </w:pPr>
    </w:p>
    <w:p>
      <w:pPr>
        <w:jc w:val="both"/>
        <w:ind w:right="20" w:firstLine="518"/>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61" w:lineRule="exact"/>
        <w:tabs>
          <w:tab w:leader="none" w:pos="460" w:val="left"/>
          <w:tab w:leader="none" w:pos="1000" w:val="left"/>
        </w:tabs>
        <w:rPr>
          <w:sz w:val="20"/>
          <w:szCs w:val="20"/>
          <w:color w:val="auto"/>
        </w:rPr>
      </w:pPr>
      <w:r>
        <w:rPr>
          <w:rFonts w:ascii="Arial" w:cs="Arial" w:eastAsia="Arial" w:hAnsi="Arial"/>
          <w:sz w:val="14"/>
          <w:szCs w:val="14"/>
          <w:color w:val="auto"/>
        </w:rPr>
        <w:t>days.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332" w:lineRule="exact"/>
        <w:rPr>
          <w:sz w:val="24"/>
          <w:szCs w:val="24"/>
          <w:color w:val="auto"/>
        </w:rPr>
      </w:pPr>
    </w:p>
    <w:p>
      <w:pPr>
        <w:jc w:val="both"/>
        <w:ind w:right="20" w:firstLine="518"/>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2" w:lineRule="exact"/>
        <w:rPr>
          <w:sz w:val="24"/>
          <w:szCs w:val="24"/>
          <w:color w:val="auto"/>
        </w:rPr>
      </w:pPr>
    </w:p>
    <w:p>
      <w:pPr>
        <w:jc w:val="both"/>
        <w:ind w:right="20" w:firstLine="518"/>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1" w:lineRule="exact"/>
        <w:rPr>
          <w:sz w:val="24"/>
          <w:szCs w:val="24"/>
          <w:color w:val="auto"/>
        </w:rPr>
      </w:pPr>
    </w:p>
    <w:tbl>
      <w:tblPr>
        <w:tblLayout w:type="fixed"/>
        <w:tblInd w:w="1000" w:type="dxa"/>
        <w:tblCellMar>
          <w:top w:w="0" w:type="dxa"/>
          <w:left w:w="0" w:type="dxa"/>
          <w:bottom w:w="0" w:type="dxa"/>
          <w:right w:w="0" w:type="dxa"/>
        </w:tblCellMar>
      </w:tblPr>
      <w:tr>
        <w:trPr>
          <w:trHeight w:val="175"/>
        </w:trPr>
        <w:tc>
          <w:tcPr>
            <w:tcW w:w="22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480" w:type="dxa"/>
            <w:vAlign w:val="bottom"/>
          </w:tcPr>
          <w:p>
            <w:pPr>
              <w:ind w:left="980"/>
              <w:spacing w:after="0" w:line="141" w:lineRule="exact"/>
              <w:rPr>
                <w:sz w:val="20"/>
                <w:szCs w:val="20"/>
                <w:color w:val="auto"/>
              </w:rPr>
            </w:pPr>
            <w:r>
              <w:rPr>
                <w:rFonts w:ascii="MS PGothic" w:cs="MS PGothic" w:eastAsia="MS PGothic" w:hAnsi="MS PGothic"/>
                <w:sz w:val="14"/>
                <w:szCs w:val="14"/>
                <w:color w:val="auto"/>
              </w:rPr>
              <w:t>☒</w:t>
            </w:r>
          </w:p>
        </w:tc>
        <w:tc>
          <w:tcPr>
            <w:tcW w:w="2880" w:type="dxa"/>
            <w:vAlign w:val="bottom"/>
          </w:tcPr>
          <w:p>
            <w:pPr>
              <w:ind w:left="360"/>
              <w:spacing w:after="0"/>
              <w:rPr>
                <w:sz w:val="20"/>
                <w:szCs w:val="20"/>
                <w:color w:val="auto"/>
              </w:rPr>
            </w:pPr>
            <w:r>
              <w:rPr>
                <w:rFonts w:ascii="Arial" w:cs="Arial" w:eastAsia="Arial" w:hAnsi="Arial"/>
                <w:sz w:val="14"/>
                <w:szCs w:val="14"/>
                <w:color w:val="auto"/>
              </w:rPr>
              <w:t>Accelerated filer</w:t>
            </w:r>
          </w:p>
        </w:tc>
        <w:tc>
          <w:tcPr>
            <w:tcW w:w="1060" w:type="dxa"/>
            <w:vAlign w:val="bottom"/>
          </w:tcPr>
          <w:p>
            <w:pPr>
              <w:ind w:left="9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2280" w:type="dxa"/>
            <w:vAlign w:val="bottom"/>
          </w:tcPr>
          <w:p>
            <w:pPr>
              <w:spacing w:after="0"/>
              <w:rPr>
                <w:sz w:val="20"/>
                <w:szCs w:val="20"/>
                <w:color w:val="auto"/>
              </w:rPr>
            </w:pPr>
            <w:r>
              <w:rPr>
                <w:rFonts w:ascii="Arial" w:cs="Arial" w:eastAsia="Arial" w:hAnsi="Arial"/>
                <w:sz w:val="14"/>
                <w:szCs w:val="14"/>
                <w:color w:val="auto"/>
              </w:rPr>
              <w:t>Non-accelerated filer</w:t>
            </w:r>
          </w:p>
        </w:tc>
        <w:tc>
          <w:tcPr>
            <w:tcW w:w="1480" w:type="dxa"/>
            <w:vAlign w:val="bottom"/>
          </w:tcPr>
          <w:p>
            <w:pPr>
              <w:ind w:left="980"/>
              <w:spacing w:after="0" w:line="141" w:lineRule="exact"/>
              <w:rPr>
                <w:sz w:val="20"/>
                <w:szCs w:val="20"/>
                <w:color w:val="auto"/>
              </w:rPr>
            </w:pPr>
            <w:r>
              <w:rPr>
                <w:rFonts w:ascii="MS PGothic" w:cs="MS PGothic" w:eastAsia="MS PGothic" w:hAnsi="MS PGothic"/>
                <w:sz w:val="14"/>
                <w:szCs w:val="14"/>
                <w:color w:val="auto"/>
              </w:rPr>
              <w:t>☐</w:t>
            </w:r>
          </w:p>
        </w:tc>
        <w:tc>
          <w:tcPr>
            <w:tcW w:w="2880" w:type="dxa"/>
            <w:vAlign w:val="bottom"/>
          </w:tcPr>
          <w:p>
            <w:pPr>
              <w:ind w:left="360"/>
              <w:spacing w:after="0"/>
              <w:rPr>
                <w:sz w:val="20"/>
                <w:szCs w:val="20"/>
                <w:color w:val="auto"/>
              </w:rPr>
            </w:pPr>
            <w:r>
              <w:rPr>
                <w:rFonts w:ascii="Arial" w:cs="Arial" w:eastAsia="Arial" w:hAnsi="Arial"/>
                <w:sz w:val="14"/>
                <w:szCs w:val="14"/>
                <w:color w:val="auto"/>
              </w:rPr>
              <w:t>Smaller reporting company</w:t>
            </w:r>
          </w:p>
        </w:tc>
        <w:tc>
          <w:tcPr>
            <w:tcW w:w="1060" w:type="dxa"/>
            <w:vAlign w:val="bottom"/>
          </w:tcPr>
          <w:p>
            <w:pPr>
              <w:ind w:left="9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2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880" w:type="dxa"/>
            <w:vAlign w:val="bottom"/>
          </w:tcPr>
          <w:p>
            <w:pPr>
              <w:ind w:left="360"/>
              <w:spacing w:after="0"/>
              <w:rPr>
                <w:sz w:val="20"/>
                <w:szCs w:val="20"/>
                <w:color w:val="auto"/>
              </w:rPr>
            </w:pPr>
            <w:r>
              <w:rPr>
                <w:rFonts w:ascii="Arial" w:cs="Arial" w:eastAsia="Arial" w:hAnsi="Arial"/>
                <w:sz w:val="14"/>
                <w:szCs w:val="14"/>
                <w:color w:val="auto"/>
              </w:rPr>
              <w:t>Emerging growth company</w:t>
            </w:r>
          </w:p>
        </w:tc>
        <w:tc>
          <w:tcPr>
            <w:tcW w:w="1060" w:type="dxa"/>
            <w:vAlign w:val="bottom"/>
          </w:tcPr>
          <w:p>
            <w:pPr>
              <w:ind w:left="9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58" w:lineRule="exact"/>
        <w:rPr>
          <w:sz w:val="24"/>
          <w:szCs w:val="24"/>
          <w:color w:val="auto"/>
        </w:rPr>
      </w:pPr>
    </w:p>
    <w:p>
      <w:pPr>
        <w:ind w:right="40" w:firstLine="518"/>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ind w:right="1820" w:firstLine="518"/>
        <w:spacing w:after="0" w:line="233"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2"/>
          <w:szCs w:val="12"/>
          <w:color w:val="auto"/>
        </w:rPr>
        <w:t>☒</w:t>
      </w:r>
      <w:r>
        <w:rPr>
          <w:rFonts w:ascii="Arial" w:cs="Arial" w:eastAsia="Arial" w:hAnsi="Arial"/>
          <w:sz w:val="14"/>
          <w:szCs w:val="14"/>
          <w:color w:val="auto"/>
        </w:rPr>
        <w:t xml:space="preserve"> As of July 31, 2021, the registrant had 89,393,728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462280</wp:posOffset>
            </wp:positionV>
            <wp:extent cx="629221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33655</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76835</wp:posOffset>
            </wp:positionV>
            <wp:extent cx="629221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40"/>
          </w:cols>
          <w:pgMar w:left="980" w:top="665" w:right="97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8460" w:type="dxa"/>
            <w:vAlign w:val="bottom"/>
            <w:gridSpan w:val="29"/>
            <w:vMerge w:val="restart"/>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PART I. FINANCIAL INFORMATION</w:t>
              </w:r>
            </w:hyperlink>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8460" w:type="dxa"/>
            <w:vAlign w:val="bottom"/>
            <w:gridSpan w:val="29"/>
            <w:vMerge w:val="continue"/>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20" w:type="dxa"/>
            <w:vAlign w:val="bottom"/>
            <w:gridSpan w:val="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Item 1.</w:t>
              </w:r>
            </w:hyperlink>
          </w:p>
        </w:tc>
        <w:tc>
          <w:tcPr>
            <w:tcW w:w="100" w:type="dxa"/>
            <w:vAlign w:val="bottom"/>
            <w:gridSpan w:val="3"/>
          </w:tcPr>
          <w:p>
            <w:pPr>
              <w:spacing w:after="0"/>
              <w:rPr>
                <w:sz w:val="24"/>
                <w:szCs w:val="24"/>
                <w:color w:val="auto"/>
              </w:rPr>
            </w:pPr>
          </w:p>
        </w:tc>
        <w:tc>
          <w:tcPr>
            <w:tcW w:w="7740" w:type="dxa"/>
            <w:vAlign w:val="bottom"/>
            <w:gridSpan w:val="2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Financial Statements (Unaudited)</w:t>
              </w:r>
            </w:hyperlink>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0" w:type="dxa"/>
            <w:vAlign w:val="bottom"/>
            <w:gridSpan w:val="22"/>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Balance Sheets as of June 30, 2021 and December 31, 2020</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0" w:type="dxa"/>
            <w:vAlign w:val="bottom"/>
            <w:gridSpan w:val="22"/>
          </w:tcPr>
          <w:p>
            <w:pPr>
              <w:spacing w:after="0" w:line="196" w:lineRule="exact"/>
              <w:rPr>
                <w:rFonts w:ascii="Arial" w:cs="Arial" w:eastAsia="Arial" w:hAnsi="Arial"/>
                <w:sz w:val="18"/>
                <w:szCs w:val="18"/>
                <w:color w:val="0000EE"/>
                <w:w w:val="93"/>
              </w:rPr>
            </w:pPr>
            <w:hyperlink w:anchor="page7">
              <w:r>
                <w:rPr>
                  <w:rFonts w:ascii="Arial" w:cs="Arial" w:eastAsia="Arial" w:hAnsi="Arial"/>
                  <w:sz w:val="18"/>
                  <w:szCs w:val="18"/>
                  <w:color w:val="0000EE"/>
                  <w:w w:val="93"/>
                </w:rPr>
                <w:t>Consolidated Statements of Operations for the Three and Six Months Ended June 30, 2021 and 2020</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56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Consolidated Statements of Comprehensive Income (Loss) for the Three and Six Months Ended June 30,</w:t>
              </w:r>
            </w:hyperlink>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0" w:type="dxa"/>
            <w:vAlign w:val="bottom"/>
            <w:gridSpan w:val="22"/>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2021 and 2020</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0" w:type="dxa"/>
            <w:vAlign w:val="bottom"/>
            <w:gridSpan w:val="22"/>
          </w:tcPr>
          <w:p>
            <w:pPr>
              <w:spacing w:after="0" w:line="196" w:lineRule="exact"/>
              <w:rPr>
                <w:rFonts w:ascii="Arial" w:cs="Arial" w:eastAsia="Arial" w:hAnsi="Arial"/>
                <w:sz w:val="18"/>
                <w:szCs w:val="18"/>
                <w:color w:val="0000EE"/>
                <w:w w:val="92"/>
              </w:rPr>
            </w:pPr>
            <w:hyperlink w:anchor="page9">
              <w:r>
                <w:rPr>
                  <w:rFonts w:ascii="Arial" w:cs="Arial" w:eastAsia="Arial" w:hAnsi="Arial"/>
                  <w:sz w:val="18"/>
                  <w:szCs w:val="18"/>
                  <w:color w:val="0000EE"/>
                  <w:w w:val="92"/>
                </w:rPr>
                <w:t>Consolidated Statements of Changes in Stockholders’ Equity for the Three and Six Months Ended June</w:t>
              </w:r>
            </w:hyperlink>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7"/>
              </w:rPr>
            </w:pPr>
            <w:hyperlink w:anchor="page9">
              <w:r>
                <w:rPr>
                  <w:rFonts w:ascii="Arial" w:cs="Arial" w:eastAsia="Arial" w:hAnsi="Arial"/>
                  <w:sz w:val="18"/>
                  <w:szCs w:val="18"/>
                  <w:color w:val="0000EE"/>
                  <w:w w:val="87"/>
                </w:rPr>
                <w:t>30, 2021 and 2020</w:t>
              </w:r>
            </w:hyperlink>
          </w:p>
        </w:tc>
        <w:tc>
          <w:tcPr>
            <w:tcW w:w="6100" w:type="dxa"/>
            <w:vAlign w:val="bottom"/>
            <w:tcBorders>
              <w:top w:val="single" w:sz="8" w:color="0000EE"/>
            </w:tcBorders>
            <w:gridSpan w:val="13"/>
          </w:tcPr>
          <w:p>
            <w:pPr>
              <w:spacing w:after="0"/>
              <w:rPr>
                <w:sz w:val="17"/>
                <w:szCs w:val="17"/>
                <w:color w:val="auto"/>
              </w:rPr>
            </w:pPr>
          </w:p>
        </w:tc>
        <w:tc>
          <w:tcPr>
            <w:tcW w:w="160" w:type="dxa"/>
            <w:vAlign w:val="bottom"/>
            <w:gridSpan w:val="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0" w:type="dxa"/>
            <w:vAlign w:val="bottom"/>
            <w:gridSpan w:val="22"/>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Consolidated Statements of Cash Flows for the Six Months Ended June 30, 2021 and 2020</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Notes to Consolidated Financial Statements</w:t>
              </w:r>
            </w:hyperlink>
          </w:p>
        </w:tc>
        <w:tc>
          <w:tcPr>
            <w:tcW w:w="1080" w:type="dxa"/>
            <w:vAlign w:val="bottom"/>
            <w:gridSpan w:val="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gridSpan w:val="2"/>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Item 2.</w:t>
              </w:r>
            </w:hyperlink>
          </w:p>
        </w:tc>
        <w:tc>
          <w:tcPr>
            <w:tcW w:w="200" w:type="dxa"/>
            <w:vAlign w:val="bottom"/>
            <w:gridSpan w:val="4"/>
          </w:tcPr>
          <w:p>
            <w:pPr>
              <w:spacing w:after="0"/>
              <w:rPr>
                <w:sz w:val="17"/>
                <w:szCs w:val="17"/>
                <w:color w:val="auto"/>
              </w:rPr>
            </w:pPr>
          </w:p>
        </w:tc>
        <w:tc>
          <w:tcPr>
            <w:tcW w:w="7740" w:type="dxa"/>
            <w:vAlign w:val="bottom"/>
            <w:gridSpan w:val="23"/>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Item 3.</w:t>
              </w:r>
            </w:hyperlink>
          </w:p>
        </w:tc>
        <w:tc>
          <w:tcPr>
            <w:tcW w:w="200" w:type="dxa"/>
            <w:vAlign w:val="bottom"/>
            <w:gridSpan w:val="4"/>
          </w:tcPr>
          <w:p>
            <w:pPr>
              <w:spacing w:after="0"/>
              <w:rPr>
                <w:sz w:val="17"/>
                <w:szCs w:val="17"/>
                <w:color w:val="auto"/>
              </w:rPr>
            </w:pPr>
          </w:p>
        </w:tc>
        <w:tc>
          <w:tcPr>
            <w:tcW w:w="438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17"/>
                <w:szCs w:val="17"/>
                <w:color w:val="auto"/>
              </w:rPr>
            </w:pPr>
          </w:p>
        </w:tc>
        <w:tc>
          <w:tcPr>
            <w:tcW w:w="1280" w:type="dxa"/>
            <w:vAlign w:val="bottom"/>
            <w:gridSpan w:val="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720" w:type="dxa"/>
            <w:vAlign w:val="bottom"/>
            <w:gridSpan w:val="6"/>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Item 4.</w:t>
              </w:r>
            </w:hyperlink>
          </w:p>
        </w:tc>
        <w:tc>
          <w:tcPr>
            <w:tcW w:w="7740" w:type="dxa"/>
            <w:vAlign w:val="bottom"/>
            <w:gridSpan w:val="23"/>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Controls and Procedures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3380" w:type="dxa"/>
            <w:vAlign w:val="bottom"/>
            <w:gridSpan w:val="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60" w:type="dxa"/>
            <w:vAlign w:val="bottom"/>
            <w:gridSpan w:val="29"/>
          </w:tcPr>
          <w:p>
            <w:pPr>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PART II. OTHER INFORMATION</w:t>
              </w:r>
            </w:hyperlink>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Item 1.</w:t>
              </w:r>
            </w:hyperlink>
          </w:p>
        </w:tc>
        <w:tc>
          <w:tcPr>
            <w:tcW w:w="180" w:type="dxa"/>
            <w:vAlign w:val="bottom"/>
            <w:tcBorders>
              <w:top w:val="single" w:sz="8" w:color="0000EE"/>
            </w:tcBorders>
            <w:gridSpan w:val="3"/>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39">
              <w:r>
                <w:rPr>
                  <w:rFonts w:ascii="Arial" w:cs="Arial" w:eastAsia="Arial" w:hAnsi="Arial"/>
                  <w:sz w:val="18"/>
                  <w:szCs w:val="18"/>
                  <w:color w:val="0000EE"/>
                  <w:w w:val="88"/>
                </w:rPr>
                <w:t>Legal Proceedings</w:t>
              </w:r>
            </w:hyperlink>
          </w:p>
        </w:tc>
        <w:tc>
          <w:tcPr>
            <w:tcW w:w="680" w:type="dxa"/>
            <w:vAlign w:val="bottom"/>
            <w:tcBorders>
              <w:top w:val="single" w:sz="8" w:color="0000EE"/>
            </w:tcBorders>
            <w:gridSpan w:val="3"/>
          </w:tcPr>
          <w:p>
            <w:pPr>
              <w:spacing w:after="0"/>
              <w:rPr>
                <w:sz w:val="24"/>
                <w:szCs w:val="24"/>
                <w:color w:val="auto"/>
              </w:rPr>
            </w:pPr>
          </w:p>
        </w:tc>
        <w:tc>
          <w:tcPr>
            <w:tcW w:w="5720" w:type="dxa"/>
            <w:vAlign w:val="bottom"/>
            <w:gridSpan w:val="13"/>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640" w:type="dxa"/>
            <w:vAlign w:val="bottom"/>
            <w:gridSpan w:val="4"/>
          </w:tcPr>
          <w:p>
            <w:pPr>
              <w:spacing w:after="0" w:line="196" w:lineRule="exact"/>
              <w:rPr>
                <w:rFonts w:ascii="Arial" w:cs="Arial" w:eastAsia="Arial" w:hAnsi="Arial"/>
                <w:sz w:val="18"/>
                <w:szCs w:val="18"/>
                <w:color w:val="0000EE"/>
                <w:w w:val="92"/>
              </w:rPr>
            </w:pPr>
            <w:hyperlink w:anchor="page39">
              <w:r>
                <w:rPr>
                  <w:rFonts w:ascii="Arial" w:cs="Arial" w:eastAsia="Arial" w:hAnsi="Arial"/>
                  <w:sz w:val="18"/>
                  <w:szCs w:val="18"/>
                  <w:color w:val="0000EE"/>
                  <w:w w:val="92"/>
                </w:rPr>
                <w:t>Item 1A.</w:t>
              </w:r>
            </w:hyperlink>
          </w:p>
        </w:tc>
        <w:tc>
          <w:tcPr>
            <w:tcW w:w="80" w:type="dxa"/>
            <w:vAlign w:val="bottom"/>
            <w:gridSpan w:val="2"/>
          </w:tcPr>
          <w:p>
            <w:pPr>
              <w:spacing w:after="0"/>
              <w:rPr>
                <w:sz w:val="17"/>
                <w:szCs w:val="17"/>
                <w:color w:val="auto"/>
              </w:rPr>
            </w:pPr>
          </w:p>
        </w:tc>
        <w:tc>
          <w:tcPr>
            <w:tcW w:w="7740" w:type="dxa"/>
            <w:vAlign w:val="bottom"/>
            <w:gridSpan w:val="23"/>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Risk Factors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640" w:type="dxa"/>
            <w:vAlign w:val="bottom"/>
            <w:gridSpan w:val="4"/>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3380" w:type="dxa"/>
            <w:vAlign w:val="bottom"/>
            <w:gridSpan w:val="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69">
              <w:r>
                <w:rPr>
                  <w:rFonts w:ascii="Arial" w:cs="Arial" w:eastAsia="Arial" w:hAnsi="Arial"/>
                  <w:sz w:val="18"/>
                  <w:szCs w:val="18"/>
                  <w:color w:val="0000EE"/>
                  <w:w w:val="90"/>
                </w:rPr>
                <w:t>Item 2.</w:t>
              </w:r>
            </w:hyperlink>
          </w:p>
        </w:tc>
        <w:tc>
          <w:tcPr>
            <w:tcW w:w="120" w:type="dxa"/>
            <w:vAlign w:val="bottom"/>
            <w:gridSpan w:val="2"/>
          </w:tcPr>
          <w:p>
            <w:pPr>
              <w:spacing w:after="0"/>
              <w:rPr>
                <w:sz w:val="17"/>
                <w:szCs w:val="17"/>
                <w:color w:val="auto"/>
              </w:rPr>
            </w:pPr>
          </w:p>
        </w:tc>
        <w:tc>
          <w:tcPr>
            <w:tcW w:w="80" w:type="dxa"/>
            <w:vAlign w:val="bottom"/>
            <w:gridSpan w:val="2"/>
          </w:tcPr>
          <w:p>
            <w:pPr>
              <w:spacing w:after="0"/>
              <w:rPr>
                <w:sz w:val="17"/>
                <w:szCs w:val="17"/>
                <w:color w:val="auto"/>
              </w:rPr>
            </w:pPr>
          </w:p>
        </w:tc>
        <w:tc>
          <w:tcPr>
            <w:tcW w:w="43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Unregistered Sales of Equity Securities and Use of Proceeds</w:t>
              </w:r>
            </w:hyperlink>
          </w:p>
        </w:tc>
        <w:tc>
          <w:tcPr>
            <w:tcW w:w="3380" w:type="dxa"/>
            <w:vAlign w:val="bottom"/>
            <w:gridSpan w:val="8"/>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520" w:type="dxa"/>
            <w:vAlign w:val="bottom"/>
            <w:gridSpan w:val="2"/>
          </w:tcPr>
          <w:p>
            <w:pPr>
              <w:spacing w:after="0" w:line="196" w:lineRule="exact"/>
              <w:rPr>
                <w:rFonts w:ascii="Arial" w:cs="Arial" w:eastAsia="Arial" w:hAnsi="Arial"/>
                <w:sz w:val="18"/>
                <w:szCs w:val="18"/>
                <w:color w:val="0000EE"/>
                <w:w w:val="90"/>
              </w:rPr>
            </w:pPr>
            <w:hyperlink w:anchor="page70">
              <w:r>
                <w:rPr>
                  <w:rFonts w:ascii="Arial" w:cs="Arial" w:eastAsia="Arial" w:hAnsi="Arial"/>
                  <w:sz w:val="18"/>
                  <w:szCs w:val="18"/>
                  <w:color w:val="0000EE"/>
                  <w:w w:val="90"/>
                </w:rPr>
                <w:t>Item 3.</w:t>
              </w:r>
            </w:hyperlink>
          </w:p>
        </w:tc>
        <w:tc>
          <w:tcPr>
            <w:tcW w:w="200" w:type="dxa"/>
            <w:vAlign w:val="bottom"/>
            <w:gridSpan w:val="4"/>
          </w:tcPr>
          <w:p>
            <w:pPr>
              <w:spacing w:after="0"/>
              <w:rPr>
                <w:sz w:val="17"/>
                <w:szCs w:val="17"/>
                <w:color w:val="auto"/>
              </w:rPr>
            </w:pPr>
          </w:p>
        </w:tc>
        <w:tc>
          <w:tcPr>
            <w:tcW w:w="7740" w:type="dxa"/>
            <w:vAlign w:val="bottom"/>
            <w:gridSpan w:val="23"/>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Defaults Upon Senior Securities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70">
              <w:r>
                <w:rPr>
                  <w:rFonts w:ascii="Arial" w:cs="Arial" w:eastAsia="Arial" w:hAnsi="Arial"/>
                  <w:sz w:val="18"/>
                  <w:szCs w:val="18"/>
                  <w:color w:val="0000EE"/>
                  <w:w w:val="90"/>
                </w:rPr>
                <w:t>Item 4.</w:t>
              </w:r>
            </w:hyperlink>
          </w:p>
        </w:tc>
        <w:tc>
          <w:tcPr>
            <w:tcW w:w="200" w:type="dxa"/>
            <w:vAlign w:val="bottom"/>
            <w:gridSpan w:val="4"/>
          </w:tcPr>
          <w:p>
            <w:pPr>
              <w:spacing w:after="0"/>
              <w:rPr>
                <w:sz w:val="17"/>
                <w:szCs w:val="17"/>
                <w:color w:val="auto"/>
              </w:rPr>
            </w:pPr>
          </w:p>
        </w:tc>
        <w:tc>
          <w:tcPr>
            <w:tcW w:w="17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w:anchor="page70">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2"/>
          </w:tcPr>
          <w:p>
            <w:pPr>
              <w:spacing w:after="0"/>
              <w:rPr>
                <w:sz w:val="17"/>
                <w:szCs w:val="17"/>
                <w:color w:val="auto"/>
              </w:rPr>
            </w:pPr>
          </w:p>
        </w:tc>
        <w:tc>
          <w:tcPr>
            <w:tcW w:w="5420" w:type="dxa"/>
            <w:vAlign w:val="bottom"/>
            <w:gridSpan w:val="1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70">
              <w:r>
                <w:rPr>
                  <w:rFonts w:ascii="Arial" w:cs="Arial" w:eastAsia="Arial" w:hAnsi="Arial"/>
                  <w:sz w:val="18"/>
                  <w:szCs w:val="18"/>
                  <w:color w:val="0000EE"/>
                  <w:w w:val="90"/>
                </w:rPr>
                <w:t>Item 5.</w:t>
              </w:r>
            </w:hyperlink>
          </w:p>
        </w:tc>
        <w:tc>
          <w:tcPr>
            <w:tcW w:w="200" w:type="dxa"/>
            <w:vAlign w:val="bottom"/>
            <w:gridSpan w:val="4"/>
          </w:tcPr>
          <w:p>
            <w:pPr>
              <w:spacing w:after="0"/>
              <w:rPr>
                <w:sz w:val="17"/>
                <w:szCs w:val="17"/>
                <w:color w:val="auto"/>
              </w:rPr>
            </w:pPr>
          </w:p>
        </w:tc>
        <w:tc>
          <w:tcPr>
            <w:tcW w:w="13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70">
              <w:r>
                <w:rPr>
                  <w:rFonts w:ascii="Arial" w:cs="Arial" w:eastAsia="Arial" w:hAnsi="Arial"/>
                  <w:sz w:val="18"/>
                  <w:szCs w:val="18"/>
                  <w:color w:val="0000EE"/>
                  <w:w w:val="92"/>
                </w:rPr>
                <w:t>Other Information</w:t>
              </w:r>
            </w:hyperlink>
          </w:p>
        </w:tc>
        <w:tc>
          <w:tcPr>
            <w:tcW w:w="6420" w:type="dxa"/>
            <w:vAlign w:val="bottom"/>
            <w:gridSpan w:val="17"/>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720" w:type="dxa"/>
            <w:vAlign w:val="bottom"/>
            <w:gridSpan w:val="6"/>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Item 6.</w:t>
              </w:r>
            </w:hyperlink>
          </w:p>
        </w:tc>
        <w:tc>
          <w:tcPr>
            <w:tcW w:w="7740" w:type="dxa"/>
            <w:vAlign w:val="bottom"/>
            <w:gridSpan w:val="23"/>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Exhibits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980" w:type="dxa"/>
            <w:vAlign w:val="bottom"/>
            <w:gridSpan w:val="2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40" w:type="dxa"/>
            <w:vAlign w:val="bottom"/>
            <w:gridSpan w:val="23"/>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Signatures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 contained in this Quarterly Report on Form 10-Q, including without limitation statements regarding our future results of operations and financial position, our ability to acquire or invest in complementary businesses, products, and technologies, our ability to achieve profitability on an annual basis and sustain such profitability, the sufficiency of our cash and cash equivalents, anticipated sources and uses of cash, our business strategy and our ability to acquire new clients and successfully engage new and existing clients, our ability to effectively manage our growth and compete effectively with existing competitors and new market entrants, impact of recently adopted accounting pronouncements; our ability to attract and retain qualified employees and key personnel; the plans and objectives of management for future operations and capital expenditures, and the impact of the COVID-19 pandemic, including variants, on our business, operations, and the markets and communities in which we and our clients, members and providers operate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7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important factors that could cause actual results to differ materially from those in the forward-looking statements, including the factors described under Part II, Item 1A. “Risk Factors” and Part I, Item 2. “Management’s Discussion and Analysis of Financial Condition and Results of Operations” of this Quarterly Report on Form 10-Q.</w:t>
      </w:r>
    </w:p>
    <w:p>
      <w:pPr>
        <w:spacing w:after="0" w:line="194"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In addition, statements such as “we believe” and similar statements reflect our beliefs and opinions on the relevant subject. These statements are based upon information available to us as of the filing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78"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RISKS AFFECTING OUR BUSINESS</w:t>
      </w:r>
    </w:p>
    <w:p>
      <w:pPr>
        <w:spacing w:after="0" w:line="216"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Quarterly Report on Form 10-Q and our other filings with the U.S. Securities and Exchange Commission, or the SEC, before making an investment decision regarding our common stock.</w:t>
      </w:r>
    </w:p>
    <w:p>
      <w:pPr>
        <w:spacing w:after="0" w:line="148" w:lineRule="exact"/>
        <w:rPr>
          <w:sz w:val="20"/>
          <w:szCs w:val="20"/>
          <w:color w:val="auto"/>
        </w:rPr>
      </w:pPr>
    </w:p>
    <w:p>
      <w:pPr>
        <w:jc w:val="both"/>
        <w:ind w:left="720" w:right="79" w:hanging="319"/>
        <w:spacing w:after="0" w:line="263"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COVID-19 pandemic has had and is expected to continue to have, and similar health epidemics could in the future have, an adverse impact on our business, operations, and the markets and communities in which we and our clients, members and providers operate.</w:t>
      </w:r>
    </w:p>
    <w:p>
      <w:pPr>
        <w:spacing w:after="0" w:line="143"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fail to meet our publicly announced guidance or other expectations about our business and future operating results, which would cause our stock price to decline.</w:t>
      </w:r>
    </w:p>
    <w:p>
      <w:pPr>
        <w:spacing w:after="0" w:line="129"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fertility market in which we participate is competitive, and if we do not continue to compete effectively, our results of operations could be harmed.</w:t>
      </w:r>
    </w:p>
    <w:p>
      <w:pPr>
        <w:spacing w:after="0" w:line="143" w:lineRule="exact"/>
        <w:rPr>
          <w:rFonts w:ascii="Arial" w:cs="Arial" w:eastAsia="Arial" w:hAnsi="Arial"/>
          <w:sz w:val="18"/>
          <w:szCs w:val="18"/>
          <w:color w:val="auto"/>
        </w:rPr>
      </w:pPr>
    </w:p>
    <w:p>
      <w:pPr>
        <w:ind w:left="720" w:right="79" w:hanging="319"/>
        <w:spacing w:after="0" w:line="342"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business depends on our ability to retain our existing clients and increase the adoption of our services within our client base. Any failure to do so would harm our business, financial condition and results of operations.</w:t>
      </w:r>
    </w:p>
    <w:p>
      <w:pPr>
        <w:spacing w:after="0" w:line="83" w:lineRule="exact"/>
        <w:rPr>
          <w:rFonts w:ascii="Arial" w:cs="Arial" w:eastAsia="Arial" w:hAnsi="Arial"/>
          <w:sz w:val="16"/>
          <w:szCs w:val="16"/>
          <w:color w:val="auto"/>
        </w:rPr>
      </w:pPr>
    </w:p>
    <w:p>
      <w:pPr>
        <w:jc w:val="both"/>
        <w:ind w:left="720" w:right="79" w:hanging="319"/>
        <w:spacing w:after="0" w:line="259"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largest clients account for a significant portion of our revenue and a significant number of our clients are in the technology industry. The loss of one or more of these clients, changes to pricing terms with these clients or changes within the technology industry could negatively impact our business, financial condition and results of operations.</w:t>
      </w:r>
    </w:p>
    <w:p>
      <w:pPr>
        <w:spacing w:after="0" w:line="146"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unable to attract new clients, our business, financial condition and results of operations would be adversely affected.</w:t>
      </w:r>
    </w:p>
    <w:p>
      <w:pPr>
        <w:spacing w:after="0" w:line="143"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significant change in the utilization of our solutions could have an adverse effect on our business, financial condition and results of operations.</w:t>
      </w:r>
    </w:p>
    <w:p>
      <w:pPr>
        <w:spacing w:after="0" w:line="129"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history of operating losses and may not sustain profitability in the future.</w:t>
      </w:r>
    </w:p>
    <w:p>
      <w:pPr>
        <w:spacing w:after="0" w:line="184"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limited operating history with our current platform of solutions, which makes it difficult to predict our future results of operations.</w:t>
      </w:r>
    </w:p>
    <w:p>
      <w:pPr>
        <w:spacing w:after="0" w:line="143"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the health insurance market could harm our business, financial condition and results of operations.</w:t>
      </w:r>
    </w:p>
    <w:p>
      <w:pPr>
        <w:spacing w:after="0" w:line="207" w:lineRule="exact"/>
        <w:rPr>
          <w:rFonts w:ascii="Arial" w:cs="Arial" w:eastAsia="Arial" w:hAnsi="Arial"/>
          <w:sz w:val="16"/>
          <w:szCs w:val="16"/>
          <w:color w:val="auto"/>
        </w:rPr>
      </w:pPr>
    </w:p>
    <w:p>
      <w:pPr>
        <w:ind w:left="720" w:right="7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health benefits industry may be subject to negative publicity, which could adversely affect our business, financial condition and results of operations.</w:t>
      </w:r>
    </w:p>
    <w:p>
      <w:pPr>
        <w:spacing w:after="0" w:line="129"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our computer systems, or those of our provider clinics, specialty pharmacies or other downstream vendors, lag, fail or suffer security breaches, we may incur a material disruption of our services, which could materially impact our business and the results of operations.</w:t>
      </w:r>
    </w:p>
    <w:p>
      <w:pPr>
        <w:spacing w:after="0" w:line="156"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depends on our ability to maintain our Center of Excellence network of high-quality fertility specialists and other healthcare providers. If we are unable to do so, our future growth would be limited and our business, financial condition and results of operations would be harmed.</w:t>
      </w:r>
    </w:p>
    <w:p>
      <w:pPr>
        <w:spacing w:after="0" w:line="143"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fail to maintain an efficient pharmacy distribution network or if there is a disruption to our network of specialty pharmacies, our business, financial condition and results of operations could suffer.</w:t>
      </w:r>
    </w:p>
    <w:p>
      <w:pPr>
        <w:spacing w:after="0" w:line="129"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operate in a highly regulated industry and must comply with a significant number of complex and evolving requirements.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720" w:right="79" w:hanging="319"/>
        <w:spacing w:after="0" w:line="263"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healthcare regulatory and political framework is uncertain and evolving. Recent and future developments in the healthcare industry could have an adverse impact on our business, financial condition and results of operations.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Unless the context otherwise indicates, references in this Quarterly Report on Form 10-Q to the terms “Progyny,” “the Company,” “we,” “our” and “us” refer to Progyny, Inc.</w:t>
      </w:r>
    </w:p>
    <w:p>
      <w:pPr>
        <w:spacing w:after="0" w:line="170"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“Progyny®” and our other registered and common law trade names, trademarks and service marks are the property of Progyny, Inc. Other trade names, trademarks and service marks used in this Quarterly Report on Form 10-Q are the property of their respective owners. Solely for convenience, the trademarks and trade names in this Quarterly Report on Form 10-Q may be referred to without the ® and ™ symbols, but such references should not be construed as any indicator that their respective owners will not assert their rights thereto.</w:t>
      </w:r>
    </w:p>
    <w:p>
      <w:pPr>
        <w:spacing w:after="0" w:line="1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may announce material business and financial information to our investors using our investor relations website at investors.progyny.com. We therefore encourage investors and others interested in Progyny to review the information that we make available on our website, in addition to following our filings with the SEC, webcasts, press releases and conference calls.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3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PROGYNY, INC.</w:t>
      </w:r>
    </w:p>
    <w:p>
      <w:pPr>
        <w:spacing w:after="0" w:line="144"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amounts)</w:t>
      </w:r>
    </w:p>
    <w:p>
      <w:pPr>
        <w:spacing w:after="0" w:line="13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ind w:right="431"/>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ind w:right="27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48,747</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8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45,221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38,994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8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Accounts receivable, net of $14,105 and $9,502 of allowance at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June 30, 2021 and December 31, 2020, respectively</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140,767</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3,756</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238,491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3,931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11,880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Deferred tax assets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48,148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49"/>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312,075</w:t>
            </w:r>
          </w:p>
        </w:tc>
        <w:tc>
          <w:tcPr>
            <w:tcW w:w="16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253,927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54,678</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44,107</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98,785</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Operating lease noncurrent liabilities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7,873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107,534</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86,980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Commitments and Contingencies </w:t>
            </w:r>
            <w:r>
              <w:rPr>
                <w:rFonts w:ascii="Arial" w:cs="Arial" w:eastAsia="Arial" w:hAnsi="Arial"/>
                <w:sz w:val="18"/>
                <w:szCs w:val="18"/>
                <w:i w:val="1"/>
                <w:iCs w:val="1"/>
                <w:color w:val="auto"/>
              </w:rPr>
              <w:t>(Note 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Common stock, $0.0001 par value; 1,000,000,000 shares authorized at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w w:val="92"/>
              </w:rPr>
              <w:t>June 30, 2021 and December 31, 2020; 89,360,084 and 87,054,329 shares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issued and outstanding at June 30, 2021 and December 31, 2020,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respectively</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8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240,111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236,139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8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0"/>
              </w:rPr>
              <w:t>Treasury stock, at cost, $0.0001 par value; 615,980 shares at June 30, 2021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and December 31, 2020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8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(34,300)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204,541</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166,947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312,075</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253,927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280"/>
        <w:spacing w:after="0"/>
        <w:rPr>
          <w:sz w:val="20"/>
          <w:szCs w:val="20"/>
          <w:color w:val="auto"/>
        </w:rPr>
      </w:pPr>
      <w:r>
        <w:rPr>
          <w:rFonts w:ascii="Arial" w:cs="Arial" w:eastAsia="Arial" w:hAnsi="Arial"/>
          <w:sz w:val="17"/>
          <w:szCs w:val="17"/>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PROGYNY,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amounts)</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128,651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64,605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250,784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145,629</w:t>
            </w:r>
          </w:p>
        </w:tc>
        <w:tc>
          <w:tcPr>
            <w:tcW w:w="0" w:type="dxa"/>
            <w:vAlign w:val="bottom"/>
          </w:tcPr>
          <w:p>
            <w:pPr>
              <w:spacing w:after="0"/>
              <w:rPr>
                <w:sz w:val="1"/>
                <w:szCs w:val="1"/>
                <w:color w:val="auto"/>
              </w:rPr>
            </w:pPr>
          </w:p>
        </w:tc>
      </w:tr>
      <w:tr>
        <w:trPr>
          <w:trHeight w:val="216"/>
        </w:trPr>
        <w:tc>
          <w:tcPr>
            <w:tcW w:w="3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services</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99,030</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52,650</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192,256</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117,072</w:t>
            </w:r>
          </w:p>
        </w:tc>
        <w:tc>
          <w:tcPr>
            <w:tcW w:w="0" w:type="dxa"/>
            <w:vAlign w:val="bottom"/>
          </w:tcPr>
          <w:p>
            <w:pPr>
              <w:spacing w:after="0"/>
              <w:rPr>
                <w:sz w:val="1"/>
                <w:szCs w:val="1"/>
                <w:color w:val="auto"/>
              </w:rPr>
            </w:pPr>
          </w:p>
        </w:tc>
      </w:tr>
      <w:tr>
        <w:trPr>
          <w:trHeight w:val="209"/>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58,528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28,557</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6,875</w:t>
            </w:r>
          </w:p>
        </w:tc>
        <w:tc>
          <w:tcPr>
            <w:tcW w:w="0" w:type="dxa"/>
            <w:vAlign w:val="bottom"/>
          </w:tcPr>
          <w:p>
            <w:pPr>
              <w:spacing w:after="0"/>
              <w:rPr>
                <w:sz w:val="1"/>
                <w:szCs w:val="1"/>
                <w:color w:val="auto"/>
              </w:rPr>
            </w:pPr>
          </w:p>
        </w:tc>
      </w:tr>
      <w:tr>
        <w:trPr>
          <w:trHeight w:val="216"/>
        </w:trPr>
        <w:tc>
          <w:tcPr>
            <w:tcW w:w="37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13,937</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9,419</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27,023</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19,323</w:t>
            </w:r>
          </w:p>
        </w:tc>
        <w:tc>
          <w:tcPr>
            <w:tcW w:w="0" w:type="dxa"/>
            <w:vAlign w:val="bottom"/>
          </w:tcPr>
          <w:p>
            <w:pPr>
              <w:spacing w:after="0"/>
              <w:rPr>
                <w:sz w:val="1"/>
                <w:szCs w:val="1"/>
                <w:color w:val="auto"/>
              </w:rPr>
            </w:pPr>
          </w:p>
        </w:tc>
      </w:tr>
      <w:tr>
        <w:trPr>
          <w:trHeight w:val="209"/>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17,965</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13,027</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35,065</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26,198</w:t>
            </w:r>
          </w:p>
        </w:tc>
        <w:tc>
          <w:tcPr>
            <w:tcW w:w="0" w:type="dxa"/>
            <w:vAlign w:val="bottom"/>
          </w:tcPr>
          <w:p>
            <w:pPr>
              <w:spacing w:after="0"/>
              <w:rPr>
                <w:sz w:val="1"/>
                <w:szCs w:val="1"/>
                <w:color w:val="auto"/>
              </w:rPr>
            </w:pPr>
          </w:p>
        </w:tc>
      </w:tr>
      <w:tr>
        <w:trPr>
          <w:trHeight w:val="210"/>
        </w:trPr>
        <w:tc>
          <w:tcPr>
            <w:tcW w:w="3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11,656</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23,463</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2,359</w:t>
            </w:r>
          </w:p>
        </w:tc>
        <w:tc>
          <w:tcPr>
            <w:tcW w:w="0" w:type="dxa"/>
            <w:vAlign w:val="bottom"/>
          </w:tcPr>
          <w:p>
            <w:pPr>
              <w:spacing w:after="0"/>
              <w:rPr>
                <w:sz w:val="1"/>
                <w:szCs w:val="1"/>
                <w:color w:val="auto"/>
              </w:rPr>
            </w:pPr>
          </w:p>
        </w:tc>
      </w:tr>
      <w:tr>
        <w:trPr>
          <w:trHeight w:val="209"/>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00"/>
              <w:spacing w:after="0"/>
              <w:rPr>
                <w:sz w:val="20"/>
                <w:szCs w:val="20"/>
                <w:color w:val="auto"/>
              </w:rPr>
            </w:pPr>
            <w:r>
              <w:rPr>
                <w:rFonts w:ascii="Arial" w:cs="Arial" w:eastAsia="Arial" w:hAnsi="Arial"/>
                <w:sz w:val="18"/>
                <w:szCs w:val="18"/>
                <w:color w:val="auto"/>
              </w:rPr>
              <w:t>Other income</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income, net</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0"/>
        </w:trPr>
        <w:tc>
          <w:tcPr>
            <w:tcW w:w="3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income, net</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09"/>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0" w:type="dxa"/>
            <w:vAlign w:val="bottom"/>
          </w:tcPr>
          <w:p>
            <w:pPr>
              <w:spacing w:after="0"/>
              <w:rPr>
                <w:sz w:val="1"/>
                <w:szCs w:val="1"/>
                <w:color w:val="auto"/>
              </w:rPr>
            </w:pPr>
          </w:p>
        </w:tc>
      </w:tr>
      <w:tr>
        <w:trPr>
          <w:trHeight w:val="216"/>
        </w:trPr>
        <w:tc>
          <w:tcPr>
            <w:tcW w:w="37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Benefit (provision) for income taxes</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6,807</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10,177</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0"/>
        </w:trPr>
        <w:tc>
          <w:tcPr>
            <w:tcW w:w="3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18,727</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33,893</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w:t>
            </w: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Arial" w:cs="Arial" w:eastAsia="Arial" w:hAnsi="Arial"/>
                <w:sz w:val="18"/>
                <w:szCs w:val="18"/>
                <w:color w:val="auto"/>
              </w:rPr>
              <w:t>Net income (loss) per share:</w:t>
            </w: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4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56"/>
        </w:trPr>
        <w:tc>
          <w:tcPr>
            <w:tcW w:w="3700" w:type="dxa"/>
            <w:vAlign w:val="bottom"/>
          </w:tcPr>
          <w:p>
            <w:pPr>
              <w:ind w:left="100"/>
              <w:spacing w:after="0"/>
              <w:rPr>
                <w:sz w:val="20"/>
                <w:szCs w:val="20"/>
                <w:color w:val="auto"/>
              </w:rPr>
            </w:pPr>
            <w:r>
              <w:rPr>
                <w:rFonts w:ascii="Arial" w:cs="Arial" w:eastAsia="Arial" w:hAnsi="Arial"/>
                <w:sz w:val="18"/>
                <w:szCs w:val="18"/>
                <w:color w:val="auto"/>
              </w:rPr>
              <w:t>Diluted</w:t>
            </w:r>
          </w:p>
        </w:tc>
        <w:tc>
          <w:tcPr>
            <w:tcW w:w="4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0.19</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(0.01)</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0.34</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155"/>
        </w:trPr>
        <w:tc>
          <w:tcPr>
            <w:tcW w:w="370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7"/>
                <w:szCs w:val="17"/>
                <w:color w:val="auto"/>
              </w:rPr>
              <w:t>Weighted-average shares used in computing net</w:t>
            </w:r>
          </w:p>
        </w:tc>
        <w:tc>
          <w:tcPr>
            <w:tcW w:w="2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income (loss) per share:</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88,165,158</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85,281,151</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87,783,894</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84,909,692</w:t>
            </w: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99,808,085</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85,281,151</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99,977,518</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98,887,190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80"/>
        <w:spacing w:after="0"/>
        <w:rPr>
          <w:sz w:val="20"/>
          <w:szCs w:val="20"/>
          <w:color w:val="auto"/>
        </w:rPr>
      </w:pPr>
      <w:r>
        <w:rPr>
          <w:rFonts w:ascii="Arial" w:cs="Arial" w:eastAsia="Arial" w:hAnsi="Arial"/>
          <w:sz w:val="17"/>
          <w:szCs w:val="17"/>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PROGYNY,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Comprehensive Income (Loss)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 thousands)</w:t>
      </w:r>
    </w:p>
    <w:p>
      <w:pPr>
        <w:spacing w:after="0" w:line="200" w:lineRule="exact"/>
        <w:rPr>
          <w:sz w:val="20"/>
          <w:szCs w:val="20"/>
          <w:color w:val="auto"/>
        </w:rPr>
      </w:pP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8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200" w:type="dxa"/>
            <w:vAlign w:val="bottom"/>
            <w:gridSpan w:val="4"/>
          </w:tcPr>
          <w:p>
            <w:pPr>
              <w:jc w:val="right"/>
              <w:ind w:right="574"/>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38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r>
      <w:tr>
        <w:trPr>
          <w:trHeight w:val="142"/>
        </w:trPr>
        <w:tc>
          <w:tcPr>
            <w:tcW w:w="38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8"/>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8"/>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18,727</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33,893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w:t>
            </w:r>
          </w:p>
        </w:tc>
      </w:tr>
      <w:tr>
        <w:trPr>
          <w:trHeight w:val="216"/>
        </w:trPr>
        <w:tc>
          <w:tcPr>
            <w:tcW w:w="382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38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Unrealized gain (loss) on marketable securities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(271)</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0"/>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income (loss)</w:t>
            </w: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2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2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09"/>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 (loss)</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18,507</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33,622</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2,570</w:t>
            </w:r>
          </w:p>
        </w:tc>
      </w:tr>
      <w:tr>
        <w:trPr>
          <w:trHeight w:val="20"/>
        </w:trPr>
        <w:tc>
          <w:tcPr>
            <w:tcW w:w="3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1280"/>
        <w:spacing w:after="0"/>
        <w:rPr>
          <w:sz w:val="20"/>
          <w:szCs w:val="20"/>
          <w:color w:val="auto"/>
        </w:rPr>
      </w:pPr>
      <w:r>
        <w:rPr>
          <w:rFonts w:ascii="Arial" w:cs="Arial" w:eastAsia="Arial" w:hAnsi="Arial"/>
          <w:sz w:val="17"/>
          <w:szCs w:val="17"/>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63" w:lineRule="exact"/>
        <w:rPr>
          <w:sz w:val="20"/>
          <w:szCs w:val="20"/>
          <w:color w:val="auto"/>
        </w:rPr>
      </w:pPr>
    </w:p>
    <w:p>
      <w:pPr>
        <w:ind w:left="4540"/>
        <w:spacing w:after="0"/>
        <w:rPr>
          <w:sz w:val="20"/>
          <w:szCs w:val="20"/>
          <w:color w:val="auto"/>
        </w:rPr>
      </w:pPr>
      <w:r>
        <w:rPr>
          <w:rFonts w:ascii="Arial" w:cs="Arial" w:eastAsia="Arial" w:hAnsi="Arial"/>
          <w:sz w:val="15"/>
          <w:szCs w:val="15"/>
          <w:b w:val="1"/>
          <w:bCs w:val="1"/>
          <w:color w:val="auto"/>
        </w:rPr>
        <w:t>PROGYNY, INC.</w:t>
      </w:r>
    </w:p>
    <w:p>
      <w:pPr>
        <w:spacing w:after="0" w:line="44" w:lineRule="exact"/>
        <w:rPr>
          <w:sz w:val="20"/>
          <w:szCs w:val="20"/>
          <w:color w:val="auto"/>
        </w:rPr>
      </w:pPr>
    </w:p>
    <w:p>
      <w:pPr>
        <w:ind w:left="3140"/>
        <w:spacing w:after="0"/>
        <w:rPr>
          <w:sz w:val="20"/>
          <w:szCs w:val="20"/>
          <w:color w:val="auto"/>
        </w:rPr>
      </w:pPr>
      <w:r>
        <w:rPr>
          <w:rFonts w:ascii="Arial" w:cs="Arial" w:eastAsia="Arial" w:hAnsi="Arial"/>
          <w:sz w:val="15"/>
          <w:szCs w:val="15"/>
          <w:b w:val="1"/>
          <w:bCs w:val="1"/>
          <w:color w:val="auto"/>
        </w:rPr>
        <w:t>Consolidated Statements of Changes in Stockholders’ Equity</w:t>
      </w:r>
    </w:p>
    <w:p>
      <w:pPr>
        <w:jc w:val="center"/>
        <w:spacing w:after="0" w:line="233" w:lineRule="auto"/>
        <w:rPr>
          <w:sz w:val="20"/>
          <w:szCs w:val="20"/>
          <w:color w:val="auto"/>
        </w:rPr>
      </w:pPr>
      <w:r>
        <w:rPr>
          <w:rFonts w:ascii="Arial" w:cs="Arial" w:eastAsia="Arial" w:hAnsi="Arial"/>
          <w:sz w:val="15"/>
          <w:szCs w:val="15"/>
          <w:b w:val="1"/>
          <w:bCs w:val="1"/>
          <w:i w:val="1"/>
          <w:iCs w:val="1"/>
          <w:color w:val="auto"/>
        </w:rPr>
        <w:t>(Unaudited)</w:t>
      </w:r>
    </w:p>
    <w:p>
      <w:pPr>
        <w:jc w:val="center"/>
        <w:spacing w:after="0"/>
        <w:rPr>
          <w:sz w:val="20"/>
          <w:szCs w:val="20"/>
          <w:color w:val="auto"/>
        </w:rPr>
      </w:pPr>
      <w:r>
        <w:rPr>
          <w:rFonts w:ascii="Arial" w:cs="Arial" w:eastAsia="Arial" w:hAnsi="Arial"/>
          <w:sz w:val="15"/>
          <w:szCs w:val="15"/>
          <w:b w:val="1"/>
          <w:bCs w:val="1"/>
          <w:i w:val="1"/>
          <w:iCs w:val="1"/>
          <w:color w:val="auto"/>
        </w:rPr>
        <w:t>(in thousands, except share amounts)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700" w:type="dxa"/>
            <w:vAlign w:val="bottom"/>
            <w:gridSpan w:val="3"/>
            <w:vMerge w:val="restart"/>
          </w:tcPr>
          <w:p>
            <w:pPr>
              <w:jc w:val="right"/>
              <w:ind w:right="208"/>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Treasury</w:t>
            </w:r>
          </w:p>
        </w:tc>
        <w:tc>
          <w:tcPr>
            <w:tcW w:w="8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96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w w:val="95"/>
              </w:rPr>
              <w:t>Accumulated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700" w:type="dxa"/>
            <w:vAlign w:val="bottom"/>
            <w:tcBorders>
              <w:bottom w:val="single" w:sz="8" w:color="auto"/>
            </w:tcBorders>
            <w:gridSpan w:val="3"/>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Paid in</w:t>
            </w:r>
          </w:p>
        </w:tc>
        <w:tc>
          <w:tcPr>
            <w:tcW w:w="960" w:type="dxa"/>
            <w:vAlign w:val="bottom"/>
            <w:gridSpan w:val="2"/>
            <w:vMerge w:val="continue"/>
          </w:tcPr>
          <w:p>
            <w:pPr>
              <w:spacing w:after="0"/>
              <w:rPr>
                <w:sz w:val="14"/>
                <w:szCs w:val="14"/>
                <w:color w:val="auto"/>
              </w:rPr>
            </w:pPr>
          </w:p>
        </w:tc>
        <w:tc>
          <w:tcPr>
            <w:tcW w:w="12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00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Shares</w:t>
            </w:r>
          </w:p>
        </w:tc>
        <w:tc>
          <w:tcPr>
            <w:tcW w:w="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2"/>
                <w:szCs w:val="12"/>
                <w:color w:val="auto"/>
              </w:rPr>
            </w:pPr>
          </w:p>
        </w:tc>
        <w:tc>
          <w:tcPr>
            <w:tcW w:w="100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2"/>
                <w:szCs w:val="12"/>
                <w:color w:val="auto"/>
              </w:rPr>
            </w:pPr>
          </w:p>
        </w:tc>
        <w:tc>
          <w:tcPr>
            <w:tcW w:w="880" w:type="dxa"/>
            <w:vAlign w:val="bottom"/>
          </w:tcPr>
          <w:p>
            <w:pPr>
              <w:jc w:val="right"/>
              <w:ind w:right="208"/>
              <w:spacing w:after="0" w:line="142"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3"/>
              </w:rPr>
              <w:t>Income</w:t>
            </w:r>
          </w:p>
        </w:tc>
        <w:tc>
          <w:tcPr>
            <w:tcW w:w="80" w:type="dxa"/>
            <w:vAlign w:val="bottom"/>
          </w:tcPr>
          <w:p>
            <w:pPr>
              <w:spacing w:after="0"/>
              <w:rPr>
                <w:sz w:val="12"/>
                <w:szCs w:val="12"/>
                <w:color w:val="auto"/>
              </w:rPr>
            </w:pPr>
          </w:p>
        </w:tc>
        <w:tc>
          <w:tcPr>
            <w:tcW w:w="520" w:type="dxa"/>
            <w:vAlign w:val="bottom"/>
          </w:tcPr>
          <w:p>
            <w:pPr>
              <w:jc w:val="right"/>
              <w:ind w:right="68"/>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2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For the three months ended June 30, 2021:</w:t>
            </w: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80" w:type="dxa"/>
            <w:vAlign w:val="bottom"/>
          </w:tcPr>
          <w:p>
            <w:pPr>
              <w:spacing w:after="0" w:line="149" w:lineRule="exact"/>
              <w:rPr>
                <w:sz w:val="20"/>
                <w:szCs w:val="20"/>
                <w:color w:val="auto"/>
              </w:rPr>
            </w:pPr>
            <w:r>
              <w:rPr>
                <w:rFonts w:ascii="Arial" w:cs="Arial" w:eastAsia="Arial" w:hAnsi="Arial"/>
                <w:sz w:val="14"/>
                <w:szCs w:val="14"/>
                <w:color w:val="auto"/>
              </w:rPr>
              <w:t>Balance at March 31, 2021</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87,732,302</w:t>
            </w:r>
          </w:p>
        </w:tc>
        <w:tc>
          <w:tcPr>
            <w:tcW w:w="140" w:type="dxa"/>
            <w:vAlign w:val="bottom"/>
          </w:tcPr>
          <w:p>
            <w:pPr>
              <w:spacing w:after="0"/>
              <w:rPr>
                <w:sz w:val="12"/>
                <w:szCs w:val="12"/>
                <w:color w:val="auto"/>
              </w:rPr>
            </w:pPr>
          </w:p>
        </w:tc>
        <w:tc>
          <w:tcPr>
            <w:tcW w:w="700" w:type="dxa"/>
            <w:vAlign w:val="bottom"/>
          </w:tcPr>
          <w:p>
            <w:pPr>
              <w:jc w:val="right"/>
              <w:ind w:right="548"/>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1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(1,009)</w:t>
            </w:r>
          </w:p>
        </w:tc>
        <w:tc>
          <w:tcPr>
            <w:tcW w:w="1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238,695</w:t>
            </w:r>
          </w:p>
        </w:tc>
        <w:tc>
          <w:tcPr>
            <w:tcW w:w="1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(53,027)</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(50)</w:t>
            </w:r>
          </w:p>
        </w:tc>
        <w:tc>
          <w:tcPr>
            <w:tcW w:w="16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6"/>
              </w:rPr>
              <w:t>$ 184,618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Issuance of employee equity awards, net of shares</w:t>
            </w: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withheld</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802,791</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(5,113)</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(5,113)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ind w:left="100"/>
              <w:spacing w:after="0" w:line="149" w:lineRule="exact"/>
              <w:rPr>
                <w:sz w:val="20"/>
                <w:szCs w:val="20"/>
                <w:color w:val="auto"/>
              </w:rPr>
            </w:pPr>
            <w:r>
              <w:rPr>
                <w:rFonts w:ascii="Arial" w:cs="Arial" w:eastAsia="Arial" w:hAnsi="Arial"/>
                <w:sz w:val="14"/>
                <w:szCs w:val="14"/>
                <w:color w:val="auto"/>
              </w:rPr>
              <w:t>Stock-based compensation</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2"/>
                <w:szCs w:val="12"/>
                <w:color w:val="auto"/>
              </w:rPr>
            </w:pPr>
          </w:p>
        </w:tc>
        <w:tc>
          <w:tcPr>
            <w:tcW w:w="3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6,529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6,529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Warrant exercise</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824,991</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w w:val="99"/>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80" w:type="dxa"/>
            <w:vAlign w:val="bottom"/>
          </w:tcPr>
          <w:p>
            <w:pPr>
              <w:ind w:left="100"/>
              <w:spacing w:after="0" w:line="149" w:lineRule="exact"/>
              <w:rPr>
                <w:sz w:val="20"/>
                <w:szCs w:val="20"/>
                <w:color w:val="auto"/>
              </w:rPr>
            </w:pPr>
            <w:r>
              <w:rPr>
                <w:rFonts w:ascii="Arial" w:cs="Arial" w:eastAsia="Arial" w:hAnsi="Arial"/>
                <w:sz w:val="14"/>
                <w:szCs w:val="14"/>
                <w:color w:val="auto"/>
              </w:rPr>
              <w:t>Other comprehensive income</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2"/>
                <w:szCs w:val="12"/>
                <w:color w:val="auto"/>
              </w:rPr>
            </w:pPr>
          </w:p>
        </w:tc>
        <w:tc>
          <w:tcPr>
            <w:tcW w:w="3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(220)</w:t>
            </w:r>
          </w:p>
        </w:tc>
        <w:tc>
          <w:tcPr>
            <w:tcW w:w="16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Net income</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18,727</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18,727</w:t>
            </w:r>
          </w:p>
        </w:tc>
        <w:tc>
          <w:tcPr>
            <w:tcW w:w="0" w:type="dxa"/>
            <w:vAlign w:val="bottom"/>
          </w:tcPr>
          <w:p>
            <w:pPr>
              <w:spacing w:after="0"/>
              <w:rPr>
                <w:sz w:val="1"/>
                <w:szCs w:val="1"/>
                <w:color w:val="auto"/>
              </w:rPr>
            </w:pPr>
          </w:p>
        </w:tc>
      </w:tr>
      <w:tr>
        <w:trPr>
          <w:trHeight w:val="182"/>
        </w:trPr>
        <w:tc>
          <w:tcPr>
            <w:tcW w:w="33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Balance at June 30, 2021</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89,360,084</w:t>
            </w:r>
          </w:p>
        </w:tc>
        <w:tc>
          <w:tcPr>
            <w:tcW w:w="140" w:type="dxa"/>
            <w:vAlign w:val="bottom"/>
          </w:tcPr>
          <w:p>
            <w:pPr>
              <w:spacing w:after="0"/>
              <w:rPr>
                <w:sz w:val="15"/>
                <w:szCs w:val="15"/>
                <w:color w:val="auto"/>
              </w:rPr>
            </w:pPr>
          </w:p>
        </w:tc>
        <w:tc>
          <w:tcPr>
            <w:tcW w:w="700" w:type="dxa"/>
            <w:vAlign w:val="bottom"/>
            <w:tcBorders>
              <w:top w:val="single" w:sz="8" w:color="auto"/>
              <w:bottom w:val="single" w:sz="8" w:color="auto"/>
            </w:tcBorders>
          </w:tcPr>
          <w:p>
            <w:pPr>
              <w:jc w:val="right"/>
              <w:ind w:right="548"/>
              <w:spacing w:after="0" w:line="142"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w:t>
            </w:r>
          </w:p>
        </w:tc>
        <w:tc>
          <w:tcPr>
            <w:tcW w:w="16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(1,009)</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240,111</w:t>
            </w:r>
          </w:p>
        </w:tc>
        <w:tc>
          <w:tcPr>
            <w:tcW w:w="14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(34,300)</w:t>
            </w:r>
          </w:p>
        </w:tc>
        <w:tc>
          <w:tcPr>
            <w:tcW w:w="1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(270)</w:t>
            </w:r>
          </w:p>
        </w:tc>
        <w:tc>
          <w:tcPr>
            <w:tcW w:w="160" w:type="dxa"/>
            <w:vAlign w:val="bottom"/>
          </w:tcPr>
          <w:p>
            <w:pPr>
              <w:spacing w:after="0"/>
              <w:rPr>
                <w:sz w:val="15"/>
                <w:szCs w:val="15"/>
                <w:color w:val="auto"/>
              </w:rPr>
            </w:pPr>
          </w:p>
        </w:tc>
        <w:tc>
          <w:tcPr>
            <w:tcW w:w="6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u w:val="single" w:color="auto"/>
                <w:color w:val="auto"/>
                <w:w w:val="86"/>
              </w:rPr>
              <w:t>$</w:t>
            </w:r>
            <w:r>
              <w:rPr>
                <w:rFonts w:ascii="Arial" w:cs="Arial" w:eastAsia="Arial" w:hAnsi="Arial"/>
                <w:sz w:val="14"/>
                <w:szCs w:val="14"/>
                <w:color w:val="auto"/>
                <w:w w:val="86"/>
              </w:rPr>
              <w:t xml:space="preserve"> 204,541</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28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80" w:type="dxa"/>
            <w:vAlign w:val="bottom"/>
          </w:tcPr>
          <w:p>
            <w:pPr>
              <w:spacing w:after="0" w:line="149" w:lineRule="exact"/>
              <w:rPr>
                <w:sz w:val="20"/>
                <w:szCs w:val="20"/>
                <w:color w:val="auto"/>
              </w:rPr>
            </w:pPr>
            <w:r>
              <w:rPr>
                <w:rFonts w:ascii="Arial" w:cs="Arial" w:eastAsia="Arial" w:hAnsi="Arial"/>
                <w:sz w:val="14"/>
                <w:szCs w:val="14"/>
                <w:b w:val="1"/>
                <w:bCs w:val="1"/>
                <w:color w:val="auto"/>
              </w:rPr>
              <w:t>For the three months ended June 30, 2020:</w:t>
            </w: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March 31, 2020</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84,845,828</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48"/>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231,516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(111,023)</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$ 119,492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tcPr>
          <w:p>
            <w:pPr>
              <w:ind w:left="100"/>
              <w:spacing w:after="0" w:line="130" w:lineRule="exact"/>
              <w:rPr>
                <w:sz w:val="20"/>
                <w:szCs w:val="20"/>
                <w:color w:val="auto"/>
              </w:rPr>
            </w:pPr>
            <w:r>
              <w:rPr>
                <w:rFonts w:ascii="Arial" w:cs="Arial" w:eastAsia="Arial" w:hAnsi="Arial"/>
                <w:sz w:val="14"/>
                <w:szCs w:val="14"/>
                <w:color w:val="auto"/>
              </w:rPr>
              <w:t>Issuance of employee equity awards, net of shares</w:t>
            </w: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80" w:type="dxa"/>
            <w:vAlign w:val="bottom"/>
          </w:tcPr>
          <w:p>
            <w:pPr>
              <w:ind w:left="100"/>
              <w:spacing w:after="0"/>
              <w:rPr>
                <w:sz w:val="20"/>
                <w:szCs w:val="20"/>
                <w:color w:val="auto"/>
              </w:rPr>
            </w:pPr>
            <w:r>
              <w:rPr>
                <w:rFonts w:ascii="Arial" w:cs="Arial" w:eastAsia="Arial" w:hAnsi="Arial"/>
                <w:sz w:val="14"/>
                <w:szCs w:val="14"/>
                <w:color w:val="auto"/>
              </w:rPr>
              <w:t>withheld</w:t>
            </w:r>
          </w:p>
        </w:tc>
        <w:tc>
          <w:tcPr>
            <w:tcW w:w="860" w:type="dxa"/>
            <w:vAlign w:val="bottom"/>
          </w:tcPr>
          <w:p>
            <w:pPr>
              <w:jc w:val="right"/>
              <w:spacing w:after="0"/>
              <w:rPr>
                <w:sz w:val="20"/>
                <w:szCs w:val="20"/>
                <w:color w:val="auto"/>
              </w:rPr>
            </w:pPr>
            <w:r>
              <w:rPr>
                <w:rFonts w:ascii="Arial" w:cs="Arial" w:eastAsia="Arial" w:hAnsi="Arial"/>
                <w:sz w:val="14"/>
                <w:szCs w:val="14"/>
                <w:color w:val="auto"/>
              </w:rPr>
              <w:t>932,229</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(3,265)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(3,264)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Stock-based compensation</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w w:val="99"/>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3,541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ind w:left="100"/>
              <w:spacing w:after="0" w:line="149" w:lineRule="exact"/>
              <w:rPr>
                <w:sz w:val="20"/>
                <w:szCs w:val="20"/>
                <w:color w:val="auto"/>
              </w:rPr>
            </w:pPr>
            <w:r>
              <w:rPr>
                <w:rFonts w:ascii="Arial" w:cs="Arial" w:eastAsia="Arial" w:hAnsi="Arial"/>
                <w:sz w:val="14"/>
                <w:szCs w:val="14"/>
                <w:color w:val="auto"/>
              </w:rPr>
              <w:t>Other comprehensive income</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2"/>
                <w:szCs w:val="12"/>
                <w:color w:val="auto"/>
              </w:rPr>
            </w:pPr>
          </w:p>
        </w:tc>
        <w:tc>
          <w:tcPr>
            <w:tcW w:w="3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16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Net loss</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w w:val="99"/>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(1,064)</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(1,064)</w:t>
            </w:r>
          </w:p>
        </w:tc>
        <w:tc>
          <w:tcPr>
            <w:tcW w:w="0" w:type="dxa"/>
            <w:vAlign w:val="bottom"/>
          </w:tcPr>
          <w:p>
            <w:pPr>
              <w:spacing w:after="0"/>
              <w:rPr>
                <w:sz w:val="1"/>
                <w:szCs w:val="1"/>
                <w:color w:val="auto"/>
              </w:rPr>
            </w:pPr>
          </w:p>
        </w:tc>
      </w:tr>
      <w:tr>
        <w:trPr>
          <w:trHeight w:val="182"/>
        </w:trPr>
        <w:tc>
          <w:tcPr>
            <w:tcW w:w="33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Balance at June 30, 2020</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85,778,057</w:t>
            </w:r>
          </w:p>
        </w:tc>
        <w:tc>
          <w:tcPr>
            <w:tcW w:w="140" w:type="dxa"/>
            <w:vAlign w:val="bottom"/>
          </w:tcPr>
          <w:p>
            <w:pPr>
              <w:spacing w:after="0"/>
              <w:rPr>
                <w:sz w:val="15"/>
                <w:szCs w:val="15"/>
                <w:color w:val="auto"/>
              </w:rPr>
            </w:pPr>
          </w:p>
        </w:tc>
        <w:tc>
          <w:tcPr>
            <w:tcW w:w="700" w:type="dxa"/>
            <w:vAlign w:val="bottom"/>
            <w:tcBorders>
              <w:top w:val="single" w:sz="8" w:color="auto"/>
              <w:bottom w:val="single" w:sz="8" w:color="auto"/>
            </w:tcBorders>
          </w:tcPr>
          <w:p>
            <w:pPr>
              <w:jc w:val="right"/>
              <w:ind w:right="548"/>
              <w:spacing w:after="0" w:line="142"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231,792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(112,087)</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118,710</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28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280" w:type="dxa"/>
            <w:vAlign w:val="bottom"/>
          </w:tcPr>
          <w:p>
            <w:pPr>
              <w:spacing w:after="0" w:line="149" w:lineRule="exact"/>
              <w:rPr>
                <w:sz w:val="20"/>
                <w:szCs w:val="20"/>
                <w:color w:val="auto"/>
              </w:rPr>
            </w:pPr>
            <w:r>
              <w:rPr>
                <w:rFonts w:ascii="Arial" w:cs="Arial" w:eastAsia="Arial" w:hAnsi="Arial"/>
                <w:sz w:val="14"/>
                <w:szCs w:val="14"/>
                <w:b w:val="1"/>
                <w:bCs w:val="1"/>
                <w:color w:val="auto"/>
              </w:rPr>
              <w:t>For the six months ended June 30, 2021:</w:t>
            </w: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2020</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87,054,329</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48"/>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236,139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(68,193)</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$ 166,947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tcPr>
          <w:p>
            <w:pPr>
              <w:ind w:left="100"/>
              <w:spacing w:after="0" w:line="130" w:lineRule="exact"/>
              <w:rPr>
                <w:sz w:val="20"/>
                <w:szCs w:val="20"/>
                <w:color w:val="auto"/>
              </w:rPr>
            </w:pPr>
            <w:r>
              <w:rPr>
                <w:rFonts w:ascii="Arial" w:cs="Arial" w:eastAsia="Arial" w:hAnsi="Arial"/>
                <w:sz w:val="14"/>
                <w:szCs w:val="14"/>
                <w:color w:val="auto"/>
              </w:rPr>
              <w:t>Issuance of employee equity awards, net of shares</w:t>
            </w: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9"/>
              </w:rPr>
              <w:t>—</w:t>
            </w:r>
          </w:p>
        </w:tc>
        <w:tc>
          <w:tcPr>
            <w:tcW w:w="8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80" w:type="dxa"/>
            <w:vAlign w:val="bottom"/>
          </w:tcPr>
          <w:p>
            <w:pPr>
              <w:ind w:left="100"/>
              <w:spacing w:after="0"/>
              <w:rPr>
                <w:sz w:val="20"/>
                <w:szCs w:val="20"/>
                <w:color w:val="auto"/>
              </w:rPr>
            </w:pPr>
            <w:r>
              <w:rPr>
                <w:rFonts w:ascii="Arial" w:cs="Arial" w:eastAsia="Arial" w:hAnsi="Arial"/>
                <w:sz w:val="14"/>
                <w:szCs w:val="14"/>
                <w:color w:val="auto"/>
              </w:rPr>
              <w:t>withheld</w:t>
            </w:r>
          </w:p>
        </w:tc>
        <w:tc>
          <w:tcPr>
            <w:tcW w:w="860" w:type="dxa"/>
            <w:vAlign w:val="bottom"/>
          </w:tcPr>
          <w:p>
            <w:pPr>
              <w:jc w:val="right"/>
              <w:spacing w:after="0"/>
              <w:rPr>
                <w:sz w:val="20"/>
                <w:szCs w:val="20"/>
                <w:color w:val="auto"/>
              </w:rPr>
            </w:pPr>
            <w:r>
              <w:rPr>
                <w:rFonts w:ascii="Arial" w:cs="Arial" w:eastAsia="Arial" w:hAnsi="Arial"/>
                <w:sz w:val="14"/>
                <w:szCs w:val="14"/>
                <w:color w:val="auto"/>
              </w:rPr>
              <w:t>1,480,764</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(7,591)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(7,591)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Stock-based compensation</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w w:val="99"/>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11,563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11,563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80" w:type="dxa"/>
            <w:vAlign w:val="bottom"/>
          </w:tcPr>
          <w:p>
            <w:pPr>
              <w:ind w:left="100"/>
              <w:spacing w:after="0" w:line="149" w:lineRule="exact"/>
              <w:rPr>
                <w:sz w:val="20"/>
                <w:szCs w:val="20"/>
                <w:color w:val="auto"/>
              </w:rPr>
            </w:pPr>
            <w:r>
              <w:rPr>
                <w:rFonts w:ascii="Arial" w:cs="Arial" w:eastAsia="Arial" w:hAnsi="Arial"/>
                <w:sz w:val="14"/>
                <w:szCs w:val="14"/>
                <w:color w:val="auto"/>
              </w:rPr>
              <w:t>Warrant exercise</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824,991</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9"/>
              </w:rPr>
              <w:t>—</w:t>
            </w:r>
          </w:p>
        </w:tc>
        <w:tc>
          <w:tcPr>
            <w:tcW w:w="8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Other comprehensive income</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w w:val="99"/>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80" w:type="dxa"/>
            <w:vAlign w:val="bottom"/>
          </w:tcPr>
          <w:p>
            <w:pPr>
              <w:ind w:left="100"/>
              <w:spacing w:after="0" w:line="149" w:lineRule="exact"/>
              <w:rPr>
                <w:sz w:val="20"/>
                <w:szCs w:val="20"/>
                <w:color w:val="auto"/>
              </w:rPr>
            </w:pPr>
            <w:r>
              <w:rPr>
                <w:rFonts w:ascii="Arial" w:cs="Arial" w:eastAsia="Arial" w:hAnsi="Arial"/>
                <w:sz w:val="14"/>
                <w:szCs w:val="14"/>
                <w:color w:val="auto"/>
              </w:rPr>
              <w:t>Net income</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2"/>
                <w:szCs w:val="12"/>
                <w:color w:val="auto"/>
              </w:rPr>
            </w:pPr>
          </w:p>
        </w:tc>
        <w:tc>
          <w:tcPr>
            <w:tcW w:w="3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9"/>
              </w:rPr>
              <w:t>—</w:t>
            </w:r>
          </w:p>
        </w:tc>
        <w:tc>
          <w:tcPr>
            <w:tcW w:w="8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33,893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33,893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June 30, 2021</w:t>
            </w: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89,360,084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ind w:right="548"/>
              <w:spacing w:after="0" w:line="142"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(1,009)</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240,111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(34,300)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(270)</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u w:val="single" w:color="auto"/>
                <w:color w:val="auto"/>
                <w:w w:val="86"/>
              </w:rPr>
              <w:t>$</w:t>
            </w:r>
            <w:r>
              <w:rPr>
                <w:rFonts w:ascii="Arial" w:cs="Arial" w:eastAsia="Arial" w:hAnsi="Arial"/>
                <w:sz w:val="14"/>
                <w:szCs w:val="14"/>
                <w:color w:val="auto"/>
                <w:w w:val="86"/>
              </w:rPr>
              <w:t xml:space="preserve"> 204,541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3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For the six months ended June 30, 2020:</w:t>
            </w: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line="149" w:lineRule="exact"/>
              <w:rPr>
                <w:sz w:val="20"/>
                <w:szCs w:val="20"/>
                <w:color w:val="auto"/>
              </w:rPr>
            </w:pPr>
            <w:r>
              <w:rPr>
                <w:rFonts w:ascii="Arial" w:cs="Arial" w:eastAsia="Arial" w:hAnsi="Arial"/>
                <w:sz w:val="14"/>
                <w:szCs w:val="14"/>
                <w:color w:val="auto"/>
              </w:rPr>
              <w:t>Balance at December 31, 2019</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84,188,202</w:t>
            </w:r>
          </w:p>
        </w:tc>
        <w:tc>
          <w:tcPr>
            <w:tcW w:w="140" w:type="dxa"/>
            <w:vAlign w:val="bottom"/>
          </w:tcPr>
          <w:p>
            <w:pPr>
              <w:spacing w:after="0"/>
              <w:rPr>
                <w:sz w:val="12"/>
                <w:szCs w:val="12"/>
                <w:color w:val="auto"/>
              </w:rPr>
            </w:pPr>
          </w:p>
        </w:tc>
        <w:tc>
          <w:tcPr>
            <w:tcW w:w="700" w:type="dxa"/>
            <w:vAlign w:val="bottom"/>
          </w:tcPr>
          <w:p>
            <w:pPr>
              <w:jc w:val="right"/>
              <w:ind w:right="548"/>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(1,009)</w:t>
            </w:r>
          </w:p>
        </w:tc>
        <w:tc>
          <w:tcPr>
            <w:tcW w:w="1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228,755</w:t>
            </w:r>
          </w:p>
        </w:tc>
        <w:tc>
          <w:tcPr>
            <w:tcW w:w="1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(113,483)</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6"/>
              </w:rPr>
              <w:t>$ 114,271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Issuance of employee equity awards, net of shares</w:t>
            </w: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withheld</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1,589,855</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(2,668)</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(2,667)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80" w:type="dxa"/>
            <w:vAlign w:val="bottom"/>
          </w:tcPr>
          <w:p>
            <w:pPr>
              <w:ind w:left="100"/>
              <w:spacing w:after="0" w:line="149" w:lineRule="exact"/>
              <w:rPr>
                <w:sz w:val="20"/>
                <w:szCs w:val="20"/>
                <w:color w:val="auto"/>
              </w:rPr>
            </w:pPr>
            <w:r>
              <w:rPr>
                <w:rFonts w:ascii="Arial" w:cs="Arial" w:eastAsia="Arial" w:hAnsi="Arial"/>
                <w:sz w:val="14"/>
                <w:szCs w:val="14"/>
                <w:color w:val="auto"/>
              </w:rPr>
              <w:t>Stock-based compensation</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tcPr>
          <w:p>
            <w:pPr>
              <w:spacing w:after="0"/>
              <w:rPr>
                <w:sz w:val="12"/>
                <w:szCs w:val="12"/>
                <w:color w:val="auto"/>
              </w:rPr>
            </w:pPr>
          </w:p>
        </w:tc>
        <w:tc>
          <w:tcPr>
            <w:tcW w:w="3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9"/>
              </w:rPr>
              <w:t>—</w:t>
            </w:r>
          </w:p>
        </w:tc>
        <w:tc>
          <w:tcPr>
            <w:tcW w:w="8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5,590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5,590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Reduction in initial public offering costs</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w w:val="99"/>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ind w:left="100"/>
              <w:spacing w:after="0" w:line="149" w:lineRule="exact"/>
              <w:rPr>
                <w:sz w:val="20"/>
                <w:szCs w:val="20"/>
                <w:color w:val="auto"/>
              </w:rPr>
            </w:pPr>
            <w:r>
              <w:rPr>
                <w:rFonts w:ascii="Arial" w:cs="Arial" w:eastAsia="Arial" w:hAnsi="Arial"/>
                <w:sz w:val="14"/>
                <w:szCs w:val="14"/>
                <w:color w:val="auto"/>
              </w:rPr>
              <w:t>Other comprehensive income</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2"/>
                <w:szCs w:val="12"/>
                <w:color w:val="auto"/>
              </w:rPr>
            </w:pPr>
          </w:p>
        </w:tc>
        <w:tc>
          <w:tcPr>
            <w:tcW w:w="3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9"/>
              </w:rPr>
              <w:t>—</w:t>
            </w:r>
          </w:p>
        </w:tc>
        <w:tc>
          <w:tcPr>
            <w:tcW w:w="8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16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Impact of adoption of ASU 2016-13</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w w:val="99"/>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(1,169)</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(1,169)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80" w:type="dxa"/>
            <w:vAlign w:val="bottom"/>
          </w:tcPr>
          <w:p>
            <w:pPr>
              <w:ind w:left="100"/>
              <w:spacing w:after="0" w:line="149" w:lineRule="exact"/>
              <w:rPr>
                <w:sz w:val="20"/>
                <w:szCs w:val="20"/>
                <w:color w:val="auto"/>
              </w:rPr>
            </w:pPr>
            <w:r>
              <w:rPr>
                <w:rFonts w:ascii="Arial" w:cs="Arial" w:eastAsia="Arial" w:hAnsi="Arial"/>
                <w:sz w:val="14"/>
                <w:szCs w:val="14"/>
                <w:color w:val="auto"/>
              </w:rPr>
              <w:t>Net income</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tcPr>
          <w:p>
            <w:pPr>
              <w:spacing w:after="0"/>
              <w:rPr>
                <w:sz w:val="12"/>
                <w:szCs w:val="12"/>
                <w:color w:val="auto"/>
              </w:rPr>
            </w:pPr>
          </w:p>
        </w:tc>
        <w:tc>
          <w:tcPr>
            <w:tcW w:w="3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9"/>
              </w:rPr>
              <w:t>—</w:t>
            </w:r>
          </w:p>
        </w:tc>
        <w:tc>
          <w:tcPr>
            <w:tcW w:w="8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2,565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2,565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June 30, 2020</w:t>
            </w: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85,778,057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ind w:right="548"/>
              <w:spacing w:after="0" w:line="142"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(1,009)</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231,792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(112,087)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$ 118,710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2240"/>
        <w:spacing w:after="0"/>
        <w:rPr>
          <w:sz w:val="20"/>
          <w:szCs w:val="20"/>
          <w:color w:val="auto"/>
        </w:rPr>
      </w:pPr>
      <w:r>
        <w:rPr>
          <w:rFonts w:ascii="Arial" w:cs="Arial" w:eastAsia="Arial" w:hAnsi="Arial"/>
          <w:sz w:val="16"/>
          <w:szCs w:val="16"/>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357505</wp:posOffset>
            </wp:positionV>
            <wp:extent cx="648081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80810" cy="25400"/>
                    </a:xfrm>
                    <a:prstGeom prst="rect">
                      <a:avLst/>
                    </a:prstGeom>
                    <a:noFill/>
                  </pic:spPr>
                </pic:pic>
              </a:graphicData>
            </a:graphic>
          </wp:anchor>
        </w:drawing>
      </w:r>
    </w:p>
    <w:p>
      <w:pPr>
        <w:sectPr>
          <w:pgSz w:w="11900" w:h="16838" w:orient="portrait"/>
          <w:cols w:equalWidth="0" w:num="1">
            <w:col w:w="10240"/>
          </w:cols>
          <w:pgMar w:left="820" w:top="517" w:right="839"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920"/>
        <w:spacing w:after="0"/>
        <w:rPr>
          <w:sz w:val="20"/>
          <w:szCs w:val="20"/>
          <w:color w:val="auto"/>
        </w:rPr>
      </w:pPr>
      <w:r>
        <w:rPr>
          <w:rFonts w:ascii="Arial" w:cs="Arial" w:eastAsia="Arial" w:hAnsi="Arial"/>
          <w:sz w:val="15"/>
          <w:szCs w:val="15"/>
          <w:b w:val="1"/>
          <w:bCs w:val="1"/>
          <w:color w:val="auto"/>
        </w:rPr>
        <w:t>PROGYNY, INC.</w:t>
      </w:r>
    </w:p>
    <w:p>
      <w:pPr>
        <w:spacing w:after="0" w:line="30" w:lineRule="exact"/>
        <w:rPr>
          <w:sz w:val="20"/>
          <w:szCs w:val="20"/>
          <w:color w:val="auto"/>
        </w:rPr>
      </w:pPr>
    </w:p>
    <w:p>
      <w:pPr>
        <w:ind w:left="3220"/>
        <w:spacing w:after="0"/>
        <w:rPr>
          <w:sz w:val="20"/>
          <w:szCs w:val="20"/>
          <w:color w:val="auto"/>
        </w:rPr>
      </w:pPr>
      <w:r>
        <w:rPr>
          <w:rFonts w:ascii="Arial" w:cs="Arial" w:eastAsia="Arial" w:hAnsi="Arial"/>
          <w:sz w:val="15"/>
          <w:szCs w:val="15"/>
          <w:b w:val="1"/>
          <w:bCs w:val="1"/>
          <w:color w:val="auto"/>
        </w:rPr>
        <w:t>Consolidated Statements of Cash Flows</w:t>
      </w:r>
    </w:p>
    <w:p>
      <w:pPr>
        <w:jc w:val="center"/>
        <w:spacing w:after="0" w:line="233" w:lineRule="auto"/>
        <w:rPr>
          <w:sz w:val="20"/>
          <w:szCs w:val="20"/>
          <w:color w:val="auto"/>
        </w:rPr>
      </w:pPr>
      <w:r>
        <w:rPr>
          <w:rFonts w:ascii="Arial" w:cs="Arial" w:eastAsia="Arial" w:hAnsi="Arial"/>
          <w:sz w:val="15"/>
          <w:szCs w:val="15"/>
          <w:b w:val="1"/>
          <w:bCs w:val="1"/>
          <w:i w:val="1"/>
          <w:iCs w:val="1"/>
          <w:color w:val="auto"/>
        </w:rPr>
        <w:t>(Unaudited)</w:t>
      </w:r>
    </w:p>
    <w:p>
      <w:pPr>
        <w:jc w:val="center"/>
        <w:spacing w:after="0"/>
        <w:rPr>
          <w:sz w:val="20"/>
          <w:szCs w:val="20"/>
          <w:color w:val="auto"/>
        </w:rPr>
      </w:pPr>
      <w:r>
        <w:rPr>
          <w:rFonts w:ascii="Arial" w:cs="Arial" w:eastAsia="Arial" w:hAnsi="Arial"/>
          <w:sz w:val="15"/>
          <w:szCs w:val="15"/>
          <w:b w:val="1"/>
          <w:bCs w:val="1"/>
          <w:i w:val="1"/>
          <w:iCs w:val="1"/>
          <w:color w:val="auto"/>
        </w:rPr>
        <w:t>(in thousands)</w:t>
      </w:r>
    </w:p>
    <w:p>
      <w:pPr>
        <w:spacing w:after="0" w:line="149" w:lineRule="exact"/>
        <w:rPr>
          <w:sz w:val="20"/>
          <w:szCs w:val="20"/>
          <w:color w:val="auto"/>
        </w:rPr>
      </w:pPr>
    </w:p>
    <w:p>
      <w:pPr>
        <w:ind w:left="6780"/>
        <w:spacing w:after="0"/>
        <w:rPr>
          <w:sz w:val="20"/>
          <w:szCs w:val="20"/>
          <w:color w:val="auto"/>
        </w:rPr>
      </w:pPr>
      <w:r>
        <w:rPr>
          <w:rFonts w:ascii="Arial" w:cs="Arial" w:eastAsia="Arial" w:hAnsi="Arial"/>
          <w:sz w:val="15"/>
          <w:szCs w:val="15"/>
          <w:b w:val="1"/>
          <w:bCs w:val="1"/>
          <w:color w:val="auto"/>
        </w:rPr>
        <w:t>Six Months Ended</w:t>
      </w:r>
    </w:p>
    <w:p>
      <w:pPr>
        <w:ind w:left="7100"/>
        <w:spacing w:after="0" w:line="234" w:lineRule="auto"/>
        <w:rPr>
          <w:sz w:val="20"/>
          <w:szCs w:val="20"/>
          <w:color w:val="auto"/>
        </w:rPr>
      </w:pPr>
      <w:r>
        <w:rPr>
          <w:rFonts w:ascii="Arial" w:cs="Arial" w:eastAsia="Arial" w:hAnsi="Arial"/>
          <w:sz w:val="15"/>
          <w:szCs w:val="15"/>
          <w:b w:val="1"/>
          <w:bCs w:val="1"/>
          <w:color w:val="auto"/>
        </w:rPr>
        <w:t>June 30,</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56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b w:val="1"/>
                <w:bCs w:val="1"/>
                <w:color w:val="auto"/>
              </w:rPr>
              <w:t>2021</w:t>
            </w:r>
          </w:p>
        </w:tc>
        <w:tc>
          <w:tcPr>
            <w:tcW w:w="5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24"/>
              <w:spacing w:after="0" w:line="156" w:lineRule="exact"/>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40" w:type="dxa"/>
            <w:vAlign w:val="bottom"/>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OPERATING ACTIVITIES</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tcPr>
          <w:p>
            <w:pPr>
              <w:spacing w:after="0" w:line="162" w:lineRule="exact"/>
              <w:rPr>
                <w:sz w:val="20"/>
                <w:szCs w:val="20"/>
                <w:color w:val="auto"/>
              </w:rPr>
            </w:pPr>
            <w:r>
              <w:rPr>
                <w:rFonts w:ascii="Arial" w:cs="Arial" w:eastAsia="Arial" w:hAnsi="Arial"/>
                <w:sz w:val="15"/>
                <w:szCs w:val="15"/>
                <w:color w:val="auto"/>
              </w:rPr>
              <w:t>Net income</w:t>
            </w:r>
          </w:p>
        </w:tc>
        <w:tc>
          <w:tcPr>
            <w:tcW w:w="1000" w:type="dxa"/>
            <w:vAlign w:val="bottom"/>
            <w:gridSpan w:val="2"/>
          </w:tcPr>
          <w:p>
            <w:pPr>
              <w:jc w:val="right"/>
              <w:ind w:right="744"/>
              <w:spacing w:after="0" w:line="162" w:lineRule="exact"/>
              <w:rPr>
                <w:sz w:val="20"/>
                <w:szCs w:val="20"/>
                <w:color w:val="auto"/>
              </w:rPr>
            </w:pPr>
            <w:r>
              <w:rPr>
                <w:rFonts w:ascii="Arial" w:cs="Arial" w:eastAsia="Arial" w:hAnsi="Arial"/>
                <w:sz w:val="15"/>
                <w:szCs w:val="15"/>
                <w:color w:val="auto"/>
              </w:rPr>
              <w:t>$</w:t>
            </w: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rPr>
              <w:t>33,893</w:t>
            </w:r>
          </w:p>
        </w:tc>
        <w:tc>
          <w:tcPr>
            <w:tcW w:w="520" w:type="dxa"/>
            <w:vAlign w:val="bottom"/>
            <w:gridSpan w:val="2"/>
          </w:tcPr>
          <w:p>
            <w:pPr>
              <w:jc w:val="right"/>
              <w:ind w:right="184"/>
              <w:spacing w:after="0" w:line="162" w:lineRule="exact"/>
              <w:rPr>
                <w:sz w:val="20"/>
                <w:szCs w:val="20"/>
                <w:color w:val="auto"/>
              </w:rPr>
            </w:pPr>
            <w:r>
              <w:rPr>
                <w:rFonts w:ascii="Arial" w:cs="Arial" w:eastAsia="Arial" w:hAnsi="Arial"/>
                <w:sz w:val="15"/>
                <w:szCs w:val="15"/>
                <w:color w:val="auto"/>
              </w:rPr>
              <w:t>$</w:t>
            </w: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2,565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Adjustments to reconcile net income to net cash provided by operating activities:</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tcPr>
          <w:p>
            <w:pPr>
              <w:ind w:left="80"/>
              <w:spacing w:after="0" w:line="162" w:lineRule="exact"/>
              <w:rPr>
                <w:sz w:val="20"/>
                <w:szCs w:val="20"/>
                <w:color w:val="auto"/>
              </w:rPr>
            </w:pPr>
            <w:r>
              <w:rPr>
                <w:rFonts w:ascii="Arial" w:cs="Arial" w:eastAsia="Arial" w:hAnsi="Arial"/>
                <w:sz w:val="15"/>
                <w:szCs w:val="15"/>
                <w:color w:val="auto"/>
              </w:rPr>
              <w:t>Deferred tax (benefit) expense</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w w:val="93"/>
              </w:rPr>
              <w:t>(10,177)</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116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Non-cash interest expense</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38</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tcPr>
          <w:p>
            <w:pPr>
              <w:ind w:left="80"/>
              <w:spacing w:after="0" w:line="162" w:lineRule="exact"/>
              <w:rPr>
                <w:sz w:val="20"/>
                <w:szCs w:val="20"/>
                <w:color w:val="auto"/>
              </w:rPr>
            </w:pPr>
            <w:r>
              <w:rPr>
                <w:rFonts w:ascii="Arial" w:cs="Arial" w:eastAsia="Arial" w:hAnsi="Arial"/>
                <w:sz w:val="15"/>
                <w:szCs w:val="15"/>
                <w:color w:val="auto"/>
              </w:rPr>
              <w:t>Depreciation and amortization</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rPr>
              <w:t>718</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980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Stock-based compensation expense</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11,551</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5,590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tcPr>
          <w:p>
            <w:pPr>
              <w:ind w:left="80"/>
              <w:spacing w:after="0" w:line="162" w:lineRule="exact"/>
              <w:rPr>
                <w:sz w:val="20"/>
                <w:szCs w:val="20"/>
                <w:color w:val="auto"/>
              </w:rPr>
            </w:pPr>
            <w:r>
              <w:rPr>
                <w:rFonts w:ascii="Arial" w:cs="Arial" w:eastAsia="Arial" w:hAnsi="Arial"/>
                <w:sz w:val="15"/>
                <w:szCs w:val="15"/>
                <w:color w:val="auto"/>
              </w:rPr>
              <w:t>Bad debt expense</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rPr>
              <w:t>4,805</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2,149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Changes in operating assets and liabilities:</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tcPr>
          <w:p>
            <w:pPr>
              <w:ind w:left="200"/>
              <w:spacing w:after="0" w:line="162" w:lineRule="exact"/>
              <w:rPr>
                <w:sz w:val="20"/>
                <w:szCs w:val="20"/>
                <w:color w:val="auto"/>
              </w:rPr>
            </w:pPr>
            <w:r>
              <w:rPr>
                <w:rFonts w:ascii="Arial" w:cs="Arial" w:eastAsia="Arial" w:hAnsi="Arial"/>
                <w:sz w:val="15"/>
                <w:szCs w:val="15"/>
                <w:color w:val="auto"/>
              </w:rPr>
              <w:t>Accounts receivable</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w w:val="93"/>
              </w:rPr>
              <w:t>(69,908)</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(20,400)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Prepaid expenses and current other assets</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1,491</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1,670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tcPr>
          <w:p>
            <w:pPr>
              <w:ind w:left="200"/>
              <w:spacing w:after="0" w:line="162" w:lineRule="exact"/>
              <w:rPr>
                <w:sz w:val="20"/>
                <w:szCs w:val="20"/>
                <w:color w:val="auto"/>
              </w:rPr>
            </w:pPr>
            <w:r>
              <w:rPr>
                <w:rFonts w:ascii="Arial" w:cs="Arial" w:eastAsia="Arial" w:hAnsi="Arial"/>
                <w:sz w:val="15"/>
                <w:szCs w:val="15"/>
                <w:color w:val="auto"/>
              </w:rPr>
              <w:t>Accounts payable</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rPr>
              <w:t>11,091</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12,833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Accrued expenses and other current liabilities</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9,537</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8,470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tcBorders>
              <w:bottom w:val="single" w:sz="8" w:color="CCEEFF"/>
            </w:tcBorders>
          </w:tcPr>
          <w:p>
            <w:pPr>
              <w:ind w:left="200"/>
              <w:spacing w:after="0" w:line="162" w:lineRule="exact"/>
              <w:rPr>
                <w:sz w:val="20"/>
                <w:szCs w:val="20"/>
                <w:color w:val="auto"/>
              </w:rPr>
            </w:pPr>
            <w:r>
              <w:rPr>
                <w:rFonts w:ascii="Arial" w:cs="Arial" w:eastAsia="Arial" w:hAnsi="Arial"/>
                <w:sz w:val="15"/>
                <w:szCs w:val="15"/>
                <w:color w:val="auto"/>
              </w:rPr>
              <w:t>Other noncurrent assets and liabilities</w:t>
            </w: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20</w:t>
            </w:r>
          </w:p>
        </w:tc>
        <w:tc>
          <w:tcPr>
            <w:tcW w:w="1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327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40" w:type="dxa"/>
            <w:vAlign w:val="bottom"/>
            <w:shd w:val="clear" w:color="auto" w:fill="CCEEFF"/>
          </w:tcPr>
          <w:p>
            <w:pPr>
              <w:ind w:left="200"/>
              <w:spacing w:after="0" w:line="156" w:lineRule="exact"/>
              <w:rPr>
                <w:sz w:val="20"/>
                <w:szCs w:val="20"/>
                <w:color w:val="auto"/>
              </w:rPr>
            </w:pPr>
            <w:r>
              <w:rPr>
                <w:rFonts w:ascii="Arial" w:cs="Arial" w:eastAsia="Arial" w:hAnsi="Arial"/>
                <w:sz w:val="15"/>
                <w:szCs w:val="15"/>
                <w:color w:val="auto"/>
              </w:rPr>
              <w:t>Net cash (used in) provided by operating activities</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(6,941)</w:t>
            </w:r>
          </w:p>
        </w:tc>
        <w:tc>
          <w:tcPr>
            <w:tcW w:w="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14,337</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64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INVESTING ACTIVITIES</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tcPr>
          <w:p>
            <w:pPr>
              <w:spacing w:after="0" w:line="162" w:lineRule="exact"/>
              <w:rPr>
                <w:sz w:val="20"/>
                <w:szCs w:val="20"/>
                <w:color w:val="auto"/>
              </w:rPr>
            </w:pPr>
            <w:r>
              <w:rPr>
                <w:rFonts w:ascii="Arial" w:cs="Arial" w:eastAsia="Arial" w:hAnsi="Arial"/>
                <w:sz w:val="15"/>
                <w:szCs w:val="15"/>
                <w:color w:val="auto"/>
              </w:rPr>
              <w:t>Purchase of property and equipment, net</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rPr>
              <w:t>(799)</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(791)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Purchase of marketable securities</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3"/>
              </w:rPr>
              <w:t>(83,481)</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(41,979)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tcBorders>
              <w:bottom w:val="single" w:sz="8" w:color="CCEEFF"/>
            </w:tcBorders>
          </w:tcPr>
          <w:p>
            <w:pPr>
              <w:spacing w:after="0" w:line="162" w:lineRule="exact"/>
              <w:rPr>
                <w:sz w:val="20"/>
                <w:szCs w:val="20"/>
                <w:color w:val="auto"/>
              </w:rPr>
            </w:pPr>
            <w:r>
              <w:rPr>
                <w:rFonts w:ascii="Arial" w:cs="Arial" w:eastAsia="Arial" w:hAnsi="Arial"/>
                <w:sz w:val="15"/>
                <w:szCs w:val="15"/>
                <w:color w:val="auto"/>
              </w:rPr>
              <w:t>Sale of marketable securities</w:t>
            </w: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76,984</w:t>
            </w:r>
          </w:p>
        </w:tc>
        <w:tc>
          <w:tcPr>
            <w:tcW w:w="1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40" w:type="dxa"/>
            <w:vAlign w:val="bottom"/>
            <w:shd w:val="clear" w:color="auto" w:fill="CCEEFF"/>
          </w:tcPr>
          <w:p>
            <w:pPr>
              <w:ind w:left="200"/>
              <w:spacing w:after="0" w:line="156" w:lineRule="exact"/>
              <w:rPr>
                <w:sz w:val="20"/>
                <w:szCs w:val="20"/>
                <w:color w:val="auto"/>
              </w:rPr>
            </w:pPr>
            <w:r>
              <w:rPr>
                <w:rFonts w:ascii="Arial" w:cs="Arial" w:eastAsia="Arial" w:hAnsi="Arial"/>
                <w:sz w:val="15"/>
                <w:szCs w:val="15"/>
                <w:color w:val="auto"/>
              </w:rPr>
              <w:t>Net cash (used in) investing activities</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(7,296)</w:t>
            </w:r>
          </w:p>
        </w:tc>
        <w:tc>
          <w:tcPr>
            <w:tcW w:w="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(42,770)</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64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FINANCING ACTIVITIES</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tcPr>
          <w:p>
            <w:pPr>
              <w:spacing w:after="0" w:line="162" w:lineRule="exact"/>
              <w:rPr>
                <w:sz w:val="20"/>
                <w:szCs w:val="20"/>
                <w:color w:val="auto"/>
              </w:rPr>
            </w:pPr>
            <w:r>
              <w:rPr>
                <w:rFonts w:ascii="Arial" w:cs="Arial" w:eastAsia="Arial" w:hAnsi="Arial"/>
                <w:sz w:val="15"/>
                <w:szCs w:val="15"/>
                <w:color w:val="auto"/>
              </w:rPr>
              <w:t>Payment of initial public offering costs</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(791)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Proceeds from exercise of stock options</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1,191</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1,429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tcPr>
          <w:p>
            <w:pPr>
              <w:spacing w:after="0" w:line="162" w:lineRule="exact"/>
              <w:rPr>
                <w:sz w:val="20"/>
                <w:szCs w:val="20"/>
                <w:color w:val="auto"/>
              </w:rPr>
            </w:pPr>
            <w:r>
              <w:rPr>
                <w:rFonts w:ascii="Arial" w:cs="Arial" w:eastAsia="Arial" w:hAnsi="Arial"/>
                <w:sz w:val="15"/>
                <w:szCs w:val="15"/>
                <w:color w:val="auto"/>
              </w:rPr>
              <w:t>Payment of employee taxes related to equity awards</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rPr>
              <w:t>(9,291)</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(4,096)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Proceeds from contributions to employee stock purchase plan</w:t>
            </w:r>
          </w:p>
        </w:tc>
        <w:tc>
          <w:tcPr>
            <w:tcW w:w="10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779</w:t>
            </w:r>
          </w:p>
        </w:tc>
        <w:tc>
          <w:tcPr>
            <w:tcW w:w="1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901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40" w:type="dxa"/>
            <w:vAlign w:val="bottom"/>
            <w:tcBorders>
              <w:bottom w:val="single" w:sz="8" w:color="CCEEFF"/>
            </w:tcBorders>
          </w:tcPr>
          <w:p>
            <w:pPr>
              <w:ind w:left="200"/>
              <w:spacing w:after="0" w:line="156" w:lineRule="exact"/>
              <w:rPr>
                <w:sz w:val="20"/>
                <w:szCs w:val="20"/>
                <w:color w:val="auto"/>
              </w:rPr>
            </w:pPr>
            <w:r>
              <w:rPr>
                <w:rFonts w:ascii="Arial" w:cs="Arial" w:eastAsia="Arial" w:hAnsi="Arial"/>
                <w:sz w:val="15"/>
                <w:szCs w:val="15"/>
                <w:color w:val="auto"/>
              </w:rPr>
              <w:t>Net cash (used in) financing activities</w:t>
            </w: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(7,321)</w:t>
            </w:r>
          </w:p>
        </w:tc>
        <w:tc>
          <w:tcPr>
            <w:tcW w:w="1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(2,557)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4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Net (decrease) in cash and cash equivalents</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93"/>
              </w:rPr>
              <w:t>(21,558)</w:t>
            </w:r>
          </w:p>
        </w:tc>
        <w:tc>
          <w:tcPr>
            <w:tcW w:w="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(30,990)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tcBorders>
              <w:bottom w:val="single" w:sz="8" w:color="CCEEFF"/>
            </w:tcBorders>
          </w:tcPr>
          <w:p>
            <w:pPr>
              <w:spacing w:after="0" w:line="162" w:lineRule="exact"/>
              <w:rPr>
                <w:sz w:val="20"/>
                <w:szCs w:val="20"/>
                <w:color w:val="auto"/>
              </w:rPr>
            </w:pPr>
            <w:r>
              <w:rPr>
                <w:rFonts w:ascii="Arial" w:cs="Arial" w:eastAsia="Arial" w:hAnsi="Arial"/>
                <w:sz w:val="15"/>
                <w:szCs w:val="15"/>
                <w:color w:val="auto"/>
              </w:rPr>
              <w:t>Cash and cash equivalents, beginning of period</w:t>
            </w: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70,305</w:t>
            </w:r>
          </w:p>
        </w:tc>
        <w:tc>
          <w:tcPr>
            <w:tcW w:w="1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80,382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4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Cash and cash equivalents, end of period</w:t>
            </w: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744"/>
              <w:spacing w:after="0" w:line="156" w:lineRule="exact"/>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48,747</w:t>
            </w:r>
          </w:p>
        </w:tc>
        <w:tc>
          <w:tcPr>
            <w:tcW w:w="1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184"/>
              <w:spacing w:after="0" w:line="156" w:lineRule="exact"/>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49,392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5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5640" w:type="dxa"/>
            <w:vAlign w:val="bottom"/>
            <w:shd w:val="clear" w:color="auto" w:fill="CCEEFF"/>
          </w:tcPr>
          <w:p>
            <w:pPr>
              <w:spacing w:after="0" w:line="145" w:lineRule="exact"/>
              <w:rPr>
                <w:sz w:val="20"/>
                <w:szCs w:val="20"/>
                <w:color w:val="auto"/>
              </w:rPr>
            </w:pPr>
            <w:r>
              <w:rPr>
                <w:rFonts w:ascii="Arial" w:cs="Arial" w:eastAsia="Arial" w:hAnsi="Arial"/>
                <w:sz w:val="15"/>
                <w:szCs w:val="15"/>
                <w:b w:val="1"/>
                <w:bCs w:val="1"/>
                <w:color w:val="auto"/>
              </w:rPr>
              <w:t>SUPPLEMENTAL DISCLOSURE OF NON-CASH INVESTING AND FINANCING</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ACTIVITIES</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line="149" w:lineRule="exact"/>
              <w:rPr>
                <w:sz w:val="20"/>
                <w:szCs w:val="20"/>
                <w:color w:val="auto"/>
              </w:rPr>
            </w:pPr>
            <w:r>
              <w:rPr>
                <w:rFonts w:ascii="Arial" w:cs="Arial" w:eastAsia="Arial" w:hAnsi="Arial"/>
                <w:sz w:val="15"/>
                <w:szCs w:val="15"/>
                <w:color w:val="auto"/>
              </w:rPr>
              <w:t>Additions of property and equipment, net included in accounts payable and accrued</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5660" w:type="dxa"/>
            <w:vAlign w:val="bottom"/>
            <w:gridSpan w:val="2"/>
          </w:tcPr>
          <w:p>
            <w:pPr>
              <w:spacing w:after="0"/>
              <w:rPr>
                <w:sz w:val="20"/>
                <w:szCs w:val="20"/>
                <w:color w:val="auto"/>
              </w:rPr>
            </w:pPr>
            <w:r>
              <w:rPr>
                <w:rFonts w:ascii="Arial" w:cs="Arial" w:eastAsia="Arial" w:hAnsi="Arial"/>
                <w:sz w:val="15"/>
                <w:szCs w:val="15"/>
                <w:color w:val="auto"/>
              </w:rPr>
              <w:t>expenses</w:t>
            </w:r>
          </w:p>
        </w:tc>
        <w:tc>
          <w:tcPr>
            <w:tcW w:w="1000" w:type="dxa"/>
            <w:vAlign w:val="bottom"/>
            <w:gridSpan w:val="2"/>
          </w:tcPr>
          <w:p>
            <w:pPr>
              <w:jc w:val="right"/>
              <w:ind w:right="744"/>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98</w:t>
            </w:r>
          </w:p>
        </w:tc>
        <w:tc>
          <w:tcPr>
            <w:tcW w:w="520" w:type="dxa"/>
            <w:vAlign w:val="bottom"/>
            <w:gridSpan w:val="2"/>
          </w:tcPr>
          <w:p>
            <w:pPr>
              <w:jc w:val="right"/>
              <w:ind w:right="184"/>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89</w:t>
            </w: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80"/>
        <w:spacing w:after="0"/>
        <w:rPr>
          <w:sz w:val="20"/>
          <w:szCs w:val="20"/>
          <w:color w:val="auto"/>
        </w:rPr>
      </w:pPr>
      <w:r>
        <w:rPr>
          <w:rFonts w:ascii="Arial" w:cs="Arial" w:eastAsia="Arial" w:hAnsi="Arial"/>
          <w:sz w:val="17"/>
          <w:szCs w:val="17"/>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PROGYNY,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7" w:lineRule="exact"/>
        <w:rPr>
          <w:sz w:val="20"/>
          <w:szCs w:val="20"/>
          <w:color w:val="auto"/>
        </w:rPr>
      </w:pPr>
    </w:p>
    <w:p>
      <w:pPr>
        <w:ind w:left="680" w:hanging="630"/>
        <w:spacing w:after="0"/>
        <w:tabs>
          <w:tab w:leader="none" w:pos="6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and Basis of Presentation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ind w:left="700" w:right="79" w:firstLine="648"/>
        <w:spacing w:after="0" w:line="342" w:lineRule="auto"/>
        <w:rPr>
          <w:sz w:val="20"/>
          <w:szCs w:val="20"/>
          <w:color w:val="auto"/>
        </w:rPr>
      </w:pPr>
      <w:r>
        <w:rPr>
          <w:rFonts w:ascii="Arial" w:cs="Arial" w:eastAsia="Arial" w:hAnsi="Arial"/>
          <w:sz w:val="16"/>
          <w:szCs w:val="16"/>
          <w:color w:val="auto"/>
        </w:rPr>
        <w:t>Progyny, Inc. (together with its subsidiary referred to as “Progyny” or the “Company”) was incorporated in the state of Delaware on April 3, 2008, and maintains its corporate headquarters in New York, NY.</w:t>
      </w:r>
    </w:p>
    <w:p>
      <w:pPr>
        <w:spacing w:after="0" w:line="124" w:lineRule="exact"/>
        <w:rPr>
          <w:sz w:val="20"/>
          <w:szCs w:val="20"/>
          <w:color w:val="auto"/>
        </w:rPr>
      </w:pPr>
    </w:p>
    <w:p>
      <w:pPr>
        <w:jc w:val="both"/>
        <w:ind w:left="700" w:right="79" w:firstLine="648"/>
        <w:spacing w:after="0" w:line="291" w:lineRule="auto"/>
        <w:rPr>
          <w:sz w:val="20"/>
          <w:szCs w:val="20"/>
          <w:color w:val="auto"/>
        </w:rPr>
      </w:pPr>
      <w:r>
        <w:rPr>
          <w:rFonts w:ascii="Arial" w:cs="Arial" w:eastAsia="Arial" w:hAnsi="Arial"/>
          <w:sz w:val="16"/>
          <w:szCs w:val="16"/>
          <w:color w:val="auto"/>
        </w:rPr>
        <w:t>Progyny is a provider of a fertility benefits solution and pharmacy benefits solution and operates and manages in one operating segment. The fertility benefits solution consists of a significant service that integrates:</w:t>
      </w:r>
    </w:p>
    <w:p>
      <w:pPr>
        <w:jc w:val="both"/>
        <w:ind w:left="700" w:right="59" w:hanging="2"/>
        <w:spacing w:after="0" w:line="290" w:lineRule="auto"/>
        <w:tabs>
          <w:tab w:leader="none" w:pos="961"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treatment services (“Smart Cycles”) that the Company has designed, (2) access to the Progyny network of high-quality fertility specialists that perform the Smart Cycle treatments and (3) active management of the selective network of high-quality provider clinics, real-time member eligibility and treatment authorization, member-facing digital tools and detailed quarterly reporting supported by the Company’s dedicated account management teams, and end to end comprehensive concierge member support provided by Progyny’s in-house staff of Patient Care Advocates (“PCAs”) (collectively, the “care management services”).</w:t>
      </w:r>
    </w:p>
    <w:p>
      <w:pPr>
        <w:spacing w:after="0" w:line="164" w:lineRule="exact"/>
        <w:rPr>
          <w:sz w:val="20"/>
          <w:szCs w:val="20"/>
          <w:color w:val="auto"/>
        </w:rPr>
      </w:pPr>
    </w:p>
    <w:p>
      <w:pPr>
        <w:jc w:val="both"/>
        <w:ind w:left="700" w:right="59" w:firstLine="648"/>
        <w:spacing w:after="0" w:line="272" w:lineRule="auto"/>
        <w:rPr>
          <w:sz w:val="20"/>
          <w:szCs w:val="20"/>
          <w:color w:val="auto"/>
        </w:rPr>
      </w:pPr>
      <w:r>
        <w:rPr>
          <w:rFonts w:ascii="Arial" w:cs="Arial" w:eastAsia="Arial" w:hAnsi="Arial"/>
          <w:sz w:val="17"/>
          <w:szCs w:val="17"/>
          <w:color w:val="auto"/>
        </w:rPr>
        <w:t>The Company enhanced its fertility benefits solution with the launch of Progyny Rx, its pharmacy benefits solution, effective January 1, 2018. As part of this solution, the Company provides formulary plan design, simplified authorization, assistance with prescription fulfillment, and timely delivery of the medications by the Company’s network of specialty pharmacies, as well as medication administration training, pharmacy support services, and continuing PCA support. As a pharmacy benefits solution provider, Progyny manages the dispensing of pharmaceuticals through the Company’s specialty pharmacy contracts. The pharmacy benefits solution is only available as an add-on service to its fertility benefits solution.</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25" w:lineRule="exact"/>
        <w:rPr>
          <w:sz w:val="20"/>
          <w:szCs w:val="20"/>
          <w:color w:val="auto"/>
        </w:rPr>
      </w:pPr>
    </w:p>
    <w:p>
      <w:pPr>
        <w:jc w:val="both"/>
        <w:ind w:left="700" w:right="59" w:firstLine="648"/>
        <w:spacing w:after="0" w:line="259" w:lineRule="auto"/>
        <w:rPr>
          <w:sz w:val="20"/>
          <w:szCs w:val="20"/>
          <w:color w:val="auto"/>
        </w:rPr>
      </w:pPr>
      <w:r>
        <w:rPr>
          <w:rFonts w:ascii="Arial" w:cs="Arial" w:eastAsia="Arial" w:hAnsi="Arial"/>
          <w:sz w:val="18"/>
          <w:szCs w:val="18"/>
          <w:color w:val="auto"/>
        </w:rPr>
        <w:t>Prior to December 31, 2020, the Company was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w:t>
      </w:r>
    </w:p>
    <w:p>
      <w:pPr>
        <w:spacing w:after="0" w:line="187" w:lineRule="exact"/>
        <w:rPr>
          <w:sz w:val="20"/>
          <w:szCs w:val="20"/>
          <w:color w:val="auto"/>
        </w:rPr>
      </w:pPr>
    </w:p>
    <w:p>
      <w:pPr>
        <w:jc w:val="both"/>
        <w:ind w:left="700" w:right="59" w:firstLine="648"/>
        <w:spacing w:after="0" w:line="269" w:lineRule="auto"/>
        <w:rPr>
          <w:sz w:val="20"/>
          <w:szCs w:val="20"/>
          <w:color w:val="auto"/>
        </w:rPr>
      </w:pPr>
      <w:r>
        <w:rPr>
          <w:rFonts w:ascii="Arial" w:cs="Arial" w:eastAsia="Arial" w:hAnsi="Arial"/>
          <w:sz w:val="17"/>
          <w:szCs w:val="17"/>
          <w:color w:val="auto"/>
        </w:rPr>
        <w:t>The Company elected to use this extended transition period for complying with new or revised accounting standards that have different effective dates for public and private companies until the earlier of the date that it was (i) no longer an emerging growth company or (ii) affirmatively and irrevocably opted out of the extended transition period provided in the JOBS Act. Based on the market value of the Company’s common stock as of June 30, 2020, the Company ceased to qualify as an emerging growth company as of December 31, 2020. As a result, the Company no longer was able to use the extended transition period for complying with new or revised accounting standards available to emerging growth companies and was required to adopt new or revised accounting standards as of the effective dates for public companies. Refer to Note 2 – Significant Accounting Policies below for a discussion of new accounting pronouncements adopted in the fourth quarter of 2020 with an effective date of January 1, 2020.</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left="700" w:right="59" w:firstLine="648"/>
        <w:spacing w:after="0" w:line="293" w:lineRule="auto"/>
        <w:rPr>
          <w:sz w:val="20"/>
          <w:szCs w:val="20"/>
          <w:color w:val="auto"/>
        </w:rPr>
      </w:pPr>
      <w:r>
        <w:rPr>
          <w:rFonts w:ascii="Arial" w:cs="Arial" w:eastAsia="Arial" w:hAnsi="Arial"/>
          <w:sz w:val="16"/>
          <w:szCs w:val="16"/>
          <w:color w:val="auto"/>
        </w:rPr>
        <w:t>The accompanying interim unaudited consolidated financial statements include the accounts of Progyny, Inc. and its wholly owned subsidiary, Progyny Fertility Purchasing, LLC. The interim unaudited consolidated financial statements have been prepared in accordance with accounting principles generally accepted in the United States of America (“U.S. GAAP”) and pursuant to the rules and regulations of the Securities and Exchange Commission (“SEC”) applicable to interim financial reporting. These interim consolidated financial statements have been prepared on a basis consistent with the annual consolidated financial statements and, in the opinion of</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700" w:right="59"/>
        <w:spacing w:after="0" w:line="255" w:lineRule="auto"/>
        <w:rPr>
          <w:sz w:val="20"/>
          <w:szCs w:val="20"/>
          <w:color w:val="auto"/>
        </w:rPr>
      </w:pPr>
      <w:r>
        <w:rPr>
          <w:rFonts w:ascii="Arial" w:cs="Arial" w:eastAsia="Arial" w:hAnsi="Arial"/>
          <w:sz w:val="18"/>
          <w:szCs w:val="18"/>
          <w:color w:val="auto"/>
        </w:rPr>
        <w:t>management, include all adjustments necessary to fairly state our financial position as of June 30, 2021, the results of our operations for the three and six months ended June 30, 2021 and 2020 and the results of our cash flows for the six months ended June 30, 2021 and 2020. Therefore, these unaudited consolidated financial statements should be read in conjunction with the audited consolidated financial statements and related footnotes included in the Company’s Annual Report on Form 10-K for the year ended December 31, 2020, filed with the SEC on March 1, 2021.</w:t>
      </w:r>
    </w:p>
    <w:p>
      <w:pPr>
        <w:spacing w:after="0" w:line="192" w:lineRule="exact"/>
        <w:rPr>
          <w:sz w:val="20"/>
          <w:szCs w:val="20"/>
          <w:color w:val="auto"/>
        </w:rPr>
      </w:pPr>
    </w:p>
    <w:p>
      <w:pPr>
        <w:jc w:val="both"/>
        <w:ind w:left="700" w:right="59" w:firstLine="648"/>
        <w:spacing w:after="0" w:line="268" w:lineRule="auto"/>
        <w:rPr>
          <w:sz w:val="20"/>
          <w:szCs w:val="20"/>
          <w:color w:val="auto"/>
        </w:rPr>
      </w:pPr>
      <w:r>
        <w:rPr>
          <w:rFonts w:ascii="Arial" w:cs="Arial" w:eastAsia="Arial" w:hAnsi="Arial"/>
          <w:sz w:val="17"/>
          <w:szCs w:val="17"/>
          <w:color w:val="auto"/>
        </w:rPr>
        <w:t>The results for the three and six months ended June 30, 2021 are not necessarily indicative of the operating results expected for the year ending December 31, 2021 or any other future period. Additionally, there are many uncertainties regarding the ongoing coronavirus (“COVID-19”) pandemic, and the Company is closely monitoring the impact of the pandemic on all aspects of its business, including how it has impacted and may continue to impact its customers and members, its provider network, specialty pharmacy partners, employees, suppliers, vendors, and other business partners. The full extent to which the COVID-19 pandemic will directly or indirectly impact the Company’s business, future results of operations and financial condition will depend on future developments that are highly uncertain and cannot be accurately predicted, including new information that may emerge concerning COVID-19 and variants, the actions taken to contain it or treat its impact, vaccine roll-out and impact, and the economic impact on local, regional and national markets. The overall disruption of the healthcare and fertility markets and the other risks and uncertainties associated with the pandemic could have a material adverse effect on the Company’s business, financial condition, results of operations and growth prospects. The Company will continue to assess the evolving impact of the COVID-19 pandemic and will make adjustments to its operations as necessary.</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left="700" w:right="59" w:firstLine="648"/>
        <w:spacing w:after="0" w:line="270" w:lineRule="auto"/>
        <w:rPr>
          <w:sz w:val="20"/>
          <w:szCs w:val="20"/>
          <w:color w:val="auto"/>
        </w:rPr>
      </w:pPr>
      <w:r>
        <w:rPr>
          <w:rFonts w:ascii="Arial" w:cs="Arial" w:eastAsia="Arial" w:hAnsi="Arial"/>
          <w:sz w:val="17"/>
          <w:szCs w:val="17"/>
          <w:color w:val="auto"/>
        </w:rPr>
        <w:t>The preparation of consolidated financial statements in conformity with U.S. GAAP generally requires management to make estimates and assumptions that affect the reported amount of certain assets, liabilities, revenue, and expenses, and the related disclosure of contingent assets and liabilities. Such estimates include, but are not limited to, the determination of revenue recognition including accrued receivables, accrued claims payable, allowance for doubtful accounts, stock-based compensation, lease liabilities, and accounting for income taxes. Management bases its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7" w:lineRule="exact"/>
        <w:rPr>
          <w:sz w:val="20"/>
          <w:szCs w:val="20"/>
          <w:color w:val="auto"/>
        </w:rPr>
      </w:pPr>
    </w:p>
    <w:p>
      <w:pPr>
        <w:ind w:left="680" w:hanging="630"/>
        <w:spacing w:after="0"/>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jc w:val="both"/>
        <w:ind w:left="700" w:right="279" w:firstLine="648"/>
        <w:spacing w:after="0" w:line="263" w:lineRule="auto"/>
        <w:rPr>
          <w:sz w:val="20"/>
          <w:szCs w:val="20"/>
          <w:color w:val="auto"/>
        </w:rPr>
      </w:pPr>
      <w:r>
        <w:rPr>
          <w:rFonts w:ascii="Arial" w:cs="Arial" w:eastAsia="Arial" w:hAnsi="Arial"/>
          <w:sz w:val="18"/>
          <w:szCs w:val="18"/>
          <w:color w:val="auto"/>
        </w:rPr>
        <w:t>There have been no material changes in the Company’s significant accounting policies as compared to the significant accounting policies described in the Company’s Annual Report on Form 10-K for the year ended December 31, 2020.</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left="700" w:right="59" w:firstLine="648"/>
        <w:spacing w:after="0" w:line="263" w:lineRule="auto"/>
        <w:rPr>
          <w:sz w:val="20"/>
          <w:szCs w:val="20"/>
          <w:color w:val="auto"/>
        </w:rPr>
      </w:pPr>
      <w:r>
        <w:rPr>
          <w:rFonts w:ascii="Arial" w:cs="Arial" w:eastAsia="Arial" w:hAnsi="Arial"/>
          <w:sz w:val="18"/>
          <w:szCs w:val="18"/>
          <w:color w:val="auto"/>
        </w:rPr>
        <w:t>Revenue is recognized when control of the promised goods or services is transferred to clients in an amount that reflects the consideration the Company expects to be entitled to in exchange for those goods or services.</w:t>
      </w:r>
    </w:p>
    <w:p>
      <w:pPr>
        <w:spacing w:after="0" w:line="184"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The Company applies the following five-step model to recognize revenue from contracts with clients:</w:t>
      </w:r>
    </w:p>
    <w:p>
      <w:pPr>
        <w:spacing w:after="0" w:line="237" w:lineRule="exact"/>
        <w:rPr>
          <w:sz w:val="20"/>
          <w:szCs w:val="20"/>
          <w:color w:val="auto"/>
        </w:rPr>
      </w:pPr>
    </w:p>
    <w:p>
      <w:pPr>
        <w:ind w:left="1380" w:hanging="331"/>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client</w:t>
      </w:r>
    </w:p>
    <w:p>
      <w:pPr>
        <w:spacing w:after="0" w:line="117" w:lineRule="exact"/>
        <w:rPr>
          <w:rFonts w:ascii="Arial" w:cs="Arial" w:eastAsia="Arial" w:hAnsi="Arial"/>
          <w:sz w:val="18"/>
          <w:szCs w:val="18"/>
          <w:color w:val="auto"/>
        </w:rPr>
      </w:pPr>
    </w:p>
    <w:p>
      <w:pPr>
        <w:ind w:left="1380" w:hanging="331"/>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17" w:lineRule="exact"/>
        <w:rPr>
          <w:rFonts w:ascii="Arial" w:cs="Arial" w:eastAsia="Arial" w:hAnsi="Arial"/>
          <w:sz w:val="18"/>
          <w:szCs w:val="18"/>
          <w:color w:val="auto"/>
        </w:rPr>
      </w:pPr>
    </w:p>
    <w:p>
      <w:pPr>
        <w:ind w:left="1380" w:hanging="331"/>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17" w:lineRule="exact"/>
        <w:rPr>
          <w:rFonts w:ascii="Arial" w:cs="Arial" w:eastAsia="Arial" w:hAnsi="Arial"/>
          <w:sz w:val="18"/>
          <w:szCs w:val="18"/>
          <w:color w:val="auto"/>
        </w:rPr>
      </w:pPr>
    </w:p>
    <w:p>
      <w:pPr>
        <w:ind w:left="1380" w:hanging="331"/>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80" w:hanging="331"/>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Recognition of revenue when, or as, a performance obligation is satisfied</w:t>
      </w:r>
    </w:p>
    <w:p>
      <w:pPr>
        <w:spacing w:after="0" w:line="225" w:lineRule="exact"/>
        <w:rPr>
          <w:sz w:val="20"/>
          <w:szCs w:val="20"/>
          <w:color w:val="auto"/>
        </w:rPr>
      </w:pPr>
    </w:p>
    <w:p>
      <w:pPr>
        <w:jc w:val="both"/>
        <w:ind w:left="700" w:right="59" w:firstLine="324"/>
        <w:spacing w:after="0" w:line="277" w:lineRule="auto"/>
        <w:rPr>
          <w:sz w:val="20"/>
          <w:szCs w:val="20"/>
          <w:color w:val="auto"/>
        </w:rPr>
      </w:pPr>
      <w:r>
        <w:rPr>
          <w:rFonts w:ascii="Arial" w:cs="Arial" w:eastAsia="Arial" w:hAnsi="Arial"/>
          <w:sz w:val="18"/>
          <w:szCs w:val="18"/>
          <w:color w:val="auto"/>
        </w:rPr>
        <w:t>Progyny’s contracts typically have a stated term of three years and include contractual termination options after the first year, allowing the client to terminate the contract with 30 to 90 days’ notice.</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Fertility Benefits Revenue</w:t>
      </w:r>
    </w:p>
    <w:p>
      <w:pPr>
        <w:spacing w:after="0" w:line="225" w:lineRule="exact"/>
        <w:rPr>
          <w:sz w:val="20"/>
          <w:szCs w:val="20"/>
          <w:color w:val="auto"/>
        </w:rPr>
      </w:pPr>
    </w:p>
    <w:p>
      <w:pPr>
        <w:jc w:val="both"/>
        <w:ind w:left="700" w:right="59" w:firstLine="648"/>
        <w:spacing w:after="0" w:line="269" w:lineRule="auto"/>
        <w:rPr>
          <w:sz w:val="20"/>
          <w:szCs w:val="20"/>
          <w:color w:val="auto"/>
        </w:rPr>
      </w:pPr>
      <w:r>
        <w:rPr>
          <w:rFonts w:ascii="Arial" w:cs="Arial" w:eastAsia="Arial" w:hAnsi="Arial"/>
          <w:sz w:val="17"/>
          <w:szCs w:val="17"/>
          <w:color w:val="auto"/>
        </w:rPr>
        <w:t>Progyny primarily generates revenue through its fertility benefits solution, in which Progyny provides self-insured enterprise entities (“clients”) and their employees and partners (together, “members”) with fertility benefits. As part of the fertility benefits solution, Progyny provides access to effective and cost-efficient fertility treatments, referred to as Smart Cycles, as well as other related services. Smart Cycles are proprietary treatment bundles that include certain medical services available to members through Progyny’s proprietary, credentialed network of provider clinics. In addition to access to Progyny’s Smart Cycle treatment bundles and access to Progyny’s network of provider clinics, the fertility benefits solution includes other comprehensive services, which Progyny refers to as care management services, such as active management of the provider clinic network, real-time member eligibility and treatment authorization, member-facing digital tools throughout the Smart Cycle and detailed quarterly reporting all supported by client facing account management and end-to-end comprehensive member support provided by Progyny’s in house staff of PCAs.</w:t>
      </w:r>
    </w:p>
    <w:p>
      <w:pPr>
        <w:spacing w:after="0" w:line="182" w:lineRule="exact"/>
        <w:rPr>
          <w:sz w:val="20"/>
          <w:szCs w:val="20"/>
          <w:color w:val="auto"/>
        </w:rPr>
      </w:pPr>
    </w:p>
    <w:p>
      <w:pPr>
        <w:jc w:val="both"/>
        <w:ind w:left="700" w:right="59" w:firstLine="648"/>
        <w:spacing w:after="0" w:line="275" w:lineRule="auto"/>
        <w:rPr>
          <w:sz w:val="20"/>
          <w:szCs w:val="20"/>
          <w:color w:val="auto"/>
        </w:rPr>
      </w:pPr>
      <w:r>
        <w:rPr>
          <w:rFonts w:ascii="Arial" w:cs="Arial" w:eastAsia="Arial" w:hAnsi="Arial"/>
          <w:sz w:val="17"/>
          <w:szCs w:val="17"/>
          <w:color w:val="auto"/>
        </w:rPr>
        <w:t>The promises within Progyny’s fertility benefits contract with a client represent a single performance obligation because Progyny provides a significant service of integrating the Progyny designed Smart Cycles and access to the fertility treatment services provided by provider clinics with the other comprehensive services into the combined fertility benefits solution that the client contracted to receive. Progyny’s fertility benefits solution is a stand-ready obligation that is satisfied over the contract term.</w:t>
      </w:r>
    </w:p>
    <w:p>
      <w:pPr>
        <w:spacing w:after="0" w:line="176" w:lineRule="exact"/>
        <w:rPr>
          <w:sz w:val="20"/>
          <w:szCs w:val="20"/>
          <w:color w:val="auto"/>
        </w:rPr>
      </w:pPr>
    </w:p>
    <w:p>
      <w:pPr>
        <w:jc w:val="both"/>
        <w:ind w:left="700" w:right="59" w:firstLine="648"/>
        <w:spacing w:after="0" w:line="289" w:lineRule="auto"/>
        <w:rPr>
          <w:sz w:val="20"/>
          <w:szCs w:val="20"/>
          <w:color w:val="auto"/>
        </w:rPr>
      </w:pPr>
      <w:r>
        <w:rPr>
          <w:rFonts w:ascii="Arial" w:cs="Arial" w:eastAsia="Arial" w:hAnsi="Arial"/>
          <w:sz w:val="16"/>
          <w:szCs w:val="16"/>
          <w:color w:val="auto"/>
        </w:rPr>
        <w:t>Progyny’s contracts include the following sources of consideration, which are all variable: a per employee per month (“PEPM”) administration fee (in most, but not all contracts) and a fixed rate per Smart Cycle. The PEPM administration fee is allocated between the fertility benefits solution and the pharmacy benefits solution based on standalone selling price, estimated using an expected cost-plus margin method. The Company allocates the variable consideration related to the fixed rate per Smart Cycle to the distinct period during which the related services were performed as those fees relate specifically to the Company’s efforts to provide its fertility benefits solution to its clients in the period and represents the consideration the Company is entitled to for the fertility benefit services provided. As a result, the fixed rate per Smart Cycle is included in the transaction price and recognized in the period in which the Smart Cycle is provided to the member.</w:t>
      </w:r>
    </w:p>
    <w:p>
      <w:pPr>
        <w:spacing w:after="0" w:line="166" w:lineRule="exact"/>
        <w:rPr>
          <w:sz w:val="20"/>
          <w:szCs w:val="20"/>
          <w:color w:val="auto"/>
        </w:rPr>
      </w:pPr>
    </w:p>
    <w:p>
      <w:pPr>
        <w:jc w:val="both"/>
        <w:ind w:left="700" w:right="59" w:firstLine="648"/>
        <w:spacing w:after="0" w:line="293" w:lineRule="auto"/>
        <w:rPr>
          <w:sz w:val="20"/>
          <w:szCs w:val="20"/>
          <w:color w:val="auto"/>
        </w:rPr>
      </w:pPr>
      <w:r>
        <w:rPr>
          <w:rFonts w:ascii="Arial" w:cs="Arial" w:eastAsia="Arial" w:hAnsi="Arial"/>
          <w:sz w:val="16"/>
          <w:szCs w:val="16"/>
          <w:color w:val="auto"/>
        </w:rPr>
        <w:t>Progyny’s contracts also include potential service level agreement refunds related to outcome-based service metrics. These service level refunds, which are determined based on results of a full plan year, if met, are based on a percentage of the PEPM fee paid by clients. The Company estimates the variable consideration related to the total PEPM administration fee, less estimated refunds related to service level agreements, and recognizes the amounts allocated to the fertility benefits solution ratably over the contract term. Progyny’s estimates of service level agreement refunds, have not historically resulted in significant adjustments to the transaction price.</w:t>
      </w:r>
    </w:p>
    <w:p>
      <w:pPr>
        <w:spacing w:after="0" w:line="164" w:lineRule="exact"/>
        <w:rPr>
          <w:sz w:val="20"/>
          <w:szCs w:val="20"/>
          <w:color w:val="auto"/>
        </w:rPr>
      </w:pPr>
    </w:p>
    <w:p>
      <w:pPr>
        <w:jc w:val="both"/>
        <w:ind w:left="700" w:right="59" w:firstLine="648"/>
        <w:spacing w:after="0" w:line="259" w:lineRule="auto"/>
        <w:rPr>
          <w:sz w:val="20"/>
          <w:szCs w:val="20"/>
          <w:color w:val="auto"/>
        </w:rPr>
      </w:pPr>
      <w:r>
        <w:rPr>
          <w:rFonts w:ascii="Arial" w:cs="Arial" w:eastAsia="Arial" w:hAnsi="Arial"/>
          <w:sz w:val="18"/>
          <w:szCs w:val="18"/>
          <w:color w:val="auto"/>
        </w:rPr>
        <w:t>Clients are typically invoiced on a monthly basis for the PEPM administration fee. Progyny invoices its clients and members for their respective portions of the fixed rate per Smart Cycle bundle when all treatment services within a Smart Cycle are completed by the provider clinic. Once an invoice is issued, payment terms are typically between 30 to 60 days.</w:t>
      </w:r>
    </w:p>
    <w:p>
      <w:pPr>
        <w:spacing w:after="0" w:line="187" w:lineRule="exact"/>
        <w:rPr>
          <w:sz w:val="20"/>
          <w:szCs w:val="20"/>
          <w:color w:val="auto"/>
        </w:rPr>
      </w:pPr>
    </w:p>
    <w:p>
      <w:pPr>
        <w:jc w:val="both"/>
        <w:ind w:left="700" w:right="59" w:firstLine="648"/>
        <w:spacing w:after="0" w:line="291" w:lineRule="auto"/>
        <w:rPr>
          <w:sz w:val="20"/>
          <w:szCs w:val="20"/>
          <w:color w:val="auto"/>
        </w:rPr>
      </w:pPr>
      <w:r>
        <w:rPr>
          <w:rFonts w:ascii="Arial" w:cs="Arial" w:eastAsia="Arial" w:hAnsi="Arial"/>
          <w:sz w:val="16"/>
          <w:szCs w:val="16"/>
          <w:color w:val="auto"/>
        </w:rPr>
        <w:t>The Company assesses whether it is the principal or the agent for each arrangement with a client, since fertility treatment services are provided by a third party—the provider clinics. The Company is the principal in its arrangements with clients and therefore presents revenue gross of the amounts paid to the provider clinics because Progyny controls the specified service (the fertility benefits solution) before it is transferred to the client. Progyny integrates the fertility treatment services provided by the provider clinics into the overall fertility benefits solution that the client contracted to receive. In addition, Progyny defines the scope of the potential services to be performed by the provider clinics and monitors the performance of the provider clinics. Furthermore, Progyny</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700" w:right="59"/>
        <w:spacing w:after="0" w:line="286" w:lineRule="auto"/>
        <w:rPr>
          <w:sz w:val="20"/>
          <w:szCs w:val="20"/>
          <w:color w:val="auto"/>
        </w:rPr>
      </w:pPr>
      <w:r>
        <w:rPr>
          <w:rFonts w:ascii="Arial" w:cs="Arial" w:eastAsia="Arial" w:hAnsi="Arial"/>
          <w:sz w:val="17"/>
          <w:szCs w:val="17"/>
          <w:color w:val="auto"/>
        </w:rPr>
        <w:t>is primarily responsible for fulfilling the promise to the client and has discretion in setting the pricing, as Progyny separately negotiates agreements with the provider clinics, which establish pricing for each treatment service. Pricing of services from provider clinics is independent from the fees charged to clients.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Pharmacy Benefits Revenue</w:t>
      </w:r>
    </w:p>
    <w:p>
      <w:pPr>
        <w:spacing w:after="0" w:line="225" w:lineRule="exact"/>
        <w:rPr>
          <w:sz w:val="20"/>
          <w:szCs w:val="20"/>
          <w:color w:val="auto"/>
        </w:rPr>
      </w:pPr>
    </w:p>
    <w:p>
      <w:pPr>
        <w:jc w:val="both"/>
        <w:ind w:left="700" w:right="59" w:firstLine="648"/>
        <w:spacing w:after="0" w:line="254" w:lineRule="auto"/>
        <w:rPr>
          <w:sz w:val="20"/>
          <w:szCs w:val="20"/>
          <w:color w:val="auto"/>
        </w:rPr>
      </w:pPr>
      <w:r>
        <w:rPr>
          <w:rFonts w:ascii="Arial" w:cs="Arial" w:eastAsia="Arial" w:hAnsi="Arial"/>
          <w:sz w:val="18"/>
          <w:szCs w:val="18"/>
          <w:color w:val="auto"/>
        </w:rPr>
        <w:t>For clients that have the fertility benefits solution, Progyny offers, as an add-on, its pharmacy benefits solution, which is a separate, fully integrated pharmacy benefit. As part of the pharmacy benefits solution, Progyny provides care management services, which include Progyny’s formulary plan design, prescription fulfillment, simplified authorization and timely delivery of the medications used during treatment through Progyny’s network of specialty pharmacies, and clinical services consisting of member assessments, UnPack It calls, telephone support, online education, medication administration training, pharmacy support services and continuing PCA support.</w:t>
      </w:r>
    </w:p>
    <w:p>
      <w:pPr>
        <w:spacing w:after="0" w:line="195" w:lineRule="exact"/>
        <w:rPr>
          <w:sz w:val="20"/>
          <w:szCs w:val="20"/>
          <w:color w:val="auto"/>
        </w:rPr>
      </w:pPr>
    </w:p>
    <w:p>
      <w:pPr>
        <w:jc w:val="both"/>
        <w:ind w:left="700" w:right="59" w:firstLine="648"/>
        <w:spacing w:after="0" w:line="279" w:lineRule="auto"/>
        <w:rPr>
          <w:sz w:val="20"/>
          <w:szCs w:val="20"/>
          <w:color w:val="auto"/>
        </w:rPr>
      </w:pPr>
      <w:r>
        <w:rPr>
          <w:rFonts w:ascii="Arial" w:cs="Arial" w:eastAsia="Arial" w:hAnsi="Arial"/>
          <w:sz w:val="17"/>
          <w:szCs w:val="17"/>
          <w:color w:val="auto"/>
        </w:rPr>
        <w:t>The pharmacy-related promises represent a single performance obligation because Progyny provides a significant service of integrating the formulary plan design, prescription fulfillment, clinical services and PCA support into the combined pharmacy benefits solution that the client contracted to receive. The pharmacy benefits solution is a stand-ready obligation that is satisfied over the contract term.</w:t>
      </w:r>
    </w:p>
    <w:p>
      <w:pPr>
        <w:spacing w:after="0" w:line="171" w:lineRule="exact"/>
        <w:rPr>
          <w:sz w:val="20"/>
          <w:szCs w:val="20"/>
          <w:color w:val="auto"/>
        </w:rPr>
      </w:pPr>
    </w:p>
    <w:p>
      <w:pPr>
        <w:jc w:val="both"/>
        <w:ind w:left="700" w:right="59" w:firstLine="648"/>
        <w:spacing w:after="0" w:line="269" w:lineRule="auto"/>
        <w:rPr>
          <w:sz w:val="20"/>
          <w:szCs w:val="20"/>
          <w:color w:val="auto"/>
        </w:rPr>
      </w:pPr>
      <w:r>
        <w:rPr>
          <w:rFonts w:ascii="Arial" w:cs="Arial" w:eastAsia="Arial" w:hAnsi="Arial"/>
          <w:sz w:val="17"/>
          <w:szCs w:val="17"/>
          <w:color w:val="auto"/>
        </w:rPr>
        <w:t>Progyny’s contracts include the following sources of consideration, all of which are variable: a PEPM administration fee (in most, but not all contracts) and a fixed fee per fertility drug. As described above, the PEPM administration fee, less estimated refunds related to service level agreements, is allocated to the pharmacy benefits solution and recognized ratably over the contract term. The Company allocates the variable consideration related to the fixed fee per fertility drug to the distinct period during which the related services were performed, as those fees relate specifically to the Company’s efforts to provide its pharmacy benefits solution to clients in the period and represents the consideration the Company is entitled to for the pharmacy benefit services provided. As a result, the fixed fee per fertility drug is included in the transaction price and recognized in the period in which the Company is entitled to consideration from a client, which is when a prescription is filled and delivered to the members.</w:t>
      </w:r>
    </w:p>
    <w:p>
      <w:pPr>
        <w:spacing w:after="0" w:line="185" w:lineRule="exact"/>
        <w:rPr>
          <w:sz w:val="20"/>
          <w:szCs w:val="20"/>
          <w:color w:val="auto"/>
        </w:rPr>
      </w:pPr>
    </w:p>
    <w:p>
      <w:pPr>
        <w:jc w:val="both"/>
        <w:ind w:left="700" w:right="59" w:firstLine="648"/>
        <w:spacing w:after="0" w:line="259" w:lineRule="auto"/>
        <w:rPr>
          <w:sz w:val="20"/>
          <w:szCs w:val="20"/>
          <w:color w:val="auto"/>
        </w:rPr>
      </w:pPr>
      <w:r>
        <w:rPr>
          <w:rFonts w:ascii="Arial" w:cs="Arial" w:eastAsia="Arial" w:hAnsi="Arial"/>
          <w:sz w:val="18"/>
          <w:szCs w:val="18"/>
          <w:color w:val="auto"/>
        </w:rPr>
        <w:t>As stated above, clients are invoiced on a monthly basis for the PEPM administration fee. Progyny invoices the client and the member for their respective portions of the fixed fee per fertility drug, when the prescription services are completed by the specialty pharmacies. Once an invoice is issued, payment terms are typically between 30 to 60 days.</w:t>
      </w:r>
    </w:p>
    <w:p>
      <w:pPr>
        <w:spacing w:after="0" w:line="187" w:lineRule="exact"/>
        <w:rPr>
          <w:sz w:val="20"/>
          <w:szCs w:val="20"/>
          <w:color w:val="auto"/>
        </w:rPr>
      </w:pPr>
    </w:p>
    <w:p>
      <w:pPr>
        <w:jc w:val="both"/>
        <w:ind w:left="700" w:right="59" w:firstLine="648"/>
        <w:spacing w:after="0" w:line="269" w:lineRule="auto"/>
        <w:rPr>
          <w:sz w:val="20"/>
          <w:szCs w:val="20"/>
          <w:color w:val="auto"/>
        </w:rPr>
      </w:pPr>
      <w:r>
        <w:rPr>
          <w:rFonts w:ascii="Arial" w:cs="Arial" w:eastAsia="Arial" w:hAnsi="Arial"/>
          <w:sz w:val="17"/>
          <w:szCs w:val="17"/>
          <w:color w:val="auto"/>
        </w:rPr>
        <w:t>The Company assesses whether it is the principal or the agent for each arrangement with a client, as prescription fulfillment and clinical services are provided by a third party—the specialty pharmacies. The Company is the principal in its arrangements with clients, and therefore presents revenue gross of the amounts paid to the specialty pharmacies. Progyny controls the specified service (the pharmacy benefits solution) before it is transferred to the client. Progyny integrates the prescription fulfillment and clinical services provided by the pharmacies and PCAs into the overall pharmacy benefits solution that the client contracted to receive. In addition, Progyny defines the scope of the potential services to be performed by the specialty pharmacies and monitors the performance of the specialty pharmacies. Furthermore, Progyny is primarily responsible for fulfilling the promise to the client and has discretion in setting the pricing, as Progyny separately negotiates agreements with pharmacies, which establish pricing for each drug. Pricing of fertility drugs is independent from the fees charged to clients.</w:t>
      </w:r>
    </w:p>
    <w:p>
      <w:pPr>
        <w:spacing w:after="0" w:line="182" w:lineRule="exact"/>
        <w:rPr>
          <w:sz w:val="20"/>
          <w:szCs w:val="20"/>
          <w:color w:val="auto"/>
        </w:rPr>
      </w:pPr>
    </w:p>
    <w:p>
      <w:pPr>
        <w:jc w:val="both"/>
        <w:ind w:left="700" w:right="59" w:firstLine="648"/>
        <w:spacing w:after="0" w:line="259" w:lineRule="auto"/>
        <w:rPr>
          <w:sz w:val="20"/>
          <w:szCs w:val="20"/>
          <w:color w:val="auto"/>
        </w:rPr>
      </w:pPr>
      <w:r>
        <w:rPr>
          <w:rFonts w:ascii="Arial" w:cs="Arial" w:eastAsia="Arial" w:hAnsi="Arial"/>
          <w:sz w:val="18"/>
          <w:szCs w:val="18"/>
          <w:color w:val="auto"/>
        </w:rPr>
        <w:t>The Company does not disclose the transaction price allocated to remaining performance obligations because all of the transaction price is variable and is allocated to the distinct periods to which the services relate, as discussed above. The remaining contract term is typically less than one year, due to the client’s contractual termination options.</w:t>
      </w:r>
    </w:p>
    <w:p>
      <w:pPr>
        <w:spacing w:after="0" w:line="187"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There are no material contract asset or contract liability balances as of June 30, 2021 and December 31,</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2020.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Accrued Receivables and Accrued Claims Payable</w:t>
      </w:r>
    </w:p>
    <w:p>
      <w:pPr>
        <w:spacing w:after="0" w:line="225" w:lineRule="exact"/>
        <w:rPr>
          <w:sz w:val="20"/>
          <w:szCs w:val="20"/>
          <w:color w:val="auto"/>
        </w:rPr>
      </w:pPr>
    </w:p>
    <w:p>
      <w:pPr>
        <w:jc w:val="both"/>
        <w:ind w:left="700" w:right="59" w:firstLine="648"/>
        <w:spacing w:after="0" w:line="254" w:lineRule="auto"/>
        <w:rPr>
          <w:sz w:val="20"/>
          <w:szCs w:val="20"/>
          <w:color w:val="auto"/>
        </w:rPr>
      </w:pPr>
      <w:r>
        <w:rPr>
          <w:rFonts w:ascii="Arial" w:cs="Arial" w:eastAsia="Arial" w:hAnsi="Arial"/>
          <w:sz w:val="18"/>
          <w:szCs w:val="18"/>
          <w:color w:val="auto"/>
        </w:rPr>
        <w:t>Accrued receivables are estimated based on historical experience for those fertility benefit services provided but for which a claim has not been received from the provider clinic at the end of each period, which includes assumptions regarding the lag between authorization date and service date as well as estimates for changes and cancellations of services. At the same time, cost of services and accrued claims payables are estimated based on the amount to be paid to the provider clinic and historical gross margin achieved on fertility benefit services. Estimates are adjusted to actual at the time of billing. Adjustments to original estimates have not been material.</w:t>
      </w:r>
    </w:p>
    <w:p>
      <w:pPr>
        <w:spacing w:after="0" w:line="195"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As of June 30, 2021 and December 31, 2020, accrued receivables were $40.5 million and $28.2 million.</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Accrued receivables are included within accounts receivable in the balance sheet.</w:t>
      </w:r>
    </w:p>
    <w:p>
      <w:pPr>
        <w:spacing w:after="0" w:line="211" w:lineRule="exact"/>
        <w:rPr>
          <w:sz w:val="20"/>
          <w:szCs w:val="20"/>
          <w:color w:val="auto"/>
        </w:rPr>
      </w:pPr>
    </w:p>
    <w:p>
      <w:pPr>
        <w:jc w:val="both"/>
        <w:ind w:left="700" w:right="79" w:firstLine="648"/>
        <w:spacing w:after="0" w:line="263" w:lineRule="auto"/>
        <w:rPr>
          <w:sz w:val="20"/>
          <w:szCs w:val="20"/>
          <w:color w:val="auto"/>
        </w:rPr>
      </w:pPr>
      <w:r>
        <w:rPr>
          <w:rFonts w:ascii="Arial" w:cs="Arial" w:eastAsia="Arial" w:hAnsi="Arial"/>
          <w:sz w:val="18"/>
          <w:szCs w:val="18"/>
          <w:color w:val="auto"/>
        </w:rPr>
        <w:t>Accrued claims payable of $30.8 million and $22.8 million as of June 30, 2021 and December 31, 2020, respectively, are included within accrued expenses and other current liabilities in the balance sheet. Claims payable are paid within 30 days based on contractual terms.</w:t>
      </w:r>
    </w:p>
    <w:p>
      <w:pPr>
        <w:spacing w:after="0" w:line="184" w:lineRule="exact"/>
        <w:rPr>
          <w:sz w:val="20"/>
          <w:szCs w:val="20"/>
          <w:color w:val="auto"/>
        </w:rPr>
      </w:pPr>
    </w:p>
    <w:p>
      <w:pPr>
        <w:jc w:val="both"/>
        <w:ind w:left="700" w:right="59" w:firstLine="648"/>
        <w:spacing w:after="0" w:line="257" w:lineRule="auto"/>
        <w:rPr>
          <w:sz w:val="20"/>
          <w:szCs w:val="20"/>
          <w:color w:val="auto"/>
        </w:rPr>
      </w:pPr>
      <w:r>
        <w:rPr>
          <w:rFonts w:ascii="Arial" w:cs="Arial" w:eastAsia="Arial" w:hAnsi="Arial"/>
          <w:sz w:val="18"/>
          <w:szCs w:val="18"/>
          <w:color w:val="auto"/>
        </w:rPr>
        <w:t>As of June 30, 2021 and December 31, 2020, unbilled receivables, which represent claims received and approved but unbilled at the end of the reporting period, were $25.6 million and $16.4 million, respectively. Unbilled receivables are typically billed to clients within 30 days of the approved claim based on the contractual billing schedule agreed upon with the client. Unbilled receivables are included in accounts receivable in the balance sheet.</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225" w:lineRule="exact"/>
        <w:rPr>
          <w:sz w:val="20"/>
          <w:szCs w:val="20"/>
          <w:color w:val="auto"/>
        </w:rPr>
      </w:pPr>
    </w:p>
    <w:p>
      <w:pPr>
        <w:jc w:val="both"/>
        <w:ind w:left="700" w:right="59" w:firstLine="648"/>
        <w:spacing w:after="0" w:line="271" w:lineRule="auto"/>
        <w:rPr>
          <w:sz w:val="20"/>
          <w:szCs w:val="20"/>
          <w:color w:val="auto"/>
        </w:rPr>
      </w:pPr>
      <w:r>
        <w:rPr>
          <w:rFonts w:ascii="Arial" w:cs="Arial" w:eastAsia="Arial" w:hAnsi="Arial"/>
          <w:sz w:val="17"/>
          <w:szCs w:val="17"/>
          <w:color w:val="auto"/>
        </w:rPr>
        <w:t>The accounts receivable balance primarily includes amounts due from clients and members. The Company estimates the allowance for doubtful accounts based on the lifetime expected credit losses for the client and member receivable pools, respectively. Under this current expected credit losses model, the Company determines the allowance for doubtful accounts based on factors such as the age of the receivable balance, historical experience, current economic conditions, and reasonable and supportable forecasts of future economic conditions. An allowance for credit losses is applied at the time the asset is recognized. Expected credit losses are recorded as general and administrative expenses on the statements of operations. The following table provides a summary of the activity in this allowance (in thousands):</w:t>
      </w:r>
    </w:p>
    <w:p>
      <w:pPr>
        <w:spacing w:after="0" w:line="31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Balance at</w:t>
            </w: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Charged</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ind w:right="124"/>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48"/>
        </w:trPr>
        <w:tc>
          <w:tcPr>
            <w:tcW w:w="3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Six Months Ended June 30, 2021</w:t>
            </w:r>
          </w:p>
        </w:tc>
        <w:tc>
          <w:tcPr>
            <w:tcW w:w="18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Beginning</w:t>
            </w: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to Costs</w:t>
            </w:r>
          </w:p>
        </w:tc>
        <w:tc>
          <w:tcPr>
            <w:tcW w:w="180" w:type="dxa"/>
            <w:vAlign w:val="bottom"/>
          </w:tcPr>
          <w:p>
            <w:pPr>
              <w:spacing w:after="0"/>
              <w:rPr>
                <w:sz w:val="12"/>
                <w:szCs w:val="12"/>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Write-offs</w:t>
            </w:r>
          </w:p>
        </w:tc>
        <w:tc>
          <w:tcPr>
            <w:tcW w:w="220" w:type="dxa"/>
            <w:vAlign w:val="bottom"/>
          </w:tcPr>
          <w:p>
            <w:pPr>
              <w:spacing w:after="0"/>
              <w:rPr>
                <w:sz w:val="12"/>
                <w:szCs w:val="12"/>
                <w:color w:val="auto"/>
              </w:rPr>
            </w:pPr>
          </w:p>
        </w:tc>
        <w:tc>
          <w:tcPr>
            <w:tcW w:w="98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w w:val="98"/>
              </w:rPr>
              <w:t>at End</w:t>
            </w:r>
          </w:p>
        </w:tc>
        <w:tc>
          <w:tcPr>
            <w:tcW w:w="0" w:type="dxa"/>
            <w:vAlign w:val="bottom"/>
          </w:tcPr>
          <w:p>
            <w:pPr>
              <w:spacing w:after="0"/>
              <w:rPr>
                <w:sz w:val="1"/>
                <w:szCs w:val="1"/>
                <w:color w:val="auto"/>
              </w:rPr>
            </w:pPr>
          </w:p>
        </w:tc>
      </w:tr>
      <w:tr>
        <w:trPr>
          <w:trHeight w:val="171"/>
        </w:trPr>
        <w:tc>
          <w:tcPr>
            <w:tcW w:w="39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of Period</w:t>
            </w:r>
          </w:p>
        </w:tc>
        <w:tc>
          <w:tcPr>
            <w:tcW w:w="14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and Expenses</w:t>
            </w:r>
          </w:p>
        </w:tc>
        <w:tc>
          <w:tcPr>
            <w:tcW w:w="1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ind w:right="144"/>
              <w:spacing w:after="0"/>
              <w:rPr>
                <w:sz w:val="20"/>
                <w:szCs w:val="20"/>
                <w:color w:val="auto"/>
              </w:rPr>
            </w:pPr>
            <w:r>
              <w:rPr>
                <w:rFonts w:ascii="Arial" w:cs="Arial" w:eastAsia="Arial" w:hAnsi="Arial"/>
                <w:sz w:val="14"/>
                <w:szCs w:val="14"/>
                <w:b w:val="1"/>
                <w:bCs w:val="1"/>
                <w:color w:val="auto"/>
                <w:w w:val="92"/>
              </w:rPr>
              <w:t>of Period</w:t>
            </w:r>
          </w:p>
        </w:tc>
        <w:tc>
          <w:tcPr>
            <w:tcW w:w="0" w:type="dxa"/>
            <w:vAlign w:val="bottom"/>
          </w:tcPr>
          <w:p>
            <w:pPr>
              <w:spacing w:after="0"/>
              <w:rPr>
                <w:sz w:val="1"/>
                <w:szCs w:val="1"/>
                <w:color w:val="auto"/>
              </w:rPr>
            </w:pPr>
          </w:p>
        </w:tc>
      </w:tr>
      <w:tr>
        <w:trPr>
          <w:trHeight w:val="210"/>
        </w:trPr>
        <w:tc>
          <w:tcPr>
            <w:tcW w:w="3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Allowance for doubtful accounts</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Fertility Benefit Services</w:t>
      </w:r>
    </w:p>
    <w:p>
      <w:pPr>
        <w:spacing w:after="0" w:line="225" w:lineRule="exact"/>
        <w:rPr>
          <w:sz w:val="20"/>
          <w:szCs w:val="20"/>
          <w:color w:val="auto"/>
        </w:rPr>
      </w:pPr>
    </w:p>
    <w:p>
      <w:pPr>
        <w:jc w:val="both"/>
        <w:ind w:left="700" w:right="59" w:firstLine="648"/>
        <w:spacing w:after="0" w:line="273" w:lineRule="auto"/>
        <w:rPr>
          <w:sz w:val="20"/>
          <w:szCs w:val="20"/>
          <w:color w:val="auto"/>
        </w:rPr>
      </w:pPr>
      <w:r>
        <w:rPr>
          <w:rFonts w:ascii="Arial" w:cs="Arial" w:eastAsia="Arial" w:hAnsi="Arial"/>
          <w:sz w:val="17"/>
          <w:szCs w:val="17"/>
          <w:color w:val="auto"/>
        </w:rPr>
        <w:t>Fertility benefit services costs include: (1) fees paid to provider clinics within our network, labs and anesthesiologists; (2) costs incurred (including salaries, bonuses, benefits, stock-based compensation, other related costs, and an allocation of our general overhead, depreciation and amortization) for those employees associated with our care management service functions: Provider Account Management, PCA, Provider Relations and Claims Processing teams; and (3) related information technology support costs. Our contracts with provider clinics are typically for a term of one to two years.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Pharmacy Benefit Services</w:t>
      </w:r>
    </w:p>
    <w:p>
      <w:pPr>
        <w:spacing w:after="0" w:line="225" w:lineRule="exact"/>
        <w:rPr>
          <w:sz w:val="20"/>
          <w:szCs w:val="20"/>
          <w:color w:val="auto"/>
        </w:rPr>
      </w:pPr>
    </w:p>
    <w:p>
      <w:pPr>
        <w:jc w:val="both"/>
        <w:ind w:left="700" w:right="59" w:firstLine="648"/>
        <w:spacing w:after="0" w:line="273" w:lineRule="auto"/>
        <w:rPr>
          <w:sz w:val="20"/>
          <w:szCs w:val="20"/>
          <w:color w:val="auto"/>
        </w:rPr>
      </w:pPr>
      <w:r>
        <w:rPr>
          <w:rFonts w:ascii="Arial" w:cs="Arial" w:eastAsia="Arial" w:hAnsi="Arial"/>
          <w:sz w:val="17"/>
          <w:szCs w:val="17"/>
          <w:color w:val="auto"/>
        </w:rPr>
        <w:t>Pharmacy benefit services costs include: (1) the fees for prescription drugs dispensed and clinical services provided during the reporting period by our specialty pharmacy partners; (2) costs incurred (including salaries, bonuses, benefits, stock-based compensation, other related costs, and an allocation of our general overhead, depreciation and amortization) for those employees associated with our care management service functions: PCA, Provider Relations and Claim Processing teams; and (3) related information technology support costs. Contracts with the specialty pharmacies are typically for a term of one year.</w:t>
      </w:r>
    </w:p>
    <w:p>
      <w:pPr>
        <w:spacing w:after="0" w:line="178" w:lineRule="exact"/>
        <w:rPr>
          <w:sz w:val="20"/>
          <w:szCs w:val="20"/>
          <w:color w:val="auto"/>
        </w:rPr>
      </w:pPr>
    </w:p>
    <w:p>
      <w:pPr>
        <w:jc w:val="both"/>
        <w:ind w:left="700" w:right="59" w:firstLine="648"/>
        <w:spacing w:after="0" w:line="263" w:lineRule="auto"/>
        <w:rPr>
          <w:sz w:val="20"/>
          <w:szCs w:val="20"/>
          <w:color w:val="auto"/>
        </w:rPr>
      </w:pPr>
      <w:r>
        <w:rPr>
          <w:rFonts w:ascii="Arial" w:cs="Arial" w:eastAsia="Arial" w:hAnsi="Arial"/>
          <w:sz w:val="18"/>
          <w:szCs w:val="18"/>
          <w:color w:val="auto"/>
        </w:rPr>
        <w:t>In the specialty pharmacy contracts, the contractual fees of prescription drugs sold includes the cost of the prescription drugs purchased and shipped to members by the Company’s specialty mail service dispensing pharmacies, net of any volume-related or other discounts.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Vendor rebates</w:t>
      </w:r>
    </w:p>
    <w:p>
      <w:pPr>
        <w:spacing w:after="0" w:line="225" w:lineRule="exact"/>
        <w:rPr>
          <w:sz w:val="20"/>
          <w:szCs w:val="20"/>
          <w:color w:val="auto"/>
        </w:rPr>
      </w:pPr>
    </w:p>
    <w:p>
      <w:pPr>
        <w:jc w:val="both"/>
        <w:ind w:left="700" w:right="59" w:firstLine="648"/>
        <w:spacing w:after="0" w:line="254" w:lineRule="auto"/>
        <w:rPr>
          <w:sz w:val="20"/>
          <w:szCs w:val="20"/>
          <w:color w:val="auto"/>
        </w:rPr>
      </w:pPr>
      <w:r>
        <w:rPr>
          <w:rFonts w:ascii="Arial" w:cs="Arial" w:eastAsia="Arial" w:hAnsi="Arial"/>
          <w:sz w:val="18"/>
          <w:szCs w:val="18"/>
          <w:color w:val="auto"/>
        </w:rPr>
        <w:t>The Company receives a rebate on formulations purchased and dispensed by the Company’s specialty pharmacies. The Company’s contractual arrangements with pharmacy program partners provide for the Company to receive a discount (or rebate) from established list prices paid subsequent to dispensing when products are purchased indirectly from pharmacy program partners (such as through a specialty pharmacy). These rebates are recognized as a reduction of cost of services when prescriptions are dispensed and are generally estimated and billed to manufacturers within 20 days of the end of each month. The effect of adjustments resulting from the reconciliation of rebates recognized to the amounts billed and collected has not been material to the Company’s results of operations.</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jc w:val="both"/>
        <w:ind w:left="700" w:right="59" w:firstLine="648"/>
        <w:spacing w:after="0" w:line="255"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The standard is intended to simplify the accounting for income taxes by removing</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exceptions to the general principles in Topic 740, as well as improve consistent application of and simplify GAAP for other areas of Topic 740 by clarifying and amending existing guidance. The Company adopted this standard as of January 1, 2021. The adoption of this standard did not have a material impact on the Company’s consolidated financial statements.</w:t>
      </w:r>
    </w:p>
    <w:p>
      <w:pPr>
        <w:spacing w:after="0" w:line="192" w:lineRule="exact"/>
        <w:rPr>
          <w:sz w:val="20"/>
          <w:szCs w:val="20"/>
          <w:color w:val="auto"/>
        </w:rPr>
      </w:pPr>
    </w:p>
    <w:p>
      <w:pPr>
        <w:jc w:val="both"/>
        <w:ind w:left="700" w:right="59" w:firstLine="648"/>
        <w:spacing w:after="0" w:line="285"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The Company adopted this standard on January 1, 2020, using the modified retrospective transition method, which applies the provisions of the standard at the effective date without adjusting the comparative periods presented. In addition, the Company elected the package of practical expedients permitted under the transition guidance within the new standard, which allowed the Company not to reassess (i) whether any expired or existing contracts contained leases, (ii) the lease classification for any expired or existing leases, and (iii) initial direct costs for existing leases. The Company also elected to not reassess lease terms for existing leases using hindsight and to account for each separate lease and non-lease component as a single lease component. As a result of the adoption of the new leasing guidance, the Company recorded right-of-use assets and lease liabilities of $9.5 million and $9.9 million, respectively. The right-of-use assets are classified within operating lease right-of-use assets on the Company’s consolidated balance sheet. Lease liabilities are classified within accrued expenses and other current liabilities and operating lease noncurrent liabilities on the Company’s consolidated balance sheet. The adoption of the standard did not materially impact the Company’s statement of operations or statement of cash flows for the year ended December 31, 2020. See Note 5 – Leases for further details.</w:t>
      </w:r>
    </w:p>
    <w:p>
      <w:pPr>
        <w:spacing w:after="0" w:line="174" w:lineRule="exact"/>
        <w:rPr>
          <w:sz w:val="20"/>
          <w:szCs w:val="20"/>
          <w:color w:val="auto"/>
        </w:rPr>
      </w:pPr>
    </w:p>
    <w:p>
      <w:pPr>
        <w:jc w:val="both"/>
        <w:ind w:left="700" w:right="59" w:firstLine="648"/>
        <w:spacing w:after="0" w:line="311"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w:t>
      </w:r>
      <w:r>
        <w:rPr>
          <w:rFonts w:ascii="Arial" w:cs="Arial" w:eastAsia="Arial" w:hAnsi="Arial"/>
          <w:sz w:val="16"/>
          <w:szCs w:val="16"/>
          <w:color w:val="auto"/>
        </w:rPr>
        <w:t xml:space="preserve"> which replaces the incurred loss impairment methodology in current U.S. GAAP with a methodology that reflects expected credit losses and requires consideration of a broader range of reasonable and supportable information to</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700" w:right="59"/>
        <w:spacing w:after="0" w:line="254" w:lineRule="auto"/>
        <w:rPr>
          <w:sz w:val="20"/>
          <w:szCs w:val="20"/>
          <w:color w:val="auto"/>
        </w:rPr>
      </w:pPr>
      <w:r>
        <w:rPr>
          <w:rFonts w:ascii="Arial" w:cs="Arial" w:eastAsia="Arial" w:hAnsi="Arial"/>
          <w:sz w:val="18"/>
          <w:szCs w:val="18"/>
          <w:color w:val="auto"/>
        </w:rPr>
        <w:t>inform credit loss estimates. The adoption of the new standard impacted the Company’s methodology for calculating and estimating the allowance for doubtful accounts. In the fourth quarter of 2020, the Company adopted this standard as of January 1, 2020 using the modified retrospective transition method, which resulted in a cumulative-effect adjustment to accumulated deficit of $1.2 million. As disclosed in Note 17 – Unaudited Quarterly Results of Operations Data in the Company’s Annual Report on Form 10-K, quarterly financial information for interim periods of 2020 has been recast, which includes a $(0.7) million and $(0.3) million impact to the previously disclosed general and administrative expense for the three and six month periods ended June 30, 2020, respectively.</w:t>
      </w:r>
    </w:p>
    <w:p>
      <w:pPr>
        <w:spacing w:after="0" w:line="192" w:lineRule="exact"/>
        <w:rPr>
          <w:sz w:val="20"/>
          <w:szCs w:val="20"/>
          <w:color w:val="auto"/>
        </w:rPr>
      </w:pPr>
    </w:p>
    <w:p>
      <w:pPr>
        <w:jc w:val="both"/>
        <w:ind w:left="700" w:right="59" w:firstLine="648"/>
        <w:spacing w:after="0" w:line="296" w:lineRule="auto"/>
        <w:rPr>
          <w:sz w:val="20"/>
          <w:szCs w:val="20"/>
          <w:color w:val="auto"/>
        </w:rPr>
      </w:pPr>
      <w:r>
        <w:rPr>
          <w:rFonts w:ascii="Arial" w:cs="Arial" w:eastAsia="Arial" w:hAnsi="Arial"/>
          <w:sz w:val="16"/>
          <w:szCs w:val="16"/>
          <w:color w:val="auto"/>
        </w:rPr>
        <w:t xml:space="preserve">In August 2018, the FASB issued final guidance requiring a customer in a cloud computing arrangement that is a service contract to follow the internal use software guidance in Accounting Standards Codification (“ASC”) 350-402 </w:t>
      </w:r>
      <w:r>
        <w:rPr>
          <w:rFonts w:ascii="Arial" w:cs="Arial" w:eastAsia="Arial" w:hAnsi="Arial"/>
          <w:sz w:val="16"/>
          <w:szCs w:val="16"/>
          <w:i w:val="1"/>
          <w:iCs w:val="1"/>
          <w:color w:val="auto"/>
        </w:rPr>
        <w:t>Intangibles—Goodwill and Other—Internal Use Software</w:t>
      </w:r>
      <w:r>
        <w:rPr>
          <w:rFonts w:ascii="Arial" w:cs="Arial" w:eastAsia="Arial" w:hAnsi="Arial"/>
          <w:sz w:val="16"/>
          <w:szCs w:val="16"/>
          <w:color w:val="auto"/>
        </w:rPr>
        <w:t xml:space="preserve"> (Subtopic 350-40) to determine which implementation costs to capitalize as assets. The Company adopted this standard on January 1, 2020. The adoption of the new standard did not have a material effect on the Company’s consolidated financial statements.</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Accounting Pronouncements Issued but Not Yet Adopted</w:t>
      </w:r>
    </w:p>
    <w:p>
      <w:pPr>
        <w:spacing w:after="0" w:line="225" w:lineRule="exact"/>
        <w:rPr>
          <w:sz w:val="20"/>
          <w:szCs w:val="20"/>
          <w:color w:val="auto"/>
        </w:rPr>
      </w:pPr>
    </w:p>
    <w:p>
      <w:pPr>
        <w:jc w:val="both"/>
        <w:ind w:left="700" w:right="59" w:firstLine="648"/>
        <w:spacing w:after="0" w:line="270" w:lineRule="auto"/>
        <w:rPr>
          <w:sz w:val="20"/>
          <w:szCs w:val="20"/>
          <w:color w:val="auto"/>
        </w:rPr>
      </w:pPr>
      <w:r>
        <w:rPr>
          <w:rFonts w:ascii="Arial" w:cs="Arial" w:eastAsia="Arial" w:hAnsi="Arial"/>
          <w:sz w:val="17"/>
          <w:szCs w:val="17"/>
          <w:color w:val="auto"/>
        </w:rPr>
        <w:t>In May 2021, the FASB issued ASU No. 2021-04 (“ASU 2021-04”) “</w:t>
      </w:r>
      <w:r>
        <w:rPr>
          <w:rFonts w:ascii="Arial" w:cs="Arial" w:eastAsia="Arial" w:hAnsi="Arial"/>
          <w:sz w:val="17"/>
          <w:szCs w:val="17"/>
          <w:i w:val="1"/>
          <w:iCs w:val="1"/>
          <w:color w:val="auto"/>
        </w:rPr>
        <w:t>Earnings Per Share (Topic 260),</w:t>
      </w:r>
      <w:r>
        <w:rPr>
          <w:rFonts w:ascii="Arial" w:cs="Arial" w:eastAsia="Arial" w:hAnsi="Arial"/>
          <w:sz w:val="17"/>
          <w:szCs w:val="17"/>
          <w:color w:val="auto"/>
        </w:rPr>
        <w:t xml:space="preserve"> </w:t>
      </w:r>
      <w:r>
        <w:rPr>
          <w:rFonts w:ascii="Arial" w:cs="Arial" w:eastAsia="Arial" w:hAnsi="Arial"/>
          <w:sz w:val="17"/>
          <w:szCs w:val="17"/>
          <w:i w:val="1"/>
          <w:iCs w:val="1"/>
          <w:color w:val="auto"/>
        </w:rPr>
        <w:t>Debt-Modifications and Extinguishments (Subtopic 470-50), Compensation- Stock Compensation (Topic 718), and Derivatives and Hedging-Contracts in Entity’s Own Equity (Subtopic 815- 40)</w:t>
      </w:r>
      <w:r>
        <w:rPr>
          <w:rFonts w:ascii="Arial" w:cs="Arial" w:eastAsia="Arial" w:hAnsi="Arial"/>
          <w:sz w:val="17"/>
          <w:szCs w:val="17"/>
          <w:color w:val="auto"/>
        </w:rPr>
        <w:t>” which provides guidance on</w:t>
      </w:r>
      <w:r>
        <w:rPr>
          <w:rFonts w:ascii="Arial" w:cs="Arial" w:eastAsia="Arial" w:hAnsi="Arial"/>
          <w:sz w:val="17"/>
          <w:szCs w:val="17"/>
          <w:i w:val="1"/>
          <w:iCs w:val="1"/>
          <w:color w:val="auto"/>
        </w:rPr>
        <w:t xml:space="preserve"> </w:t>
      </w:r>
      <w:r>
        <w:rPr>
          <w:rFonts w:ascii="Arial" w:cs="Arial" w:eastAsia="Arial" w:hAnsi="Arial"/>
          <w:sz w:val="17"/>
          <w:szCs w:val="17"/>
          <w:color w:val="auto"/>
        </w:rPr>
        <w:t>modifications or exchanges of a freestanding equity-classified written call options that are not within the scope of another Topic, such as warrants. The new standard will be effective for the Company for the fiscal year beginning January 1, 2022 and should be applied prospectively to modifications or exchanges occurring on or after this date. The Company currently does not expect the adoption of the new standard to have a material effect on its consolidated financial statements, however, this impact will depend on the terms of written call options, such as warrants, or financings issued or modified in the future.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700" w:right="6619" w:hanging="650"/>
        <w:spacing w:after="0" w:line="603" w:lineRule="auto"/>
        <w:tabs>
          <w:tab w:leader="none" w:pos="682" w:val="left"/>
        </w:tabs>
        <w:numPr>
          <w:ilvl w:val="0"/>
          <w:numId w:val="1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Revenue </w:t>
      </w:r>
      <w:r>
        <w:rPr>
          <w:rFonts w:ascii="Arial" w:cs="Arial" w:eastAsia="Arial" w:hAnsi="Arial"/>
          <w:sz w:val="15"/>
          <w:szCs w:val="15"/>
          <w:b w:val="1"/>
          <w:bCs w:val="1"/>
          <w:i w:val="1"/>
          <w:iCs w:val="1"/>
          <w:color w:val="auto"/>
        </w:rPr>
        <w:t>Disaggregated revenue</w:t>
      </w:r>
    </w:p>
    <w:p>
      <w:pPr>
        <w:spacing w:after="0" w:line="1" w:lineRule="exact"/>
        <w:rPr>
          <w:rFonts w:ascii="Arial" w:cs="Arial" w:eastAsia="Arial" w:hAnsi="Arial"/>
          <w:sz w:val="15"/>
          <w:szCs w:val="15"/>
          <w:b w:val="1"/>
          <w:bCs w:val="1"/>
          <w:color w:val="auto"/>
        </w:rPr>
      </w:pPr>
    </w:p>
    <w:p>
      <w:pPr>
        <w:ind w:left="1340"/>
        <w:spacing w:after="0"/>
        <w:rPr>
          <w:rFonts w:ascii="Arial" w:cs="Arial" w:eastAsia="Arial" w:hAnsi="Arial"/>
          <w:sz w:val="15"/>
          <w:szCs w:val="15"/>
          <w:b w:val="1"/>
          <w:bCs w:val="1"/>
          <w:color w:val="auto"/>
        </w:rPr>
      </w:pPr>
      <w:r>
        <w:rPr>
          <w:rFonts w:ascii="Arial" w:cs="Arial" w:eastAsia="Arial" w:hAnsi="Arial"/>
          <w:sz w:val="18"/>
          <w:szCs w:val="18"/>
          <w:color w:val="auto"/>
        </w:rPr>
        <w:t>The following table disaggregates revenue by service (in thousands):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4"/>
          </w:tcPr>
          <w:p>
            <w:pPr>
              <w:jc w:val="right"/>
              <w:ind w:right="335"/>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4"/>
          </w:tcPr>
          <w:p>
            <w:pPr>
              <w:jc w:val="right"/>
              <w:ind w:right="43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Fertility benefit services revenue</w:t>
            </w:r>
          </w:p>
        </w:tc>
        <w:tc>
          <w:tcPr>
            <w:tcW w:w="11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92,266</w:t>
            </w:r>
          </w:p>
        </w:tc>
        <w:tc>
          <w:tcPr>
            <w:tcW w:w="42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46,271</w:t>
            </w:r>
          </w:p>
        </w:tc>
        <w:tc>
          <w:tcPr>
            <w:tcW w:w="3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181,120</w:t>
            </w:r>
          </w:p>
        </w:tc>
        <w:tc>
          <w:tcPr>
            <w:tcW w:w="42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Pharmacy benefit services revenue</w:t>
            </w:r>
          </w:p>
        </w:tc>
        <w:tc>
          <w:tcPr>
            <w:tcW w:w="9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36,385</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18,334</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69,664</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revenue</w:t>
            </w:r>
          </w:p>
        </w:tc>
        <w:tc>
          <w:tcPr>
            <w:tcW w:w="9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128,651</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64,605</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250,784</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680" w:hanging="630"/>
        <w:spacing w:after="0"/>
        <w:tabs>
          <w:tab w:leader="none" w:pos="6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ind w:left="700" w:right="59" w:firstLine="648"/>
        <w:spacing w:after="0" w:line="263" w:lineRule="auto"/>
        <w:rPr>
          <w:sz w:val="20"/>
          <w:szCs w:val="20"/>
          <w:color w:val="auto"/>
        </w:rPr>
      </w:pPr>
      <w:r>
        <w:rPr>
          <w:rFonts w:ascii="Arial" w:cs="Arial" w:eastAsia="Arial" w:hAnsi="Arial"/>
          <w:sz w:val="18"/>
          <w:szCs w:val="18"/>
          <w:color w:val="auto"/>
        </w:rPr>
        <w:t>The fair value of financial instruments is determined based on assumptions that market participants would use when pricing an asset or liability at the balance sheet date. Certain assets are categorized based on the following fair value hierarchy of market participant assumptions:</w:t>
      </w:r>
    </w:p>
    <w:p>
      <w:pPr>
        <w:spacing w:after="0" w:line="184" w:lineRule="exact"/>
        <w:rPr>
          <w:sz w:val="20"/>
          <w:szCs w:val="20"/>
          <w:color w:val="auto"/>
        </w:rPr>
      </w:pPr>
    </w:p>
    <w:p>
      <w:pPr>
        <w:jc w:val="both"/>
        <w:ind w:left="700" w:right="59" w:firstLine="648"/>
        <w:spacing w:after="0" w:line="277" w:lineRule="auto"/>
        <w:rPr>
          <w:sz w:val="20"/>
          <w:szCs w:val="20"/>
          <w:color w:val="auto"/>
        </w:rPr>
      </w:pPr>
      <w:r>
        <w:rPr>
          <w:rFonts w:ascii="Arial" w:cs="Arial" w:eastAsia="Arial" w:hAnsi="Arial"/>
          <w:sz w:val="18"/>
          <w:szCs w:val="18"/>
          <w:color w:val="auto"/>
        </w:rPr>
        <w:t>Level 1 — Unadjusted quoted prices in active markets that are accessible at the measurement date for identical assets or liabilities.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700" w:right="59" w:firstLine="648"/>
        <w:spacing w:after="0" w:line="277" w:lineRule="auto"/>
        <w:rPr>
          <w:sz w:val="20"/>
          <w:szCs w:val="20"/>
          <w:color w:val="auto"/>
        </w:rPr>
      </w:pPr>
      <w:r>
        <w:rPr>
          <w:rFonts w:ascii="Arial" w:cs="Arial" w:eastAsia="Arial" w:hAnsi="Arial"/>
          <w:sz w:val="18"/>
          <w:szCs w:val="18"/>
          <w:color w:val="auto"/>
        </w:rPr>
        <w:t>Level 2 — Inputs, other than quoted prices in active markets, that are observable either directly or indirectly.</w:t>
      </w:r>
    </w:p>
    <w:p>
      <w:pPr>
        <w:spacing w:after="0" w:line="170" w:lineRule="exact"/>
        <w:rPr>
          <w:sz w:val="20"/>
          <w:szCs w:val="20"/>
          <w:color w:val="auto"/>
        </w:rPr>
      </w:pPr>
    </w:p>
    <w:p>
      <w:pPr>
        <w:jc w:val="both"/>
        <w:ind w:left="700" w:right="79" w:firstLine="648"/>
        <w:spacing w:after="0" w:line="277" w:lineRule="auto"/>
        <w:rPr>
          <w:sz w:val="20"/>
          <w:szCs w:val="20"/>
          <w:color w:val="auto"/>
        </w:rPr>
      </w:pPr>
      <w:r>
        <w:rPr>
          <w:rFonts w:ascii="Arial" w:cs="Arial" w:eastAsia="Arial" w:hAnsi="Arial"/>
          <w:sz w:val="18"/>
          <w:szCs w:val="18"/>
          <w:color w:val="auto"/>
        </w:rPr>
        <w:t>Level 3 — Prices or valuation techniques that require inputs that are both significant to the fair value of the asset or liability and supported by little or no market activity.</w:t>
      </w:r>
    </w:p>
    <w:p>
      <w:pPr>
        <w:spacing w:after="0" w:line="170" w:lineRule="exact"/>
        <w:rPr>
          <w:sz w:val="20"/>
          <w:szCs w:val="20"/>
          <w:color w:val="auto"/>
        </w:rPr>
      </w:pPr>
    </w:p>
    <w:p>
      <w:pPr>
        <w:jc w:val="both"/>
        <w:ind w:left="700" w:right="79" w:firstLine="648"/>
        <w:spacing w:after="0" w:line="277" w:lineRule="auto"/>
        <w:rPr>
          <w:sz w:val="20"/>
          <w:szCs w:val="20"/>
          <w:color w:val="auto"/>
        </w:rPr>
      </w:pPr>
      <w:r>
        <w:rPr>
          <w:rFonts w:ascii="Arial" w:cs="Arial" w:eastAsia="Arial" w:hAnsi="Arial"/>
          <w:sz w:val="18"/>
          <w:szCs w:val="18"/>
          <w:color w:val="auto"/>
        </w:rPr>
        <w:t>The Company uses observable market data when available, and minimizes the use of unobservable inputs when determining fair value.</w:t>
      </w:r>
    </w:p>
    <w:p>
      <w:pPr>
        <w:spacing w:after="0" w:line="170" w:lineRule="exact"/>
        <w:rPr>
          <w:sz w:val="20"/>
          <w:szCs w:val="20"/>
          <w:color w:val="auto"/>
        </w:rPr>
      </w:pPr>
    </w:p>
    <w:p>
      <w:pPr>
        <w:jc w:val="both"/>
        <w:ind w:left="700" w:right="59" w:firstLine="648"/>
        <w:spacing w:after="0" w:line="255" w:lineRule="auto"/>
        <w:rPr>
          <w:sz w:val="20"/>
          <w:szCs w:val="20"/>
          <w:color w:val="auto"/>
        </w:rPr>
      </w:pPr>
      <w:r>
        <w:rPr>
          <w:rFonts w:ascii="Arial" w:cs="Arial" w:eastAsia="Arial" w:hAnsi="Arial"/>
          <w:sz w:val="18"/>
          <w:szCs w:val="18"/>
          <w:color w:val="auto"/>
        </w:rPr>
        <w:t>As of June 30, 2021 and December 31, 2020, the Company had $51.5 million and $66.3 million, respectively, in financial assets held in money market accounts and $45.2 million and $39.0 million, respectively, held in marketable securities, including U.S. treasury bills. All were classified as Level 1 in the fair value hierarchy. The Company measured these assets at fair value. The Company classified these assets as Level 1 because the values of these assets are determined using unadjusted quoted prices in active markets for identical assets.</w:t>
      </w:r>
    </w:p>
    <w:p>
      <w:pPr>
        <w:spacing w:after="0" w:line="192" w:lineRule="exact"/>
        <w:rPr>
          <w:sz w:val="20"/>
          <w:szCs w:val="20"/>
          <w:color w:val="auto"/>
        </w:rPr>
      </w:pPr>
    </w:p>
    <w:p>
      <w:pPr>
        <w:jc w:val="both"/>
        <w:ind w:left="700" w:right="79" w:firstLine="648"/>
        <w:spacing w:after="0" w:line="277" w:lineRule="auto"/>
        <w:rPr>
          <w:sz w:val="20"/>
          <w:szCs w:val="20"/>
          <w:color w:val="auto"/>
        </w:rPr>
      </w:pPr>
      <w:r>
        <w:rPr>
          <w:rFonts w:ascii="Arial" w:cs="Arial" w:eastAsia="Arial" w:hAnsi="Arial"/>
          <w:sz w:val="18"/>
          <w:szCs w:val="18"/>
          <w:color w:val="auto"/>
        </w:rPr>
        <w:t>As of June 30, 2021 and December 31, 2020, the Company did not have any assets or liabilities classified as Level 2 or Level 3 in the fair value hierarchy.</w:t>
      </w:r>
    </w:p>
    <w:p>
      <w:pPr>
        <w:spacing w:after="0" w:line="166" w:lineRule="exact"/>
        <w:rPr>
          <w:sz w:val="20"/>
          <w:szCs w:val="20"/>
          <w:color w:val="auto"/>
        </w:rPr>
      </w:pPr>
    </w:p>
    <w:p>
      <w:pPr>
        <w:ind w:left="680" w:hanging="630"/>
        <w:spacing w:after="0"/>
        <w:tabs>
          <w:tab w:leader="none" w:pos="6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ind w:left="700" w:right="59" w:firstLine="648"/>
        <w:spacing w:after="0" w:line="259" w:lineRule="auto"/>
        <w:rPr>
          <w:sz w:val="20"/>
          <w:szCs w:val="20"/>
          <w:color w:val="auto"/>
        </w:rPr>
      </w:pPr>
      <w:r>
        <w:rPr>
          <w:rFonts w:ascii="Arial" w:cs="Arial" w:eastAsia="Arial" w:hAnsi="Arial"/>
          <w:sz w:val="18"/>
          <w:szCs w:val="18"/>
          <w:color w:val="auto"/>
        </w:rPr>
        <w:t>In September 2019, the Company’s lease agreement for its corporate headquarters commenced and will expire in May 2029. Pursuant to the lease, the Company will pay the base rent of approximately $1.3 million per annum through the end of the fifth lease year and approximately $1.4 million per annum thereafter through the expiration date.</w:t>
      </w:r>
    </w:p>
    <w:p>
      <w:pPr>
        <w:spacing w:after="0" w:line="187" w:lineRule="exact"/>
        <w:rPr>
          <w:sz w:val="20"/>
          <w:szCs w:val="20"/>
          <w:color w:val="auto"/>
        </w:rPr>
      </w:pPr>
    </w:p>
    <w:p>
      <w:pPr>
        <w:jc w:val="both"/>
        <w:ind w:left="700" w:right="59" w:firstLine="648"/>
        <w:spacing w:after="0" w:line="259" w:lineRule="auto"/>
        <w:rPr>
          <w:sz w:val="20"/>
          <w:szCs w:val="20"/>
          <w:color w:val="auto"/>
        </w:rPr>
      </w:pPr>
      <w:r>
        <w:rPr>
          <w:rFonts w:ascii="Arial" w:cs="Arial" w:eastAsia="Arial" w:hAnsi="Arial"/>
          <w:sz w:val="18"/>
          <w:szCs w:val="18"/>
          <w:color w:val="auto"/>
        </w:rPr>
        <w:t>The Company recognizes lease expense on a straight-line basis over the lease term. Lease expense was $0.3 million for the operating lease for the three months ended June 30, 2021 and June 30, 2020. For the six months ended June 30, 2021 and June 30, 2020, lease expense for the operating lease was $0.6 million and $0.7 million, respectively.</w:t>
      </w:r>
    </w:p>
    <w:p>
      <w:pPr>
        <w:spacing w:after="0" w:line="187" w:lineRule="exact"/>
        <w:rPr>
          <w:sz w:val="20"/>
          <w:szCs w:val="20"/>
          <w:color w:val="auto"/>
        </w:rPr>
      </w:pPr>
    </w:p>
    <w:p>
      <w:pPr>
        <w:jc w:val="both"/>
        <w:ind w:left="700" w:right="79" w:firstLine="648"/>
        <w:spacing w:after="0" w:line="277" w:lineRule="auto"/>
        <w:rPr>
          <w:sz w:val="20"/>
          <w:szCs w:val="20"/>
          <w:color w:val="auto"/>
        </w:rPr>
      </w:pPr>
      <w:r>
        <w:rPr>
          <w:rFonts w:ascii="Arial" w:cs="Arial" w:eastAsia="Arial" w:hAnsi="Arial"/>
          <w:sz w:val="18"/>
          <w:szCs w:val="18"/>
          <w:color w:val="auto"/>
        </w:rPr>
        <w:t>Cash outflows from operating activities attributable to the operating lease for the six months ended June 30, 2021 and June 30, 2020 was $0.6 million and $0.2 million, respectively.</w:t>
      </w:r>
    </w:p>
    <w:p>
      <w:pPr>
        <w:spacing w:after="0" w:line="17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Information related to our leases is as follows (in thousands):</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340" w:type="dxa"/>
            <w:vAlign w:val="bottom"/>
          </w:tcPr>
          <w:p>
            <w:pPr>
              <w:spacing w:after="0"/>
              <w:rPr>
                <w:sz w:val="16"/>
                <w:szCs w:val="16"/>
                <w:color w:val="auto"/>
              </w:rPr>
            </w:pPr>
          </w:p>
        </w:tc>
        <w:tc>
          <w:tcPr>
            <w:tcW w:w="3740" w:type="dxa"/>
            <w:vAlign w:val="bottom"/>
            <w:gridSpan w:val="2"/>
          </w:tcPr>
          <w:p>
            <w:pPr>
              <w:ind w:left="1040"/>
              <w:spacing w:after="0"/>
              <w:rPr>
                <w:sz w:val="20"/>
                <w:szCs w:val="20"/>
                <w:color w:val="auto"/>
              </w:rPr>
            </w:pPr>
            <w:r>
              <w:rPr>
                <w:rFonts w:ascii="Arial" w:cs="Arial" w:eastAsia="Arial" w:hAnsi="Arial"/>
                <w:sz w:val="14"/>
                <w:szCs w:val="14"/>
                <w:b w:val="1"/>
                <w:bCs w:val="1"/>
                <w:color w:val="auto"/>
              </w:rPr>
              <w:t>Balance Sheet Location</w:t>
            </w:r>
          </w:p>
        </w:tc>
        <w:tc>
          <w:tcPr>
            <w:tcW w:w="16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2021</w:t>
            </w:r>
          </w:p>
        </w:tc>
        <w:tc>
          <w:tcPr>
            <w:tcW w:w="1320" w:type="dxa"/>
            <w:vAlign w:val="bottom"/>
            <w:gridSpan w:val="3"/>
          </w:tcPr>
          <w:p>
            <w:pPr>
              <w:ind w:left="80"/>
              <w:spacing w:after="0"/>
              <w:rPr>
                <w:sz w:val="20"/>
                <w:szCs w:val="20"/>
                <w:color w:val="auto"/>
              </w:rPr>
            </w:pPr>
            <w:r>
              <w:rPr>
                <w:rFonts w:ascii="Arial" w:cs="Arial" w:eastAsia="Arial" w:hAnsi="Arial"/>
                <w:sz w:val="14"/>
                <w:szCs w:val="14"/>
                <w:b w:val="1"/>
                <w:bCs w:val="1"/>
                <w:color w:val="auto"/>
                <w:w w:val="96"/>
              </w:rPr>
              <w:t>December 31, 2020</w:t>
            </w:r>
          </w:p>
        </w:tc>
        <w:tc>
          <w:tcPr>
            <w:tcW w:w="0" w:type="dxa"/>
            <w:vAlign w:val="bottom"/>
          </w:tcPr>
          <w:p>
            <w:pPr>
              <w:spacing w:after="0"/>
              <w:rPr>
                <w:sz w:val="1"/>
                <w:szCs w:val="1"/>
                <w:color w:val="auto"/>
              </w:rPr>
            </w:pPr>
          </w:p>
        </w:tc>
      </w:tr>
      <w:tr>
        <w:trPr>
          <w:trHeight w:val="25"/>
        </w:trPr>
        <w:tc>
          <w:tcPr>
            <w:tcW w:w="2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Operating Leases</w:t>
            </w:r>
          </w:p>
        </w:tc>
        <w:tc>
          <w:tcPr>
            <w:tcW w:w="35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340" w:type="dxa"/>
            <w:vAlign w:val="bottom"/>
            <w:vMerge w:val="continue"/>
          </w:tcPr>
          <w:p>
            <w:pPr>
              <w:spacing w:after="0"/>
              <w:rPr>
                <w:sz w:val="16"/>
                <w:szCs w:val="16"/>
                <w:color w:val="auto"/>
              </w:rPr>
            </w:pPr>
          </w:p>
        </w:tc>
        <w:tc>
          <w:tcPr>
            <w:tcW w:w="3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340" w:type="dxa"/>
            <w:vAlign w:val="bottom"/>
          </w:tcPr>
          <w:p>
            <w:pPr>
              <w:spacing w:after="0"/>
              <w:rPr>
                <w:sz w:val="3"/>
                <w:szCs w:val="3"/>
                <w:color w:val="auto"/>
              </w:rPr>
            </w:pPr>
          </w:p>
        </w:tc>
        <w:tc>
          <w:tcPr>
            <w:tcW w:w="3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w:t>
            </w: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8,241</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40" w:type="dxa"/>
            <w:vAlign w:val="bottom"/>
          </w:tcPr>
          <w:p>
            <w:pPr>
              <w:ind w:left="20"/>
              <w:spacing w:after="0"/>
              <w:rPr>
                <w:sz w:val="20"/>
                <w:szCs w:val="20"/>
                <w:color w:val="auto"/>
              </w:rPr>
            </w:pPr>
            <w:r>
              <w:rPr>
                <w:rFonts w:ascii="Arial" w:cs="Arial" w:eastAsia="Arial" w:hAnsi="Arial"/>
                <w:sz w:val="18"/>
                <w:szCs w:val="18"/>
                <w:color w:val="auto"/>
              </w:rPr>
              <w:t>Short-term lease liabilities</w:t>
            </w:r>
          </w:p>
        </w:tc>
        <w:tc>
          <w:tcPr>
            <w:tcW w:w="3740" w:type="dxa"/>
            <w:vAlign w:val="bottom"/>
            <w:gridSpan w:val="2"/>
          </w:tcPr>
          <w:p>
            <w:pPr>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1,231</w:t>
            </w:r>
          </w:p>
        </w:tc>
        <w:tc>
          <w:tcPr>
            <w:tcW w:w="240" w:type="dxa"/>
            <w:vAlign w:val="bottom"/>
          </w:tcPr>
          <w:p>
            <w:pPr>
              <w:spacing w:after="0"/>
              <w:rPr>
                <w:sz w:val="19"/>
                <w:szCs w:val="19"/>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lease liabilities</w:t>
            </w: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noncurrent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7,873</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Other information</w:t>
            </w:r>
          </w:p>
        </w:tc>
        <w:tc>
          <w:tcPr>
            <w:tcW w:w="35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80" w:type="dxa"/>
            <w:vAlign w:val="bottom"/>
            <w:gridSpan w:val="3"/>
          </w:tcPr>
          <w:p>
            <w:pPr>
              <w:ind w:left="20"/>
              <w:spacing w:after="0"/>
              <w:rPr>
                <w:sz w:val="20"/>
                <w:szCs w:val="20"/>
                <w:color w:val="auto"/>
              </w:rPr>
            </w:pPr>
            <w:r>
              <w:rPr>
                <w:rFonts w:ascii="Arial" w:cs="Arial" w:eastAsia="Arial" w:hAnsi="Arial"/>
                <w:sz w:val="18"/>
                <w:szCs w:val="18"/>
                <w:color w:val="auto"/>
              </w:rPr>
              <w:t>Weighted average remaining lease term, operating lease</w:t>
            </w:r>
          </w:p>
        </w:tc>
        <w:tc>
          <w:tcPr>
            <w:tcW w:w="160" w:type="dxa"/>
            <w:vAlign w:val="bottom"/>
          </w:tcPr>
          <w:p>
            <w:pPr>
              <w:spacing w:after="0"/>
              <w:rPr>
                <w:sz w:val="19"/>
                <w:szCs w:val="19"/>
                <w:color w:val="auto"/>
              </w:rPr>
            </w:pPr>
          </w:p>
        </w:tc>
        <w:tc>
          <w:tcPr>
            <w:tcW w:w="1360" w:type="dxa"/>
            <w:vAlign w:val="bottom"/>
            <w:gridSpan w:val="2"/>
          </w:tcPr>
          <w:p>
            <w:pPr>
              <w:ind w:left="400"/>
              <w:spacing w:after="0"/>
              <w:rPr>
                <w:sz w:val="20"/>
                <w:szCs w:val="20"/>
                <w:color w:val="auto"/>
              </w:rPr>
            </w:pPr>
            <w:r>
              <w:rPr>
                <w:rFonts w:ascii="Arial" w:cs="Arial" w:eastAsia="Arial" w:hAnsi="Arial"/>
                <w:sz w:val="18"/>
                <w:szCs w:val="18"/>
                <w:color w:val="auto"/>
              </w:rPr>
              <w:t>7.9 years</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 years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Weighted average discount rate, operating lease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2340" w:type="dxa"/>
            <w:vAlign w:val="bottom"/>
          </w:tcPr>
          <w:p>
            <w:pPr>
              <w:spacing w:after="0"/>
              <w:rPr>
                <w:sz w:val="24"/>
                <w:szCs w:val="24"/>
                <w:color w:val="auto"/>
              </w:rPr>
            </w:pPr>
          </w:p>
        </w:tc>
        <w:tc>
          <w:tcPr>
            <w:tcW w:w="3500" w:type="dxa"/>
            <w:vAlign w:val="bottom"/>
          </w:tcPr>
          <w:p>
            <w:pPr>
              <w:ind w:left="204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3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Future minimum facility lease payments as of June 30, 2021, were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500" w:type="dxa"/>
            <w:vAlign w:val="bottom"/>
            <w:tcBorders>
              <w:bottom w:val="single" w:sz="8" w:color="auto"/>
            </w:tcBorders>
          </w:tcPr>
          <w:p>
            <w:pPr>
              <w:spacing w:after="0"/>
              <w:rPr>
                <w:sz w:val="14"/>
                <w:szCs w:val="14"/>
                <w:color w:val="auto"/>
              </w:rPr>
            </w:pPr>
          </w:p>
        </w:tc>
        <w:tc>
          <w:tcPr>
            <w:tcW w:w="4200" w:type="dxa"/>
            <w:vAlign w:val="bottom"/>
            <w:tcBorders>
              <w:bottom w:val="single" w:sz="8" w:color="auto"/>
            </w:tcBorders>
          </w:tcPr>
          <w:p>
            <w:pPr>
              <w:jc w:val="right"/>
              <w:ind w:right="832"/>
              <w:spacing w:after="0"/>
              <w:rPr>
                <w:sz w:val="20"/>
                <w:szCs w:val="20"/>
                <w:color w:val="auto"/>
              </w:rPr>
            </w:pPr>
            <w:r>
              <w:rPr>
                <w:rFonts w:ascii="Arial" w:cs="Arial" w:eastAsia="Arial" w:hAnsi="Arial"/>
                <w:sz w:val="14"/>
                <w:szCs w:val="14"/>
                <w:b w:val="1"/>
                <w:bCs w:val="1"/>
                <w:color w:val="auto"/>
              </w:rPr>
              <w:t>Operating Lease Payments as of June 30, 2021</w:t>
            </w:r>
          </w:p>
        </w:tc>
        <w:tc>
          <w:tcPr>
            <w:tcW w:w="0" w:type="dxa"/>
            <w:vAlign w:val="bottom"/>
          </w:tcPr>
          <w:p>
            <w:pPr>
              <w:spacing w:after="0"/>
              <w:rPr>
                <w:sz w:val="1"/>
                <w:szCs w:val="1"/>
                <w:color w:val="auto"/>
              </w:rPr>
            </w:pPr>
          </w:p>
        </w:tc>
      </w:tr>
      <w:tr>
        <w:trPr>
          <w:trHeight w:val="142"/>
        </w:trPr>
        <w:tc>
          <w:tcPr>
            <w:tcW w:w="420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4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16"/>
        </w:trPr>
        <w:tc>
          <w:tcPr>
            <w:tcW w:w="3920" w:type="dxa"/>
            <w:vAlign w:val="bottom"/>
          </w:tcPr>
          <w:p>
            <w:pPr>
              <w:ind w:left="20"/>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0" w:type="dxa"/>
            <w:vAlign w:val="bottom"/>
          </w:tcPr>
          <w:p>
            <w:pPr>
              <w:jc w:val="right"/>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16"/>
        </w:trPr>
        <w:tc>
          <w:tcPr>
            <w:tcW w:w="3920" w:type="dxa"/>
            <w:vAlign w:val="bottom"/>
          </w:tcPr>
          <w:p>
            <w:pPr>
              <w:ind w:left="20"/>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0" w:type="dxa"/>
            <w:vAlign w:val="bottom"/>
          </w:tcPr>
          <w:p>
            <w:pPr>
              <w:jc w:val="right"/>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16"/>
        </w:trPr>
        <w:tc>
          <w:tcPr>
            <w:tcW w:w="4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auto"/>
            </w:tcBorders>
          </w:tcPr>
          <w:p>
            <w:pPr>
              <w:spacing w:after="0"/>
              <w:rPr>
                <w:sz w:val="18"/>
                <w:szCs w:val="18"/>
                <w:color w:val="auto"/>
              </w:rPr>
            </w:pPr>
          </w:p>
        </w:tc>
        <w:tc>
          <w:tcPr>
            <w:tcW w:w="4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4,807</w:t>
            </w:r>
          </w:p>
        </w:tc>
        <w:tc>
          <w:tcPr>
            <w:tcW w:w="0" w:type="dxa"/>
            <w:vAlign w:val="bottom"/>
          </w:tcPr>
          <w:p>
            <w:pPr>
              <w:spacing w:after="0"/>
              <w:rPr>
                <w:sz w:val="1"/>
                <w:szCs w:val="1"/>
                <w:color w:val="auto"/>
              </w:rPr>
            </w:pPr>
          </w:p>
        </w:tc>
      </w:tr>
      <w:tr>
        <w:trPr>
          <w:trHeight w:val="209"/>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undiscounted lease payments</w:t>
            </w:r>
          </w:p>
        </w:tc>
        <w:tc>
          <w:tcPr>
            <w:tcW w:w="50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4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10,754</w:t>
            </w:r>
          </w:p>
        </w:tc>
        <w:tc>
          <w:tcPr>
            <w:tcW w:w="0" w:type="dxa"/>
            <w:vAlign w:val="bottom"/>
          </w:tcPr>
          <w:p>
            <w:pPr>
              <w:spacing w:after="0"/>
              <w:rPr>
                <w:sz w:val="1"/>
                <w:szCs w:val="1"/>
                <w:color w:val="auto"/>
              </w:rPr>
            </w:pPr>
          </w:p>
        </w:tc>
      </w:tr>
      <w:tr>
        <w:trPr>
          <w:trHeight w:val="230"/>
        </w:trPr>
        <w:tc>
          <w:tcPr>
            <w:tcW w:w="4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imputed interest</w:t>
            </w:r>
          </w:p>
        </w:tc>
        <w:tc>
          <w:tcPr>
            <w:tcW w:w="500" w:type="dxa"/>
            <w:vAlign w:val="bottom"/>
            <w:tcBorders>
              <w:bottom w:val="single" w:sz="8" w:color="auto"/>
            </w:tcBorders>
          </w:tcPr>
          <w:p>
            <w:pPr>
              <w:spacing w:after="0"/>
              <w:rPr>
                <w:sz w:val="19"/>
                <w:szCs w:val="19"/>
                <w:color w:val="auto"/>
              </w:rPr>
            </w:pPr>
          </w:p>
        </w:tc>
        <w:tc>
          <w:tcPr>
            <w:tcW w:w="4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09"/>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50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4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9,104</w:t>
            </w:r>
          </w:p>
        </w:tc>
        <w:tc>
          <w:tcPr>
            <w:tcW w:w="0" w:type="dxa"/>
            <w:vAlign w:val="bottom"/>
          </w:tcPr>
          <w:p>
            <w:pPr>
              <w:spacing w:after="0"/>
              <w:rPr>
                <w:sz w:val="1"/>
                <w:szCs w:val="1"/>
                <w:color w:val="auto"/>
              </w:rPr>
            </w:pPr>
          </w:p>
        </w:tc>
      </w:tr>
      <w:tr>
        <w:trPr>
          <w:trHeight w:val="229"/>
        </w:trPr>
        <w:tc>
          <w:tcPr>
            <w:tcW w:w="4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current portion of operating lease liabilities</w:t>
            </w:r>
          </w:p>
        </w:tc>
        <w:tc>
          <w:tcPr>
            <w:tcW w:w="500" w:type="dxa"/>
            <w:vAlign w:val="bottom"/>
            <w:tcBorders>
              <w:bottom w:val="single" w:sz="8" w:color="auto"/>
            </w:tcBorders>
          </w:tcPr>
          <w:p>
            <w:pPr>
              <w:spacing w:after="0"/>
              <w:rPr>
                <w:sz w:val="19"/>
                <w:szCs w:val="19"/>
                <w:color w:val="auto"/>
              </w:rPr>
            </w:pPr>
          </w:p>
        </w:tc>
        <w:tc>
          <w:tcPr>
            <w:tcW w:w="4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10"/>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noncurrent liabilities</w:t>
            </w:r>
          </w:p>
        </w:tc>
        <w:tc>
          <w:tcPr>
            <w:tcW w:w="50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4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680" w:hanging="630"/>
        <w:spacing w:after="0"/>
        <w:tabs>
          <w:tab w:leader="none" w:pos="6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jc w:val="both"/>
        <w:ind w:left="700" w:right="59" w:firstLine="648"/>
        <w:spacing w:after="0" w:line="273" w:lineRule="auto"/>
        <w:rPr>
          <w:sz w:val="20"/>
          <w:szCs w:val="20"/>
          <w:color w:val="auto"/>
        </w:rPr>
      </w:pPr>
      <w:r>
        <w:rPr>
          <w:rFonts w:ascii="Arial" w:cs="Arial" w:eastAsia="Arial" w:hAnsi="Arial"/>
          <w:sz w:val="17"/>
          <w:szCs w:val="17"/>
          <w:color w:val="auto"/>
        </w:rPr>
        <w:t>In June 2018, the Company entered into a loan agreement with Silicon Valley Bank for a revolving line of credit up to $15.0 million based upon an advance rate of 80% on “eligible” accounts receivable to fund its working capital and other general corporate needs, which was amended in April 2019, January 2020, June 2020, and February 2021 (as amended, the “SVB Line of Credit”). Eligible accounts receivable was defined in the loan agreement as accounts billed with aging 90 days or less and excluded accounts receivable due for member copayments, coinsurance, and deductibles. The SVB Line of Credit matured in June 2021.</w:t>
      </w:r>
    </w:p>
    <w:p>
      <w:pPr>
        <w:spacing w:after="0" w:line="178" w:lineRule="exact"/>
        <w:rPr>
          <w:sz w:val="20"/>
          <w:szCs w:val="20"/>
          <w:color w:val="auto"/>
        </w:rPr>
      </w:pPr>
    </w:p>
    <w:p>
      <w:pPr>
        <w:jc w:val="both"/>
        <w:ind w:left="700" w:right="59" w:firstLine="648"/>
        <w:spacing w:after="0" w:line="254" w:lineRule="auto"/>
        <w:rPr>
          <w:sz w:val="20"/>
          <w:szCs w:val="20"/>
          <w:color w:val="auto"/>
        </w:rPr>
      </w:pPr>
      <w:r>
        <w:rPr>
          <w:rFonts w:ascii="Arial" w:cs="Arial" w:eastAsia="Arial" w:hAnsi="Arial"/>
          <w:sz w:val="18"/>
          <w:szCs w:val="18"/>
          <w:color w:val="auto"/>
        </w:rPr>
        <w:t>The Company was required to pay a revolving line commitment fee of $225,000 in three equal annual installments of $75,000 starting on the one-year anniversary of the revolving line. The Company made the first installment payment of $75,000 in June 2019 and accrued this cost. When the Company held unrestricted cash balances greater than $5.0 million, interest accrued at a floating rate per annum equal to the greater of prime rate or 4.75%. If the unrestricted cash balance was less than $5.0 million, interest accrued at a floating rate per annum equal to the greater of prime rate plus 0.5% or 4.75%, with interest payable monthly. Interest was paid based upon the borrowed funds.</w:t>
      </w:r>
    </w:p>
    <w:p>
      <w:pPr>
        <w:spacing w:after="0" w:line="195" w:lineRule="exact"/>
        <w:rPr>
          <w:sz w:val="20"/>
          <w:szCs w:val="20"/>
          <w:color w:val="auto"/>
        </w:rPr>
      </w:pPr>
    </w:p>
    <w:p>
      <w:pPr>
        <w:jc w:val="both"/>
        <w:ind w:left="700" w:right="59" w:firstLine="648"/>
        <w:spacing w:after="0" w:line="271" w:lineRule="auto"/>
        <w:rPr>
          <w:sz w:val="20"/>
          <w:szCs w:val="20"/>
          <w:color w:val="auto"/>
        </w:rPr>
      </w:pPr>
      <w:r>
        <w:rPr>
          <w:rFonts w:ascii="Arial" w:cs="Arial" w:eastAsia="Arial" w:hAnsi="Arial"/>
          <w:sz w:val="17"/>
          <w:szCs w:val="17"/>
          <w:color w:val="auto"/>
        </w:rPr>
        <w:t>The SVB Line of Credit contained customary affirmative covenants, financial covenants, as well as negative covenants that, among other things, restricted the Company’s ability to incur additional indebtedness (including guarantees of certain obligations); create liens; engage in mergers, consolidations, liquidations and dissolutions; sell assets; maintain collateral; pay dividends or make other payments in respect of capital stock; make acquisitions; make investments, loans and advances; enter into transactions with affiliates; make payments with respect to or modify subordinated debt instruments; and enter into agreements with negative pledge clauses or clauses restricting subsidiary distributions. The financial covenant required the Company to achieve a specified minimum quarterly revenue as defined by the SVB Line of Credit.</w:t>
      </w:r>
    </w:p>
    <w:p>
      <w:pPr>
        <w:spacing w:after="0" w:line="178" w:lineRule="exact"/>
        <w:rPr>
          <w:sz w:val="20"/>
          <w:szCs w:val="20"/>
          <w:color w:val="auto"/>
        </w:rPr>
      </w:pPr>
    </w:p>
    <w:p>
      <w:pPr>
        <w:jc w:val="both"/>
        <w:ind w:left="700" w:right="79" w:firstLine="648"/>
        <w:spacing w:after="0" w:line="263" w:lineRule="auto"/>
        <w:rPr>
          <w:sz w:val="20"/>
          <w:szCs w:val="20"/>
          <w:color w:val="auto"/>
        </w:rPr>
      </w:pPr>
      <w:r>
        <w:rPr>
          <w:rFonts w:ascii="Arial" w:cs="Arial" w:eastAsia="Arial" w:hAnsi="Arial"/>
          <w:sz w:val="18"/>
          <w:szCs w:val="18"/>
          <w:color w:val="auto"/>
        </w:rPr>
        <w:t>During the six months ended June 30, 2021 and as of December 31, 2020, the Company did not draw down on the SVB Line of Credit. During the six months ended June 30, 2021 and 2020, the Company recorded interest expense on the SVB Line of Credit of $38,000.</w:t>
      </w:r>
    </w:p>
    <w:p>
      <w:pPr>
        <w:spacing w:after="0" w:line="180" w:lineRule="exact"/>
        <w:rPr>
          <w:sz w:val="20"/>
          <w:szCs w:val="20"/>
          <w:color w:val="auto"/>
        </w:rPr>
      </w:pPr>
    </w:p>
    <w:p>
      <w:pPr>
        <w:ind w:left="600" w:hanging="550"/>
        <w:spacing w:after="0"/>
        <w:tabs>
          <w:tab w:leader="none" w:pos="6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Arbitration/Litigation</w:t>
      </w:r>
    </w:p>
    <w:p>
      <w:pPr>
        <w:spacing w:after="0" w:line="225" w:lineRule="exact"/>
        <w:rPr>
          <w:sz w:val="20"/>
          <w:szCs w:val="20"/>
          <w:color w:val="auto"/>
        </w:rPr>
      </w:pPr>
    </w:p>
    <w:p>
      <w:pPr>
        <w:ind w:left="700" w:right="79" w:firstLine="648"/>
        <w:spacing w:after="0" w:line="342" w:lineRule="auto"/>
        <w:rPr>
          <w:sz w:val="20"/>
          <w:szCs w:val="20"/>
          <w:color w:val="auto"/>
        </w:rPr>
      </w:pPr>
      <w:r>
        <w:rPr>
          <w:rFonts w:ascii="Arial" w:cs="Arial" w:eastAsia="Arial" w:hAnsi="Arial"/>
          <w:sz w:val="16"/>
          <w:szCs w:val="16"/>
          <w:color w:val="auto"/>
        </w:rPr>
        <w:t>On January 14, 2019, a vendor filed a Demand for Arbitration and Statement of Claim against the Company (“Demand”) for alleged breach of the November 10, 2017 Preferred Specialty Pharmacy Agreement</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700" w:right="59"/>
        <w:spacing w:after="0" w:line="254" w:lineRule="auto"/>
        <w:rPr>
          <w:sz w:val="20"/>
          <w:szCs w:val="20"/>
          <w:color w:val="auto"/>
        </w:rPr>
      </w:pPr>
      <w:r>
        <w:rPr>
          <w:rFonts w:ascii="Arial" w:cs="Arial" w:eastAsia="Arial" w:hAnsi="Arial"/>
          <w:sz w:val="18"/>
          <w:szCs w:val="18"/>
          <w:color w:val="auto"/>
        </w:rPr>
        <w:t>(“Agreement”) between the Company and the vendor. On March 13, 2019, the Company terminated the Agreement for material breach by the vendor. On April 3, 2019, the vendor filed a Second Amended Demand for Arbitration (“SAD”) for breach of the Agreement. The vendor was seeking $25.0 million in damages, fees, interest and cost. Final arbitration arguments were held on October 20, 2020. To expeditiously resolve the matter, the parties ultimately proposed a settlement to the Arbitration Panel on November 16, 2020. In December 2020, the Company finalized and settled the arbitration for $5.75 million without admission of liability to avoid further legal costs.</w:t>
      </w:r>
    </w:p>
    <w:p>
      <w:pPr>
        <w:spacing w:after="0" w:line="195" w:lineRule="exact"/>
        <w:rPr>
          <w:sz w:val="20"/>
          <w:szCs w:val="20"/>
          <w:color w:val="auto"/>
        </w:rPr>
      </w:pPr>
    </w:p>
    <w:p>
      <w:pPr>
        <w:jc w:val="both"/>
        <w:ind w:left="700" w:right="59" w:firstLine="648"/>
        <w:spacing w:after="0" w:line="308" w:lineRule="auto"/>
        <w:rPr>
          <w:sz w:val="20"/>
          <w:szCs w:val="20"/>
          <w:color w:val="auto"/>
        </w:rPr>
      </w:pPr>
      <w:r>
        <w:rPr>
          <w:rFonts w:ascii="Arial" w:cs="Arial" w:eastAsia="Arial" w:hAnsi="Arial"/>
          <w:sz w:val="17"/>
          <w:szCs w:val="17"/>
          <w:color w:val="auto"/>
        </w:rPr>
        <w:t>The Company believes there is no other litigation pending that could have, individually or in the aggregate, a material adverse effect on the Company’s financial position, results of operations, or cash flows.</w:t>
      </w:r>
    </w:p>
    <w:p>
      <w:pPr>
        <w:spacing w:after="0" w:line="372" w:lineRule="exact"/>
        <w:rPr>
          <w:sz w:val="20"/>
          <w:szCs w:val="20"/>
          <w:color w:val="auto"/>
        </w:rPr>
      </w:pPr>
    </w:p>
    <w:p>
      <w:pPr>
        <w:ind w:left="60"/>
        <w:spacing w:after="0"/>
        <w:tabs>
          <w:tab w:leader="none" w:pos="660" w:val="left"/>
        </w:tabs>
        <w:rPr>
          <w:sz w:val="20"/>
          <w:szCs w:val="20"/>
          <w:color w:val="auto"/>
        </w:rPr>
      </w:pPr>
      <w:r>
        <w:rPr>
          <w:rFonts w:ascii="Arial" w:cs="Arial" w:eastAsia="Arial" w:hAnsi="Arial"/>
          <w:sz w:val="18"/>
          <w:szCs w:val="18"/>
          <w:color w:val="auto"/>
        </w:rPr>
        <w:t>8</w:t>
      </w:r>
      <w:r>
        <w:rPr>
          <w:rFonts w:ascii="Arial" w:cs="Arial" w:eastAsia="Arial" w:hAnsi="Arial"/>
          <w:sz w:val="18"/>
          <w:szCs w:val="18"/>
          <w:b w:val="1"/>
          <w:bCs w:val="1"/>
          <w:color w:val="auto"/>
        </w:rPr>
        <w:t>.</w:t>
      </w:r>
      <w:r>
        <w:rPr>
          <w:sz w:val="20"/>
          <w:szCs w:val="20"/>
          <w:color w:val="auto"/>
        </w:rPr>
        <w:tab/>
      </w:r>
      <w:r>
        <w:rPr>
          <w:rFonts w:ascii="Arial" w:cs="Arial" w:eastAsia="Arial" w:hAnsi="Arial"/>
          <w:sz w:val="15"/>
          <w:szCs w:val="15"/>
          <w:b w:val="1"/>
          <w:bCs w:val="1"/>
          <w:color w:val="auto"/>
        </w:rPr>
        <w:t>Stock-based Compensation</w:t>
      </w:r>
    </w:p>
    <w:p>
      <w:pPr>
        <w:spacing w:after="0" w:line="229" w:lineRule="exact"/>
        <w:rPr>
          <w:sz w:val="20"/>
          <w:szCs w:val="20"/>
          <w:color w:val="auto"/>
        </w:rPr>
      </w:pPr>
    </w:p>
    <w:p>
      <w:pPr>
        <w:jc w:val="both"/>
        <w:ind w:left="700" w:right="79" w:firstLine="648"/>
        <w:spacing w:after="0" w:line="277" w:lineRule="auto"/>
        <w:rPr>
          <w:sz w:val="20"/>
          <w:szCs w:val="20"/>
          <w:color w:val="auto"/>
        </w:rPr>
      </w:pPr>
      <w:r>
        <w:rPr>
          <w:rFonts w:ascii="Arial" w:cs="Arial" w:eastAsia="Arial" w:hAnsi="Arial"/>
          <w:sz w:val="18"/>
          <w:szCs w:val="18"/>
          <w:color w:val="auto"/>
        </w:rPr>
        <w:t>The following table summarizes stock-based compensation expense, which was included in the statements of operations as follows (in thousands):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4"/>
          </w:tcPr>
          <w:p>
            <w:pPr>
              <w:jc w:val="right"/>
              <w:ind w:right="294"/>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4"/>
          </w:tcPr>
          <w:p>
            <w:pPr>
              <w:jc w:val="right"/>
              <w:ind w:right="41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2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8"/>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4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380" w:type="dxa"/>
            <w:vAlign w:val="bottom"/>
            <w:gridSpan w:val="2"/>
          </w:tcPr>
          <w:p>
            <w:pPr>
              <w:ind w:left="20"/>
              <w:spacing w:after="0"/>
              <w:rPr>
                <w:sz w:val="20"/>
                <w:szCs w:val="20"/>
                <w:color w:val="auto"/>
              </w:rPr>
            </w:pPr>
            <w:r>
              <w:rPr>
                <w:rFonts w:ascii="Arial" w:cs="Arial" w:eastAsia="Arial" w:hAnsi="Arial"/>
                <w:sz w:val="18"/>
                <w:szCs w:val="18"/>
                <w:color w:val="auto"/>
              </w:rPr>
              <w:t>Selling and marketing</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1,479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4,258</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7,324</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3,314</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6,517</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3,541</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11,551</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5,590</w:t>
            </w:r>
          </w:p>
        </w:tc>
        <w:tc>
          <w:tcPr>
            <w:tcW w:w="0" w:type="dxa"/>
            <w:vAlign w:val="bottom"/>
          </w:tcPr>
          <w:p>
            <w:pPr>
              <w:spacing w:after="0"/>
              <w:rPr>
                <w:sz w:val="1"/>
                <w:szCs w:val="1"/>
                <w:color w:val="auto"/>
              </w:rPr>
            </w:pPr>
          </w:p>
        </w:tc>
      </w:tr>
      <w:tr>
        <w:trPr>
          <w:trHeight w:val="20"/>
        </w:trPr>
        <w:tc>
          <w:tcPr>
            <w:tcW w:w="160" w:type="dxa"/>
            <w:vAlign w:val="bottom"/>
            <w:gridSpan w:val="2"/>
            <w:vMerge w:val="restart"/>
          </w:tcPr>
          <w:p>
            <w:pPr>
              <w:jc w:val="right"/>
              <w:spacing w:after="0"/>
              <w:rPr>
                <w:sz w:val="20"/>
                <w:szCs w:val="20"/>
                <w:color w:val="auto"/>
              </w:rPr>
            </w:pPr>
            <w:r>
              <w:rPr>
                <w:rFonts w:ascii="Arial" w:cs="Arial" w:eastAsia="Arial" w:hAnsi="Arial"/>
                <w:sz w:val="17"/>
                <w:szCs w:val="17"/>
                <w:color w:val="auto"/>
                <w:w w:val="70"/>
              </w:rPr>
              <w:t>9</w:t>
            </w:r>
            <w:r>
              <w:rPr>
                <w:rFonts w:ascii="Arial" w:cs="Arial" w:eastAsia="Arial" w:hAnsi="Arial"/>
                <w:sz w:val="17"/>
                <w:szCs w:val="17"/>
                <w:b w:val="1"/>
                <w:bCs w:val="1"/>
                <w:color w:val="auto"/>
                <w:w w:val="70"/>
              </w:rPr>
              <w:t>.</w:t>
            </w:r>
          </w:p>
        </w:tc>
        <w:tc>
          <w:tcPr>
            <w:tcW w:w="4280" w:type="dxa"/>
            <w:vAlign w:val="bottom"/>
            <w:vMerge w:val="restart"/>
          </w:tcPr>
          <w:p>
            <w:pPr>
              <w:ind w:left="460"/>
              <w:spacing w:after="0"/>
              <w:rPr>
                <w:sz w:val="20"/>
                <w:szCs w:val="20"/>
                <w:color w:val="auto"/>
              </w:rPr>
            </w:pPr>
            <w:r>
              <w:rPr>
                <w:rFonts w:ascii="Arial" w:cs="Arial" w:eastAsia="Arial" w:hAnsi="Arial"/>
                <w:sz w:val="18"/>
                <w:szCs w:val="18"/>
                <w:b w:val="1"/>
                <w:bCs w:val="1"/>
                <w:color w:val="auto"/>
              </w:rPr>
              <w:t>Income Taxes</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160" w:type="dxa"/>
            <w:vAlign w:val="bottom"/>
            <w:gridSpan w:val="2"/>
            <w:vMerge w:val="continue"/>
          </w:tcPr>
          <w:p>
            <w:pPr>
              <w:spacing w:after="0"/>
              <w:rPr>
                <w:sz w:val="24"/>
                <w:szCs w:val="24"/>
                <w:color w:val="auto"/>
              </w:rPr>
            </w:pPr>
          </w:p>
        </w:tc>
        <w:tc>
          <w:tcPr>
            <w:tcW w:w="42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700" w:right="59" w:firstLine="648"/>
        <w:spacing w:after="0" w:line="271" w:lineRule="auto"/>
        <w:rPr>
          <w:sz w:val="20"/>
          <w:szCs w:val="20"/>
          <w:color w:val="auto"/>
        </w:rPr>
      </w:pPr>
      <w:r>
        <w:rPr>
          <w:rFonts w:ascii="Arial" w:cs="Arial" w:eastAsia="Arial" w:hAnsi="Arial"/>
          <w:sz w:val="17"/>
          <w:szCs w:val="17"/>
          <w:color w:val="auto"/>
        </w:rPr>
        <w:t>For the six months ended June 30, 2021 and 2020, the Company calculated its year-to-date provision for income taxes by applying the estimated annual effective tax rate to the year-to-date profit from operations before income taxes and adjusts the provision for income taxes for discrete tax items recorded in the period. The Company updates its estimate of its annual effective tax rate at the end of each quarterly period. The estimate takes into account annual forecasted income before income taxes and any significant permanent tax items. During the six months ended June 30, 2021, the Company recorded a benefit for taxes of $10.2 million primarily due to equity compensation activity that occurred during the period. During the six months ended June 30, 2020, the Company recorded a provision for taxes of $0.1 million.</w:t>
      </w:r>
    </w:p>
    <w:p>
      <w:pPr>
        <w:spacing w:after="0" w:line="174" w:lineRule="exact"/>
        <w:rPr>
          <w:sz w:val="20"/>
          <w:szCs w:val="20"/>
          <w:color w:val="auto"/>
        </w:rPr>
      </w:pPr>
    </w:p>
    <w:p>
      <w:pPr>
        <w:ind w:left="780" w:hanging="730"/>
        <w:spacing w:after="0"/>
        <w:tabs>
          <w:tab w:leader="none" w:pos="7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229" w:lineRule="exact"/>
        <w:rPr>
          <w:sz w:val="20"/>
          <w:szCs w:val="20"/>
          <w:color w:val="auto"/>
        </w:rPr>
      </w:pPr>
    </w:p>
    <w:p>
      <w:pPr>
        <w:jc w:val="both"/>
        <w:ind w:left="700" w:right="59" w:firstLine="648"/>
        <w:spacing w:after="0" w:line="263" w:lineRule="auto"/>
        <w:rPr>
          <w:sz w:val="20"/>
          <w:szCs w:val="20"/>
          <w:color w:val="auto"/>
        </w:rPr>
      </w:pPr>
      <w:r>
        <w:rPr>
          <w:rFonts w:ascii="Arial" w:cs="Arial" w:eastAsia="Arial" w:hAnsi="Arial"/>
          <w:sz w:val="18"/>
          <w:szCs w:val="18"/>
          <w:color w:val="auto"/>
        </w:rPr>
        <w:t>Basic net income per share attributable to common stockholders is calculated by dividing the net income attributable to common stockholders by the weighted-average number of shares of common stock outstanding for the period.</w:t>
      </w:r>
    </w:p>
    <w:p>
      <w:pPr>
        <w:spacing w:after="0" w:line="184" w:lineRule="exact"/>
        <w:rPr>
          <w:sz w:val="20"/>
          <w:szCs w:val="20"/>
          <w:color w:val="auto"/>
        </w:rPr>
      </w:pPr>
    </w:p>
    <w:p>
      <w:pPr>
        <w:jc w:val="both"/>
        <w:ind w:left="700" w:right="59" w:firstLine="648"/>
        <w:spacing w:after="0" w:line="291" w:lineRule="auto"/>
        <w:rPr>
          <w:sz w:val="20"/>
          <w:szCs w:val="20"/>
          <w:color w:val="auto"/>
        </w:rPr>
      </w:pPr>
      <w:r>
        <w:rPr>
          <w:rFonts w:ascii="Arial" w:cs="Arial" w:eastAsia="Arial" w:hAnsi="Arial"/>
          <w:sz w:val="16"/>
          <w:szCs w:val="16"/>
          <w:color w:val="auto"/>
        </w:rPr>
        <w:t>Diluted net income per share attributable to common stockholders is computed by dividing the diluted net income attributable to common stockholders by the weighted average number of common shares outstanding for the period, including potential dilutive common shares assuming dilutive effect of outstanding common stock options, restricted stock units, common stock warrants, and shares issuable under the employee stock purchase plan. In periods when the Company has incurred a net loss, diluted net loss per share attributable to common stockholders is the same as basic net loss per share attributable to common stockholders because dilutive common shares are not assumed to have been issued if their effect is anti-dilutive.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700" w:right="59" w:firstLine="648"/>
        <w:spacing w:after="0" w:line="263" w:lineRule="auto"/>
        <w:rPr>
          <w:sz w:val="20"/>
          <w:szCs w:val="20"/>
          <w:color w:val="auto"/>
        </w:rPr>
      </w:pPr>
      <w:r>
        <w:rPr>
          <w:rFonts w:ascii="Arial" w:cs="Arial" w:eastAsia="Arial" w:hAnsi="Arial"/>
          <w:sz w:val="18"/>
          <w:szCs w:val="18"/>
          <w:color w:val="auto"/>
        </w:rPr>
        <w:t>A reconciliation of net income (loss) available to common stockholders and the number of shares in the calculation of basic and diluted net income (loss) per share follows (in thousands, except share and per share amounts):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68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6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47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Basic net income (loss) per common share:</w:t>
            </w: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41"/>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40"/>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41"/>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40"/>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7"/>
        </w:trPr>
        <w:tc>
          <w:tcPr>
            <w:tcW w:w="47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rPr>
              <w:t>Numerator:</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tcPr>
          <w:p>
            <w:pPr>
              <w:ind w:left="100"/>
              <w:spacing w:after="0"/>
              <w:rPr>
                <w:sz w:val="20"/>
                <w:szCs w:val="20"/>
                <w:color w:val="auto"/>
              </w:rPr>
            </w:pPr>
            <w:r>
              <w:rPr>
                <w:rFonts w:ascii="Arial" w:cs="Arial" w:eastAsia="Arial" w:hAnsi="Arial"/>
                <w:sz w:val="16"/>
                <w:szCs w:val="16"/>
                <w:color w:val="auto"/>
              </w:rPr>
              <w:t>Net income (loss)</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18,727</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(1,064)</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33,893</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2,565</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80" w:type="dxa"/>
            <w:vAlign w:val="bottom"/>
          </w:tcPr>
          <w:p>
            <w:pPr>
              <w:spacing w:after="0"/>
              <w:rPr>
                <w:sz w:val="20"/>
                <w:szCs w:val="20"/>
                <w:color w:val="auto"/>
              </w:rPr>
            </w:pPr>
            <w:r>
              <w:rPr>
                <w:rFonts w:ascii="Arial" w:cs="Arial" w:eastAsia="Arial" w:hAnsi="Arial"/>
                <w:sz w:val="16"/>
                <w:szCs w:val="16"/>
                <w:color w:val="auto"/>
              </w:rPr>
              <w:t>Denominator:</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68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3"/>
              </w:rPr>
              <w:t>Weighted-average shares used in computing basic net income (loss)</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per share attributable to common stockholders</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88,165,158</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85,281,151</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87,783,894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84,909,692</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80" w:type="dxa"/>
            <w:vAlign w:val="bottom"/>
          </w:tcPr>
          <w:p>
            <w:pPr>
              <w:ind w:left="100"/>
              <w:spacing w:after="0" w:line="173" w:lineRule="exact"/>
              <w:rPr>
                <w:sz w:val="20"/>
                <w:szCs w:val="20"/>
                <w:color w:val="auto"/>
              </w:rPr>
            </w:pPr>
            <w:r>
              <w:rPr>
                <w:rFonts w:ascii="Arial" w:cs="Arial" w:eastAsia="Arial" w:hAnsi="Arial"/>
                <w:sz w:val="16"/>
                <w:szCs w:val="16"/>
                <w:color w:val="auto"/>
              </w:rPr>
              <w:t>Basic net income (loss) per share attributable to common</w:t>
            </w:r>
          </w:p>
        </w:tc>
        <w:tc>
          <w:tcPr>
            <w:tcW w:w="20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0.21</w:t>
            </w:r>
          </w:p>
        </w:tc>
        <w:tc>
          <w:tcPr>
            <w:tcW w:w="2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(0.01)</w:t>
            </w:r>
          </w:p>
        </w:tc>
        <w:tc>
          <w:tcPr>
            <w:tcW w:w="24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0.39</w:t>
            </w:r>
          </w:p>
        </w:tc>
        <w:tc>
          <w:tcPr>
            <w:tcW w:w="2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680" w:type="dxa"/>
            <w:vAlign w:val="bottom"/>
          </w:tcPr>
          <w:p>
            <w:pPr>
              <w:ind w:left="100"/>
              <w:spacing w:after="0"/>
              <w:rPr>
                <w:sz w:val="20"/>
                <w:szCs w:val="20"/>
                <w:color w:val="auto"/>
              </w:rPr>
            </w:pPr>
            <w:r>
              <w:rPr>
                <w:rFonts w:ascii="Arial" w:cs="Arial" w:eastAsia="Arial" w:hAnsi="Arial"/>
                <w:sz w:val="16"/>
                <w:szCs w:val="16"/>
                <w:color w:val="auto"/>
              </w:rPr>
              <w:t>stockholders</w:t>
            </w:r>
          </w:p>
        </w:tc>
        <w:tc>
          <w:tcPr>
            <w:tcW w:w="200" w:type="dxa"/>
            <w:vAlign w:val="bottom"/>
            <w:gridSpan w:val="2"/>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260" w:type="dxa"/>
            <w:vAlign w:val="bottom"/>
            <w:gridSpan w:val="2"/>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260" w:type="dxa"/>
            <w:vAlign w:val="bottom"/>
            <w:gridSpan w:val="2"/>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6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80" w:type="dxa"/>
            <w:vAlign w:val="bottom"/>
          </w:tcPr>
          <w:p>
            <w:pPr>
              <w:spacing w:after="0"/>
              <w:rPr>
                <w:sz w:val="20"/>
                <w:szCs w:val="20"/>
                <w:color w:val="auto"/>
              </w:rPr>
            </w:pPr>
            <w:r>
              <w:rPr>
                <w:rFonts w:ascii="Arial" w:cs="Arial" w:eastAsia="Arial" w:hAnsi="Arial"/>
                <w:sz w:val="16"/>
                <w:szCs w:val="16"/>
                <w:b w:val="1"/>
                <w:bCs w:val="1"/>
                <w:color w:val="auto"/>
              </w:rPr>
              <w:t>Diluted net income (loss) per common share: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rPr>
              <w:t>Numerator:</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tcPr>
          <w:p>
            <w:pPr>
              <w:ind w:left="200"/>
              <w:spacing w:after="0"/>
              <w:rPr>
                <w:sz w:val="20"/>
                <w:szCs w:val="20"/>
                <w:color w:val="auto"/>
              </w:rPr>
            </w:pPr>
            <w:r>
              <w:rPr>
                <w:rFonts w:ascii="Arial" w:cs="Arial" w:eastAsia="Arial" w:hAnsi="Arial"/>
                <w:sz w:val="16"/>
                <w:szCs w:val="16"/>
                <w:color w:val="auto"/>
              </w:rPr>
              <w:t>Net income (loss) attributable to common stockholders</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18,727</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(1,064)</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33,893</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2,565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Diluted net income (loss) attributable to common stockholders</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18,727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33,893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4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rPr>
              <w:t>Denominator:</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680" w:type="dxa"/>
            <w:vAlign w:val="bottom"/>
          </w:tcPr>
          <w:p>
            <w:pPr>
              <w:ind w:left="100"/>
              <w:spacing w:after="0"/>
              <w:rPr>
                <w:sz w:val="20"/>
                <w:szCs w:val="20"/>
                <w:color w:val="auto"/>
              </w:rPr>
            </w:pPr>
            <w:r>
              <w:rPr>
                <w:rFonts w:ascii="Arial" w:cs="Arial" w:eastAsia="Arial" w:hAnsi="Arial"/>
                <w:sz w:val="16"/>
                <w:szCs w:val="16"/>
                <w:color w:val="auto"/>
                <w:w w:val="93"/>
              </w:rPr>
              <w:t>Weighted-average shares used in computing basic net income (loss)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tcPr>
          <w:p>
            <w:pPr>
              <w:ind w:left="100"/>
              <w:spacing w:after="0"/>
              <w:rPr>
                <w:sz w:val="20"/>
                <w:szCs w:val="20"/>
                <w:color w:val="auto"/>
              </w:rPr>
            </w:pPr>
            <w:r>
              <w:rPr>
                <w:rFonts w:ascii="Arial" w:cs="Arial" w:eastAsia="Arial" w:hAnsi="Arial"/>
                <w:sz w:val="16"/>
                <w:szCs w:val="16"/>
                <w:color w:val="auto"/>
              </w:rPr>
              <w:t>per share attributable to common stockholder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89"/>
              </w:rPr>
              <w:t>88,165,158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2"/>
              </w:rPr>
              <w:t>85,281,151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2"/>
              </w:rPr>
              <w:t>87,783,894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2"/>
              </w:rPr>
              <w:t>84,909,692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Effect of dilutive securities</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11,642,927</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12,193,624</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13,977,498</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80" w:type="dxa"/>
            <w:vAlign w:val="bottom"/>
          </w:tcPr>
          <w:p>
            <w:pPr>
              <w:ind w:left="100"/>
              <w:spacing w:after="0" w:line="173" w:lineRule="exact"/>
              <w:rPr>
                <w:sz w:val="20"/>
                <w:szCs w:val="20"/>
                <w:color w:val="auto"/>
              </w:rPr>
            </w:pPr>
            <w:r>
              <w:rPr>
                <w:rFonts w:ascii="Arial" w:cs="Arial" w:eastAsia="Arial" w:hAnsi="Arial"/>
                <w:sz w:val="16"/>
                <w:szCs w:val="16"/>
                <w:color w:val="auto"/>
                <w:w w:val="92"/>
              </w:rPr>
              <w:t>Weighted-average shares used in computing diluted net income (loss)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per share attributable to common stockholders</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99,808,085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2"/>
              </w:rPr>
              <w:t>85,281,151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2"/>
              </w:rPr>
              <w:t>99,977,518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2"/>
              </w:rPr>
              <w:t>98,887,190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80" w:type="dxa"/>
            <w:vAlign w:val="bottom"/>
            <w:shd w:val="clear" w:color="auto" w:fill="CCEEFF"/>
          </w:tcPr>
          <w:p>
            <w:pPr>
              <w:ind w:left="200"/>
              <w:spacing w:after="0" w:line="176" w:lineRule="exact"/>
              <w:rPr>
                <w:sz w:val="20"/>
                <w:szCs w:val="20"/>
                <w:color w:val="auto"/>
              </w:rPr>
            </w:pPr>
            <w:r>
              <w:rPr>
                <w:rFonts w:ascii="Arial" w:cs="Arial" w:eastAsia="Arial" w:hAnsi="Arial"/>
                <w:sz w:val="16"/>
                <w:szCs w:val="16"/>
                <w:color w:val="auto"/>
              </w:rPr>
              <w:t>Diluted net income (loss) per share attributable to common</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0.34</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6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stockholders</w:t>
            </w:r>
          </w:p>
        </w:tc>
        <w:tc>
          <w:tcPr>
            <w:tcW w:w="200" w:type="dxa"/>
            <w:vAlign w:val="bottom"/>
            <w:gridSpan w:val="2"/>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6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26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700" w:right="59" w:firstLine="648"/>
        <w:spacing w:after="0" w:line="263" w:lineRule="auto"/>
        <w:rPr>
          <w:sz w:val="20"/>
          <w:szCs w:val="20"/>
          <w:color w:val="auto"/>
        </w:rPr>
      </w:pPr>
      <w:r>
        <w:rPr>
          <w:rFonts w:ascii="Arial" w:cs="Arial" w:eastAsia="Arial" w:hAnsi="Arial"/>
          <w:sz w:val="18"/>
          <w:szCs w:val="18"/>
          <w:color w:val="auto"/>
        </w:rPr>
        <w:t>The following weighted-average outstanding shares of potentially dilutive securities were excluded from the computation of diluted income (loss) per share attributable to common stockholders for the period presented because including them would have been antidilutive:</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6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c>
          <w:tcPr>
            <w:tcW w:w="23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3940" w:type="dxa"/>
            <w:vAlign w:val="bottom"/>
          </w:tcPr>
          <w:p>
            <w:pPr>
              <w:spacing w:after="0"/>
              <w:rPr>
                <w:sz w:val="14"/>
                <w:szCs w:val="14"/>
                <w:color w:val="auto"/>
              </w:rPr>
            </w:pPr>
          </w:p>
        </w:tc>
        <w:tc>
          <w:tcPr>
            <w:tcW w:w="1420" w:type="dxa"/>
            <w:vAlign w:val="bottom"/>
            <w:tcBorders>
              <w:bottom w:val="single" w:sz="8" w:color="auto"/>
            </w:tcBorders>
            <w:gridSpan w:val="3"/>
          </w:tcPr>
          <w:p>
            <w:pPr>
              <w:jc w:val="center"/>
              <w:ind w:left="778"/>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Borders>
              <w:bottom w:val="single" w:sz="8" w:color="auto"/>
            </w:tcBorders>
            <w:gridSpan w:val="3"/>
          </w:tcPr>
          <w:p>
            <w:pPr>
              <w:jc w:val="center"/>
              <w:ind w:left="678"/>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tcBorders>
              <w:bottom w:val="single" w:sz="8" w:color="auto"/>
            </w:tcBorders>
          </w:tcPr>
          <w:p>
            <w:pPr>
              <w:spacing w:after="0"/>
              <w:rPr>
                <w:sz w:val="14"/>
                <w:szCs w:val="14"/>
                <w:color w:val="auto"/>
              </w:rPr>
            </w:pPr>
          </w:p>
        </w:tc>
      </w:tr>
      <w:tr>
        <w:trPr>
          <w:trHeight w:val="142"/>
        </w:trPr>
        <w:tc>
          <w:tcPr>
            <w:tcW w:w="394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ind w:right="318"/>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jc w:val="right"/>
              <w:ind w:right="298"/>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1,016,843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12,287,845</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705,906</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411,299</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Shares issuable under ESPP</w:t>
            </w:r>
          </w:p>
        </w:tc>
        <w:tc>
          <w:tcPr>
            <w:tcW w:w="14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46,171</w:t>
            </w:r>
          </w:p>
        </w:tc>
        <w:tc>
          <w:tcPr>
            <w:tcW w:w="360" w:type="dxa"/>
            <w:vAlign w:val="bottom"/>
          </w:tcPr>
          <w:p>
            <w:pPr>
              <w:spacing w:after="0"/>
              <w:rPr>
                <w:sz w:val="18"/>
                <w:szCs w:val="18"/>
                <w:color w:val="auto"/>
              </w:rPr>
            </w:pPr>
          </w:p>
        </w:tc>
        <w:tc>
          <w:tcPr>
            <w:tcW w:w="15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7,068</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133,381</w:t>
            </w:r>
          </w:p>
        </w:tc>
        <w:tc>
          <w:tcPr>
            <w:tcW w:w="36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3,554</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85,269</w:t>
            </w:r>
          </w:p>
        </w:tc>
      </w:tr>
      <w:tr>
        <w:trPr>
          <w:trHeight w:val="210"/>
        </w:trPr>
        <w:tc>
          <w:tcPr>
            <w:tcW w:w="3940" w:type="dxa"/>
            <w:vAlign w:val="bottom"/>
          </w:tcPr>
          <w:p>
            <w:pPr>
              <w:ind w:left="32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1,023,913</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12,467,397</w:t>
            </w:r>
          </w:p>
        </w:tc>
        <w:tc>
          <w:tcPr>
            <w:tcW w:w="36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709,460</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496,568</w:t>
            </w:r>
          </w:p>
        </w:tc>
      </w:tr>
      <w:tr>
        <w:trPr>
          <w:trHeight w:val="20"/>
        </w:trPr>
        <w:tc>
          <w:tcPr>
            <w:tcW w:w="39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right="219"/>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6"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consolidated financial statements and the related notes and other financial information included elsewhere in this Quarterly Report on Form 10-Q and our Annual Report on Form 10-K for the year ended December 31, 2020, filed with the Securities and Exchange Commission, or the SEC, on March 1, 2021. In addition to historical financial information, the following discussion contains forward-looking statements that reflect our plans, estimates, and beliefs. Our actual results could differ materially from those expressed or implied by such forward-looking statements. Important factors that could cause or contribute to these differences include, but are not limited to, those identified below and those discussed in the section titled “Risk Factors” under Part II, Item 1A in this Quarterly Report on Form 10-Q.</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We envision a world where anyone who wants to have a child can do so. Our mission is to make dreams of parenthood come true through healthy, timely and supported fertility journeys. Through our differentiated approach to benefits plan design, patient education and support and active network management, our clients’ employees are able to pursue the most effective treatment from the best physicians and achieve optimal outcomes.</w:t>
      </w:r>
    </w:p>
    <w:p>
      <w:pPr>
        <w:spacing w:after="0" w:line="171"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Progyny is a leading benefits management company specializing in fertility and family building benefits solutions in the United States. Our clients include many of the nation’s most prominent employers across a broad array of industries. We launched our fertility benefits solution in 2016 with our first five employer clients, and we have grown our base to over 180 current clients with at least 1,000 covered lives. We have retained substantially all of our clients since inception, and our member satisfaction is evidenced by our industry-leading Net Promoter Score, or NPS, of +79 for our fertility benefits solution and +81 for our integrated pharmacy benefits solution, Progyny Rx as of December 31, 2020. We currently provide coverage to approximately 2.8 million employees and their partners (known in our industry as covered lives), who we refer to as our members. We have achieved this growth by demonstrating that our purpose-built, data-driven and disruptive platform consistently delivers superior clinical outcomes in a cost-efficient manner while driving exceptional client and member satisfaction. Our members experience healthier pregnancies and superior rates of pregnancy and live births, as well as reduced rates of miscarriages and multiple births, saving valuable time and money and limiting personal and professional disruption.</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40" w:type="dxa"/>
            <w:vAlign w:val="bottom"/>
            <w:gridSpan w:val="2"/>
          </w:tcPr>
          <w:p>
            <w:pPr>
              <w:jc w:val="center"/>
              <w:ind w:right="210"/>
              <w:spacing w:after="0" w:line="161" w:lineRule="exact"/>
              <w:rPr>
                <w:sz w:val="20"/>
                <w:szCs w:val="20"/>
                <w:color w:val="auto"/>
              </w:rPr>
            </w:pPr>
            <w:r>
              <w:rPr>
                <w:rFonts w:ascii="Arial" w:cs="Arial" w:eastAsia="Arial" w:hAnsi="Arial"/>
                <w:sz w:val="14"/>
                <w:szCs w:val="14"/>
                <w:b w:val="1"/>
                <w:bCs w:val="1"/>
                <w:color w:val="auto"/>
                <w:w w:val="95"/>
              </w:rPr>
              <w:t>Progyny In</w:t>
            </w:r>
            <w:r>
              <w:rPr>
                <w:rFonts w:ascii="MS PGothic" w:cs="MS PGothic" w:eastAsia="MS PGothic" w:hAnsi="MS PGothic"/>
                <w:sz w:val="14"/>
                <w:szCs w:val="14"/>
                <w:b w:val="1"/>
                <w:bCs w:val="1"/>
                <w:color w:val="auto"/>
                <w:w w:val="95"/>
              </w:rPr>
              <w:t>‑</w:t>
            </w:r>
            <w:r>
              <w:rPr>
                <w:rFonts w:ascii="Arial" w:cs="Arial" w:eastAsia="Arial" w:hAnsi="Arial"/>
                <w:sz w:val="14"/>
                <w:szCs w:val="14"/>
                <w:b w:val="1"/>
                <w:bCs w:val="1"/>
                <w:color w:val="auto"/>
                <w:w w:val="95"/>
              </w:rPr>
              <w:t>Network</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40" w:type="dxa"/>
            <w:vAlign w:val="bottom"/>
            <w:gridSpan w:val="2"/>
            <w:vMerge w:val="restart"/>
          </w:tcPr>
          <w:p>
            <w:pPr>
              <w:jc w:val="center"/>
              <w:ind w:right="190"/>
              <w:spacing w:after="0"/>
              <w:rPr>
                <w:sz w:val="20"/>
                <w:szCs w:val="20"/>
                <w:color w:val="auto"/>
              </w:rPr>
            </w:pPr>
            <w:r>
              <w:rPr>
                <w:rFonts w:ascii="Arial" w:cs="Arial" w:eastAsia="Arial" w:hAnsi="Arial"/>
                <w:sz w:val="14"/>
                <w:szCs w:val="14"/>
                <w:b w:val="1"/>
                <w:bCs w:val="1"/>
                <w:color w:val="auto"/>
                <w:w w:val="91"/>
              </w:rPr>
              <w:t>National Averages</w:t>
            </w:r>
          </w:p>
        </w:tc>
        <w:tc>
          <w:tcPr>
            <w:tcW w:w="1860" w:type="dxa"/>
            <w:vAlign w:val="bottom"/>
            <w:gridSpan w:val="2"/>
          </w:tcPr>
          <w:p>
            <w:pPr>
              <w:jc w:val="center"/>
              <w:ind w:right="210"/>
              <w:spacing w:after="0" w:line="149" w:lineRule="exact"/>
              <w:rPr>
                <w:sz w:val="20"/>
                <w:szCs w:val="20"/>
                <w:color w:val="auto"/>
              </w:rPr>
            </w:pPr>
            <w:r>
              <w:rPr>
                <w:rFonts w:ascii="Arial" w:cs="Arial" w:eastAsia="Arial" w:hAnsi="Arial"/>
                <w:sz w:val="14"/>
                <w:szCs w:val="14"/>
                <w:b w:val="1"/>
                <w:bCs w:val="1"/>
                <w:color w:val="auto"/>
                <w:w w:val="97"/>
              </w:rPr>
              <w:t>Progyny In</w:t>
            </w:r>
            <w:r>
              <w:rPr>
                <w:rFonts w:ascii="MS PGothic" w:cs="MS PGothic" w:eastAsia="MS PGothic" w:hAnsi="MS PGothic"/>
                <w:sz w:val="14"/>
                <w:szCs w:val="14"/>
                <w:b w:val="1"/>
                <w:bCs w:val="1"/>
                <w:color w:val="auto"/>
                <w:w w:val="97"/>
              </w:rPr>
              <w:t>‑</w:t>
            </w:r>
            <w:r>
              <w:rPr>
                <w:rFonts w:ascii="Arial" w:cs="Arial" w:eastAsia="Arial" w:hAnsi="Arial"/>
                <w:sz w:val="14"/>
                <w:szCs w:val="14"/>
                <w:b w:val="1"/>
                <w:bCs w:val="1"/>
                <w:color w:val="auto"/>
                <w:w w:val="97"/>
              </w:rPr>
              <w:t>Network</w:t>
            </w:r>
          </w:p>
        </w:tc>
        <w:tc>
          <w:tcPr>
            <w:tcW w:w="1840" w:type="dxa"/>
            <w:vAlign w:val="bottom"/>
            <w:gridSpan w:val="2"/>
          </w:tcPr>
          <w:p>
            <w:pPr>
              <w:jc w:val="center"/>
              <w:ind w:right="250"/>
              <w:spacing w:after="0" w:line="149" w:lineRule="exact"/>
              <w:rPr>
                <w:sz w:val="20"/>
                <w:szCs w:val="20"/>
                <w:color w:val="auto"/>
              </w:rPr>
            </w:pPr>
            <w:r>
              <w:rPr>
                <w:rFonts w:ascii="Arial" w:cs="Arial" w:eastAsia="Arial" w:hAnsi="Arial"/>
                <w:sz w:val="14"/>
                <w:szCs w:val="14"/>
                <w:b w:val="1"/>
                <w:bCs w:val="1"/>
                <w:color w:val="auto"/>
                <w:w w:val="95"/>
              </w:rPr>
              <w:t>Provider Clinic</w:t>
            </w: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860" w:type="dxa"/>
            <w:vAlign w:val="bottom"/>
            <w:gridSpan w:val="2"/>
          </w:tcPr>
          <w:p>
            <w:pPr>
              <w:jc w:val="center"/>
              <w:ind w:right="230"/>
              <w:spacing w:after="0"/>
              <w:rPr>
                <w:sz w:val="20"/>
                <w:szCs w:val="20"/>
                <w:color w:val="auto"/>
              </w:rPr>
            </w:pPr>
            <w:r>
              <w:rPr>
                <w:rFonts w:ascii="Arial" w:cs="Arial" w:eastAsia="Arial" w:hAnsi="Arial"/>
                <w:sz w:val="14"/>
                <w:szCs w:val="14"/>
                <w:b w:val="1"/>
                <w:bCs w:val="1"/>
                <w:color w:val="auto"/>
                <w:w w:val="95"/>
              </w:rPr>
              <w:t>Provider Clinic</w:t>
            </w:r>
          </w:p>
        </w:tc>
        <w:tc>
          <w:tcPr>
            <w:tcW w:w="184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88"/>
              </w:rPr>
              <w:t>Averages</w:t>
            </w:r>
          </w:p>
        </w:tc>
        <w:tc>
          <w:tcPr>
            <w:tcW w:w="0" w:type="dxa"/>
            <w:vAlign w:val="bottom"/>
          </w:tcPr>
          <w:p>
            <w:pPr>
              <w:spacing w:after="0"/>
              <w:rPr>
                <w:sz w:val="1"/>
                <w:szCs w:val="1"/>
                <w:color w:val="auto"/>
              </w:rPr>
            </w:pPr>
          </w:p>
        </w:tc>
      </w:tr>
      <w:tr>
        <w:trPr>
          <w:trHeight w:val="144"/>
        </w:trPr>
        <w:tc>
          <w:tcPr>
            <w:tcW w:w="3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Outcome</w:t>
            </w:r>
          </w:p>
        </w:tc>
        <w:tc>
          <w:tcPr>
            <w:tcW w:w="1840" w:type="dxa"/>
            <w:vAlign w:val="bottom"/>
            <w:gridSpan w:val="2"/>
          </w:tcPr>
          <w:p>
            <w:pPr>
              <w:jc w:val="center"/>
              <w:ind w:right="190"/>
              <w:spacing w:after="0" w:line="145" w:lineRule="exact"/>
              <w:rPr>
                <w:sz w:val="20"/>
                <w:szCs w:val="20"/>
                <w:color w:val="auto"/>
              </w:rPr>
            </w:pPr>
            <w:r>
              <w:rPr>
                <w:rFonts w:ascii="Arial" w:cs="Arial" w:eastAsia="Arial" w:hAnsi="Arial"/>
                <w:sz w:val="14"/>
                <w:szCs w:val="14"/>
                <w:b w:val="1"/>
                <w:bCs w:val="1"/>
                <w:color w:val="auto"/>
                <w:w w:val="94"/>
              </w:rPr>
              <w:t>for All Provider</w:t>
            </w:r>
          </w:p>
        </w:tc>
        <w:tc>
          <w:tcPr>
            <w:tcW w:w="1860" w:type="dxa"/>
            <w:vAlign w:val="bottom"/>
            <w:gridSpan w:val="2"/>
          </w:tcPr>
          <w:p>
            <w:pPr>
              <w:jc w:val="center"/>
              <w:ind w:right="210"/>
              <w:spacing w:after="0" w:line="145" w:lineRule="exact"/>
              <w:rPr>
                <w:sz w:val="20"/>
                <w:szCs w:val="20"/>
                <w:color w:val="auto"/>
              </w:rPr>
            </w:pPr>
            <w:r>
              <w:rPr>
                <w:rFonts w:ascii="Arial" w:cs="Arial" w:eastAsia="Arial" w:hAnsi="Arial"/>
                <w:sz w:val="14"/>
                <w:szCs w:val="14"/>
                <w:b w:val="1"/>
                <w:bCs w:val="1"/>
                <w:color w:val="auto"/>
                <w:w w:val="88"/>
              </w:rPr>
              <w:t>Averages</w:t>
            </w:r>
          </w:p>
        </w:tc>
        <w:tc>
          <w:tcPr>
            <w:tcW w:w="1840" w:type="dxa"/>
            <w:vAlign w:val="bottom"/>
            <w:gridSpan w:val="2"/>
          </w:tcPr>
          <w:p>
            <w:pPr>
              <w:jc w:val="center"/>
              <w:ind w:right="210"/>
              <w:spacing w:after="0" w:line="145" w:lineRule="exact"/>
              <w:rPr>
                <w:sz w:val="20"/>
                <w:szCs w:val="20"/>
                <w:color w:val="auto"/>
              </w:rPr>
            </w:pPr>
            <w:r>
              <w:rPr>
                <w:rFonts w:ascii="Arial" w:cs="Arial" w:eastAsia="Arial" w:hAnsi="Arial"/>
                <w:sz w:val="14"/>
                <w:szCs w:val="14"/>
                <w:b w:val="1"/>
                <w:bCs w:val="1"/>
                <w:color w:val="auto"/>
                <w:w w:val="94"/>
              </w:rPr>
              <w:t>for Progyny</w:t>
            </w:r>
          </w:p>
        </w:tc>
        <w:tc>
          <w:tcPr>
            <w:tcW w:w="0" w:type="dxa"/>
            <w:vAlign w:val="bottom"/>
          </w:tcPr>
          <w:p>
            <w:pPr>
              <w:spacing w:after="0"/>
              <w:rPr>
                <w:sz w:val="1"/>
                <w:szCs w:val="1"/>
                <w:color w:val="auto"/>
              </w:rPr>
            </w:pPr>
          </w:p>
        </w:tc>
      </w:tr>
      <w:tr>
        <w:trPr>
          <w:trHeight w:val="175"/>
        </w:trPr>
        <w:tc>
          <w:tcPr>
            <w:tcW w:w="3360" w:type="dxa"/>
            <w:vAlign w:val="bottom"/>
            <w:gridSpan w:val="3"/>
            <w:vMerge w:val="continue"/>
          </w:tcPr>
          <w:p>
            <w:pPr>
              <w:spacing w:after="0"/>
              <w:rPr>
                <w:sz w:val="15"/>
                <w:szCs w:val="15"/>
                <w:color w:val="auto"/>
              </w:rPr>
            </w:pPr>
          </w:p>
        </w:tc>
        <w:tc>
          <w:tcPr>
            <w:tcW w:w="1840" w:type="dxa"/>
            <w:vAlign w:val="bottom"/>
            <w:gridSpan w:val="2"/>
          </w:tcPr>
          <w:p>
            <w:pPr>
              <w:jc w:val="center"/>
              <w:ind w:right="210"/>
              <w:spacing w:after="0"/>
              <w:rPr>
                <w:sz w:val="20"/>
                <w:szCs w:val="20"/>
                <w:color w:val="auto"/>
              </w:rPr>
            </w:pPr>
            <w:r>
              <w:rPr>
                <w:rFonts w:ascii="Arial" w:cs="Arial" w:eastAsia="Arial" w:hAnsi="Arial"/>
                <w:sz w:val="14"/>
                <w:szCs w:val="14"/>
                <w:b w:val="1"/>
                <w:bCs w:val="1"/>
                <w:color w:val="auto"/>
                <w:w w:val="91"/>
              </w:rPr>
              <w:t>Clinics</w:t>
            </w:r>
          </w:p>
        </w:tc>
        <w:tc>
          <w:tcPr>
            <w:tcW w:w="1860" w:type="dxa"/>
            <w:vAlign w:val="bottom"/>
            <w:gridSpan w:val="2"/>
          </w:tcPr>
          <w:p>
            <w:pPr>
              <w:jc w:val="center"/>
              <w:ind w:right="210"/>
              <w:spacing w:after="0"/>
              <w:rPr>
                <w:sz w:val="20"/>
                <w:szCs w:val="20"/>
                <w:color w:val="auto"/>
              </w:rPr>
            </w:pPr>
            <w:r>
              <w:rPr>
                <w:rFonts w:ascii="Arial" w:cs="Arial" w:eastAsia="Arial" w:hAnsi="Arial"/>
                <w:sz w:val="14"/>
                <w:szCs w:val="14"/>
                <w:b w:val="1"/>
                <w:bCs w:val="1"/>
                <w:color w:val="auto"/>
                <w:w w:val="93"/>
              </w:rPr>
              <w:t>for All Patients</w:t>
            </w:r>
          </w:p>
        </w:tc>
        <w:tc>
          <w:tcPr>
            <w:tcW w:w="1840" w:type="dxa"/>
            <w:vAlign w:val="bottom"/>
            <w:gridSpan w:val="2"/>
          </w:tcPr>
          <w:p>
            <w:pPr>
              <w:jc w:val="center"/>
              <w:ind w:right="210"/>
              <w:spacing w:after="0" w:line="176" w:lineRule="exact"/>
              <w:rPr>
                <w:sz w:val="20"/>
                <w:szCs w:val="20"/>
                <w:color w:val="auto"/>
              </w:rPr>
            </w:pPr>
            <w:r>
              <w:rPr>
                <w:rFonts w:ascii="Arial" w:cs="Arial" w:eastAsia="Arial" w:hAnsi="Arial"/>
                <w:sz w:val="14"/>
                <w:szCs w:val="14"/>
                <w:b w:val="1"/>
                <w:bCs w:val="1"/>
                <w:color w:val="auto"/>
                <w:w w:val="93"/>
              </w:rPr>
              <w:t>Members Only</w:t>
            </w:r>
            <w:r>
              <w:rPr>
                <w:rFonts w:ascii="Arial" w:cs="Arial" w:eastAsia="Arial" w:hAnsi="Arial"/>
                <w:sz w:val="20"/>
                <w:szCs w:val="20"/>
                <w:b w:val="1"/>
                <w:bCs w:val="1"/>
                <w:color w:val="auto"/>
                <w:w w:val="93"/>
                <w:vertAlign w:val="superscript"/>
              </w:rPr>
              <w:t>(3)</w:t>
            </w:r>
          </w:p>
        </w:tc>
        <w:tc>
          <w:tcPr>
            <w:tcW w:w="0" w:type="dxa"/>
            <w:vAlign w:val="bottom"/>
          </w:tcPr>
          <w:p>
            <w:pPr>
              <w:spacing w:after="0"/>
              <w:rPr>
                <w:sz w:val="1"/>
                <w:szCs w:val="1"/>
                <w:color w:val="auto"/>
              </w:rPr>
            </w:pPr>
          </w:p>
        </w:tc>
      </w:tr>
      <w:tr>
        <w:trPr>
          <w:trHeight w:val="210"/>
        </w:trPr>
        <w:tc>
          <w:tcPr>
            <w:tcW w:w="3060" w:type="dxa"/>
            <w:vAlign w:val="bottom"/>
            <w:tcBorders>
              <w:top w:val="single" w:sz="8" w:color="auto"/>
            </w:tcBorders>
            <w:gridSpan w:val="2"/>
            <w:shd w:val="clear" w:color="auto" w:fill="CCEEFF"/>
          </w:tcPr>
          <w:p>
            <w:pPr>
              <w:ind w:left="20"/>
              <w:spacing w:after="0" w:line="210" w:lineRule="exact"/>
              <w:rPr>
                <w:sz w:val="20"/>
                <w:szCs w:val="20"/>
                <w:color w:val="auto"/>
              </w:rPr>
            </w:pPr>
            <w:r>
              <w:rPr>
                <w:rFonts w:ascii="Arial" w:cs="Arial" w:eastAsia="Arial" w:hAnsi="Arial"/>
                <w:sz w:val="17"/>
                <w:szCs w:val="17"/>
                <w:color w:val="auto"/>
              </w:rPr>
              <w:t>Single embryo transfer rate</w:t>
            </w:r>
            <w:r>
              <w:rPr>
                <w:rFonts w:ascii="Arial" w:cs="Arial" w:eastAsia="Arial" w:hAnsi="Arial"/>
                <w:sz w:val="24"/>
                <w:szCs w:val="24"/>
                <w:color w:val="auto"/>
                <w:vertAlign w:val="superscript"/>
              </w:rPr>
              <w:t>(1)</w:t>
            </w:r>
          </w:p>
        </w:tc>
        <w:tc>
          <w:tcPr>
            <w:tcW w:w="3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30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30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30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3360" w:type="dxa"/>
            <w:vAlign w:val="bottom"/>
            <w:gridSpan w:val="3"/>
          </w:tcPr>
          <w:p>
            <w:pPr>
              <w:ind w:left="20"/>
              <w:spacing w:after="0" w:line="216" w:lineRule="exact"/>
              <w:rPr>
                <w:sz w:val="20"/>
                <w:szCs w:val="20"/>
                <w:color w:val="auto"/>
              </w:rPr>
            </w:pPr>
            <w:r>
              <w:rPr>
                <w:rFonts w:ascii="Arial" w:cs="Arial" w:eastAsia="Arial" w:hAnsi="Arial"/>
                <w:sz w:val="17"/>
                <w:szCs w:val="17"/>
                <w:color w:val="auto"/>
              </w:rPr>
              <w:t>Pregnancy rate per IVF transfer</w:t>
            </w:r>
            <w:r>
              <w:rPr>
                <w:rFonts w:ascii="Arial" w:cs="Arial" w:eastAsia="Arial" w:hAnsi="Arial"/>
                <w:sz w:val="25"/>
                <w:szCs w:val="25"/>
                <w:color w:val="auto"/>
                <w:vertAlign w:val="superscript"/>
              </w:rPr>
              <w:t>(1)</w:t>
            </w:r>
          </w:p>
        </w:tc>
        <w:tc>
          <w:tcPr>
            <w:tcW w:w="1840" w:type="dxa"/>
            <w:vAlign w:val="bottom"/>
            <w:gridSpan w:val="2"/>
          </w:tcPr>
          <w:p>
            <w:pPr>
              <w:jc w:val="right"/>
              <w:ind w:right="50"/>
              <w:spacing w:after="0"/>
              <w:rPr>
                <w:sz w:val="20"/>
                <w:szCs w:val="20"/>
                <w:color w:val="auto"/>
              </w:rPr>
            </w:pPr>
            <w:r>
              <w:rPr>
                <w:rFonts w:ascii="Arial" w:cs="Arial" w:eastAsia="Arial" w:hAnsi="Arial"/>
                <w:sz w:val="18"/>
                <w:szCs w:val="18"/>
                <w:color w:val="auto"/>
              </w:rPr>
              <w:t>53.0 %</w:t>
            </w:r>
          </w:p>
        </w:tc>
        <w:tc>
          <w:tcPr>
            <w:tcW w:w="1860" w:type="dxa"/>
            <w:vAlign w:val="bottom"/>
            <w:gridSpan w:val="2"/>
          </w:tcPr>
          <w:p>
            <w:pPr>
              <w:jc w:val="right"/>
              <w:ind w:right="50"/>
              <w:spacing w:after="0"/>
              <w:rPr>
                <w:sz w:val="20"/>
                <w:szCs w:val="20"/>
                <w:color w:val="auto"/>
              </w:rPr>
            </w:pPr>
            <w:r>
              <w:rPr>
                <w:rFonts w:ascii="Arial" w:cs="Arial" w:eastAsia="Arial" w:hAnsi="Arial"/>
                <w:sz w:val="18"/>
                <w:szCs w:val="18"/>
                <w:color w:val="auto"/>
              </w:rPr>
              <w:t>54.7 %</w:t>
            </w:r>
          </w:p>
        </w:tc>
        <w:tc>
          <w:tcPr>
            <w:tcW w:w="1840" w:type="dxa"/>
            <w:vAlign w:val="bottom"/>
            <w:gridSpan w:val="2"/>
          </w:tcPr>
          <w:p>
            <w:pPr>
              <w:jc w:val="right"/>
              <w:ind w:right="50"/>
              <w:spacing w:after="0"/>
              <w:rPr>
                <w:sz w:val="20"/>
                <w:szCs w:val="20"/>
                <w:color w:val="auto"/>
              </w:rPr>
            </w:pPr>
            <w:r>
              <w:rPr>
                <w:rFonts w:ascii="Arial" w:cs="Arial" w:eastAsia="Arial" w:hAnsi="Arial"/>
                <w:sz w:val="18"/>
                <w:szCs w:val="18"/>
                <w:color w:val="auto"/>
              </w:rPr>
              <w:t>61.4 %</w:t>
            </w:r>
          </w:p>
        </w:tc>
        <w:tc>
          <w:tcPr>
            <w:tcW w:w="0" w:type="dxa"/>
            <w:vAlign w:val="bottom"/>
          </w:tcPr>
          <w:p>
            <w:pPr>
              <w:spacing w:after="0"/>
              <w:rPr>
                <w:sz w:val="1"/>
                <w:szCs w:val="1"/>
                <w:color w:val="auto"/>
              </w:rPr>
            </w:pPr>
          </w:p>
        </w:tc>
      </w:tr>
      <w:tr>
        <w:trPr>
          <w:trHeight w:val="216"/>
        </w:trPr>
        <w:tc>
          <w:tcPr>
            <w:tcW w:w="3360" w:type="dxa"/>
            <w:vAlign w:val="bottom"/>
            <w:gridSpan w:val="3"/>
            <w:shd w:val="clear" w:color="auto" w:fill="CCEEFF"/>
          </w:tcPr>
          <w:p>
            <w:pPr>
              <w:ind w:left="20"/>
              <w:spacing w:after="0" w:line="216" w:lineRule="exact"/>
              <w:rPr>
                <w:sz w:val="20"/>
                <w:szCs w:val="20"/>
                <w:color w:val="auto"/>
              </w:rPr>
            </w:pPr>
            <w:r>
              <w:rPr>
                <w:rFonts w:ascii="Arial" w:cs="Arial" w:eastAsia="Arial" w:hAnsi="Arial"/>
                <w:sz w:val="17"/>
                <w:szCs w:val="17"/>
                <w:color w:val="auto"/>
              </w:rPr>
              <w:t>Miscarriage rate</w:t>
            </w:r>
            <w:r>
              <w:rPr>
                <w:rFonts w:ascii="Arial" w:cs="Arial" w:eastAsia="Arial" w:hAnsi="Arial"/>
                <w:sz w:val="25"/>
                <w:szCs w:val="25"/>
                <w:color w:val="auto"/>
                <w:vertAlign w:val="superscript"/>
              </w:rPr>
              <w:t>(1)</w:t>
            </w:r>
          </w:p>
        </w:tc>
        <w:tc>
          <w:tcPr>
            <w:tcW w:w="18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18.6 %</w:t>
            </w:r>
          </w:p>
        </w:tc>
        <w:tc>
          <w:tcPr>
            <w:tcW w:w="18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18.4 %</w:t>
            </w:r>
          </w:p>
        </w:tc>
        <w:tc>
          <w:tcPr>
            <w:tcW w:w="18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13.8 %</w:t>
            </w:r>
          </w:p>
        </w:tc>
        <w:tc>
          <w:tcPr>
            <w:tcW w:w="0" w:type="dxa"/>
            <w:vAlign w:val="bottom"/>
          </w:tcPr>
          <w:p>
            <w:pPr>
              <w:spacing w:after="0"/>
              <w:rPr>
                <w:sz w:val="1"/>
                <w:szCs w:val="1"/>
                <w:color w:val="auto"/>
              </w:rPr>
            </w:pPr>
          </w:p>
        </w:tc>
      </w:tr>
      <w:tr>
        <w:trPr>
          <w:trHeight w:val="216"/>
        </w:trPr>
        <w:tc>
          <w:tcPr>
            <w:tcW w:w="3360" w:type="dxa"/>
            <w:vAlign w:val="bottom"/>
            <w:gridSpan w:val="3"/>
          </w:tcPr>
          <w:p>
            <w:pPr>
              <w:ind w:left="20"/>
              <w:spacing w:after="0" w:line="216" w:lineRule="exact"/>
              <w:rPr>
                <w:sz w:val="20"/>
                <w:szCs w:val="20"/>
                <w:color w:val="auto"/>
              </w:rPr>
            </w:pPr>
            <w:r>
              <w:rPr>
                <w:rFonts w:ascii="Arial" w:cs="Arial" w:eastAsia="Arial" w:hAnsi="Arial"/>
                <w:sz w:val="17"/>
                <w:szCs w:val="17"/>
                <w:color w:val="auto"/>
              </w:rPr>
              <w:t>Live birth rate</w:t>
            </w:r>
            <w:r>
              <w:rPr>
                <w:rFonts w:ascii="Arial" w:cs="Arial" w:eastAsia="Arial" w:hAnsi="Arial"/>
                <w:sz w:val="25"/>
                <w:szCs w:val="25"/>
                <w:color w:val="auto"/>
                <w:vertAlign w:val="superscript"/>
              </w:rPr>
              <w:t>(2)</w:t>
            </w:r>
          </w:p>
        </w:tc>
        <w:tc>
          <w:tcPr>
            <w:tcW w:w="1840" w:type="dxa"/>
            <w:vAlign w:val="bottom"/>
            <w:gridSpan w:val="2"/>
          </w:tcPr>
          <w:p>
            <w:pPr>
              <w:jc w:val="right"/>
              <w:ind w:right="50"/>
              <w:spacing w:after="0"/>
              <w:rPr>
                <w:sz w:val="20"/>
                <w:szCs w:val="20"/>
                <w:color w:val="auto"/>
              </w:rPr>
            </w:pPr>
            <w:r>
              <w:rPr>
                <w:rFonts w:ascii="Arial" w:cs="Arial" w:eastAsia="Arial" w:hAnsi="Arial"/>
                <w:sz w:val="18"/>
                <w:szCs w:val="18"/>
                <w:color w:val="auto"/>
              </w:rPr>
              <w:t>42.2 %</w:t>
            </w:r>
          </w:p>
        </w:tc>
        <w:tc>
          <w:tcPr>
            <w:tcW w:w="1860" w:type="dxa"/>
            <w:vAlign w:val="bottom"/>
            <w:gridSpan w:val="2"/>
          </w:tcPr>
          <w:p>
            <w:pPr>
              <w:jc w:val="right"/>
              <w:ind w:right="50"/>
              <w:spacing w:after="0"/>
              <w:rPr>
                <w:sz w:val="20"/>
                <w:szCs w:val="20"/>
                <w:color w:val="auto"/>
              </w:rPr>
            </w:pPr>
            <w:r>
              <w:rPr>
                <w:rFonts w:ascii="Arial" w:cs="Arial" w:eastAsia="Arial" w:hAnsi="Arial"/>
                <w:sz w:val="18"/>
                <w:szCs w:val="18"/>
                <w:color w:val="auto"/>
              </w:rPr>
              <w:t>43.6 %</w:t>
            </w:r>
          </w:p>
        </w:tc>
        <w:tc>
          <w:tcPr>
            <w:tcW w:w="1840" w:type="dxa"/>
            <w:vAlign w:val="bottom"/>
            <w:gridSpan w:val="2"/>
          </w:tcPr>
          <w:p>
            <w:pPr>
              <w:jc w:val="right"/>
              <w:ind w:right="50"/>
              <w:spacing w:after="0"/>
              <w:rPr>
                <w:sz w:val="20"/>
                <w:szCs w:val="20"/>
                <w:color w:val="auto"/>
              </w:rPr>
            </w:pPr>
            <w:r>
              <w:rPr>
                <w:rFonts w:ascii="Arial" w:cs="Arial" w:eastAsia="Arial" w:hAnsi="Arial"/>
                <w:sz w:val="18"/>
                <w:szCs w:val="18"/>
                <w:color w:val="auto"/>
              </w:rPr>
              <w:t>52.9 %</w:t>
            </w:r>
          </w:p>
        </w:tc>
        <w:tc>
          <w:tcPr>
            <w:tcW w:w="0" w:type="dxa"/>
            <w:vAlign w:val="bottom"/>
          </w:tcPr>
          <w:p>
            <w:pPr>
              <w:spacing w:after="0"/>
              <w:rPr>
                <w:sz w:val="1"/>
                <w:szCs w:val="1"/>
                <w:color w:val="auto"/>
              </w:rPr>
            </w:pPr>
          </w:p>
        </w:tc>
      </w:tr>
      <w:tr>
        <w:trPr>
          <w:trHeight w:val="216"/>
        </w:trPr>
        <w:tc>
          <w:tcPr>
            <w:tcW w:w="3360" w:type="dxa"/>
            <w:vAlign w:val="bottom"/>
            <w:gridSpan w:val="3"/>
            <w:shd w:val="clear" w:color="auto" w:fill="CCEEFF"/>
          </w:tcPr>
          <w:p>
            <w:pPr>
              <w:ind w:left="20"/>
              <w:spacing w:after="0" w:line="216" w:lineRule="exact"/>
              <w:rPr>
                <w:sz w:val="20"/>
                <w:szCs w:val="20"/>
                <w:color w:val="auto"/>
              </w:rPr>
            </w:pPr>
            <w:r>
              <w:rPr>
                <w:rFonts w:ascii="Arial" w:cs="Arial" w:eastAsia="Arial" w:hAnsi="Arial"/>
                <w:sz w:val="17"/>
                <w:szCs w:val="17"/>
                <w:color w:val="auto"/>
              </w:rPr>
              <w:t>IVF multiples rate</w:t>
            </w:r>
            <w:r>
              <w:rPr>
                <w:rFonts w:ascii="Arial" w:cs="Arial" w:eastAsia="Arial" w:hAnsi="Arial"/>
                <w:sz w:val="25"/>
                <w:szCs w:val="25"/>
                <w:color w:val="auto"/>
                <w:vertAlign w:val="superscript"/>
              </w:rPr>
              <w:t>(2)</w:t>
            </w:r>
          </w:p>
        </w:tc>
        <w:tc>
          <w:tcPr>
            <w:tcW w:w="18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9.9 %</w:t>
            </w:r>
          </w:p>
        </w:tc>
        <w:tc>
          <w:tcPr>
            <w:tcW w:w="18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9.1 %</w:t>
            </w:r>
          </w:p>
        </w:tc>
        <w:tc>
          <w:tcPr>
            <w:tcW w:w="18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040" w:right="279" w:hanging="315"/>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Calculated based on the Society for Assisted Reproductive Technology, or SART, 2018 National Summary Report, finalized in 2021.</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Calculated based on CDC, 2019 National Summary and Clinic Data Sets, published in 2021.</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Calculated based on the 12-month period ended December 31, 2020.</w:t>
      </w:r>
    </w:p>
    <w:p>
      <w:pPr>
        <w:spacing w:after="0" w:line="225"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b w:val="1"/>
          <w:bCs w:val="1"/>
          <w:i w:val="1"/>
          <w:iCs w:val="1"/>
          <w:color w:val="auto"/>
        </w:rPr>
        <w:t>Fertility Benefits Solution</w:t>
      </w:r>
      <w:r>
        <w:rPr>
          <w:rFonts w:ascii="Arial" w:cs="Arial" w:eastAsia="Arial" w:hAnsi="Arial"/>
          <w:sz w:val="16"/>
          <w:szCs w:val="16"/>
          <w:color w:val="auto"/>
        </w:rPr>
        <w:t>. Our fertility benefits solution includes providing members with access to effective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cost-efficient fertility treatments through our Smart Cycle plan design. Smart Cycles are proprietary treatment bundles designed by us to include those medical services available to our members through our selective network of high-quality fertility specialists. Medical services under our Smart Cycles include everything needed for a comprehensive fertility treatment cycle, including all necessary diagnostic testing and access to the latest technology (such as, in the case of in</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vitro fertilization, or IVF, preimplantation genetic testing). We currently offer 19 different Smart Cycle treatment bundles, which may be used in various combinations depending on the member’s need. Each Smart Cycle treatment bundle has a separate unit value (i.e., some have fractional values and some have whole values). Our clients contract to purchase a cumulative Smart Cycle unit value per eligible member. These can range from one to an unlimited unit value. Members, in consultation with their Patient Care Advocates, or PCAs, can choose their preferred provider clinics within our network and utilize the specific Smart Cycle treatment bundles necessary for the treatment pathway they determine throughout their fertility journey.</w:t>
      </w:r>
    </w:p>
    <w:p>
      <w:pPr>
        <w:spacing w:after="0" w:line="19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In addition, we provide care management services as part of our fertility benefits solution, which include active management of our selective network of high-quality fertility specialists, real-time member eligibility and treatment authorization, member-facing digital solutions, detailed quarterly reporting for our clients supported by our dedicated account management teams and end-to-end comprehensive concierge member support provided by our in-house staff of PCAs. Clients can also add adoption and surrogacy reimbursement programs as part of this solution.</w:t>
      </w:r>
    </w:p>
    <w:p>
      <w:pPr>
        <w:spacing w:after="0" w:line="176"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b w:val="1"/>
          <w:bCs w:val="1"/>
          <w:i w:val="1"/>
          <w:iCs w:val="1"/>
          <w:color w:val="auto"/>
        </w:rPr>
        <w:t xml:space="preserve">Progyny Rx. </w:t>
      </w:r>
      <w:r>
        <w:rPr>
          <w:rFonts w:ascii="Arial" w:cs="Arial" w:eastAsia="Arial" w:hAnsi="Arial"/>
          <w:sz w:val="18"/>
          <w:szCs w:val="18"/>
          <w:color w:val="auto"/>
        </w:rPr>
        <w:t>We went live with our integrated pharmacy benefits solution in 2018. Progyny Rx can only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purchased by clients that purchase our fertility benefits solution. Progyny Rx provides our members with access to the medications needed during their fertility treatment. As part of this solution, we provide care management services, which include our formulary plan design, simplified authorization, assistance with prescription fulfillment and timely delivery of the medications by our network of specialty pharmacies, as well as medication administration training, pharmacy support services and continuing PCA support.</w:t>
      </w:r>
    </w:p>
    <w:p>
      <w:pPr>
        <w:spacing w:after="0" w:line="192"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b w:val="1"/>
          <w:bCs w:val="1"/>
          <w:i w:val="1"/>
          <w:iCs w:val="1"/>
          <w:color w:val="auto"/>
        </w:rPr>
        <w:t xml:space="preserve">Our Clients. </w:t>
      </w:r>
      <w:r>
        <w:rPr>
          <w:rFonts w:ascii="Arial" w:cs="Arial" w:eastAsia="Arial" w:hAnsi="Arial"/>
          <w:sz w:val="16"/>
          <w:szCs w:val="16"/>
          <w:color w:val="auto"/>
        </w:rPr>
        <w:t>We currently serve over 180 employers with at least 1,000 covered lives in the United States across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more than 30 industries. Our current clients, who are industry leaders across both high-growth and mature industries and who range in size from approximately 1,000 to 500,000 employees, represent approximately 2.8 million covered lives.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Model</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Our clients primarily contract with us to provide our fertility benefits solution and, where added on by our clients, our Progyny Rx solution. Our revenue has both a utilization-based component and a population-based component, as follows:</w:t>
      </w:r>
    </w:p>
    <w:p>
      <w:pPr>
        <w:spacing w:after="0" w:line="184" w:lineRule="exact"/>
        <w:rPr>
          <w:sz w:val="20"/>
          <w:szCs w:val="20"/>
          <w:color w:val="auto"/>
        </w:rPr>
      </w:pPr>
    </w:p>
    <w:p>
      <w:pPr>
        <w:jc w:val="both"/>
        <w:ind w:left="1040" w:right="79" w:hanging="315"/>
        <w:spacing w:after="0" w:line="254"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Utilization Component. </w:t>
      </w:r>
      <w:r>
        <w:rPr>
          <w:rFonts w:ascii="Arial" w:cs="Arial" w:eastAsia="Arial" w:hAnsi="Arial"/>
          <w:sz w:val="18"/>
          <w:szCs w:val="18"/>
          <w:color w:val="auto"/>
        </w:rPr>
        <w:t>Clients pay us for the fertility benefits and Progyny Rx solutions utilized by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With respect to the fertility benefits solution, we bill clients for Smart Cycles in accordance with our bundled case rates, which vary by the type of fertility service rendered and clinic location. Case rates include all third-party fertility specialists, anesthesiology and laboratory services, as well as all of our care management services. With respect to Progyny Rx, we bill the client for the fertility medication dispensed to their employees in connection with the authorized fertility treatments. Medication fees also include our formulary management, drug utilization review and cost containment services and other care management services.</w:t>
      </w:r>
    </w:p>
    <w:p>
      <w:pPr>
        <w:spacing w:after="0" w:line="191" w:lineRule="exact"/>
        <w:rPr>
          <w:rFonts w:ascii="Arial" w:cs="Arial" w:eastAsia="Arial" w:hAnsi="Arial"/>
          <w:sz w:val="18"/>
          <w:szCs w:val="18"/>
          <w:color w:val="auto"/>
        </w:rPr>
      </w:pPr>
    </w:p>
    <w:p>
      <w:pPr>
        <w:jc w:val="both"/>
        <w:ind w:left="1040" w:right="79" w:hanging="315"/>
        <w:spacing w:after="0" w:line="275" w:lineRule="auto"/>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Population-Based Component. </w:t>
      </w:r>
      <w:r>
        <w:rPr>
          <w:rFonts w:ascii="Arial" w:cs="Arial" w:eastAsia="Arial" w:hAnsi="Arial"/>
          <w:sz w:val="17"/>
          <w:szCs w:val="17"/>
          <w:color w:val="auto"/>
        </w:rPr>
        <w:t>Clients who purchase our fertility benefits solution also typically pay us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 employee per month fee, or PEPM fee, which is population-based. This allows us to provide access to our PCAs for fertility and family building education and guidance and other digital tools to all of our members, regardless of whether they ultimately pursue fertility treatment. PEPM fees represented 1% and 2% of our total revenue for the six months ended June 30, 2021 and 2020, respectively.</w:t>
      </w:r>
    </w:p>
    <w:p>
      <w:pPr>
        <w:spacing w:after="0" w:line="176"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Our revenue in a given year is determined by both the utilization of our fertility benefits and Progyny Rx solutions by our members and the number of members enrolled in our clients’ benefits plans. Each year, we contract with new clients for our fertility benefits solution and, where added by the client, our Progyny Rx solution. Given that the majority of our clients contract with us for a January 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benefits plan start date, our sales cycle follows the conventional healthcare benefits cycle, which largely concludes by the end of October of the prior year to allow for benefits education and annual open enrollment to occur in November. For some clients that are considering a start date later in the year, the sales cycle can extend through the next year.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firstLine="648"/>
        <w:spacing w:after="0" w:line="340" w:lineRule="auto"/>
        <w:rPr>
          <w:sz w:val="20"/>
          <w:szCs w:val="20"/>
          <w:color w:val="auto"/>
        </w:rPr>
      </w:pPr>
      <w:r>
        <w:rPr>
          <w:rFonts w:ascii="Arial" w:cs="Arial" w:eastAsia="Arial" w:hAnsi="Arial"/>
          <w:sz w:val="16"/>
          <w:szCs w:val="16"/>
          <w:color w:val="auto"/>
        </w:rPr>
        <w:t>Similarly, for existing clients, any changes in plan designs are typically elected by the end of October so that clients can inform their employees of the benefits during the open enrollment period ahead of a January 1</w:t>
      </w:r>
      <w:r>
        <w:rPr>
          <w:rFonts w:ascii="Arial" w:cs="Arial" w:eastAsia="Arial" w:hAnsi="Arial"/>
          <w:sz w:val="23"/>
          <w:szCs w:val="23"/>
          <w:color w:val="auto"/>
          <w:vertAlign w:val="superscript"/>
        </w:rPr>
        <w:t>st</w:t>
      </w:r>
      <w:r>
        <w:rPr>
          <w:rFonts w:ascii="Arial" w:cs="Arial" w:eastAsia="Arial" w:hAnsi="Arial"/>
          <w:sz w:val="16"/>
          <w:szCs w:val="16"/>
          <w:color w:val="auto"/>
        </w:rPr>
        <w:t xml:space="preserve"> plan year start.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Key Operational and Business Metrics</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In addition to the measures presented in our consolidated financial statements, we use the following key operational and business metrics to evaluate our business, measure our performance, develop financial forecasts, and make strategic decisions.</w:t>
      </w:r>
    </w:p>
    <w:p>
      <w:pPr>
        <w:spacing w:after="0" w:line="184"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b w:val="1"/>
          <w:bCs w:val="1"/>
          <w:i w:val="1"/>
          <w:iCs w:val="1"/>
          <w:color w:val="auto"/>
        </w:rPr>
        <w:t xml:space="preserve">Member and Client Base. </w:t>
      </w:r>
      <w:r>
        <w:rPr>
          <w:rFonts w:ascii="Arial" w:cs="Arial" w:eastAsia="Arial" w:hAnsi="Arial"/>
          <w:sz w:val="17"/>
          <w:szCs w:val="17"/>
          <w:color w:val="auto"/>
        </w:rPr>
        <w:t>Our addressable market is primarily large self-insured employers. There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approximately 8,000 employers in the United States (excluding quasi-governmental entities, such as universities and school systems, and labor unions) who have a minimum of 1,000 employees, representing approximately 69 million potential covered lives in total. Our current member base of approximately 2.8 million lives represents a single digit percent of our total market opportunity. We intend to continue to drive new client acquisition by investing significantly in sales and marketing to engage, educate and drive awareness of the unmet need around fertility solutions among benefits executives. We also increase brand awareness and adoption with employers by leveraging our strong relationships with benefits consultants. In particular, we are focused on expanding the number of clients with more than 2,500 covered lives. As of June 30, 2021 and June 30, 2020, we served 182 and 134 clients, respectively.</w:t>
      </w:r>
    </w:p>
    <w:p>
      <w:pPr>
        <w:spacing w:after="0" w:line="181"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Importantly, as we have continued to grow, we have meaningfully diversified our client base across more than 30 different industries currently from just two industries when we launched our fertility benefits solution in 2016. We are expanding our client base within each industry and have an industry-specific strategy that enables us to most effectively target our addressable market. Because our clients within an industry compete with each other for employees, we believe our solutions are increasingly viewed as an important way for them to differentiate from, or remain competitive with, one another. Additionally, we believe that our expanding presence has resulted in a heightened awareness of the need to offer fertility benefits and has informed the market of the value we provide to our clients and our members, which we believe also helps facilitate growth. In addition, we are continuously utilizing our established client relationships to evaluate other potential fertility solutions that could benefit our members and simultaneously drive growth. Our ability to attract new clients will depend on a number of factors, including the effectiveness and pricing of our solutions, offerings of our competitors, the effectiveness of our marketing efforts to drive awareness and the demand for fertility benefits solutions overall. We define a client as an organization for which we have an active contract in the period indicated. We count each organization we contract with as a single client including divisions, segments or subsidiaries of larger organizations to the extent we contract separately with them.</w:t>
      </w:r>
    </w:p>
    <w:p>
      <w:pPr>
        <w:spacing w:after="0" w:line="184"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b w:val="1"/>
          <w:bCs w:val="1"/>
          <w:i w:val="1"/>
          <w:iCs w:val="1"/>
          <w:color w:val="auto"/>
        </w:rPr>
        <w:t>Benefits Utilization</w:t>
      </w:r>
      <w:r>
        <w:rPr>
          <w:rFonts w:ascii="Arial" w:cs="Arial" w:eastAsia="Arial" w:hAnsi="Arial"/>
          <w:sz w:val="18"/>
          <w:szCs w:val="18"/>
          <w:color w:val="auto"/>
        </w:rPr>
        <w:t>. A key driver of our revenue is the number of members we serve and the rate at which they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utilize their fertility benefits. As our client base has grown, our membership has grown from approximately 110,000 members in 2016 when we launched our fertility benefits solution to approximately 2.8 million members as of June 30, 2021.</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table highlights the number of assisted reproductive treatment, or ART, cycles performed for</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Progyny members and the member utilization rates for each of the periods presented:</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26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23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Six Months Ended</w:t>
            </w:r>
          </w:p>
        </w:tc>
      </w:tr>
      <w:tr>
        <w:trPr>
          <w:trHeight w:val="171"/>
        </w:trPr>
        <w:tc>
          <w:tcPr>
            <w:tcW w:w="3860" w:type="dxa"/>
            <w:vAlign w:val="bottom"/>
          </w:tcPr>
          <w:p>
            <w:pPr>
              <w:spacing w:after="0"/>
              <w:rPr>
                <w:sz w:val="14"/>
                <w:szCs w:val="14"/>
                <w:color w:val="auto"/>
              </w:rPr>
            </w:pPr>
          </w:p>
        </w:tc>
        <w:tc>
          <w:tcPr>
            <w:tcW w:w="1520" w:type="dxa"/>
            <w:vAlign w:val="bottom"/>
            <w:tcBorders>
              <w:bottom w:val="single" w:sz="8" w:color="auto"/>
            </w:tcBorders>
            <w:gridSpan w:val="3"/>
          </w:tcPr>
          <w:p>
            <w:pPr>
              <w:jc w:val="center"/>
              <w:ind w:left="758"/>
              <w:spacing w:after="0"/>
              <w:rPr>
                <w:sz w:val="20"/>
                <w:szCs w:val="20"/>
                <w:color w:val="auto"/>
              </w:rPr>
            </w:pPr>
            <w:r>
              <w:rPr>
                <w:rFonts w:ascii="Arial" w:cs="Arial" w:eastAsia="Arial" w:hAnsi="Arial"/>
                <w:sz w:val="14"/>
                <w:szCs w:val="14"/>
                <w:b w:val="1"/>
                <w:bCs w:val="1"/>
                <w:color w:val="auto"/>
                <w:w w:val="92"/>
              </w:rPr>
              <w:t>June 30,</w:t>
            </w:r>
          </w:p>
        </w:tc>
        <w:tc>
          <w:tcPr>
            <w:tcW w:w="8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Borders>
              <w:bottom w:val="single" w:sz="8" w:color="auto"/>
            </w:tcBorders>
            <w:gridSpan w:val="3"/>
          </w:tcPr>
          <w:p>
            <w:pPr>
              <w:jc w:val="center"/>
              <w:ind w:left="738"/>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14"/>
                <w:szCs w:val="14"/>
                <w:color w:val="auto"/>
              </w:rPr>
            </w:pPr>
          </w:p>
        </w:tc>
      </w:tr>
      <w:tr>
        <w:trPr>
          <w:trHeight w:val="142"/>
        </w:trPr>
        <w:tc>
          <w:tcPr>
            <w:tcW w:w="386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jc w:val="right"/>
              <w:ind w:right="358"/>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278"/>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3860" w:type="dxa"/>
            <w:vAlign w:val="bottom"/>
            <w:shd w:val="clear" w:color="auto" w:fill="CCEEFF"/>
          </w:tcPr>
          <w:p>
            <w:pPr>
              <w:ind w:left="20"/>
              <w:spacing w:after="0" w:line="210" w:lineRule="exact"/>
              <w:rPr>
                <w:sz w:val="20"/>
                <w:szCs w:val="20"/>
                <w:color w:val="auto"/>
              </w:rPr>
            </w:pPr>
            <w:r>
              <w:rPr>
                <w:rFonts w:ascii="Arial" w:cs="Arial" w:eastAsia="Arial" w:hAnsi="Arial"/>
                <w:sz w:val="17"/>
                <w:szCs w:val="17"/>
                <w:color w:val="auto"/>
              </w:rPr>
              <w:t>Assisted Reproductive Treatment (ART) Cycles</w:t>
            </w:r>
            <w:r>
              <w:rPr>
                <w:rFonts w:ascii="Arial" w:cs="Arial" w:eastAsia="Arial" w:hAnsi="Arial"/>
                <w:sz w:val="24"/>
                <w:szCs w:val="24"/>
                <w:color w:val="auto"/>
                <w:vertAlign w:val="superscript"/>
              </w:rPr>
              <w:t>(1)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7,877</w:t>
            </w:r>
          </w:p>
        </w:tc>
      </w:tr>
      <w:tr>
        <w:trPr>
          <w:trHeight w:val="216"/>
        </w:trPr>
        <w:tc>
          <w:tcPr>
            <w:tcW w:w="3860" w:type="dxa"/>
            <w:vAlign w:val="bottom"/>
          </w:tcPr>
          <w:p>
            <w:pPr>
              <w:ind w:left="20"/>
              <w:spacing w:after="0" w:line="216" w:lineRule="exact"/>
              <w:rPr>
                <w:sz w:val="20"/>
                <w:szCs w:val="20"/>
                <w:color w:val="auto"/>
              </w:rPr>
            </w:pPr>
            <w:r>
              <w:rPr>
                <w:rFonts w:ascii="Arial" w:cs="Arial" w:eastAsia="Arial" w:hAnsi="Arial"/>
                <w:sz w:val="17"/>
                <w:szCs w:val="17"/>
                <w:color w:val="auto"/>
              </w:rPr>
              <w:t>Utilization - All Members</w:t>
            </w:r>
            <w:r>
              <w:rPr>
                <w:rFonts w:ascii="Arial" w:cs="Arial" w:eastAsia="Arial" w:hAnsi="Arial"/>
                <w:sz w:val="25"/>
                <w:szCs w:val="25"/>
                <w:color w:val="auto"/>
                <w:vertAlign w:val="superscript"/>
              </w:rPr>
              <w:t>(2)</w:t>
            </w:r>
          </w:p>
        </w:tc>
        <w:tc>
          <w:tcPr>
            <w:tcW w:w="1180" w:type="dxa"/>
            <w:vAlign w:val="bottom"/>
          </w:tcPr>
          <w:p>
            <w:pPr>
              <w:jc w:val="right"/>
              <w:spacing w:after="0"/>
              <w:rPr>
                <w:sz w:val="20"/>
                <w:szCs w:val="20"/>
                <w:color w:val="auto"/>
              </w:rPr>
            </w:pPr>
            <w:r>
              <w:rPr>
                <w:rFonts w:ascii="Arial" w:cs="Arial" w:eastAsia="Arial" w:hAnsi="Arial"/>
                <w:sz w:val="18"/>
                <w:szCs w:val="18"/>
                <w:color w:val="auto"/>
              </w:rPr>
              <w:t>0.54%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0.35%</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0.83%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0.66%</w:t>
            </w:r>
          </w:p>
        </w:tc>
      </w:tr>
      <w:tr>
        <w:trPr>
          <w:trHeight w:val="216"/>
        </w:trPr>
        <w:tc>
          <w:tcPr>
            <w:tcW w:w="386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color w:val="auto"/>
              </w:rPr>
              <w:t>Utilization - Female Only</w:t>
            </w:r>
            <w:r>
              <w:rPr>
                <w:rFonts w:ascii="Arial" w:cs="Arial" w:eastAsia="Arial" w:hAnsi="Arial"/>
                <w:sz w:val="25"/>
                <w:szCs w:val="25"/>
                <w:color w:val="auto"/>
                <w:vertAlign w:val="superscript"/>
              </w:rPr>
              <w:t>(2)</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Average Members</w:t>
            </w:r>
          </w:p>
        </w:tc>
        <w:tc>
          <w:tcPr>
            <w:tcW w:w="1180" w:type="dxa"/>
            <w:vAlign w:val="bottom"/>
          </w:tcPr>
          <w:p>
            <w:pPr>
              <w:jc w:val="right"/>
              <w:spacing w:after="0"/>
              <w:rPr>
                <w:sz w:val="20"/>
                <w:szCs w:val="20"/>
                <w:color w:val="auto"/>
              </w:rPr>
            </w:pPr>
            <w:r>
              <w:rPr>
                <w:rFonts w:ascii="Arial" w:cs="Arial" w:eastAsia="Arial" w:hAnsi="Arial"/>
                <w:sz w:val="18"/>
                <w:szCs w:val="18"/>
                <w:color w:val="auto"/>
              </w:rPr>
              <w:t>2,795,000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2,137,000</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2,735,000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2,099,000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67945</wp:posOffset>
            </wp:positionV>
            <wp:extent cx="141414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8" w:lineRule="exact"/>
        <w:rPr>
          <w:sz w:val="20"/>
          <w:szCs w:val="20"/>
          <w:color w:val="auto"/>
        </w:rPr>
      </w:pPr>
    </w:p>
    <w:p>
      <w:pPr>
        <w:ind w:left="380" w:right="79" w:hanging="330"/>
        <w:spacing w:after="0" w:line="277" w:lineRule="auto"/>
        <w:tabs>
          <w:tab w:leader="none" w:pos="380" w:val="left"/>
        </w:tabs>
        <w:numPr>
          <w:ilvl w:val="0"/>
          <w:numId w:val="18"/>
        </w:numPr>
        <w:rPr>
          <w:rFonts w:ascii="Arial" w:cs="Arial" w:eastAsia="Arial" w:hAnsi="Arial"/>
          <w:sz w:val="18"/>
          <w:szCs w:val="18"/>
          <w:color w:val="231F20"/>
        </w:rPr>
      </w:pPr>
      <w:r>
        <w:rPr>
          <w:rFonts w:ascii="Arial" w:cs="Arial" w:eastAsia="Arial" w:hAnsi="Arial"/>
          <w:sz w:val="18"/>
          <w:szCs w:val="18"/>
          <w:color w:val="auto"/>
        </w:rPr>
        <w:t>Represents the number of ART cycles performed, including IVF with a fresh embryo transfer, IVF freeze all cycles/embryo banking, frozen embryo transfers and egg freezing.</w:t>
      </w:r>
    </w:p>
    <w:p>
      <w:pPr>
        <w:spacing w:after="0" w:line="21" w:lineRule="exact"/>
        <w:rPr>
          <w:rFonts w:ascii="Arial" w:cs="Arial" w:eastAsia="Arial" w:hAnsi="Arial"/>
          <w:sz w:val="18"/>
          <w:szCs w:val="18"/>
          <w:color w:val="231F20"/>
        </w:rPr>
      </w:pPr>
    </w:p>
    <w:p>
      <w:pPr>
        <w:ind w:left="380" w:right="79" w:hanging="330"/>
        <w:spacing w:after="0" w:line="342" w:lineRule="auto"/>
        <w:tabs>
          <w:tab w:leader="none" w:pos="380" w:val="left"/>
        </w:tabs>
        <w:numPr>
          <w:ilvl w:val="0"/>
          <w:numId w:val="18"/>
        </w:numPr>
        <w:rPr>
          <w:rFonts w:ascii="Arial" w:cs="Arial" w:eastAsia="Arial" w:hAnsi="Arial"/>
          <w:sz w:val="16"/>
          <w:szCs w:val="16"/>
          <w:color w:val="231F20"/>
        </w:rPr>
      </w:pPr>
      <w:r>
        <w:rPr>
          <w:rFonts w:ascii="Arial" w:cs="Arial" w:eastAsia="Arial" w:hAnsi="Arial"/>
          <w:sz w:val="16"/>
          <w:szCs w:val="16"/>
          <w:color w:val="auto"/>
        </w:rPr>
        <w:t>Represents the member utilization rate for all services, including but not limited to, ART cycles, initial consultations, IUIs and genetic testing. The utilization rate for all members includes all unique members (female and male) who</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380" w:right="79"/>
        <w:spacing w:after="0" w:line="259" w:lineRule="auto"/>
        <w:rPr>
          <w:sz w:val="20"/>
          <w:szCs w:val="20"/>
          <w:color w:val="auto"/>
        </w:rPr>
      </w:pPr>
      <w:r>
        <w:rPr>
          <w:rFonts w:ascii="Arial" w:cs="Arial" w:eastAsia="Arial" w:hAnsi="Arial"/>
          <w:sz w:val="18"/>
          <w:szCs w:val="18"/>
          <w:color w:val="auto"/>
        </w:rPr>
        <w:t>utilize the benefit during that period while the utilization rate for female only includes only unique females who utilize the benefit during that period. For the purposes of calculating utilization rates in any given period, the results reflect the number of unique members utilizing the benefit for that period. Individual periods cannot be combined as member treatments may span multiple periods.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Impact of COVID-19 on our Business</w:t>
      </w:r>
    </w:p>
    <w:p>
      <w:pPr>
        <w:spacing w:after="0" w:line="229" w:lineRule="exact"/>
        <w:rPr>
          <w:sz w:val="20"/>
          <w:szCs w:val="20"/>
          <w:color w:val="auto"/>
        </w:rPr>
      </w:pPr>
    </w:p>
    <w:p>
      <w:pPr>
        <w:jc w:val="both"/>
        <w:ind w:left="60" w:right="79" w:firstLine="648"/>
        <w:spacing w:after="0" w:line="279" w:lineRule="auto"/>
        <w:rPr>
          <w:sz w:val="20"/>
          <w:szCs w:val="20"/>
          <w:color w:val="auto"/>
        </w:rPr>
      </w:pPr>
      <w:r>
        <w:rPr>
          <w:rFonts w:ascii="Arial" w:cs="Arial" w:eastAsia="Arial" w:hAnsi="Arial"/>
          <w:sz w:val="17"/>
          <w:szCs w:val="17"/>
          <w:color w:val="auto"/>
        </w:rPr>
        <w:t>The COVID-19 pandemic has significantly impacted various markets around the world, including the United States. As described below, restrictions related to COVID-19, including variants, and our responses to them have significantly impacted and may continue to impact how our members use our services, access our providers, and how our employees work and provide services to our clients and members, resulting in an impact on our revenue.</w:t>
      </w:r>
    </w:p>
    <w:p>
      <w:pPr>
        <w:spacing w:after="0" w:line="171"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Employee safety is our first priority, and as a result, we have implemented a remote working policy for all of our employees. Although we re-opened our corporate offices for a small group of employees, while implementing additional safety measures including testing, masks and social distancing protocols, the majority of our employees continue to work remotely. We are also working closely with all of our clients, members, providers and other external business partners. We believe we have sufficient liquidity to satisfy our cash needs, however, we continue to evaluate monitor liquidity, as necessary, and ensure that our business can continue to operate during these uncertain times.</w:t>
      </w:r>
    </w:p>
    <w:p>
      <w:pPr>
        <w:spacing w:after="0" w:line="178"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 outbreak and preventative measures taken to contain COVID-19, especially in the first half of 2020, negatively impacted our members’ access to care due to a temporary unavailability of the full range of fertility treatments at our provider clinics. In March 2020, the American Society for Reproductive Medicine, or ASRM, issued guidelines recommending enhanced safety protocols for patient safety. Those guidelines were lifted in May 2020, which has enabled our clinics to resume care. COVID-19 and related restrictions did continue to have a negative impact on our revenue growth for the three and six months ended June 30, 2021.</w:t>
      </w:r>
    </w:p>
    <w:p>
      <w:pPr>
        <w:spacing w:after="0" w:line="192"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The full extent to which the COVID-19 pandemic will directly or indirectly impact our business, future results of operations and financial condition will depend on future developments that are highly uncertain and cannot be accurately predicted, including, without limitation, new information that may emerge concerning COVID-19 and variants; the timing, extent, trajectory and duration of the pandemic; the availability, distribution and effectiveness of vaccines; the imposition of protective public safety measures; and the economic impact on local, regional and national markets. To the extent that the markets we serve experience increased cases of COVID-19, state or local governments may reinstitute measures to control its spread, which could again negatively impact our members’ access to care. We will continue to evaluate the nature and extent of these potential impacts to our business, results of operations and liquidity.</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For additional information on the various risks posed by the COVID-19 pandemic, please read Part II, Item 1A.</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Risk Factors included in this Quarterly Report on Form 10-Q.</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Revenue includes fertility benefits solution revenue, pharmacy benefits solution revenue and PEPM fees.</w:t>
      </w:r>
    </w:p>
    <w:p>
      <w:pPr>
        <w:spacing w:after="0" w:line="23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Fertility Benefits Solution Revenue</w:t>
      </w:r>
    </w:p>
    <w:p>
      <w:pPr>
        <w:spacing w:after="0" w:line="225"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Fertility benefits solution revenue primarily represents utilization of our fertility benefits solution. Our client contracts are typically for a three-year term and pricing for this solution is established for each Smart Cycle treatment bundle, based in part on when the client first became a client and the number of members covered under the solution. Fertility benefits solution revenue includes amounts we receive directly from members, including deductibles, co-insurance and co-payments associated with the treatments under the fertility benefits solution. Revenue is recognized based on the negotiated price with our clients and includes the portion to be paid directly by the member. Revenue is recognized when the Smart Cycle is completed for a member. Revenue is also accrued for authorized Smart Cycles rendered based on member appointments scheduled with a fertility specialist in our network but for which no claim has yet been reported.</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Pharmacy Benefits Solution Revenue</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Pharmacy benefits solution revenue primarily represents utilization of Progyny Rx. For clients who contract for the fertility benefits solution, we offer an add-on, separate, fully integrated pharmacy benefits solution designed by us. Progyny Rx provides our members with access to our formulary plan design, simplified authorization, prescription fulfillment and timely delivery of the medications used during treatment through our network of specialty pharmacies, as well as provides our members with medication administration training and other pharmacy support services. Prescription drugs are dispensed by our contracted mail order specialty pharmacies. Revenue related to the dispensing of prescription drugs by the specialty pharmacies in our network includes the prescription fees negotiated with our clients, including the portion that we collect directly from members (deductibles, co-insurance and co-payments). The contractual fees agreed to with our clients are inclusive of the cost of the prescription drug from our specialty providers, less any applicable discounts, as well as the related clinical and care management services. Revenue from these arrangements is recognized when the drugs are dispensed. This solution was introduced in the marketplace in the third quarter of 2017 and went live with a select number of clients on January 1, 2018.</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Per employee per month (PEPM) fee</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Clients who purchase our fertility benefits solution also pay us a population based PEPM fee which provides access to our PCAs for fertility and family building education and guidance and other digital tools for all of our covered members, regardless of whether or not they ultimately pursue fertility treatment. We earn a PEPM fee for the majority of our clients. Revenue from the PEPM fee is billed and recognized monthly based upon the contractual fee and the number of employees at that specific client for that month.</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Our cost of services has three primary components: (1) fertility benefit services; (2) pharmacy benefit services; and (3) vendor rebates.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Fertility Benefit Services</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Fertility benefit services costs include: (1) fees paid to provider clinics within our network, labs and anesthesiologists; (2) costs incurred (including salaries, bonuses, benefits, stock-based compensation, other related costs, and an allocation of our general overhead, depreciation and amortization) for those employees associated with our care management service functions: Provider Account Management, PCA, Provider Relations and Claims Processing teams; and (3) related information technology support costs. Our contracts with provider clinics are typically for a term of one to two years.</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Pharmacy Benefit Services</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Pharmacy benefit services costs include: (1) the fees for prescription drugs dispensed and clinical services provided during the reporting period by our specialty pharmacy partners; (2) costs incurred (including salaries, bonuses, benefits, stock-based compensation, other related costs, and an allocation of our general overhead, depreciation and amortization) for those employees associated with our care management service functions: PCA, Provider Relations and Claims Processing teams; and (3) related information technology support costs. Contracts with the specialty pharmacies are typically for a term of one year.</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Vendor Rebates</w:t>
      </w:r>
    </w:p>
    <w:p>
      <w:pPr>
        <w:spacing w:after="0" w:line="225"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We receive a rebate on certain medications purchased by our specialty pharmacies. Our contractual arrangements with pharmacy program partners provide for us to receive a rebate from established list prices, which is paid subsequent to dispensing. These rebates are recorded as a reduction to cost of services when prescriptions are dispensed.</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5"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Gross profit is total revenue less total cost of services. Gross margin is gross profit expressed as a percentage of total revenue. We expect that gross profit and gross margin will continue to be affected by various factors including the geographic location where treatments are performed, as well as pricing with each of our clients, provider clinics, labs, specialty pharmacies and pharmaceutical companies, all of which are negotiated separately, have different contracting start and end dates and durations which are not coterminous with each other. Additionally, staffing levels necessary to deliver our care management services will continue to grow as we continue to add clients and their associated members.</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operating expenses consist of sales and marketing and general and administrative expenses.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Sales and Marketing Expense</w:t>
      </w:r>
    </w:p>
    <w:p>
      <w:pPr>
        <w:spacing w:after="0" w:line="225"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Sales and marketing expense consists primarily of employee related costs, including salaries, bonuses, commissions, benefits, stock-based compensation, other related costs, and an allocation of our general overhead, depreciation and amortization for those employees associated with sales and marketing. These expenses also include third-party consulting services, advertising, marketing, promotional events, and brand awareness activities. We expect sales and marketing expense to continue to increase in absolute dollars as we continue to invest and grow our business.</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General and administrative expense consists primarily of employee related costs, including salaries, bonuses, benefits, stock-based compensation, other related costs, and an allocation of our general overhead, depreciation and amortization for those employees associated with general and administrative services such as executive, legal, human resources, information technology, accounting, and finance. These expenses also include third-party consulting services and facilities costs. We anticipate that we will incur additional costs for employees and professional fees and insurance and related third-party consulting services on an ongoing basis as a public company and to support growth in the business.</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Other income primarily includes investment income and interest income.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Benefit (Provision) for Income Taxes</w:t>
      </w:r>
    </w:p>
    <w:p>
      <w:pPr>
        <w:spacing w:after="0" w:line="225"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We are subject to income taxes in the United States. Income tax expense consists of taxes currently payable and changes in deferred tax assets and liabilities calculated according to local tax rules. Deferred income taxes are recorded for the expected tax consequences of temporary differences between the tax basis of assets and liabilities for financial reporting purposes and amounts recognized for income tax purposes. As of each reporting date, management considers new evidence, both positive and negative, that could affect its view of the future realization of deferred tax assets. As of December 31, 2020, we determined that there was sufficient positive evidence to conclude that it is more likely than not that the net deferred tax assets were realizable and released substantially all of our valuation allowance. We continue to maintain this position as of June 30, 2021.</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following tables set forth our results of operations for the periods presented and as a percentage of revenue for those periods: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9"/>
          </w:tcPr>
          <w:p>
            <w:pPr>
              <w:jc w:val="center"/>
              <w:ind w:right="16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7"/>
          </w:tcPr>
          <w:p>
            <w:pPr>
              <w:jc w:val="right"/>
              <w:ind w:right="23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7"/>
          </w:tcPr>
          <w:p>
            <w:pPr>
              <w:ind w:left="400"/>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Statements of Operations Data:</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201"/>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6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40" w:type="dxa"/>
            <w:vAlign w:val="bottom"/>
            <w:gridSpan w:val="8"/>
          </w:tcPr>
          <w:p>
            <w:pPr>
              <w:jc w:val="right"/>
              <w:ind w:right="60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128,651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64,605</w:t>
            </w:r>
          </w:p>
        </w:tc>
        <w:tc>
          <w:tcPr>
            <w:tcW w:w="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250,784</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145,629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Borders>
              <w:bottom w:val="single" w:sz="8" w:color="CCEEFF"/>
            </w:tcBorders>
            <w:gridSpan w:val="2"/>
          </w:tcPr>
          <w:p>
            <w:pPr>
              <w:spacing w:after="0" w:line="216" w:lineRule="exact"/>
              <w:rPr>
                <w:sz w:val="20"/>
                <w:szCs w:val="20"/>
                <w:color w:val="auto"/>
              </w:rPr>
            </w:pPr>
            <w:r>
              <w:rPr>
                <w:rFonts w:ascii="Arial" w:cs="Arial" w:eastAsia="Arial" w:hAnsi="Arial"/>
                <w:sz w:val="17"/>
                <w:szCs w:val="17"/>
                <w:color w:val="auto"/>
              </w:rPr>
              <w:t>Cost of services</w:t>
            </w:r>
            <w:r>
              <w:rPr>
                <w:rFonts w:ascii="Arial" w:cs="Arial" w:eastAsia="Arial" w:hAnsi="Arial"/>
                <w:sz w:val="25"/>
                <w:szCs w:val="25"/>
                <w:color w:val="auto"/>
                <w:vertAlign w:val="superscript"/>
              </w:rPr>
              <w:t>(1)</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99,030</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52,650</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192,256</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117,072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29,621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11,955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58,528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100"/>
              <w:spacing w:after="0" w:line="216" w:lineRule="exact"/>
              <w:rPr>
                <w:sz w:val="20"/>
                <w:szCs w:val="20"/>
                <w:color w:val="auto"/>
              </w:rPr>
            </w:pPr>
            <w:r>
              <w:rPr>
                <w:rFonts w:ascii="Arial" w:cs="Arial" w:eastAsia="Arial" w:hAnsi="Arial"/>
                <w:sz w:val="17"/>
                <w:szCs w:val="17"/>
                <w:color w:val="auto"/>
              </w:rPr>
              <w:t>Sales and marketing</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4,028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8,042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Borders>
              <w:bottom w:val="single" w:sz="8" w:color="CCEEFF"/>
            </w:tcBorders>
            <w:gridSpan w:val="2"/>
          </w:tcPr>
          <w:p>
            <w:pPr>
              <w:ind w:left="100"/>
              <w:spacing w:after="0" w:line="216"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5"/>
                <w:szCs w:val="25"/>
                <w:color w:val="auto"/>
                <w:vertAlign w:val="superscript"/>
              </w:rPr>
              <w:t>(1)</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13,937</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9,419</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27,023</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19,323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17,965</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13,027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35,065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26,198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11,656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(1,072)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23,463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11,920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(1,064)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23,716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6,807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10,177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9"/>
        </w:trPr>
        <w:tc>
          <w:tcPr>
            <w:tcW w:w="4760" w:type="dxa"/>
            <w:vAlign w:val="bottom"/>
            <w:gridSpan w:val="3"/>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18,727</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33,893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2,565</w:t>
            </w:r>
          </w:p>
        </w:tc>
        <w:tc>
          <w:tcPr>
            <w:tcW w:w="0" w:type="dxa"/>
            <w:vAlign w:val="bottom"/>
          </w:tcPr>
          <w:p>
            <w:pPr>
              <w:spacing w:after="0"/>
              <w:rPr>
                <w:sz w:val="1"/>
                <w:szCs w:val="1"/>
                <w:color w:val="auto"/>
              </w:rPr>
            </w:pPr>
          </w:p>
        </w:tc>
      </w:tr>
      <w:tr>
        <w:trPr>
          <w:trHeight w:val="20"/>
        </w:trPr>
        <w:tc>
          <w:tcPr>
            <w:tcW w:w="224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gridSpan w:val="2"/>
          </w:tcPr>
          <w:p>
            <w:pPr>
              <w:spacing w:after="0"/>
              <w:rPr>
                <w:sz w:val="8"/>
                <w:szCs w:val="8"/>
                <w:color w:val="auto"/>
              </w:rPr>
            </w:pPr>
          </w:p>
        </w:tc>
        <w:tc>
          <w:tcPr>
            <w:tcW w:w="2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4760" w:type="dxa"/>
            <w:vAlign w:val="bottom"/>
            <w:gridSpan w:val="3"/>
          </w:tcPr>
          <w:p>
            <w:pPr>
              <w:ind w:left="20"/>
              <w:spacing w:after="0"/>
              <w:rPr>
                <w:sz w:val="20"/>
                <w:szCs w:val="20"/>
                <w:color w:val="auto"/>
              </w:rPr>
            </w:pPr>
            <w:r>
              <w:rPr>
                <w:rFonts w:ascii="Arial" w:cs="Arial" w:eastAsia="Arial" w:hAnsi="Arial"/>
                <w:sz w:val="18"/>
                <w:szCs w:val="18"/>
                <w:color w:val="auto"/>
                <w:w w:val="99"/>
              </w:rPr>
              <w:t>(1) Includes stock-based compensation expense as follows:</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9"/>
          </w:tcPr>
          <w:p>
            <w:pPr>
              <w:jc w:val="center"/>
              <w:ind w:right="16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7"/>
          </w:tcPr>
          <w:p>
            <w:pPr>
              <w:jc w:val="right"/>
              <w:ind w:right="23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7"/>
          </w:tcPr>
          <w:p>
            <w:pPr>
              <w:jc w:val="center"/>
              <w:ind w:left="381"/>
              <w:spacing w:after="0"/>
              <w:rPr>
                <w:sz w:val="20"/>
                <w:szCs w:val="20"/>
                <w:color w:val="auto"/>
              </w:rPr>
            </w:pPr>
            <w:r>
              <w:rPr>
                <w:rFonts w:ascii="Arial" w:cs="Arial" w:eastAsia="Arial" w:hAnsi="Arial"/>
                <w:sz w:val="14"/>
                <w:szCs w:val="14"/>
                <w:b w:val="1"/>
                <w:bCs w:val="1"/>
                <w:color w:val="auto"/>
                <w:w w:val="92"/>
              </w:rPr>
              <w:t>June 30,</w:t>
            </w: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221"/>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2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1,461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47"/>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
              <w:spacing w:after="0"/>
              <w:rPr>
                <w:sz w:val="20"/>
                <w:szCs w:val="20"/>
                <w:color w:val="auto"/>
              </w:rPr>
            </w:pPr>
            <w:r>
              <w:rPr>
                <w:rFonts w:ascii="Arial" w:cs="Arial" w:eastAsia="Arial" w:hAnsi="Arial"/>
                <w:sz w:val="18"/>
                <w:szCs w:val="18"/>
                <w:color w:val="auto"/>
              </w:rPr>
              <w:t>798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1,479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4,258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7,324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3,314</w:t>
            </w:r>
          </w:p>
        </w:tc>
        <w:tc>
          <w:tcPr>
            <w:tcW w:w="0" w:type="dxa"/>
            <w:vAlign w:val="bottom"/>
          </w:tcPr>
          <w:p>
            <w:pPr>
              <w:spacing w:after="0"/>
              <w:rPr>
                <w:sz w:val="1"/>
                <w:szCs w:val="1"/>
                <w:color w:val="auto"/>
              </w:rPr>
            </w:pPr>
          </w:p>
        </w:tc>
      </w:tr>
      <w:tr>
        <w:trPr>
          <w:trHeight w:val="209"/>
        </w:trPr>
        <w:tc>
          <w:tcPr>
            <w:tcW w:w="4760" w:type="dxa"/>
            <w:vAlign w:val="bottom"/>
            <w:gridSpan w:val="3"/>
          </w:tcPr>
          <w:p>
            <w:pPr>
              <w:ind w:left="20"/>
              <w:spacing w:after="0" w:line="207" w:lineRule="exact"/>
              <w:rPr>
                <w:sz w:val="20"/>
                <w:szCs w:val="20"/>
                <w:color w:val="auto"/>
              </w:rPr>
            </w:pPr>
            <w:r>
              <w:rPr>
                <w:rFonts w:ascii="Arial" w:cs="Arial" w:eastAsia="Arial" w:hAnsi="Arial"/>
                <w:sz w:val="18"/>
                <w:szCs w:val="18"/>
                <w:color w:val="auto"/>
              </w:rPr>
              <w:t>Total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8"/>
                <w:szCs w:val="18"/>
                <w:color w:val="auto"/>
              </w:rPr>
              <w:t>6,517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bottom w:val="single" w:sz="8" w:color="auto"/>
            </w:tcBorders>
            <w:gridSpan w:val="2"/>
          </w:tcPr>
          <w:p>
            <w:pPr>
              <w:jc w:val="right"/>
              <w:ind w:right="47"/>
              <w:spacing w:after="0"/>
              <w:rPr>
                <w:sz w:val="20"/>
                <w:szCs w:val="20"/>
                <w:color w:val="auto"/>
              </w:rPr>
            </w:pPr>
            <w:r>
              <w:rPr>
                <w:rFonts w:ascii="Arial" w:cs="Arial" w:eastAsia="Arial" w:hAnsi="Arial"/>
                <w:sz w:val="15"/>
                <w:szCs w:val="15"/>
                <w:color w:val="auto"/>
                <w:w w:val="71"/>
              </w:rPr>
              <w:t>$</w:t>
            </w:r>
          </w:p>
        </w:tc>
        <w:tc>
          <w:tcPr>
            <w:tcW w:w="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11,551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5,590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9"/>
          </w:tcPr>
          <w:p>
            <w:pPr>
              <w:jc w:val="right"/>
              <w:ind w:right="2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7"/>
          </w:tcPr>
          <w:p>
            <w:pPr>
              <w:jc w:val="right"/>
              <w:ind w:right="37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Borders>
              <w:bottom w:val="single" w:sz="8" w:color="auto"/>
            </w:tcBorders>
            <w:gridSpan w:val="9"/>
          </w:tcPr>
          <w:p>
            <w:pPr>
              <w:jc w:val="right"/>
              <w:ind w:right="62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w w:val="92"/>
              </w:rPr>
              <w:t>Statements of Operations Data, as a percentage of revenue: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auto"/>
            </w:tcBorders>
          </w:tcPr>
          <w:p>
            <w:pPr>
              <w:jc w:val="right"/>
              <w:ind w:right="21"/>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76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760" w:type="dxa"/>
            <w:vAlign w:val="bottom"/>
            <w:gridSpan w:val="3"/>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7"/>
          </w:tcPr>
          <w:p>
            <w:pPr>
              <w:jc w:val="right"/>
              <w:ind w:right="27"/>
              <w:spacing w:after="0"/>
              <w:rPr>
                <w:sz w:val="20"/>
                <w:szCs w:val="20"/>
                <w:color w:val="auto"/>
              </w:rPr>
            </w:pPr>
            <w:r>
              <w:rPr>
                <w:rFonts w:ascii="Arial" w:cs="Arial" w:eastAsia="Arial" w:hAnsi="Arial"/>
                <w:sz w:val="18"/>
                <w:szCs w:val="18"/>
                <w:color w:val="auto"/>
              </w:rPr>
              <w:t>100 %</w:t>
            </w:r>
          </w:p>
        </w:tc>
        <w:tc>
          <w:tcPr>
            <w:tcW w:w="60" w:type="dxa"/>
            <w:vAlign w:val="bottom"/>
          </w:tcPr>
          <w:p>
            <w:pPr>
              <w:spacing w:after="0"/>
              <w:rPr>
                <w:sz w:val="20"/>
                <w:szCs w:val="20"/>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20"/>
                <w:szCs w:val="20"/>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100 %</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77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4"/>
          </w:tcPr>
          <w:p>
            <w:pPr>
              <w:jc w:val="right"/>
              <w:ind w:right="8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14</w:t>
            </w: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4"/>
          </w:tcPr>
          <w:p>
            <w:pPr>
              <w:jc w:val="right"/>
              <w:ind w:right="8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Benefit (provision) for income taxes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4"/>
          </w:tcPr>
          <w:p>
            <w:pPr>
              <w:jc w:val="right"/>
              <w:ind w:right="8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240" w:type="dxa"/>
            <w:vAlign w:val="bottom"/>
            <w:tcBorders>
              <w:top w:val="single" w:sz="8" w:color="CCEEFF"/>
              <w:bottom w:val="single" w:sz="8" w:color="CCEEFF"/>
            </w:tcBorders>
            <w:gridSpan w:val="3"/>
            <w:shd w:val="clear" w:color="auto" w:fill="CCEEFF"/>
          </w:tcPr>
          <w:p>
            <w:pPr>
              <w:jc w:val="right"/>
              <w:ind w:right="27"/>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4"/>
              </w:rPr>
              <w:t>%</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Non-GAAP Financial Measure – Adjusted EBITDA</w:t>
      </w:r>
    </w:p>
    <w:p>
      <w:pPr>
        <w:spacing w:after="0" w:line="229"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Adjusted EBITDA is a supplemental financial measure that is not required by, or presented in accordance with, U.S. GAAP. We believe that Adjusted EBITDA, when taken together with our U.S. GAAP financial results, provides meaningful supplemental information regarding our operating performance and facilitates internal comparisons of our</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historical operating performance on a more consistent basis by excluding certain items that may not be indicative of our business, results of operations or outlook. In particular, we believe that the use of Adjusted EBITDA is helpful to our investors as it is a measure used by management in assessing the health of our business, determining incentive compensation, evaluating our operating performance, and for internal planning and forecasting purposes.</w:t>
      </w:r>
    </w:p>
    <w:p>
      <w:pPr>
        <w:spacing w:after="0" w:line="171"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Adjusted EBITDA is presented for supplemental informational purposes only, has limitations as an analytical tool and should not be considered in isolation or as a substitute for financial information presented in accordance with U.S. GAAP. Some of the limitations of Adjusted EBITDA include: (1) it does not properly reflect capital commitments to be paid in the future; (2) although depreciation and amortization are non-cash charges, the underlying assets may need to be replaced and Adjusted EBITDA does not reflect these capital expenditures; (3) it does not consider the impact of stock-based compensation expense; (4) it does not reflect other non-operating expenses, including other income and interest income, net; (5) it does not reflect tax payments that may represent a reduction in cash available to us; and (7) it does not include legal fees associated with a vendor arbitration. In addition, our Adjusted EBITDA may not be comparable to similarly titled measures of other companies because they may not calculate Adjusted EBITDA in the same manner as we calculate the measure, limiting its usefulness as a comparative measure. Because of these limitations, when evaluating our performance, you should consider Adjusted EBITDA alongside other financial performance measures, including our net income from continuing operations and other U.S. GAAP results.</w:t>
      </w:r>
    </w:p>
    <w:p>
      <w:pPr>
        <w:spacing w:after="0" w:line="17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calculate Adjusted EBITDA as net income (loss), adjusted to exclude depreciation and amortization, stock-based compensation expense, other income, interest income, net, (benefit) provision for income taxes, legal fees associated with a vendor arbitration. The following table presents a reconciliation of Adjusted EBITDA to net income for each of the periods indicated:</w:t>
      </w:r>
    </w:p>
    <w:p>
      <w:pPr>
        <w:spacing w:after="0" w:line="17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5"/>
          </w:tcPr>
          <w:p>
            <w:pPr>
              <w:jc w:val="right"/>
              <w:ind w:right="264"/>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7"/>
          </w:tcPr>
          <w:p>
            <w:pPr>
              <w:jc w:val="center"/>
              <w:ind w:right="193"/>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3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6"/>
          </w:tcPr>
          <w:p>
            <w:pPr>
              <w:jc w:val="center"/>
              <w:ind w:left="284"/>
              <w:spacing w:after="0"/>
              <w:rPr>
                <w:sz w:val="20"/>
                <w:szCs w:val="20"/>
                <w:color w:val="auto"/>
              </w:rPr>
            </w:pPr>
            <w:r>
              <w:rPr>
                <w:rFonts w:ascii="Arial" w:cs="Arial" w:eastAsia="Arial" w:hAnsi="Arial"/>
                <w:sz w:val="14"/>
                <w:szCs w:val="14"/>
                <w:b w:val="1"/>
                <w:bCs w:val="1"/>
                <w:color w:val="auto"/>
                <w:w w:val="89"/>
              </w:rPr>
              <w:t>June 30,</w:t>
            </w: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ind w:right="244"/>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ind w:right="244"/>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40" w:type="dxa"/>
            <w:vAlign w:val="bottom"/>
            <w:gridSpan w:val="6"/>
          </w:tcPr>
          <w:p>
            <w:pPr>
              <w:ind w:left="20"/>
              <w:spacing w:after="0" w:line="129"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18,727</w:t>
            </w:r>
          </w:p>
        </w:tc>
        <w:tc>
          <w:tcPr>
            <w:tcW w:w="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33,893</w:t>
            </w:r>
          </w:p>
        </w:tc>
        <w:tc>
          <w:tcPr>
            <w:tcW w:w="1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Add: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460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80"/>
              <w:spacing w:after="0" w:line="207"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6,517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4"/>
              <w:spacing w:after="0"/>
              <w:rPr>
                <w:sz w:val="20"/>
                <w:szCs w:val="20"/>
                <w:color w:val="auto"/>
              </w:rPr>
            </w:pPr>
            <w:r>
              <w:rPr>
                <w:rFonts w:ascii="Arial" w:cs="Arial" w:eastAsia="Arial" w:hAnsi="Arial"/>
                <w:sz w:val="18"/>
                <w:szCs w:val="18"/>
                <w:color w:val="auto"/>
              </w:rPr>
              <w:t>3,541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11,551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income</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Interest income, net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(234)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(Benefit) provision for income taxes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(10,177)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Legal fees associated with a vendor arbitration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4"/>
              <w:spacing w:after="0"/>
              <w:rPr>
                <w:sz w:val="20"/>
                <w:szCs w:val="20"/>
                <w:color w:val="auto"/>
              </w:rPr>
            </w:pPr>
            <w:r>
              <w:rPr>
                <w:rFonts w:ascii="Arial" w:cs="Arial" w:eastAsia="Arial" w:hAnsi="Arial"/>
                <w:sz w:val="18"/>
                <w:szCs w:val="18"/>
                <w:color w:val="auto"/>
              </w:rPr>
              <w:t>851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gridSpan w:val="2"/>
            <w:shd w:val="clear" w:color="auto" w:fill="CCEEFF"/>
          </w:tcPr>
          <w:p>
            <w:pPr>
              <w:jc w:val="right"/>
              <w:ind w:right="4"/>
              <w:spacing w:after="0"/>
              <w:rPr>
                <w:sz w:val="20"/>
                <w:szCs w:val="20"/>
                <w:color w:val="auto"/>
              </w:rPr>
            </w:pPr>
            <w:r>
              <w:rPr>
                <w:rFonts w:ascii="Arial" w:cs="Arial" w:eastAsia="Arial" w:hAnsi="Arial"/>
                <w:sz w:val="18"/>
                <w:szCs w:val="18"/>
                <w:color w:val="auto"/>
              </w:rPr>
              <w:t>3,780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35,732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10,473</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1"/>
              </w:rPr>
              <w:t>Comparison of Three Months Ended June 30, 2021 and 2020</w:t>
            </w: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7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7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3"/>
              </w:rPr>
              <w:t>Three Months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1"/>
              </w:rPr>
              <w:t>Ended June 30,</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Borders>
              <w:top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w w:val="89"/>
              </w:rPr>
              <w:t>(dollars in</w:t>
            </w:r>
          </w:p>
        </w:tc>
        <w:tc>
          <w:tcPr>
            <w:tcW w:w="180" w:type="dxa"/>
            <w:vAlign w:val="bottom"/>
          </w:tcPr>
          <w:p>
            <w:pPr>
              <w:spacing w:after="0"/>
              <w:rPr>
                <w:sz w:val="15"/>
                <w:szCs w:val="15"/>
                <w:color w:val="auto"/>
              </w:rPr>
            </w:pPr>
          </w:p>
        </w:tc>
        <w:tc>
          <w:tcPr>
            <w:tcW w:w="64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82"/>
              </w:rPr>
              <w:t>thousands)</w:t>
            </w: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gridSpan w:val="4"/>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ind w:left="300"/>
              <w:spacing w:after="0"/>
              <w:rPr>
                <w:sz w:val="20"/>
                <w:szCs w:val="20"/>
                <w:color w:val="auto"/>
              </w:rPr>
            </w:pPr>
            <w:r>
              <w:rPr>
                <w:rFonts w:ascii="Arial" w:cs="Arial" w:eastAsia="Arial" w:hAnsi="Arial"/>
                <w:sz w:val="18"/>
                <w:szCs w:val="18"/>
                <w:color w:val="auto"/>
                <w:w w:val="98"/>
              </w:rPr>
              <w:t>$128,651</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$64,605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Revenue increased by $64.0 million, or 99%, for the three months ended June 30, 2021 compared to the three months ended June 30, 2020. This increase is primarily due to a $46.0 million, or 99% increase in revenue from our fertility benefits solution and a $18.1 million or 98% increase in revenue from our Progyny Rx solution. The increase in revenue from our fertility benefits solution was primarily due to the increase in the number of clients and covered lives. The increase in revenue from our Progyny Rx solution was also driven by the number of clients and covered lives that added Progyny Rx benefit. Progyny Rx went live with only a select number of clients on January 1, 2018 and has continued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to add both new and existing fertility benefit solution clients since its initial launch. In addition, our revenue growth for the three months ended June 30, 2020 was negatively impacted by the short-term pause in treatments due to COVID-19 restrictions.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7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5"/>
              </w:rPr>
              <w:t>Three Months</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7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Ended June 30,</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(dollars in</w:t>
            </w:r>
          </w:p>
        </w:tc>
        <w:tc>
          <w:tcPr>
            <w:tcW w:w="700" w:type="dxa"/>
            <w:vAlign w:val="bottom"/>
          </w:tcPr>
          <w:p>
            <w:pPr>
              <w:spacing w:after="0"/>
              <w:rPr>
                <w:sz w:val="20"/>
                <w:szCs w:val="20"/>
                <w:color w:val="auto"/>
              </w:rPr>
            </w:pPr>
            <w:r>
              <w:rPr>
                <w:rFonts w:ascii="Arial" w:cs="Arial" w:eastAsia="Arial" w:hAnsi="Arial"/>
                <w:sz w:val="14"/>
                <w:szCs w:val="14"/>
                <w:b w:val="1"/>
                <w:bCs w:val="1"/>
                <w:color w:val="auto"/>
                <w:w w:val="90"/>
              </w:rPr>
              <w:t>thousands)</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$99,030</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$52,650</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Cost of services increased by $46.4 million, or 88%, for the three months ended June 30, 2021 compared to the three months ended June 30, 2020, primarily due to an increase in medical treatment and pharmacy prescription costs associated with fertility treatments delivered as well as increases in personnel-related costs, including stock-based compensation.</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7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5"/>
              </w:rPr>
              <w:t>Three Months</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7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Ended June 30,</w:t>
            </w:r>
          </w:p>
        </w:tc>
        <w:tc>
          <w:tcPr>
            <w:tcW w:w="7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(dollars in</w:t>
            </w:r>
          </w:p>
        </w:tc>
        <w:tc>
          <w:tcPr>
            <w:tcW w:w="680" w:type="dxa"/>
            <w:vAlign w:val="bottom"/>
          </w:tcPr>
          <w:p>
            <w:pPr>
              <w:jc w:val="right"/>
              <w:ind w:right="39"/>
              <w:spacing w:after="0"/>
              <w:rPr>
                <w:sz w:val="20"/>
                <w:szCs w:val="20"/>
                <w:color w:val="auto"/>
              </w:rPr>
            </w:pPr>
            <w:r>
              <w:rPr>
                <w:rFonts w:ascii="Arial" w:cs="Arial" w:eastAsia="Arial" w:hAnsi="Arial"/>
                <w:sz w:val="14"/>
                <w:szCs w:val="14"/>
                <w:b w:val="1"/>
                <w:bCs w:val="1"/>
                <w:color w:val="auto"/>
                <w:w w:val="71"/>
              </w:rPr>
              <w:t>thousands)</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6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$29,621</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$11,955</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Gross margin</w:t>
            </w:r>
          </w:p>
        </w:tc>
        <w:tc>
          <w:tcPr>
            <w:tcW w:w="680" w:type="dxa"/>
            <w:vAlign w:val="bottom"/>
          </w:tcPr>
          <w:p>
            <w:pPr>
              <w:jc w:val="right"/>
              <w:spacing w:after="0"/>
              <w:rPr>
                <w:sz w:val="20"/>
                <w:szCs w:val="20"/>
                <w:color w:val="auto"/>
              </w:rPr>
            </w:pPr>
            <w:r>
              <w:rPr>
                <w:rFonts w:ascii="Arial" w:cs="Arial" w:eastAsia="Arial" w:hAnsi="Arial"/>
                <w:sz w:val="18"/>
                <w:szCs w:val="18"/>
                <w:color w:val="auto"/>
              </w:rPr>
              <w:t>23.0%</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18.5%</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Gross profit increased by $17.7 million for the three months ended June 30, 2021 compared to the three months ended June 30, 2020.</w:t>
      </w:r>
    </w:p>
    <w:p>
      <w:pPr>
        <w:spacing w:after="0" w:line="170" w:lineRule="exact"/>
        <w:rPr>
          <w:sz w:val="20"/>
          <w:szCs w:val="20"/>
          <w:color w:val="auto"/>
        </w:rPr>
      </w:pPr>
    </w:p>
    <w:p>
      <w:pPr>
        <w:ind w:left="60" w:right="179" w:firstLine="648"/>
        <w:spacing w:after="0" w:line="275" w:lineRule="auto"/>
        <w:rPr>
          <w:sz w:val="20"/>
          <w:szCs w:val="20"/>
          <w:color w:val="auto"/>
        </w:rPr>
      </w:pPr>
      <w:r>
        <w:rPr>
          <w:rFonts w:ascii="Arial" w:cs="Arial" w:eastAsia="Arial" w:hAnsi="Arial"/>
          <w:sz w:val="17"/>
          <w:szCs w:val="17"/>
          <w:color w:val="auto"/>
        </w:rPr>
        <w:t>Gross margin increased 450 basis points for the three months ended June 30, 2021 compared to the three months ended June 30, 2020, primarily due to favorable new terms with our pharmacy program partners, the net impact of regular contract renewals with our providers as well as continued efficiencies gained across our care management services. Gross margin in the three months ended June 30, 2020 was also affected by our decision to keep all care management staff in place, despite the pause in treatments caused by COVID-19 restrictions.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and Marketing Expense</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7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5"/>
              </w:rPr>
              <w:t>Three Months</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7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Ended June 30,</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(dollars in</w:t>
            </w:r>
          </w:p>
        </w:tc>
        <w:tc>
          <w:tcPr>
            <w:tcW w:w="700" w:type="dxa"/>
            <w:vAlign w:val="bottom"/>
          </w:tcPr>
          <w:p>
            <w:pPr>
              <w:jc w:val="right"/>
              <w:ind w:right="62"/>
              <w:spacing w:after="0"/>
              <w:rPr>
                <w:sz w:val="20"/>
                <w:szCs w:val="20"/>
                <w:color w:val="auto"/>
              </w:rPr>
            </w:pPr>
            <w:r>
              <w:rPr>
                <w:rFonts w:ascii="Arial" w:cs="Arial" w:eastAsia="Arial" w:hAnsi="Arial"/>
                <w:sz w:val="14"/>
                <w:szCs w:val="14"/>
                <w:b w:val="1"/>
                <w:bCs w:val="1"/>
                <w:color w:val="auto"/>
                <w:w w:val="71"/>
              </w:rPr>
              <w:t>thousands)</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$3,608</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Sales and marketing expense increased by $0.4 million, or 12%, for the three months ended June 30, 2021 compared to the three months ended June 30, 2020. This increase was primarily due to a $0.3 million increase in personnel-related costs relating to additional headcount and commissions for sales and marketing functions.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7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5"/>
              </w:rPr>
              <w:t>Three Months</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7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Ended June 30,</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(dollars in</w:t>
            </w:r>
          </w:p>
        </w:tc>
        <w:tc>
          <w:tcPr>
            <w:tcW w:w="700" w:type="dxa"/>
            <w:vAlign w:val="bottom"/>
          </w:tcPr>
          <w:p>
            <w:pPr>
              <w:jc w:val="right"/>
              <w:ind w:right="62"/>
              <w:spacing w:after="0"/>
              <w:rPr>
                <w:sz w:val="20"/>
                <w:szCs w:val="20"/>
                <w:color w:val="auto"/>
              </w:rPr>
            </w:pPr>
            <w:r>
              <w:rPr>
                <w:rFonts w:ascii="Arial" w:cs="Arial" w:eastAsia="Arial" w:hAnsi="Arial"/>
                <w:sz w:val="14"/>
                <w:szCs w:val="14"/>
                <w:b w:val="1"/>
                <w:bCs w:val="1"/>
                <w:color w:val="auto"/>
                <w:w w:val="71"/>
              </w:rPr>
              <w:t>thousands)</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$13,937</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$9,419</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General and administrative expense increased by $4.5 million, or 48%, for the three months ended June 30, 2021 compared to the three months ended June 30, 2020. This increase was primarily due to a $3.1 million increase in personnel-related costs (including a $2.4 million increase in stock-based compensation) as a result of additional headcount for general and administrative functions, a $1.8 million increase in bad debt expense, and a $0.4 million increase in other related general and administrative expenses. These increases were partially offset by a $0.9 million decrease in legal costs compared to the three months ended June 30, 2020 for a vendor arbitration, which was settled in the fourth quarter of 2020. See Note 7 – Commitments and Contingencies – in the notes to the consolidated financial statements included in Part I, Item 1, of this Quarterly Report on Form 10-Q.</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6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7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5"/>
              </w:rPr>
              <w:t>Three Months</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7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Ended June 30,</w:t>
            </w:r>
          </w:p>
        </w:tc>
        <w:tc>
          <w:tcPr>
            <w:tcW w:w="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(dollars in</w:t>
            </w:r>
          </w:p>
        </w:tc>
        <w:tc>
          <w:tcPr>
            <w:tcW w:w="700" w:type="dxa"/>
            <w:vAlign w:val="bottom"/>
          </w:tcPr>
          <w:p>
            <w:pPr>
              <w:jc w:val="right"/>
              <w:ind w:right="62"/>
              <w:spacing w:after="0"/>
              <w:rPr>
                <w:sz w:val="20"/>
                <w:szCs w:val="20"/>
                <w:color w:val="auto"/>
              </w:rPr>
            </w:pPr>
            <w:r>
              <w:rPr>
                <w:rFonts w:ascii="Arial" w:cs="Arial" w:eastAsia="Arial" w:hAnsi="Arial"/>
                <w:sz w:val="14"/>
                <w:szCs w:val="14"/>
                <w:b w:val="1"/>
                <w:bCs w:val="1"/>
                <w:color w:val="auto"/>
                <w:w w:val="71"/>
              </w:rPr>
              <w:t>thousands)</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Other income, net improved by $0.3 million for the three months ended June 30, 2021 compared to the three months ended June 30, 2020, primarily due to an increase in interest earned on investments.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Benefit (Provision) for Income Taxes</w:t>
      </w:r>
    </w:p>
    <w:p>
      <w:pPr>
        <w:spacing w:after="0" w:line="16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7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5"/>
              </w:rPr>
              <w:t>Three Months</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7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Ended June 30,</w:t>
            </w:r>
          </w:p>
        </w:tc>
        <w:tc>
          <w:tcPr>
            <w:tcW w:w="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(dollars in</w:t>
            </w:r>
          </w:p>
        </w:tc>
        <w:tc>
          <w:tcPr>
            <w:tcW w:w="700" w:type="dxa"/>
            <w:vAlign w:val="bottom"/>
          </w:tcPr>
          <w:p>
            <w:pPr>
              <w:jc w:val="right"/>
              <w:ind w:right="62"/>
              <w:spacing w:after="0"/>
              <w:rPr>
                <w:sz w:val="20"/>
                <w:szCs w:val="20"/>
                <w:color w:val="auto"/>
              </w:rPr>
            </w:pPr>
            <w:r>
              <w:rPr>
                <w:rFonts w:ascii="Arial" w:cs="Arial" w:eastAsia="Arial" w:hAnsi="Arial"/>
                <w:sz w:val="14"/>
                <w:szCs w:val="14"/>
                <w:b w:val="1"/>
                <w:bCs w:val="1"/>
                <w:color w:val="auto"/>
                <w:w w:val="71"/>
              </w:rPr>
              <w:t>thousands)</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$6,807</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For the three months ended June 30, 2021, we recorded a benefit for income taxes of $6.8 million primarily due to equity compensation activity that occurred during the period.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Comparison of Six Months Ended June 30, 2021 and 2020</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8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2"/>
              </w:rPr>
              <w:t>Six Months Ended</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60" w:type="dxa"/>
            <w:vAlign w:val="bottom"/>
          </w:tcPr>
          <w:p>
            <w:pPr>
              <w:spacing w:after="0"/>
              <w:rPr>
                <w:sz w:val="14"/>
                <w:szCs w:val="14"/>
                <w:color w:val="auto"/>
              </w:rPr>
            </w:pPr>
          </w:p>
        </w:tc>
        <w:tc>
          <w:tcPr>
            <w:tcW w:w="18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Ended June 30,</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360" w:type="dxa"/>
            <w:vAlign w:val="bottom"/>
          </w:tcPr>
          <w:p>
            <w:pPr>
              <w:spacing w:after="0"/>
              <w:rPr>
                <w:sz w:val="15"/>
                <w:szCs w:val="15"/>
                <w:color w:val="auto"/>
              </w:rPr>
            </w:pPr>
          </w:p>
        </w:tc>
        <w:tc>
          <w:tcPr>
            <w:tcW w:w="920" w:type="dxa"/>
            <w:vAlign w:val="bottom"/>
            <w:gridSpan w:val="2"/>
          </w:tcPr>
          <w:p>
            <w:pPr>
              <w:ind w:left="180"/>
              <w:spacing w:after="0"/>
              <w:rPr>
                <w:sz w:val="20"/>
                <w:szCs w:val="20"/>
                <w:color w:val="auto"/>
              </w:rPr>
            </w:pPr>
            <w:r>
              <w:rPr>
                <w:rFonts w:ascii="Arial" w:cs="Arial" w:eastAsia="Arial" w:hAnsi="Arial"/>
                <w:sz w:val="14"/>
                <w:szCs w:val="14"/>
                <w:b w:val="1"/>
                <w:bCs w:val="1"/>
                <w:color w:val="auto"/>
              </w:rPr>
              <w:t>(dollars in</w:t>
            </w:r>
          </w:p>
        </w:tc>
        <w:tc>
          <w:tcPr>
            <w:tcW w:w="740" w:type="dxa"/>
            <w:vAlign w:val="bottom"/>
          </w:tcPr>
          <w:p>
            <w:pPr>
              <w:spacing w:after="0"/>
              <w:rPr>
                <w:sz w:val="20"/>
                <w:szCs w:val="20"/>
                <w:color w:val="auto"/>
              </w:rPr>
            </w:pPr>
            <w:r>
              <w:rPr>
                <w:rFonts w:ascii="Arial" w:cs="Arial" w:eastAsia="Arial" w:hAnsi="Arial"/>
                <w:sz w:val="14"/>
                <w:szCs w:val="14"/>
                <w:b w:val="1"/>
                <w:bCs w:val="1"/>
                <w:color w:val="auto"/>
                <w:w w:val="95"/>
              </w:rPr>
              <w:t>thousands)</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$250,784</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$145,629</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Revenue increased by $105.2 million, or 72%, for the six months ended June 30, 2021 compared to the six months ended June 30, 2020. This increase is primarily due to a $75.4 million, or 71% increase in revenue from our fertility benefits solution and a $29.7 million or 74% increase in revenue from our Progyny Rx solution. The increase in revenue from our fertility benefits solution was primarily due to the increase in the number of clients and covered lives. The increase in revenue from our Progyny Rx solution was also driven by the number of clients and covered lives that added Progyny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Rx benefit. Progyny Rx went live with only a select number of clients on January 1, 2018 and has continued to add both new and existing fertility benefit solution clients since its initial launch. In addition, our revenue growth for the six months ended June 30, 2020 was negatively impacted by the short-term pause in treatments due to COVID-19 restrictions.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8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2"/>
              </w:rPr>
              <w:t>Six Months Ended</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80" w:type="dxa"/>
            <w:vAlign w:val="bottom"/>
          </w:tcPr>
          <w:p>
            <w:pPr>
              <w:spacing w:after="0"/>
              <w:rPr>
                <w:sz w:val="14"/>
                <w:szCs w:val="14"/>
                <w:color w:val="auto"/>
              </w:rPr>
            </w:pPr>
          </w:p>
        </w:tc>
        <w:tc>
          <w:tcPr>
            <w:tcW w:w="18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Ended June 30,</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638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380" w:type="dxa"/>
            <w:vAlign w:val="bottom"/>
          </w:tcPr>
          <w:p>
            <w:pPr>
              <w:spacing w:after="0"/>
              <w:rPr>
                <w:sz w:val="15"/>
                <w:szCs w:val="15"/>
                <w:color w:val="auto"/>
              </w:rPr>
            </w:pPr>
          </w:p>
        </w:tc>
        <w:tc>
          <w:tcPr>
            <w:tcW w:w="900" w:type="dxa"/>
            <w:vAlign w:val="bottom"/>
            <w:gridSpan w:val="2"/>
          </w:tcPr>
          <w:p>
            <w:pPr>
              <w:ind w:left="160"/>
              <w:spacing w:after="0"/>
              <w:rPr>
                <w:sz w:val="20"/>
                <w:szCs w:val="20"/>
                <w:color w:val="auto"/>
              </w:rPr>
            </w:pPr>
            <w:r>
              <w:rPr>
                <w:rFonts w:ascii="Arial" w:cs="Arial" w:eastAsia="Arial" w:hAnsi="Arial"/>
                <w:sz w:val="14"/>
                <w:szCs w:val="14"/>
                <w:b w:val="1"/>
                <w:bCs w:val="1"/>
                <w:color w:val="auto"/>
              </w:rPr>
              <w:t>(dollars in</w:t>
            </w:r>
          </w:p>
        </w:tc>
        <w:tc>
          <w:tcPr>
            <w:tcW w:w="740" w:type="dxa"/>
            <w:vAlign w:val="bottom"/>
          </w:tcPr>
          <w:p>
            <w:pPr>
              <w:spacing w:after="0"/>
              <w:rPr>
                <w:sz w:val="20"/>
                <w:szCs w:val="20"/>
                <w:color w:val="auto"/>
              </w:rPr>
            </w:pPr>
            <w:r>
              <w:rPr>
                <w:rFonts w:ascii="Arial" w:cs="Arial" w:eastAsia="Arial" w:hAnsi="Arial"/>
                <w:sz w:val="14"/>
                <w:szCs w:val="14"/>
                <w:b w:val="1"/>
                <w:bCs w:val="1"/>
                <w:color w:val="auto"/>
                <w:w w:val="95"/>
              </w:rPr>
              <w:t>thousands)</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$192,256</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$117,072</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Cost of services increased by $75.2 million, or 64%, for the six months ended June 30, 2021 compared to the six months ended June 30, 2020 primarily due to an increase in medical treatment and pharmacy prescription costs associated with fertility treatments delivered as well as increases in personnel-related costs, including stock-based compensation.</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7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Six Months Ended</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60" w:type="dxa"/>
            <w:vAlign w:val="bottom"/>
          </w:tcPr>
          <w:p>
            <w:pPr>
              <w:spacing w:after="0"/>
              <w:rPr>
                <w:sz w:val="14"/>
                <w:szCs w:val="14"/>
                <w:color w:val="auto"/>
              </w:rPr>
            </w:pPr>
          </w:p>
        </w:tc>
        <w:tc>
          <w:tcPr>
            <w:tcW w:w="17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Ended June 30,</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360" w:type="dxa"/>
            <w:vAlign w:val="bottom"/>
          </w:tcPr>
          <w:p>
            <w:pPr>
              <w:spacing w:after="0"/>
              <w:rPr>
                <w:sz w:val="15"/>
                <w:szCs w:val="15"/>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(dollars in</w:t>
            </w:r>
          </w:p>
        </w:tc>
        <w:tc>
          <w:tcPr>
            <w:tcW w:w="700" w:type="dxa"/>
            <w:vAlign w:val="bottom"/>
          </w:tcPr>
          <w:p>
            <w:pPr>
              <w:jc w:val="right"/>
              <w:ind w:right="39"/>
              <w:spacing w:after="0"/>
              <w:rPr>
                <w:sz w:val="20"/>
                <w:szCs w:val="20"/>
                <w:color w:val="auto"/>
              </w:rPr>
            </w:pPr>
            <w:r>
              <w:rPr>
                <w:rFonts w:ascii="Arial" w:cs="Arial" w:eastAsia="Arial" w:hAnsi="Arial"/>
                <w:sz w:val="14"/>
                <w:szCs w:val="14"/>
                <w:b w:val="1"/>
                <w:bCs w:val="1"/>
                <w:color w:val="auto"/>
                <w:w w:val="74"/>
              </w:rPr>
              <w:t>thousands)</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$58,528</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$28,557</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700" w:type="dxa"/>
            <w:vAlign w:val="bottom"/>
          </w:tcPr>
          <w:p>
            <w:pPr>
              <w:jc w:val="right"/>
              <w:spacing w:after="0"/>
              <w:rPr>
                <w:sz w:val="20"/>
                <w:szCs w:val="20"/>
                <w:color w:val="auto"/>
              </w:rPr>
            </w:pPr>
            <w:r>
              <w:rPr>
                <w:rFonts w:ascii="Arial" w:cs="Arial" w:eastAsia="Arial" w:hAnsi="Arial"/>
                <w:sz w:val="18"/>
                <w:szCs w:val="18"/>
                <w:color w:val="auto"/>
              </w:rPr>
              <w:t>23.3%</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19.6%</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Gross profit increased by $30.0 million for the six months ended June 30, 2021 compared to the six months ended June 30, 2020.</w:t>
      </w:r>
    </w:p>
    <w:p>
      <w:pPr>
        <w:spacing w:after="0" w:line="170" w:lineRule="exact"/>
        <w:rPr>
          <w:sz w:val="20"/>
          <w:szCs w:val="20"/>
          <w:color w:val="auto"/>
        </w:rPr>
      </w:pPr>
    </w:p>
    <w:p>
      <w:pPr>
        <w:ind w:left="60" w:right="99" w:firstLine="648"/>
        <w:spacing w:after="0" w:line="275" w:lineRule="auto"/>
        <w:rPr>
          <w:sz w:val="20"/>
          <w:szCs w:val="20"/>
          <w:color w:val="auto"/>
        </w:rPr>
      </w:pPr>
      <w:r>
        <w:rPr>
          <w:rFonts w:ascii="Arial" w:cs="Arial" w:eastAsia="Arial" w:hAnsi="Arial"/>
          <w:sz w:val="17"/>
          <w:szCs w:val="17"/>
          <w:color w:val="auto"/>
        </w:rPr>
        <w:t>Gross margin increased 370 basis points for the six months ended June 30, 2021 compared to the six months ended June 30, 2020, primarily due to favorable new terms with our pharmacy program partners, the net impact of regular contract renewals with our providers as well as continued efficiencies gained across our care management services. Gross margin in the six months ended June 30, 2020 was also affected by our decision to keep all care management staff in place, despite the pause in treatments caused by COVID-19 restrictions.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and Marketing Expense</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7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Six Months Ended</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00" w:type="dxa"/>
            <w:vAlign w:val="bottom"/>
          </w:tcPr>
          <w:p>
            <w:pPr>
              <w:spacing w:after="0"/>
              <w:rPr>
                <w:sz w:val="14"/>
                <w:szCs w:val="14"/>
                <w:color w:val="auto"/>
              </w:rPr>
            </w:pPr>
          </w:p>
        </w:tc>
        <w:tc>
          <w:tcPr>
            <w:tcW w:w="17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Ended June 30,</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400" w:type="dxa"/>
            <w:vAlign w:val="bottom"/>
          </w:tcPr>
          <w:p>
            <w:pPr>
              <w:spacing w:after="0"/>
              <w:rPr>
                <w:sz w:val="15"/>
                <w:szCs w:val="15"/>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(dollars in</w:t>
            </w:r>
          </w:p>
        </w:tc>
        <w:tc>
          <w:tcPr>
            <w:tcW w:w="700" w:type="dxa"/>
            <w:vAlign w:val="bottom"/>
          </w:tcPr>
          <w:p>
            <w:pPr>
              <w:jc w:val="right"/>
              <w:ind w:right="42"/>
              <w:spacing w:after="0"/>
              <w:rPr>
                <w:sz w:val="20"/>
                <w:szCs w:val="20"/>
                <w:color w:val="auto"/>
              </w:rPr>
            </w:pPr>
            <w:r>
              <w:rPr>
                <w:rFonts w:ascii="Arial" w:cs="Arial" w:eastAsia="Arial" w:hAnsi="Arial"/>
                <w:sz w:val="14"/>
                <w:szCs w:val="14"/>
                <w:b w:val="1"/>
                <w:bCs w:val="1"/>
                <w:color w:val="auto"/>
                <w:w w:val="74"/>
              </w:rPr>
              <w:t>thousands)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$8,042</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$6,875</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Sales and marketing expense increased by $1.2 million, or 17%, for the six months ended June 30, 2021 compared to the six months ended June 30, 2020. This increase was primarily due to a $1.3 million increase in personnel-related costs (including a $0.4 million increase in stock-based compensation) relating to additional headcount and commissions for sales and marketing functions, which was partially offset by lower travel and other overhead costs expenses due to COVID-19.</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7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Six Months Ended</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00" w:type="dxa"/>
            <w:vAlign w:val="bottom"/>
          </w:tcPr>
          <w:p>
            <w:pPr>
              <w:spacing w:after="0"/>
              <w:rPr>
                <w:sz w:val="14"/>
                <w:szCs w:val="14"/>
                <w:color w:val="auto"/>
              </w:rPr>
            </w:pPr>
          </w:p>
        </w:tc>
        <w:tc>
          <w:tcPr>
            <w:tcW w:w="17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Ended June 30,</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400" w:type="dxa"/>
            <w:vAlign w:val="bottom"/>
          </w:tcPr>
          <w:p>
            <w:pPr>
              <w:spacing w:after="0"/>
              <w:rPr>
                <w:sz w:val="15"/>
                <w:szCs w:val="15"/>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(dollars in</w:t>
            </w:r>
          </w:p>
        </w:tc>
        <w:tc>
          <w:tcPr>
            <w:tcW w:w="700" w:type="dxa"/>
            <w:vAlign w:val="bottom"/>
          </w:tcPr>
          <w:p>
            <w:pPr>
              <w:spacing w:after="0"/>
              <w:rPr>
                <w:sz w:val="20"/>
                <w:szCs w:val="20"/>
                <w:color w:val="auto"/>
              </w:rPr>
            </w:pPr>
            <w:r>
              <w:rPr>
                <w:rFonts w:ascii="Arial" w:cs="Arial" w:eastAsia="Arial" w:hAnsi="Arial"/>
                <w:sz w:val="14"/>
                <w:szCs w:val="14"/>
                <w:b w:val="1"/>
                <w:bCs w:val="1"/>
                <w:color w:val="auto"/>
                <w:w w:val="90"/>
              </w:rPr>
              <w:t>thousands)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$27,023</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$19,323</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General and administrative expense increased by $7.7 million, or 40%, for the six months ended June 30, 2021 compared to the six months ended June 30, 2020. This increase was primarily due to a $5.5 million increase in personnel-related costs (including a $4.0 million increase in stock-based compensation) as a result of additional headcount for general and administrative functions, a $2.7 million increase in bad debt expense, and a $1.0 million increase in other related general and administrative expenses. These increases were partially offset by a $1.5 million decrease in legal costs compared to the six months ended June 30, 2020 for a vendor arbitration, which was settled in the fourth quarter of 2020 and a $0.2 million decrease in insurance costs. See Note 7 – Commitments and Contingencies – in the notes to the consolidated financial statements included in Part I, Item 1, of this Quarterly Report on Form 10-Q.</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780" w:type="dxa"/>
            <w:vAlign w:val="bottom"/>
            <w:gridSpan w:val="4"/>
          </w:tcPr>
          <w:p>
            <w:pPr>
              <w:ind w:left="220"/>
              <w:spacing w:after="0"/>
              <w:rPr>
                <w:sz w:val="20"/>
                <w:szCs w:val="20"/>
                <w:color w:val="auto"/>
              </w:rPr>
            </w:pPr>
            <w:r>
              <w:rPr>
                <w:rFonts w:ascii="Arial" w:cs="Arial" w:eastAsia="Arial" w:hAnsi="Arial"/>
                <w:sz w:val="14"/>
                <w:szCs w:val="14"/>
                <w:b w:val="1"/>
                <w:bCs w:val="1"/>
                <w:color w:val="auto"/>
              </w:rPr>
              <w:t>Six Months Ended</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00" w:type="dxa"/>
            <w:vAlign w:val="bottom"/>
          </w:tcPr>
          <w:p>
            <w:pPr>
              <w:spacing w:after="0"/>
              <w:rPr>
                <w:sz w:val="14"/>
                <w:szCs w:val="14"/>
                <w:color w:val="auto"/>
              </w:rPr>
            </w:pPr>
          </w:p>
        </w:tc>
        <w:tc>
          <w:tcPr>
            <w:tcW w:w="1780" w:type="dxa"/>
            <w:vAlign w:val="bottom"/>
            <w:gridSpan w:val="4"/>
          </w:tcPr>
          <w:p>
            <w:pPr>
              <w:ind w:left="300"/>
              <w:spacing w:after="0"/>
              <w:rPr>
                <w:sz w:val="20"/>
                <w:szCs w:val="20"/>
                <w:color w:val="auto"/>
              </w:rPr>
            </w:pPr>
            <w:r>
              <w:rPr>
                <w:rFonts w:ascii="Arial" w:cs="Arial" w:eastAsia="Arial" w:hAnsi="Arial"/>
                <w:sz w:val="14"/>
                <w:szCs w:val="14"/>
                <w:b w:val="1"/>
                <w:bCs w:val="1"/>
                <w:color w:val="auto"/>
              </w:rPr>
              <w:t>Ended June 30,</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 Change</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70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400" w:type="dxa"/>
            <w:vAlign w:val="bottom"/>
          </w:tcPr>
          <w:p>
            <w:pPr>
              <w:spacing w:after="0"/>
              <w:rPr>
                <w:sz w:val="15"/>
                <w:szCs w:val="15"/>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(dollars in</w:t>
            </w:r>
          </w:p>
        </w:tc>
        <w:tc>
          <w:tcPr>
            <w:tcW w:w="700" w:type="dxa"/>
            <w:vAlign w:val="bottom"/>
          </w:tcPr>
          <w:p>
            <w:pPr>
              <w:jc w:val="right"/>
              <w:ind w:right="42"/>
              <w:spacing w:after="0"/>
              <w:rPr>
                <w:sz w:val="20"/>
                <w:szCs w:val="20"/>
                <w:color w:val="auto"/>
              </w:rPr>
            </w:pPr>
            <w:r>
              <w:rPr>
                <w:rFonts w:ascii="Arial" w:cs="Arial" w:eastAsia="Arial" w:hAnsi="Arial"/>
                <w:sz w:val="14"/>
                <w:szCs w:val="14"/>
                <w:b w:val="1"/>
                <w:bCs w:val="1"/>
                <w:color w:val="auto"/>
                <w:w w:val="74"/>
              </w:rPr>
              <w:t>thousands)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Other income, net decreased by $0.1 million for the six months ended June 30, 2021 compared to the six months ended June 30, 2020, primarily due to a decrease of $0.2 million in investment income, partially offset by a $0.1 million increase in interest earned on investments.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Benefit (Provision) for Income Taxes</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7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Six Months Ended</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00" w:type="dxa"/>
            <w:vAlign w:val="bottom"/>
          </w:tcPr>
          <w:p>
            <w:pPr>
              <w:spacing w:after="0"/>
              <w:rPr>
                <w:sz w:val="14"/>
                <w:szCs w:val="14"/>
                <w:color w:val="auto"/>
              </w:rPr>
            </w:pPr>
          </w:p>
        </w:tc>
        <w:tc>
          <w:tcPr>
            <w:tcW w:w="17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Ended June 30,</w:t>
            </w:r>
          </w:p>
        </w:tc>
        <w:tc>
          <w:tcPr>
            <w:tcW w:w="72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400" w:type="dxa"/>
            <w:vAlign w:val="bottom"/>
          </w:tcPr>
          <w:p>
            <w:pPr>
              <w:spacing w:after="0"/>
              <w:rPr>
                <w:sz w:val="15"/>
                <w:szCs w:val="15"/>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(dollars in</w:t>
            </w:r>
          </w:p>
        </w:tc>
        <w:tc>
          <w:tcPr>
            <w:tcW w:w="700" w:type="dxa"/>
            <w:vAlign w:val="bottom"/>
          </w:tcPr>
          <w:p>
            <w:pPr>
              <w:spacing w:after="0"/>
              <w:rPr>
                <w:sz w:val="20"/>
                <w:szCs w:val="20"/>
                <w:color w:val="auto"/>
              </w:rPr>
            </w:pPr>
            <w:r>
              <w:rPr>
                <w:rFonts w:ascii="Arial" w:cs="Arial" w:eastAsia="Arial" w:hAnsi="Arial"/>
                <w:sz w:val="14"/>
                <w:szCs w:val="14"/>
                <w:b w:val="1"/>
                <w:bCs w:val="1"/>
                <w:color w:val="auto"/>
                <w:w w:val="90"/>
              </w:rPr>
              <w:t>thousands)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$10,177</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($116)</w:t>
            </w:r>
          </w:p>
        </w:tc>
        <w:tc>
          <w:tcPr>
            <w:tcW w:w="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For the six months ended June 30, 2021, we recorded a benefit for income taxes of $10.2 million primarily due to equity compensation activity that occurred during the period. For the six months ended June 30, 2020, we recorded a provision for state income taxes of $0.1 million.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7"/>
          <w:szCs w:val="17"/>
          <w:color w:val="auto"/>
        </w:rPr>
        <w:t>As of June 30, 2021, we had $48.7 million of cash and cash equivalents and $45.2 million of marketable securities. Since inception, we have financed our operations primarily through sales of our solutions and the net proceeds we have received from sales of equity securities as further detailed below. Our cash and cash equivalents and working capital are affected by the timing of payments to third party providers and collections from clients and have increased as our revenue has increased. In particular, during the ramp up and onboarding of new clients who typically begin their benefits plan year as of January 1</w:t>
      </w:r>
      <w:r>
        <w:rPr>
          <w:rFonts w:ascii="Arial" w:cs="Arial" w:eastAsia="Arial" w:hAnsi="Arial"/>
          <w:sz w:val="25"/>
          <w:szCs w:val="25"/>
          <w:color w:val="auto"/>
          <w:vertAlign w:val="superscript"/>
        </w:rPr>
        <w:t>st</w:t>
      </w:r>
      <w:r>
        <w:rPr>
          <w:rFonts w:ascii="Arial" w:cs="Arial" w:eastAsia="Arial" w:hAnsi="Arial"/>
          <w:sz w:val="17"/>
          <w:szCs w:val="17"/>
          <w:color w:val="auto"/>
        </w:rPr>
        <w:t>, our accounts receivable has historically increased more than our accounts payable, accrued expenses and other current liabilities in the early part of each calendar year. Historically, these timing impacts have reversed throughout the remainder of the fiscal year. Accordingly, our working capital, and its impact on cash flow from operations, can fluctuate materially from period to period.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On October 29, 2019, we completed our IPO in which we issued and sold 6,700,000 shares of our common stock at a public offering price of $13.00 per share. We received net proceeds of approximately $77.6 million from the IPO, after deducting underwriters’ discounts and commissions of $5.9 million and offering costs of $3.6 million. We believe that our existing cash and cash equivalents, including the proceeds from our IPO, cash flow from operations and the cash available on the revolving line of credit will be sufficient to support working capital and capital expenditure requirements for at least the next 12 months. Our future capital requirements will depend on many factors, including sales of our solutions and client renewals, the timing and the amount of cash received from clients, the expansion of our sales and marketing activities and the continuing market adoption of our solutions.</w:t>
      </w:r>
    </w:p>
    <w:p>
      <w:pPr>
        <w:spacing w:after="0" w:line="124"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Other than the impact on our revenues and the related cash flows resulting from the various restrictions on activities due to the COVID-19 pandemic, our sources and uses of cash were not otherwise materially impacted by the COVID-19 pandemic in the three months ended June 30, 2021 and, to date, we have not identified any material liquidity deficiencies as a result of the COVID-19 pandemic. Based on the information currently available to us, we do not expect the COVID-19 pandemic to have a material impact on our liquidity. We will continue to monitor and assess the impact the COVID-19 pandemic may have on our business and financial results. In addition, while the potential impact and duration of the COVID-19 pandemic on the global economy and our business in particular may be difficult to assess or predict, the pandemic has resulted in, and may continue to result in, significant disruption of global financial markets, reducing our ability to access capital, which could negatively affect our liquidity in the future. If the disruption persists and deepens, we could experience an inability to access additional capital, which could in the future negatively affect our operations. For additional information on the various risks posed by the COVID-19 pandemic, please read Part II, Item 1A. Risk Factors included in this Quarterly Report on Form 10-Q.</w:t>
      </w:r>
    </w:p>
    <w:p>
      <w:pPr>
        <w:spacing w:after="0" w:line="179"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We may, in the future, enter into arrangements to acquire or invest in complementary businesses, products, and technologies. 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operations and financial condition.</w:t>
      </w:r>
    </w:p>
    <w:p>
      <w:pPr>
        <w:spacing w:after="0" w:line="122"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In June 2018, we entered into an agreement with Silicon Valley Bank to replace our then-outstanding term loan with a revolving line of credit of up to $15.0 million, which was amended in April 2019, January 2020, June 2020, and February 2021. The line of credit matured on June 8, 2021.</w:t>
      </w:r>
    </w:p>
    <w:p>
      <w:pPr>
        <w:spacing w:after="0" w:line="13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our cash flows from operations for the periods presented:</w:t>
      </w:r>
    </w:p>
    <w:p>
      <w:pPr>
        <w:spacing w:after="0" w:line="176" w:lineRule="exact"/>
        <w:rPr>
          <w:sz w:val="20"/>
          <w:szCs w:val="20"/>
          <w:color w:val="auto"/>
        </w:rPr>
      </w:pPr>
    </w:p>
    <w:p>
      <w:pPr>
        <w:ind w:left="7160"/>
        <w:spacing w:after="0"/>
        <w:rPr>
          <w:sz w:val="20"/>
          <w:szCs w:val="20"/>
          <w:color w:val="auto"/>
        </w:rPr>
      </w:pPr>
      <w:r>
        <w:rPr>
          <w:rFonts w:ascii="Arial" w:cs="Arial" w:eastAsia="Arial" w:hAnsi="Arial"/>
          <w:sz w:val="14"/>
          <w:szCs w:val="14"/>
          <w:b w:val="1"/>
          <w:bCs w:val="1"/>
          <w:color w:val="auto"/>
        </w:rPr>
        <w:t>Six Months Ended</w:t>
      </w:r>
    </w:p>
    <w:p>
      <w:pPr>
        <w:ind w:left="746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60" w:type="dxa"/>
        <w:tblCellMar>
          <w:top w:w="0" w:type="dxa"/>
          <w:left w:w="0" w:type="dxa"/>
          <w:bottom w:w="0" w:type="dxa"/>
          <w:right w:w="0" w:type="dxa"/>
        </w:tblCellMar>
      </w:tblPr>
      <w:tr>
        <w:trPr>
          <w:trHeight w:val="142"/>
        </w:trPr>
        <w:tc>
          <w:tcPr>
            <w:tcW w:w="5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w w:val="96"/>
              </w:rPr>
              <w:t>2020</w:t>
            </w:r>
          </w:p>
        </w:tc>
      </w:tr>
      <w:tr>
        <w:trPr>
          <w:trHeight w:val="128"/>
        </w:trPr>
        <w:tc>
          <w:tcPr>
            <w:tcW w:w="5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gridSpan w:val="4"/>
          </w:tcPr>
          <w:p>
            <w:pPr>
              <w:jc w:val="right"/>
              <w:spacing w:after="0" w:line="129" w:lineRule="exact"/>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1"/>
                <w:szCs w:val="1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Cash (used in) provided by operating activities</w:t>
            </w:r>
          </w:p>
        </w:tc>
        <w:tc>
          <w:tcPr>
            <w:tcW w:w="84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(6,941)</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49"/>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14,337</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(7,296)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(42,770)</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Cash (used in) financing activities</w:t>
            </w:r>
          </w:p>
        </w:tc>
        <w:tc>
          <w:tcPr>
            <w:tcW w:w="6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(2,557)</w:t>
            </w:r>
          </w:p>
        </w:tc>
      </w:tr>
      <w:tr>
        <w:trPr>
          <w:trHeight w:val="210"/>
        </w:trPr>
        <w:tc>
          <w:tcPr>
            <w:tcW w:w="5840" w:type="dxa"/>
            <w:vAlign w:val="bottom"/>
          </w:tcPr>
          <w:p>
            <w:pPr>
              <w:ind w:left="100"/>
              <w:spacing w:after="0"/>
              <w:rPr>
                <w:sz w:val="20"/>
                <w:szCs w:val="20"/>
                <w:color w:val="auto"/>
              </w:rPr>
            </w:pPr>
            <w:r>
              <w:rPr>
                <w:rFonts w:ascii="Arial" w:cs="Arial" w:eastAsia="Arial" w:hAnsi="Arial"/>
                <w:sz w:val="18"/>
                <w:szCs w:val="18"/>
                <w:color w:val="auto"/>
                <w:w w:val="99"/>
              </w:rPr>
              <w:t>Net (decrease) in cash and cash equivalents from continuing operations</w:t>
            </w:r>
          </w:p>
        </w:tc>
        <w:tc>
          <w:tcPr>
            <w:tcW w:w="60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(21,558)</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(30,990)</w:t>
            </w:r>
          </w:p>
        </w:tc>
      </w:tr>
      <w:tr>
        <w:trPr>
          <w:trHeight w:val="20"/>
        </w:trPr>
        <w:tc>
          <w:tcPr>
            <w:tcW w:w="5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Net cash used in operating activities was $6.9 million for the six months ended June 30, 2021, primarily consisting of net income of $33.9 million adjusted for certain non-cash items, which include $11.6 million of stock-based compensation expense, $10.2 million of deferred tax benefit, $4.8 million of bad debt expense, and $0.7 million of depreciation and amortization. Changes in operating assets and liabilities resulted in cash used in operating activities from an increase in accounts receivable of $69.9 million, partially offset by cash provided by operating activities from increases in accounts payable of $11.1 million and accrued expenses and other current liabilities of $9.5 million, and decreases in prepaid expenses and other current assets of $1.5 million. These changes were a result of the impact of revenue growth and our operating results as well as the timing of payments to third party providers and collections from customers. Net cash used in operating activities for the six months ended June 30, 2021 was affected by timing items, including revisions to the payment terms with our pharmacy program partners.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Net cash provided by operating activities was $14.3 million for the six months ended June 30, 2020, primarily consisting of a $2.6 million net income adjusted for certain non-cash items, which include $5.6 million of stock-based compensation expense, $2.1 million of bad debt expense, $1.0 million of depreciation and amortization, and $0.1 million of tax and interest expense. Changes in operating assets and liabilities resulted in cash used in operating activities from increases in accounts receivable of $20.4 million, more than offset by cash provided by operating activities from increases in accounts payable of $12.8 million and accrued expenses and other current liabilities of $8.5 million, and decreases in prepaid assets and other assets of $1.7 million. These changes are a result of the impact of revenue growth and our operating results as well as the timing of payments to third party providers and collections from clients.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Net cash used in investing activities was $7.3 million and $42.8 million for the six months ended June 30, 2021 and 2020, respectively. During the six months ended June 30, 2021, the net cash used primarily consisted of net investments of $6.5 million in marketable securities. The remainder of the activity primarily consisted of purchases of computers, software, and leasehold improvements, including leasehold improvements associated with the buildout of our new corporate office which was occupied in February 2020.</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Net cash used in financing activities was $7.3 million for the six months ended June 30, 2021, consisting of payments of $9.3 million for employee taxes related to equity awards, partially offset by $1.2 million in proceeds from stock option exercises and $0.8 million in proceeds from contributions to our employee stock purchase plan.</w:t>
      </w:r>
    </w:p>
    <w:p>
      <w:pPr>
        <w:spacing w:after="0" w:line="111"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Net cash used in financing activities was $2.6 million for the six months ended June 30, 2020, consisting of payments of $0.8 million for IPO costs, payments of $4.1 million for employee taxes related to equity awards, partially offset by $1.4 million in proceeds from stock option exercises and $0.9 million in proceeds from employee stock purchase plan.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5"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Other than changes which occur in the ordinary course of business, as of June 30, 2021, there were no material changes to the contractual obligations reported in our Annual Report on Form 10-K for the year ended December 31, 2020.</w:t>
      </w: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June 30, 2021 and December 31, 2020, we did not have any off-balance sheet arrangements.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Our consolidated financial statements and accompanying notes have been prepared in accordance with U.S. GAAP. The preparation of these consolidated financial statements requires us to make estimates and assumptions that affect the amounts reported amounts of assets, liabilities, revenue and expenses, and related disclosures. We base our estimates on historical experience and on various other assumptions that we believe are reasonable under the circumstances. We evaluate our estimates and assumptions on an ongoing basis. Actual results may differ from these estimates. To the extent that there are material differences between these estimates and our actual results, our future consolidated financial statements will be affected.</w:t>
      </w:r>
    </w:p>
    <w:p>
      <w:pPr>
        <w:spacing w:after="0" w:line="141"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For additional information about our critical accounting policies and estimates, see the disclosure included in our Annual Report on Form 10-K as well as Note 1 – Business and Basis of Presentation and Note 2 – Significant Accounting Policies in the notes to the consolidated financial statements included in Part I, Item 1, of this Quarterly Report on Form 10-Q. There have been no material changes to the Company’s critical accounting policies and estimates since our Annual Report on Form 10-K.</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75" w:lineRule="exact"/>
        <w:rPr>
          <w:sz w:val="20"/>
          <w:szCs w:val="20"/>
          <w:color w:val="auto"/>
        </w:rPr>
      </w:pPr>
    </w:p>
    <w:p>
      <w:pPr>
        <w:ind w:left="60" w:right="79" w:firstLine="648"/>
        <w:spacing w:after="0" w:line="308" w:lineRule="auto"/>
        <w:rPr>
          <w:sz w:val="20"/>
          <w:szCs w:val="20"/>
          <w:color w:val="auto"/>
        </w:rPr>
      </w:pPr>
      <w:r>
        <w:rPr>
          <w:rFonts w:ascii="Arial" w:cs="Arial" w:eastAsia="Arial" w:hAnsi="Arial"/>
          <w:sz w:val="17"/>
          <w:szCs w:val="17"/>
          <w:color w:val="auto"/>
        </w:rPr>
        <w:t>For a full discussion of recently adopted accounting pronouncements, see Note 2 – Significant Accounting Policies, to the consolidated financial statements included in Part 1, Item 1 of this Quarterly Report on Form 10-Q.</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Emerging Growth Company Status</w:t>
      </w:r>
    </w:p>
    <w:p>
      <w:pPr>
        <w:spacing w:after="0" w:line="175" w:lineRule="exact"/>
        <w:rPr>
          <w:sz w:val="20"/>
          <w:szCs w:val="20"/>
          <w:color w:val="auto"/>
        </w:rPr>
      </w:pPr>
    </w:p>
    <w:p>
      <w:pPr>
        <w:ind w:left="60" w:right="59" w:firstLine="648"/>
        <w:spacing w:after="0" w:line="287" w:lineRule="auto"/>
        <w:rPr>
          <w:sz w:val="20"/>
          <w:szCs w:val="20"/>
          <w:color w:val="auto"/>
        </w:rPr>
      </w:pPr>
      <w:r>
        <w:rPr>
          <w:rFonts w:ascii="Arial" w:cs="Arial" w:eastAsia="Arial" w:hAnsi="Arial"/>
          <w:sz w:val="16"/>
          <w:szCs w:val="16"/>
          <w:color w:val="auto"/>
        </w:rPr>
        <w:t>Prior to December 31, 2020, we were an emerging growth company, as defined in the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elected to use the extended transition period under the JOBS Act until the earlier of the date we (1) were no longer an emerging growth company or (2) affirmatively and irrevocably opted out of the extended transition period provided in the JOBS Act. Based on the market value of our common stock held by non-affiliates as of June 30, 2020, we ceased to qualify as an emerging growth company as of December 31, 2020. As a result, the Company no longer was able to use the extended transition period for complying with new or revised accounting standards available to emerging growth companies and was required to adopt new or revised accounting standards as of the effective dates for public companies. Refer to Note 2 –Significant Accounting Policies in Part I, Item 1 of this Quarterly Report on Form 10-Q for a discussion of new accounting pronouncements adopted in the fourth quarter of 2020 with an effective date of January 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As of June 30, 2021, we had cash and cash equivalents of $48.7 million and marketable securities of $45.2</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million.</w:t>
      </w:r>
    </w:p>
    <w:p>
      <w:pPr>
        <w:spacing w:after="0" w:line="211"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Interest-earning instruments carry a degree of interest rate risk. We do not enter into investments for trading or speculative purposes and have not used any derivative financial instruments to manage our interest rate risk exposure. Our investments are exposed to market risk due to a fluctuation in interest rates, which may affect our interest income and the fair market value of our investments. A hypothetical 10% change in interest rates would not result in a material impact on our consolidated financial statements.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Inflation Rate Risk</w:t>
      </w:r>
    </w:p>
    <w:p>
      <w:pPr>
        <w:spacing w:after="0" w:line="22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89"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The Company maintains disclosure controls and procedures (as that term is defined in Rules 13a-15(e) and 15d-15(e) under the Exchange Act)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disclosures. 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2"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the evaluation of our disclosure controls and procedures, our principal executive officer and principal financial officer concluded that, as of June 30, 2021, our disclosure controls and procedures were effective at the reasonable assurance level.</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that term is defined in Rules 13a-15(f) and 15d-15(f) under the Exchange Act) that occurred during the quarter ended June 30, 2021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0" w:right="879" w:firstLine="648"/>
        <w:spacing w:after="0" w:line="277" w:lineRule="auto"/>
        <w:rPr>
          <w:sz w:val="20"/>
          <w:szCs w:val="20"/>
          <w:color w:val="auto"/>
        </w:rPr>
      </w:pPr>
      <w:r>
        <w:rPr>
          <w:rFonts w:ascii="Arial" w:cs="Arial" w:eastAsia="Arial" w:hAnsi="Arial"/>
          <w:sz w:val="18"/>
          <w:szCs w:val="18"/>
          <w:color w:val="auto"/>
        </w:rPr>
        <w:t>See Part I, Item 1 “Financial Statements (Unaudited) — Note 7 — Commitments and Contingencies — Arbitration/Litigation.”</w:t>
      </w:r>
    </w:p>
    <w:p>
      <w:pPr>
        <w:spacing w:after="0" w:line="3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all of the information in this Quarterly Report on Form 10-Q, including the section titled “Cautionary Note Regarding Forward-Looking Statements” and Part I, Item 2. “Management’s Discussion and Analysis of Financial Condition and Results of Operation” and our consolidated financial statements and the accompanying notes included elsewhere in this Quarterly Report on Form 10-Q. The risks described below are not the only ones we face. Any of the following risks could materially and adversely affect our business, financial condition and results of operations, the actual outcome of matters as to which forward-looking statements are made in this Quarterly Report on Form 10-Q and could cause the trading price of our common stock to decline, which would cause you to lose all or part of your investment. Our business, financial condition and results of operations could also be harmed by risks and uncertainties not currently known to us or that we currently do not believe are material.</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b w:val="1"/>
          <w:bCs w:val="1"/>
          <w:i w:val="1"/>
          <w:iCs w:val="1"/>
          <w:color w:val="auto"/>
        </w:rPr>
        <w:t>The COVID-19 pandemic has had and is expected to continue to have, and similar health epidemics could in the future have, an adverse impact on our business, operations, and the markets and communities in which we and our clients, members and providers operate.</w:t>
      </w:r>
    </w:p>
    <w:p>
      <w:pPr>
        <w:spacing w:after="0" w:line="184"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Our business and operations have been adversely affected by the COVID-19 pandemic, which has impacted the markets and communities in which we and our clients, members and providers operate. Since December 2019, when COVID-19 was first reported, the virus has spread to countries worldwide, including the United States and more specifically, New York, New York, where our primary office is located.</w:t>
      </w:r>
    </w:p>
    <w:p>
      <w:pPr>
        <w:spacing w:after="0" w:line="187"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The ongoing COVID-19 pandemic, including variants, has adversely impacted, and may continue to adversely impact, many aspects of our business. Our revenue growth for the three months ended June 30, 2021 and 2020 were negatively impacted by COVID-19 and our revenue growth in future periods may continue to be adversely impacted by COVID-19. Our providers have and may in the future delay new fertility cycles because they operate in areas acutely affected by the COVID-19 pandemic, on account of executive orders to postpone non-emergent surgeries or other medical treatments, or in order to conserve medical resources for non-fertility related medical treatments. Many of our members live in communities that have been acutely affected by the COVID-19 pandemic and have delayed and may not want to continue or begin new fertility cycles during the pandemic. The lack of research on the impact of COVID-19 vaccines on pregnancy may also affect member behavior and utilization. Furthermore, as certain of our potential clients experience downturns or uncertainty in their own business operations and revenue because of the economic effects resulting from the spread of COVID-19, they have and may continue to decrease their spending on health benefits and delay or cancel implementation of fertility benefits. Each of these factors could affect our utilization rates and the number of members enrolled in our clients’ benefit plans.</w:t>
      </w:r>
    </w:p>
    <w:p>
      <w:pPr>
        <w:spacing w:after="0" w:line="186"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In response to the COVID-19 pandemic, many state, local, and foreign governments have put in place, and continue to enforce in whole or in part, and may at any time choose to fully reinstate, quarantines, executive orders, shelter-in-place orders, and similar government orders and restrictions in order to control the spread of the disease. Such orders or restrictions, or the perception that such orders or restrictions could occur or reoccur, have resulted in business closures, work stoppages, slowdowns and delays, work-from-home policies, travel restrictions, and cancellation or postponement of events, among other effects that could negatively impact productivity and disrupt our operations and those of our clients, members and providers.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In light of the uncertainty and rapidly evolving situation relating to the spread of COVID-19 and in compliance with shelter-in-place orders and other government executive orders directing that all non-essential businesses close their physical operations, we implemented a work-from-home policy for all of our employees. Although we have since re-opened our offices for a small group of employees, the majority of our employees continue to work remotely. We may take further actions that alter our operations as may be required by federal, state, or local authorities, or which we determine are in the best interests of our business, our employees and the communities we serve. While most of our operations can be performed remotely, there is no guarantee that we will be as effective while working remotely because our team is dispersed, many employees may have additional personal needs to attend to (such as looking after children as a result of school closures or family who become sick), and employees may become sick themselves and be unable to work. Decreased effectiveness of our team could adversely affect our results due to our inability to meet in person with potential clients, longer time periods to complete implementation of new clients, longer time to respond to members, extended timelines for data collection and review and a corresponding reduction in growth, or other decreases in productivity that could seriously harm our business. In addition, working remotely could increase our cybersecurity risk and make us more susceptible to communication disruptions, which could adversely impact our business operations or delay necessary interactions with our clients, member, providers and other third parties. Furthermore, we may decide to postpone or cancel planned investments in our business in response to changes in our business as a result of the spread of COVID-19, which may impact our member utilization and rate of growth, either of which could seriously harm our business.</w:t>
      </w:r>
    </w:p>
    <w:p>
      <w:pPr>
        <w:spacing w:after="0" w:line="174"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In addition, while the potential impact and duration of the COVID-19 pandemic on the global economy and our business in particular may be difficult to assess or predict, the pandemic has resulted in, and may continue to result in, significant disruption of global financial markets, reducing our ability to access capital, which could negatively affect our liquidity in the future. Moreover, to the extent the COVID-19 pandemic adversely affects our business, financial condition and results of operations, it may also have the effect of heightening many of the other risks described in this “Risk Factors” section, including but not limited to, those related to our ability to expand our customer base and develop and expand our sales and marketing capabilities, and may impact our ability to comply with the financial covenant relating to revenue targets in our loan agreement with Silicon Valley Bank if a material economic downturn results in substantially lower revenue than expected under our annual financial projections.</w:t>
      </w:r>
    </w:p>
    <w:p>
      <w:pPr>
        <w:spacing w:after="0" w:line="181"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The global impact of COVID-19 continues to rapidly evolve, and we will continue to monitor the situation closely. The ultimate impact of the COVID-19 pandemic or a similar health epidemic is highly uncertain and subject to change; and will depend on numerous evolving factors that we may not be able to accurately predict, including: the duration, scope, severity, and any resurgences of the COVID-19 pandemic; the effectiveness of vaccine rollout plans; the public’s perception of the safety of the vaccines and their willingness to take the vaccines; the existence and prevalence of new variants of the virus; the continued impact on worldwide macroeconomic conditions, including interest rates, employment rate, consumer confidence; governmental, business, and individuals' actions that have been, and continue to be, taken in response to the pandemic; the effect on our providers, clients and members; changes in demand for our services; our ability to sell and provide our services; the ability of our clients and members to pay for our services; the health of, and the effect on, our workforce; and the potential effects on our internal controls, including those over financial reporting, as a result of changes in working environments for our employees and business partners. We do not yet know the full extent of potential delays or impacts on our business, operations, or the global economy as a whole. While the spread of COVID-19 may eventually be contained or mitigated, there is no guarantee that a future outbreak of this or any other widespread epidemics will not occur, or that the global economy will recover, either of which could seriously harm our business.</w:t>
      </w:r>
    </w:p>
    <w:p>
      <w:pPr>
        <w:spacing w:after="0" w:line="18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may fail to meet our publicly announced guidance or other expectations about our business and future operating results, which would cause our stock price to decline.</w:t>
      </w:r>
    </w:p>
    <w:p>
      <w:pPr>
        <w:spacing w:after="0" w:line="170"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We have provided and may continue to provide guidance about our business and future operating results. On August 5, 2021, we issued guidance for the third quarter of 2021 and full year 2021. In developing this guidance, our management must make certain assumptions and judgments about its future performance. Some of those key assumptions relate to the impact of the COVID-19 pandemic and the associated economic uncertainty on our business and the timing and scope of economic recovery globally and how long it will take both clinics and patients to return to normal practice volumes, which are inherently difficult to predict. This guidance, which consists of forward-looking statements, is qualified by, and subject to, such assumptions, estimates and expectations as of the date such guidance is given. While presented</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with numerical specificity, this guidance is necessarily speculative in nature, and is inherently subject to significant business, economic and competitive uncertainties and contingencies, many of which are beyond our control and are based upon specific assumptions with respect to future business decisions or economic conditions, some of which may change. Accordingly, our guidance is only an estimate of what management believes is realizable as of the date of release of such guidance. Furthermore, analysts and investors may develop and publish their own projections of our business, which may form a consensus about our future performance. Our actual business results may vary significantly from such guidance or that consensus due to a number of factors, many of which are outside of our control, including due to the global economic uncertainty and financial market conditions caused by the COVID-19 pandemic, and which could adversely affect our business and future operating results. There are no comparable recent events that provide insights as to the probable effect of the COVID-19 pandemic, and, as a result, the ultimate impact of the COVID-19 outbreak is highly uncertain and subject to change. We are relying on the reports and models of economic and medical experts in making assumptions relating to the duration of this crisis and predictions as to timing and pace of any future economic recovery. If these models are incorrect or incomplete, or if we fail to accurately predict the full impact that the COVID-19 pandemic will have on all aspects of our business, the guidance and other forward-looking statements we provide may also be incorrect or incomplete. Furthermore, if we make downward revisions of our previously announced guidance, or if our publicly announced guidance of future operating results fails to meet expectations of securities analysts, investors or other interested parties, the price of our common stock would decline.</w:t>
      </w:r>
    </w:p>
    <w:p>
      <w:pPr>
        <w:spacing w:after="0" w:line="17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The fertility market in which we participate is competitive, and if we do not continue to compete effectively, our results of operations could be harmed.</w:t>
      </w:r>
    </w:p>
    <w:p>
      <w:pPr>
        <w:spacing w:after="0" w:line="170"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The market for our solutions is competitive and is likely to attract increased competition, which could make it hard for us to succeed. We compete on the basis of several factors, including the comprehensiveness of our benefits solutions and the Smart Cycle (our unique approach to benefits plan design which ensures that members always have coverage for a full treatment cycle as their access to treatment is not limited by a dollar maximum that could be exhausted mid-treatment), superior clinical outcomes, access for all employee groups (including LGBTQ+ and single mothers by choice), equitable access to care across geographies, quality of the member experience and comprehensive member support, access to our selective Center of Excellence (our proprietary, credentialed network of high-quality fertility specialists), data reporting and sharing and access to an integrated pharmacy solution. While we do not believe any single competitor offers a similarly robust and integrated fertility and family building benefits solution, we compete primarily with health insurance companies and benefits administrators that also provide fertility benefits management services as part of their overall healthcare coverage. These competitors include all conventional health insurers, such as UnitedHealthcare, Cigna, Aetna and members of the Blue Cross Blue Shield Association. Other competitors that currently provide fertility benefits management services to employers include WIN Fertility and Optum Fertility Solutions. We also compete with benefits managers that are new to the industry that do not have integrated health insurance carrier solutions, such as Carrot Fertility and Maven Clinic, which currently offer employees post-tax reimbursement programs for fertility benefits.</w:t>
      </w:r>
    </w:p>
    <w:p>
      <w:pPr>
        <w:spacing w:after="0" w:line="167"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As we market our solutions to potential clients that currently utilize other vendors to manage their employees’ fertility benefits, we may fail to convince their internal stakeholders that our offerings and our model are superior to their current solutions. Some of our competitors are more established, benefit from greater brand recognition and have substantially greater financial, technical and marketing resources. Our competitors may seek to develop or integrate solutions and services that may become more efficient or appealing to our existing and potential clients. For example, fertility-focused pharmacy benefits managers, or PBMs, could emerge that would compete with Progyny Rx. In addition, we believe one of our key competitive advantages is our purpose-built, data-driven platform. While we do not believe any competitors have developed a similarly robust data collection, analysis and reporting process at this time, current or future competitors may be successful in doing so in the future.</w:t>
      </w:r>
    </w:p>
    <w:p>
      <w:pPr>
        <w:spacing w:after="0" w:line="181"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In addition, we believe that there is growing awareness of the demand for fertility benefits. As the fertility benefits field gains more attention, more competitors may be drawn into the market. We also could be adversely affected if we fail to identify or effectively respond to changes in market dynamics. As a result of any of these factors, we may not be able to continue to compete successfully against our current or future competitors, and this competition could result in the failure of our platform to continue to maintain market acceptance, which would harm our business, financial condition and results of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b w:val="1"/>
          <w:bCs w:val="1"/>
          <w:i w:val="1"/>
          <w:iCs w:val="1"/>
          <w:color w:val="auto"/>
        </w:rPr>
        <w:t>Our business depends on our ability to retain our existing clients and increase the adoption of our services within our client base. Any failure to do so would harm our business, financial condition and results of operations.</w:t>
      </w:r>
    </w:p>
    <w:p>
      <w:pPr>
        <w:spacing w:after="0" w:line="124"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As part of our growth strategy, we are focused on retaining and expanding our services within our existing client base. A client can expand the fertility benefits they offer to their employees a number of ways, including by adding egg freezing or increasing the number of Smart Cycle units under their benefits plan (i.e., from two to three Smart Cycles per household). In addition, our fertility benefits solution clients can purchase our add-on Progyny Rx solution. We went live with Progyny Rx in 2018 and 73% of our clients have now launched this solution, including approximately 84% of the clients we signed in 2020.</w:t>
      </w:r>
    </w:p>
    <w:p>
      <w:pPr>
        <w:spacing w:after="0" w:line="192" w:lineRule="exact"/>
        <w:rPr>
          <w:sz w:val="20"/>
          <w:szCs w:val="20"/>
          <w:color w:val="auto"/>
        </w:rPr>
      </w:pPr>
    </w:p>
    <w:p>
      <w:pPr>
        <w:ind w:left="60" w:right="399"/>
        <w:spacing w:after="0" w:line="277" w:lineRule="auto"/>
        <w:rPr>
          <w:sz w:val="20"/>
          <w:szCs w:val="20"/>
          <w:color w:val="auto"/>
        </w:rPr>
      </w:pPr>
      <w:r>
        <w:rPr>
          <w:rFonts w:ascii="Arial" w:cs="Arial" w:eastAsia="Arial" w:hAnsi="Arial"/>
          <w:sz w:val="18"/>
          <w:szCs w:val="18"/>
          <w:color w:val="auto"/>
        </w:rPr>
        <w:t>Factors that may affect our ability to retain our existing clients and sell additional solutions to them include, but are not limited to, the following:</w:t>
      </w:r>
    </w:p>
    <w:p>
      <w:pPr>
        <w:spacing w:after="0" w:line="170" w:lineRule="exact"/>
        <w:rPr>
          <w:sz w:val="20"/>
          <w:szCs w:val="20"/>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price, timeliness and outcomes of our solutions;</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price, timeliness, outcome, performance and functionality of competing solutions;</w:t>
      </w:r>
    </w:p>
    <w:p>
      <w:pPr>
        <w:spacing w:after="0" w:line="117" w:lineRule="exact"/>
        <w:rPr>
          <w:rFonts w:ascii="Arial" w:cs="Arial" w:eastAsia="Arial" w:hAnsi="Arial"/>
          <w:sz w:val="18"/>
          <w:szCs w:val="18"/>
          <w:color w:val="auto"/>
        </w:rPr>
      </w:pPr>
    </w:p>
    <w:p>
      <w:pPr>
        <w:ind w:left="720" w:right="639" w:hanging="319"/>
        <w:spacing w:after="0" w:line="277"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maintain and appropriately expand our Center of Excellence network of high-quality fertility specialists;</w:t>
      </w:r>
    </w:p>
    <w:p>
      <w:pPr>
        <w:spacing w:after="0" w:line="62"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offer complementary solutions and services that will enhance our comprehensive fertility offering;</w:t>
      </w:r>
    </w:p>
    <w:p>
      <w:pPr>
        <w:spacing w:after="0" w:line="236" w:lineRule="exact"/>
        <w:rPr>
          <w:rFonts w:ascii="Arial" w:cs="Arial" w:eastAsia="Arial" w:hAnsi="Arial"/>
          <w:sz w:val="17"/>
          <w:szCs w:val="17"/>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healthcare laws, regulations or the enforcement of such laws and regulations, or trends;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material increase in unemployment rate;</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business environment of our clients and, in particular, reduction in our clients’ headcount;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consolidation of our clients, resulting in a change to their benefits program or a shift to one of our competitors.</w:t>
      </w:r>
    </w:p>
    <w:p>
      <w:pPr>
        <w:spacing w:after="0" w:line="237"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Any of the above factors, alone or together, could negatively affect our ability to retain existing clients and sell additional solutions to them, which would have an adverse effect on our business, revenue growth and results of operations.</w:t>
      </w:r>
    </w:p>
    <w:p>
      <w:pPr>
        <w:spacing w:after="0" w:line="124" w:lineRule="exact"/>
        <w:rPr>
          <w:sz w:val="20"/>
          <w:szCs w:val="20"/>
          <w:color w:val="auto"/>
        </w:rPr>
      </w:pPr>
    </w:p>
    <w:p>
      <w:pPr>
        <w:jc w:val="both"/>
        <w:ind w:left="60" w:right="59"/>
        <w:spacing w:after="0" w:line="340" w:lineRule="auto"/>
        <w:rPr>
          <w:sz w:val="20"/>
          <w:szCs w:val="20"/>
          <w:color w:val="auto"/>
        </w:rPr>
      </w:pPr>
      <w:r>
        <w:rPr>
          <w:rFonts w:ascii="Arial" w:cs="Arial" w:eastAsia="Arial" w:hAnsi="Arial"/>
          <w:sz w:val="15"/>
          <w:szCs w:val="15"/>
          <w:b w:val="1"/>
          <w:bCs w:val="1"/>
          <w:i w:val="1"/>
          <w:iCs w:val="1"/>
          <w:color w:val="auto"/>
        </w:rPr>
        <w:t>Our largest clients account for a significant portion of our revenue and a significant number of our clients are in the technology industry. The loss of one or more of these clients, changes to pricing terms with these clients or changes within the technology industry could negatively impact our business, financial condition and results of operations.</w:t>
      </w:r>
    </w:p>
    <w:p>
      <w:pPr>
        <w:spacing w:after="0" w:line="131"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We currently serve over 180 employers with at least 1,000 covered lives in the United States across more than 30 industries. For the six months ended June 30, 2021, two clients accounted for 17% and 15%, or a combined 32%, of our total revenue. No other clients accounted for more than 10% for the six months ended June 30, 2021. For the six months ended June 30, 2020, two clients accounted for 18% and 17% of revenue, or a combined 35% of our total revenue. Engagement with these clients is generally covered through contracts that are multi-year in duration. One or both of these clients may terminate early or decline to renew their existing contracts with us upon expiration and any such termination or failure to renew could have a negative impact on our revenue and compromise our growth strategy. Clients could also renegotiate pricing terms at the time of renewal, which could have a negative impact on our revenue. In addition, we generate a significant portion of our revenue from clients in the technology industry. Any of a variety of changes in that industry, including changes in economic conditions, mergers or consolidations, reduced spending on benefits programs and other factors, could adversely affect our business, financial condition and results of operations.</w:t>
      </w:r>
    </w:p>
    <w:p>
      <w:pPr>
        <w:spacing w:after="0" w:line="17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we are unable to attract new clients, our business, financial condition and results of operations would be adversely affected.</w:t>
      </w:r>
    </w:p>
    <w:p>
      <w:pPr>
        <w:spacing w:after="0" w:line="170"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To increase our revenue, we must continue to attract new clients. Our ability to do so depends in large part on the success of our sales and marketing efforts, and the success of attracting industry leaders in diversified sectors, which could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prompt others in the same sectors to follow suit to remain competitive. Potential clients may seek out other options; therefore, we must demonstrate that our solutions are valuable and superior to alternatives. If we fail to provide high-quality solutions and convince clients of the benefits of our model and value proposition, we may not be able to attract new clients. The market for our solutions could decline or grow more slowly than we expect due to general economic conditions, outbreaks of contagious diseases or worsening thereof, including the COVID-19 pandemic, a decrease in business investments, including spending on employee benefits, and other factors. If the markets for our solutions decline or grow more slowly than we expect, or if the number of clients that contract with us for our solutions declines or fails to increase as we expect, our financial results could be harmed. As the markets in which we participate mature, fertility solutions and services evolve and competitors begin to enter into the market and introduce differentiated solutions or services that are perceived to compete with our solutions, particularly if such competing solutions are adopted by an industry leader in a particular sector, our ability to sell our solutions could be impaired. As a result of these and other factors, we may be unable to attract new clients, which would have an adverse effect on our business, financial condition and results of operations.</w:t>
      </w:r>
    </w:p>
    <w:p>
      <w:pPr>
        <w:spacing w:after="0" w:line="18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A significant change in the utilization of our solutions could have an adverse effect on our business, financial condition and results of operations.</w:t>
      </w:r>
    </w:p>
    <w:p>
      <w:pPr>
        <w:spacing w:after="0" w:line="170"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We do not control or impact the level of utilization of our solutions for each of our clients, in particular for newer clients. A significant reduction in the number of members using our solutions could adversely affect our business, financial condition and results of operations. Factors that have and could continue to contribute to a reduction in the use of our solutions include: reductions in workforce by existing clients; general economic downturn that results in business failures and high unemployment rates; outbreaks of contagious diseases or the worsening thereof, including the COVID-19 pandemic; employers no longer offering comprehensive health coverage or offering alternative solutions such as coverage on a voluntary, employee-funded basis; federal and state regulatory changes; changes to taxability of medical benefits; failure to adapt and respond effectively to the changing medical landscape, changing laws, regulations and government enforcement priorities, changing client needs, requirements or preferences; premium increases and benefits changes; negative publicity, through social media or otherwise and news coverage.</w:t>
      </w:r>
    </w:p>
    <w:p>
      <w:pPr>
        <w:spacing w:after="0" w:line="168"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It is also difficult for us to predict the level of utilization of our services at the member level. If the actual utilization of our services by members is significantly greater than budgeted, the client may be responsible for corresponding costs that exceed its planned expenditure. If we cannot help our clients accurately predict the level of utilization by their employees, our clients may turn to alternative solutions, and our business and profitability would be adversely impacted.</w:t>
      </w:r>
    </w:p>
    <w:p>
      <w:pPr>
        <w:spacing w:after="0" w:line="18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with our current platform of solutions, which makes it difficult to predict our future results of operations.</w:t>
      </w:r>
    </w:p>
    <w:p>
      <w:pPr>
        <w:spacing w:after="0" w:line="170" w:lineRule="exact"/>
        <w:rPr>
          <w:sz w:val="20"/>
          <w:szCs w:val="20"/>
          <w:color w:val="auto"/>
        </w:rPr>
      </w:pPr>
    </w:p>
    <w:p>
      <w:pPr>
        <w:ind w:left="60" w:right="119" w:firstLine="648"/>
        <w:spacing w:after="0" w:line="287" w:lineRule="auto"/>
        <w:rPr>
          <w:sz w:val="20"/>
          <w:szCs w:val="20"/>
          <w:color w:val="auto"/>
        </w:rPr>
      </w:pPr>
      <w:r>
        <w:rPr>
          <w:rFonts w:ascii="Arial" w:cs="Arial" w:eastAsia="Arial" w:hAnsi="Arial"/>
          <w:sz w:val="16"/>
          <w:szCs w:val="16"/>
          <w:color w:val="auto"/>
        </w:rPr>
        <w:t>We went live with our fertility benefits solution in 2016 and Progyny Rx in 2018. As a result of our limited operating history with the current platform of solutions, as well as a limited amount of time serving a majority of our client base, our ability to accurately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decline for a number of reasons, including slowing demand for our solutions and fertility benefits in general, change in utilization trends by our members, general economic slowdown, an increase in unemployment, an increase in competition, changes to health care trends and regulations, changes to science relating to the fertility market, a decrease in the growth of the fertility market, or our failure, for any reason, to continue to take advantage of growth opportunities.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have a history of operating losses and may not sustain profitability in the future.</w:t>
      </w:r>
    </w:p>
    <w:p>
      <w:pPr>
        <w:spacing w:after="0" w:line="225" w:lineRule="exact"/>
        <w:rPr>
          <w:sz w:val="20"/>
          <w:szCs w:val="20"/>
          <w:color w:val="auto"/>
        </w:rPr>
      </w:pPr>
    </w:p>
    <w:p>
      <w:pPr>
        <w:ind w:left="60" w:right="79" w:firstLine="648"/>
        <w:spacing w:after="0" w:line="342" w:lineRule="auto"/>
        <w:rPr>
          <w:sz w:val="20"/>
          <w:szCs w:val="20"/>
          <w:color w:val="auto"/>
        </w:rPr>
      </w:pPr>
      <w:r>
        <w:rPr>
          <w:rFonts w:ascii="Arial" w:cs="Arial" w:eastAsia="Arial" w:hAnsi="Arial"/>
          <w:sz w:val="16"/>
          <w:szCs w:val="16"/>
          <w:color w:val="auto"/>
        </w:rPr>
        <w:t>We experienced net losses from 2015 to 2019. Our net loss from continuing operations was $8.6 million and $5.1 million for the years ended December 31, 2019 and 2018, respectively. While we have experienced significant revenue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growth since 2016, achieved profitability in 2020 and currently project future profitability, we cannot guarantee whether we will obtain sufficient levels of sales to sustain our growth or maintain profitability in the future. We also expect our costs and expenses to increase in future periods, which could negatively affect our future results of operations if our revenue does not increase. In particular, we intend to continue to incrementally expand our sales and client account management teams to educate potential clients and drive new client adoption, as well as enhance the scope of Progyny benefits within our existing client base. We also expect to incur additional costs as we introduce new solutions and services to enhance our comprehensive fertility offering. We will also face increased compliance costs associated with growth, the expansion of our client base and being a public company. Our efforts to grow our business may be costlier than we expect, and we may not be able to increase our revenue enough to offset our increased operating expenses. We may incur significant losses in the future for a number of reasons, including the other risks described herein, and unforeseen expenses, difficulties, complications and delays, and other unknown events. If we are unable to sustain profitability, the value of our business and common stock may significantly decrease.</w:t>
      </w:r>
    </w:p>
    <w:p>
      <w:pPr>
        <w:spacing w:after="0" w:line="17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Changes or developments in the health insurance markets in the United States, including passage and implementation of a law to create a single-payer or government-run health insurance program, could materially and adversely harm our business and operating results.</w:t>
      </w:r>
    </w:p>
    <w:p>
      <w:pPr>
        <w:spacing w:after="0" w:line="184" w:lineRule="exact"/>
        <w:rPr>
          <w:sz w:val="20"/>
          <w:szCs w:val="20"/>
          <w:color w:val="auto"/>
        </w:rPr>
      </w:pPr>
    </w:p>
    <w:p>
      <w:pPr>
        <w:jc w:val="both"/>
        <w:ind w:left="60" w:right="59" w:firstLine="648"/>
        <w:spacing w:after="0" w:line="267" w:lineRule="auto"/>
        <w:rPr>
          <w:sz w:val="20"/>
          <w:szCs w:val="20"/>
          <w:color w:val="auto"/>
        </w:rPr>
      </w:pPr>
      <w:r>
        <w:rPr>
          <w:rFonts w:ascii="Arial" w:cs="Arial" w:eastAsia="Arial" w:hAnsi="Arial"/>
          <w:sz w:val="17"/>
          <w:szCs w:val="17"/>
          <w:color w:val="auto"/>
        </w:rPr>
        <w:t>Our business operates within the public and private sectors of the U.S. health insurance system, which are evolving quickly and subject to a changing regulatory environment, and our future financial performance will depend in part on growth in the market for private health insurance, as our solutions are integrated with health insurance plans offered by insurance carriers for our clients or our clients’ self-insured plans, as well as our ability to adapt to regulatory developments. Changes and developments in the health insurance system in the United States could reduce demand for our services and harm our business. For example, there has been an ongoing national debate relating to the health insurance system in the United States. Certain elected officials have introduced proposals that would create a new single-payer national health insurance program for all United States residents, replacing virtually all other sources of public and private insurance, to more incremental approaches, or creating a new public health insurance option that would compete with private insurers. Additionally, proposals to establish a single-payer or government-run health care system at the state level are regularly introduced, such as in New York and California. At the federal level, President Biden and Congress may consider other legislation and/or executive orders to change elements of the ACA. In December 2019, a federal appeals court held that the individual mandate portion of the ACA was unconstitutional and left open the question whether the remaining provisions of the ACA would be valid without the individual mandate. On November 10, 2020, the U.S. Supreme Court heard oral arguments in this matter, and issued its decision in June 2021, ruling that the plaintiffs lacked standing to challenge the individual mandate provision, thus leaving the ACA in effect without ruling on the constitutionality of the individual mandate.</w:t>
      </w:r>
    </w:p>
    <w:p>
      <w:pPr>
        <w:spacing w:after="0" w:line="191"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On January 28, 2021, President Biden issued an Executive Order that iterates the policy of the Administration to protect and strengthen the ACA, making high-quality healthcare accessible and affordable to all Americans. The Executive Order directs federal agencies to examine agency actions to determine whether they are consistent with the Administration’s commitment regarding the ACA, and begin rulemaking to suspend, revise, or rescind any inconsistent actions. Areas of focus include policies or practices that may reduce affordability of coverage, present unnecessary barriers to coverage, or undermine protections for people with preexisting conditions. We continue to evaluate the effect that the ACA and its possible modifications, repeal and replacement has on our business.</w:t>
      </w:r>
    </w:p>
    <w:p>
      <w:pPr>
        <w:spacing w:after="0" w:line="177"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In the event that laws, regulations or rules that eliminate or reduce private sources of health insurance or require such benefits to be taxable are adopted, the subsequent impact on the insurance carriers and/or self-insured plans may in turn adversely impact our ability to accurately forecast future results and harm our business, financial condition and results of operations.</w:t>
      </w:r>
    </w:p>
    <w:p>
      <w:pPr>
        <w:spacing w:after="0" w:line="18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The health benefits industry may be subject to negative publicity, which could adversely affect our business, financial condition and results of operations.</w:t>
      </w:r>
    </w:p>
    <w:p>
      <w:pPr>
        <w:spacing w:after="0" w:line="170" w:lineRule="exact"/>
        <w:rPr>
          <w:sz w:val="20"/>
          <w:szCs w:val="20"/>
          <w:color w:val="auto"/>
        </w:rPr>
      </w:pPr>
    </w:p>
    <w:p>
      <w:pPr>
        <w:jc w:val="both"/>
        <w:ind w:left="60" w:right="79" w:firstLine="648"/>
        <w:spacing w:after="0" w:line="311" w:lineRule="auto"/>
        <w:rPr>
          <w:sz w:val="20"/>
          <w:szCs w:val="20"/>
          <w:color w:val="auto"/>
        </w:rPr>
      </w:pPr>
      <w:r>
        <w:rPr>
          <w:rFonts w:ascii="Arial" w:cs="Arial" w:eastAsia="Arial" w:hAnsi="Arial"/>
          <w:sz w:val="16"/>
          <w:szCs w:val="16"/>
          <w:color w:val="auto"/>
        </w:rPr>
        <w:t>The health benefits industry may be subject to negative publicity, which can arise from, among other things, increases in premium rates, industry consolidation, cost of care initiatives, drug prices and the ongoing debate over the ACA. In addition, negative publicity may result in increased regulation and legislative review of industry practices, which</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may further increase our costs of doing business and adversely affect our profitability. For example, PBM programs and drug rebates have recently been criticized as leading to a lack of transparency about the true cost of a drug, and certain members of Congress as well as HHS’s Office of Inspector General, or OIG, have proposed regulatory changes that could potentially affect our business and operations. Negative public perception or publicity of the health benefits industry in general, the insurance carriers with whom we integrate our solutions, our self-insured employer clients, or us could adversely affect our business, financial condition and results of operations.</w:t>
      </w:r>
    </w:p>
    <w:p>
      <w:pPr>
        <w:spacing w:after="0" w:line="17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If our computer systems, or those of our provider clinics, specialty pharmacies or other downstream vendors lag, fail or suffer security breaches, we may incur a material disruption of our services, which could materially impact our business and the results of operations</w:t>
      </w:r>
      <w:r>
        <w:rPr>
          <w:rFonts w:ascii="Arial" w:cs="Arial" w:eastAsia="Arial" w:hAnsi="Arial"/>
          <w:sz w:val="18"/>
          <w:szCs w:val="18"/>
          <w:i w:val="1"/>
          <w:iCs w:val="1"/>
          <w:color w:val="auto"/>
        </w:rPr>
        <w:t>.</w:t>
      </w:r>
    </w:p>
    <w:p>
      <w:pPr>
        <w:spacing w:after="0" w:line="18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Our business is increasingly dependent on critical, complex and interdependent information technology systems, including cloud-based systems, to support business processes as well as internal and external communications. Our success therefore is dependent in part on our ability to secure, integrate, develop, redesign and enhance our (or contract with vendors to provide) technology systems that support our business strategy initiatives and processes in a compliant, secure, and cost and resource efficient manner. If we or our provider clinics, specialty pharmacies or other downstream vendors have an issue with our or their respective technology systems, it may result in a disruption to our operations or downstream disruption to our relationships with our clients or our selective network of high-quality fertility specialists. Additionally, if we choose to insource any of the services currently handled by a third party, it may result in technological or operational disruptions.</w:t>
      </w:r>
    </w:p>
    <w:p>
      <w:pPr>
        <w:spacing w:after="0" w:line="196"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In the current environment, there are numerous and evolving risks to cybersecurity and privacy, including criminal hackers, hacktivists, state-sponsored intrusions, industrial espionage, employee malfeasance and human or technological error. High-profile security breaches at other companies and in government agencies have increased in recent years. Despite the implementation of security measures, including steps designed to secure our technology infrastructure and sensitive data, we can provide no assurance that our current technology system or any updates or upgrades thereto, the current or future technology systems of our provider clinics, specialty pharmacies or other downstream vendors, are fully protected against malicious intrusion, malware, computer viruses, unauthorized access, natural disasters, terrorism, war, telecommunication and electrical failures, information or data theft or other similar risks.</w:t>
      </w:r>
    </w:p>
    <w:p>
      <w:pPr>
        <w:spacing w:after="0" w:line="165"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We have experienced and expect to continue to experience actual and attempted cyber-attacks of our IT networks, such as through email phishing scams, spoofing attempts and malicious attachments. Although none of these actual or attempted cyber-attacks has had a material adverse impact on our operations or financial condition, we cannot guarantee that such incidents will not have such an impact in the future. In addition, to the extent that any disruption or security breach were to result in a loss or inappropriate disclosure of confidential information, we could incur liability. We have access to sensitive information relating to members, our employees and our business partners in the ordinary course of our business. Any failure or perceived failure by us, or our third-party contractors on our behalf, to comply with local and foreign laws regarding privacy and data security, as well as contractual commitments in this respect, may result in governmental enforcement claims, fines, or litigation, which could have an adverse effect on our reputation and business. If a significant data breach occurred, our reputation could be materially and adversely affected, confidence among our clients and members may be diminished, or we may be subject to legal claims, any of which may contribute to the loss of customers and have a material adverse effect on us. To the extent such disruptions or uncertainties result in the theft, destruction, loss or misappropriation or release of our confidential data or our intellectual property, our business and results of operations could be materially and adversely affected. See “—Risks Related to Government Regulation—We operate in a highly regulated industry and must comply with a significant number of complex and evolving requirements—Data Protection and Breaches.”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If we fail to offer high-quality support, our reputation could suffer.</w:t>
      </w:r>
    </w:p>
    <w:p>
      <w:pPr>
        <w:spacing w:after="0" w:line="225"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Our clients rely on our client account management personnel and our members rely on our PCAs to resolve issues and realize the full benefits that our solutions and services provide. High-quality support is also important for the renewal and expansion of our services to existing clients. The importance of our support functions will increase as we expand our business and pursue new clients. If we do not help our clients quickly resolve issues and provide effective ongoing support, our ability to maintain and expand our offerings to existing and new clients could suffer, and our reputation with existing</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or potential clients could suffer. Further, to the extent that we are unsuccessful in hiring, training and retaining adequate PCAs and client account management personnel, our ability to provide adequate and timely support to our members and clients would be negatively impacted, and our members’ and clients’ satisfaction with our solutions and services would be adversely affected.</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Our marketing efforts depend significantly on our ability to receive positive references from our existing clients.</w:t>
      </w:r>
    </w:p>
    <w:p>
      <w:pPr>
        <w:spacing w:after="0" w:line="248" w:lineRule="exact"/>
        <w:rPr>
          <w:sz w:val="20"/>
          <w:szCs w:val="20"/>
          <w:color w:val="auto"/>
        </w:rPr>
      </w:pPr>
    </w:p>
    <w:p>
      <w:pPr>
        <w:ind w:left="60" w:right="199" w:firstLine="648"/>
        <w:spacing w:after="0" w:line="257" w:lineRule="auto"/>
        <w:rPr>
          <w:sz w:val="20"/>
          <w:szCs w:val="20"/>
          <w:color w:val="auto"/>
        </w:rPr>
      </w:pPr>
      <w:r>
        <w:rPr>
          <w:rFonts w:ascii="Arial" w:cs="Arial" w:eastAsia="Arial" w:hAnsi="Arial"/>
          <w:sz w:val="18"/>
          <w:szCs w:val="18"/>
          <w:color w:val="auto"/>
        </w:rPr>
        <w:t>Our marketing efforts depend significantly on our ability to call on our current clients to provide positive references to new, potential clients. Given our limited number of long-term clients, the loss or dissatisfaction of any client could substantially harm our brand and reputation, inhibit the market adoption of our offering and impair our ability to attract new clients and maintain existing clients. Any of these consequences could have an adverse effect on our business, financial condition and results of operations.</w:t>
      </w:r>
    </w:p>
    <w:p>
      <w:pPr>
        <w:spacing w:after="0" w:line="18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Failure to effectively develop and expand our marketing and sales capabilities could harm our ability to increase our client base and achieve broader market acceptance of solutions we provide.</w:t>
      </w:r>
    </w:p>
    <w:p>
      <w:pPr>
        <w:spacing w:after="0" w:line="170"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Our ability to increase our client base and achieve broader market acceptance of solutions we provide will depend to a significant extent on our ability to expand our marketing and sales capabilities. We plan to continue expanding our direct sales force and to dedicate significant resources to sales and marketing programs, including direct sales, inside sales, targeted direct marketing, advertising, digital marketing, e-newsletter and conference sponsorships. All of these efforts will require us to invest significant financial and other resources. Our business and results of operations could be harmed if our sales and marketing efforts do not generate significant increases in revenue. We may not achieve anticipated revenue growth from expanding our sales and marketing efforts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future revenue may not grow at the rates they historically have, or at all.</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have experienced significant growth since the launch of our fertility benefits solution in 2016. Revenue and our client base may not grow at the same rates they historically have, or they may decline in the future. Our future growth will depend, in part, on our ability to:</w:t>
      </w:r>
    </w:p>
    <w:p>
      <w:pPr>
        <w:spacing w:after="0" w:line="184" w:lineRule="exact"/>
        <w:rPr>
          <w:sz w:val="20"/>
          <w:szCs w:val="20"/>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 to attract new clients and maintain existing clients;</w:t>
      </w:r>
    </w:p>
    <w:p>
      <w:pPr>
        <w:spacing w:after="0" w:line="225" w:lineRule="exact"/>
        <w:rPr>
          <w:rFonts w:ascii="Arial" w:cs="Arial" w:eastAsia="Arial" w:hAnsi="Arial"/>
          <w:sz w:val="18"/>
          <w:szCs w:val="18"/>
          <w:color w:val="auto"/>
        </w:rPr>
      </w:pPr>
    </w:p>
    <w:p>
      <w:pPr>
        <w:ind w:left="720" w:right="199" w:hanging="319"/>
        <w:spacing w:after="0" w:line="277"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price our solutions and services effectively so that we are able to attract new clients, expand sales to our existing clients and maintain profitability;</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provide our clients and members with client support that meets their needs, including through dedicated PCAs;</w:t>
      </w:r>
    </w:p>
    <w:p>
      <w:pPr>
        <w:spacing w:after="0" w:line="248" w:lineRule="exact"/>
        <w:rPr>
          <w:rFonts w:ascii="Arial" w:cs="Arial" w:eastAsia="Arial" w:hAnsi="Arial"/>
          <w:sz w:val="16"/>
          <w:szCs w:val="16"/>
          <w:color w:val="auto"/>
        </w:rPr>
      </w:pPr>
    </w:p>
    <w:p>
      <w:pPr>
        <w:ind w:left="720" w:right="519" w:hanging="319"/>
        <w:spacing w:after="0" w:line="277"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successful collection of member cost shares and other applicable receivable balances directly from members;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retain and maintain relationships with high-quality and respected fertility specialists;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attract and retain highly qualified personnel to support all clients and members;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satisfactory relationships with insurance carriers;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 awareness of our brand and successfully compete with other companies.</w:t>
      </w:r>
    </w:p>
    <w:p>
      <w:pPr>
        <w:spacing w:after="0" w:line="225" w:lineRule="exact"/>
        <w:rPr>
          <w:sz w:val="20"/>
          <w:szCs w:val="20"/>
          <w:color w:val="auto"/>
        </w:rPr>
      </w:pPr>
    </w:p>
    <w:p>
      <w:pPr>
        <w:jc w:val="both"/>
        <w:ind w:left="60" w:right="259" w:firstLine="324"/>
        <w:spacing w:after="0" w:line="311" w:lineRule="auto"/>
        <w:rPr>
          <w:sz w:val="20"/>
          <w:szCs w:val="20"/>
          <w:color w:val="auto"/>
        </w:rPr>
      </w:pPr>
      <w:r>
        <w:rPr>
          <w:rFonts w:ascii="Arial" w:cs="Arial" w:eastAsia="Arial" w:hAnsi="Arial"/>
          <w:sz w:val="16"/>
          <w:szCs w:val="16"/>
          <w:color w:val="auto"/>
        </w:rPr>
        <w:t>We may not successfully accomplish all or any of these objectives, which may affect our future revenue, and which makes it difficult for us to forecast our future results of operations. In addition, if the assumptions that we use to plan our business are incorrect or change in reaction to changes in our market, it may be difficult for us to maintain profitability.</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459"/>
        <w:spacing w:after="0" w:line="277" w:lineRule="auto"/>
        <w:rPr>
          <w:sz w:val="20"/>
          <w:szCs w:val="20"/>
          <w:color w:val="auto"/>
        </w:rPr>
      </w:pPr>
      <w:r>
        <w:rPr>
          <w:rFonts w:ascii="Arial" w:cs="Arial" w:eastAsia="Arial" w:hAnsi="Arial"/>
          <w:sz w:val="18"/>
          <w:szCs w:val="18"/>
          <w:color w:val="auto"/>
        </w:rPr>
        <w:t>You should not rely on our revenue for any prior quarterly or annual periods as any indication of our future revenue or revenue growth.</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addition, we expect to continue to expend substantial financial and other resources on:</w:t>
      </w:r>
    </w:p>
    <w:p>
      <w:pPr>
        <w:spacing w:after="0" w:line="225" w:lineRule="exact"/>
        <w:rPr>
          <w:sz w:val="20"/>
          <w:szCs w:val="20"/>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and marketing;</w:t>
      </w:r>
    </w:p>
    <w:p>
      <w:pPr>
        <w:spacing w:after="0" w:line="198" w:lineRule="exact"/>
        <w:rPr>
          <w:rFonts w:ascii="Arial" w:cs="Arial" w:eastAsia="Arial" w:hAnsi="Arial"/>
          <w:sz w:val="18"/>
          <w:szCs w:val="18"/>
          <w:color w:val="auto"/>
        </w:rPr>
      </w:pPr>
    </w:p>
    <w:p>
      <w:pPr>
        <w:ind w:left="720" w:right="239" w:hanging="319"/>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technology infrastructure, including systems architecture, scalability, availability, performance and security; and</w:t>
      </w:r>
    </w:p>
    <w:p>
      <w:pPr>
        <w:spacing w:after="0" w:line="129" w:lineRule="exact"/>
        <w:rPr>
          <w:rFonts w:ascii="Arial" w:cs="Arial" w:eastAsia="Arial" w:hAnsi="Arial"/>
          <w:sz w:val="18"/>
          <w:szCs w:val="18"/>
          <w:color w:val="auto"/>
        </w:rPr>
      </w:pPr>
    </w:p>
    <w:p>
      <w:pPr>
        <w:ind w:left="720" w:right="739" w:hanging="319"/>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administration, including increased legal and accounting expenses associated with being a public company.</w:t>
      </w:r>
    </w:p>
    <w:p>
      <w:pPr>
        <w:spacing w:after="0" w:line="130"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These investments may not result in increased revenue growth in our business. If we are unable to increase our revenue at a rate sufficient to offset the expected increase in our costs, our business, financial position, and results of operations will be harmed, and we may not be able to maintain profitability over the long term. Additionally, we may encounter unforeseen operating expenses, difficulties, complications, delays and other unknown factors that may result in losses in future periods.</w:t>
      </w:r>
    </w:p>
    <w:p>
      <w:pPr>
        <w:spacing w:after="0" w:line="188"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If our revenue growth does not meet our expectations in future periods, we may not maintain profitability in the future, our business, financial position and results of operations may be harmed.</w:t>
      </w:r>
    </w:p>
    <w:p>
      <w:pPr>
        <w:spacing w:after="0" w:line="170"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If the estimates and assumptions we use to determine the size of the target markets for our services are inaccurate, our future growth rate may be impacted and our business would be harmed.</w:t>
      </w:r>
    </w:p>
    <w:p>
      <w:pPr>
        <w:spacing w:after="0" w:line="170"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Market opportunity estimates and growth forecasts are subject to significant uncertainty and are based on assumptions and estimates that may not prove to be accurate. Furthermore, the healthcare industry is rapidly evolving and the markets for fertility benefits management and the related fertility pharmacy benefits management are relatively immature. Market opportunity estimates and growth forecasts, including those we have generated ourselves, are subject to significant uncertainty and are based on assumptions and estimates that may not prove to be accurate, including the risks described herein. Even if the markets in which we compete achieve the forecasted growth, our business could fail to grow at similar rates, if at all.</w:t>
      </w:r>
    </w:p>
    <w:p>
      <w:pPr>
        <w:spacing w:after="0" w:line="19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Our estimates of the market opportunity for our services are based on the assumption that the purpose-built, data-driven and disruptive fertility benefits platform with the Smart Cycle plan design we offer will be attractive to employers. Employers may pursue alternatives or may not see the value in providing enhanced fertility-related coverage and services to their employees. In addition, we believe we are expanding the size of the fertility market as we enhance demand and increase awareness for fertility benefits. If these assumptions prove inaccurate, or if the increase in awareness of fertility benefits attracts potential competitors to enter the market and results in greater competition, our business, financial condition and results of operations could be adversely affected.</w:t>
      </w:r>
    </w:p>
    <w:p>
      <w:pPr>
        <w:spacing w:after="0" w:line="177"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It is difficult to predict member utilization rates and demand for our solutions, the entry of competitive solutions or the future growth rate and size of the fertility market, and more specifically the fertility benefits management market and the pharmacy benefits management market. The expansion of the fertility market depends on a number of factors, including, but not limited to: the continued trend of individuals starting families later in life, increase in number of single mothers by choice, adoption of non-traditional paths to parenthood and continued de-stigmatization of infertility. Further, the expansion of the fertility benefits management market and the pharmacy benefits market both depend on a number of factors, including, but not limited to: the continued trends of a competitive workforce with employers competing for talent based on benefits that they provide and employers’ focus on benefits to attract and retain top talent.</w:t>
      </w:r>
    </w:p>
    <w:p>
      <w:pPr>
        <w:spacing w:after="0" w:line="165"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If fertility benefits management or pharmacy benefits management do not continue to achieve market acceptance, or if there is a reduction in demand caused by a lack of client or member acceptance, a reduction in employers’ focus on enhancing benefits to employees, weakening economic conditions, data security or privacy concerns, governmental regulation, competing offerings or otherwise, the market for our solutions and services might not continue to develop or</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might develop more slowly than we expect, which would adversely affect our business, financial condition and results of operations.</w:t>
      </w:r>
    </w:p>
    <w:p>
      <w:pPr>
        <w:spacing w:after="0" w:line="17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manage our growth, and if we are not able to grow efficiently, our business, financial condition and results of operations could be harmed</w:t>
      </w:r>
      <w:r>
        <w:rPr>
          <w:rFonts w:ascii="Arial" w:cs="Arial" w:eastAsia="Arial" w:hAnsi="Arial"/>
          <w:sz w:val="18"/>
          <w:szCs w:val="18"/>
          <w:b w:val="1"/>
          <w:bCs w:val="1"/>
          <w:color w:val="auto"/>
        </w:rPr>
        <w:t>.</w:t>
      </w:r>
    </w:p>
    <w:p>
      <w:pPr>
        <w:spacing w:after="0" w:line="170"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As usage of our solutions grows, we will need to devote additional resources to improving and maintaining our infrastructure. In addition, we will need to appropriately scale our internal business systems and our client account management and member services personnel to serve our growing client base. Any failure of or delay in these efforts could result in reduced client and member satisfaction, resulting in decreased sales to new clients and lower renewal and utilization rates by existing clients, which could hurt our revenue growth and our reputation. Even if we are successful in these efforts, they will require the dedication of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and such failures could harm our business, financial condition and results of operations.</w:t>
      </w:r>
    </w:p>
    <w:p>
      <w:pPr>
        <w:spacing w:after="0" w:line="18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Reductions in employee benefits spending or material defaults by members on their cost share due to unfavorable conditions in our industry or the United States economy could limit our ability to grow our business and negatively affect our results of operations.</w:t>
      </w:r>
    </w:p>
    <w:p>
      <w:pPr>
        <w:spacing w:after="0" w:line="184"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Unfavorable economic conditions could result in the cancellation by certain clients, a reduction in their number of employees or material defaults by members on their cost share, particularly if they lose their employer coverage and do not replace it with a health benefit plan that provides fertility coverage. Unfavorable changes in our industry or in the United States economy could have a negative effect on our and our clients’ and potential clients’ results of operations. Negative conditions in the general economy in the United States, including conditions resulting from changes in gross domestic product growth, financial and credit market fluctuations, international trade relations, political turmoil, natural catastrophes, outbreaks of contagious diseases or the worsening thereof, including the COVID-19 pandemic, warfare and terrorist attacks on the United States, could cause a decrease in business investments, including spending on employee benefits, and negatively affect the growth of our business. Further, economic conditions including interest rate fluctuations, changes in capital market conditions and regulatory changes, such as the taxability of medical benefits like ours, may affect our ability to obtain necessary financing on acceptable terms. In addition, the increased pace of consolidation in the healthcare industry may result in competitors with greater market power. We cannot predict the timing, strength, or duration of any economic slowdown, instability, or recovery, generally or within any particular industry.</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Our business experiences seasonality, which may cause fluctuations in our sales and results of operations.</w:t>
      </w:r>
    </w:p>
    <w:p>
      <w:pPr>
        <w:spacing w:after="0" w:line="237" w:lineRule="exact"/>
        <w:rPr>
          <w:sz w:val="20"/>
          <w:szCs w:val="20"/>
          <w:color w:val="auto"/>
        </w:rPr>
      </w:pPr>
    </w:p>
    <w:p>
      <w:pPr>
        <w:jc w:val="both"/>
        <w:ind w:left="60" w:right="59" w:firstLine="648"/>
        <w:spacing w:after="0" w:line="266" w:lineRule="auto"/>
        <w:rPr>
          <w:sz w:val="20"/>
          <w:szCs w:val="20"/>
          <w:color w:val="auto"/>
        </w:rPr>
      </w:pPr>
      <w:r>
        <w:rPr>
          <w:rFonts w:ascii="Arial" w:cs="Arial" w:eastAsia="Arial" w:hAnsi="Arial"/>
          <w:sz w:val="17"/>
          <w:szCs w:val="17"/>
          <w:color w:val="auto"/>
        </w:rPr>
        <w:t>Our business experiences moderate seasonality in revenue with a slightly higher proportion of revenue during the second half of the year as compared with the first half. Given that the majority of our clients contract with us for a January 1</w:t>
      </w:r>
      <w:r>
        <w:rPr>
          <w:rFonts w:ascii="Arial" w:cs="Arial" w:eastAsia="Arial" w:hAnsi="Arial"/>
          <w:sz w:val="19"/>
          <w:szCs w:val="19"/>
          <w:color w:val="auto"/>
          <w:vertAlign w:val="superscript"/>
        </w:rPr>
        <w:t>st</w:t>
      </w:r>
      <w:r>
        <w:rPr>
          <w:rFonts w:ascii="Arial" w:cs="Arial" w:eastAsia="Arial" w:hAnsi="Arial"/>
          <w:sz w:val="17"/>
          <w:szCs w:val="17"/>
          <w:color w:val="auto"/>
        </w:rPr>
        <w:t xml:space="preserve"> benefits plan start date and that the average cost of treatments earlier in the overall treatment process is somewhat lower than the average cost as treatment progresses, our revenue from treatment services tend to grow as the year continues, particularly for new clients. In addition, as with most medical benefits plans, members will typically seek to maximize the use of their benefits once they have reached their annual deductible and/or annual out-of-pocket maximums, thereby increasing treatments in the latter part of the year. We expect that this seasonality will continue to affect our revenue and results of operations in the future as we continue to target larger enterprise clients.</w:t>
      </w:r>
    </w:p>
    <w:p>
      <w:pPr>
        <w:spacing w:after="0" w:line="185"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In addition, the seasonality of our businesses could create cash flow management risks if we do not adequately anticipate and plan for periods of comparatively decreased cash flow, which could negatively impact our ability to execute on our strategy, which in turn could harm our results of operations. Accordingly, our results for any particular quarter may vary for a number of reasons, and we caution investors to evaluate our quarterly results in light of these factors.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b w:val="1"/>
          <w:bCs w:val="1"/>
          <w:i w:val="1"/>
          <w:iCs w:val="1"/>
          <w:color w:val="auto"/>
        </w:rPr>
        <w:t>If our new solutions and services are not adopted by our clients or members, or if we fail to innovate and develop new offerings that are adopted by our clients, our revenue and results of operations may be adversely affected.</w:t>
      </w:r>
    </w:p>
    <w:p>
      <w:pPr>
        <w:spacing w:after="0" w:line="124"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To date, we have derived a substantial majority of our revenue from sales of our fertility benefits and Progyny Rx solutions. As we operate in an evolving industry, our long-term results of operations and continued growth will depend on our ability to successfully develop and market new successful solutions and services to our clients. If our existing clients and members do not value and/or are not willing to make additional payments for such new solutions or services, it could adversely affect our business, financial condition and results of operations. If we are unable to predict clients’ or members’ preferences, if the markets in which we participate change, including in response to government regulation, or if we are unable to modify our solutions and services on a timely basis, we may lose clients. Our results of operations would also suffer if our innovations are not responsive to the needs of the members, appropriately timed with market opportunity or effectively brought to market.</w:t>
      </w:r>
    </w:p>
    <w:p>
      <w:pPr>
        <w:spacing w:after="0" w:line="18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If we fail to adapt and respond effectively to the changing medical landscape, changing laws, regulations and government enforcement priorities, changing client needs, requirements or preferences, our offerings may become less competitive.</w:t>
      </w:r>
    </w:p>
    <w:p>
      <w:pPr>
        <w:spacing w:after="0" w:line="184"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The market in which we compete is subject to a changing medical landscape and changing laws, regulations and government enforcement priorities, as well as changing client needs, requirements and preferences. The success of our business will depend, in part, on our ability to adapt and respond effectively to these changes on a timely basis. Our business strategy may not effectively respond to these changes, and we may fail to recognize and position ourselves to capitalize upon market opportunities. We may not have sufficient advance notice and resources to develop and effectively implement an alternative strategy. There may be scientific or clinical changes that require us to change our solutions or that make our solutions, including the Smart Cycles, less competitive in the marketplace. If there are sensitivities to our model or our existing competitors and new entrants create new disruptive business models and/or develop new solutions that clients and members prefer to our solutions, we may lose clients and members, and our results of operations, cash flows and/or prospects may be adversely affected. The future performance of our business will depend in large part on our ability to design and implement market appropriate strategic initiatives, some of which will occur over several years in a dynamic industry. If these initiatives do not achieve their objectives, our results of operations could be adversely affected.</w:t>
      </w:r>
    </w:p>
    <w:p>
      <w:pPr>
        <w:spacing w:after="0" w:line="16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we fail to maintain and enhance our brand, our ability to expand our client base will be impaired and our business, financial condition and results of operations may suffer.</w:t>
      </w:r>
    </w:p>
    <w:p>
      <w:pPr>
        <w:spacing w:after="0" w:line="170"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We believe that maintaining and enhancing the Progyny brand is important to support the marketing and sale of our existing and future solutions to new clients and expand sales of our solutions to existing clients. We also believe that the importance of brand recognition will increase as competition in our market increases. Successfully maintaining and enhancing our brand will depend largely on the effectiveness of our marketing efforts, our ability to provide reliable services that continue to meet the needs of our clients at competitive prices, our ability to maintain our clients’ trust, our ability to continue to develop new solutions, and our ability to successfully differentiate our platform from competitive solutions and services. Our brand promotion activities may not generate client awareness or yield increased revenue, and even if they do, any increased revenue may not offset the expenses we incur in building our brand. If we fail to successfully promote and maintain our brand, our business, financial condition and results of operations may suffer.</w:t>
      </w:r>
    </w:p>
    <w:p>
      <w:pPr>
        <w:spacing w:after="0" w:line="166" w:lineRule="exact"/>
        <w:rPr>
          <w:sz w:val="20"/>
          <w:szCs w:val="20"/>
          <w:color w:val="auto"/>
        </w:rPr>
      </w:pPr>
    </w:p>
    <w:p>
      <w:pPr>
        <w:jc w:val="both"/>
        <w:ind w:left="60" w:right="59"/>
        <w:spacing w:after="0" w:line="381" w:lineRule="auto"/>
        <w:rPr>
          <w:sz w:val="20"/>
          <w:szCs w:val="20"/>
          <w:color w:val="auto"/>
        </w:rPr>
      </w:pPr>
      <w:r>
        <w:rPr>
          <w:rFonts w:ascii="Arial" w:cs="Arial" w:eastAsia="Arial" w:hAnsi="Arial"/>
          <w:sz w:val="15"/>
          <w:szCs w:val="15"/>
          <w:b w:val="1"/>
          <w:bCs w:val="1"/>
          <w:i w:val="1"/>
          <w:iCs w:val="1"/>
          <w:color w:val="auto"/>
        </w:rPr>
        <w:t>If we fail to retain and motivate members of our management team or other key employees, or fail to attract additional qualified personnel to support our operations, our business and future growth prospects could be harmed.</w:t>
      </w:r>
    </w:p>
    <w:p>
      <w:pPr>
        <w:spacing w:after="0" w:line="100"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Our success and future growth depend largely upon the continued services of our management team and our other key employees. From time to time, there may be changes in our executive management team or other key employees resulting from the hiring or departure of these personnel. Our executive officers and other key employees are employed on an at-will basis, which means that these personnel could terminate their employment with us at any time. The loss of one or more of our executive officers, or the failure by our executive team to effectively work with our employees and lead our company, could harm our business.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In addition, to execute our growth plan, we must attract and retain highly qualified personnel. Competition for these personnel is intense, especially for experienced sales and client account management personnel. There is no guarantee we will be able to attract such personnel or that competition among potential employers will not result in increased salaries or other benefits. From time to time, we have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their legal obligations, resulting in a diversion of our time and resources. In addition, prospective and existing employees often consider the value of the equity awards they receive in connection with their employment. If the perceived value of our equity awards declines, experiences significant volatility, or increases such that prospective employees believe there is limited upside to the value of our equity awards, it may adversely affect our ability to recruit and retain key employees. If we fail to attract new personnel or fail to retain and motivate our current personnel, our business and future growth prospects could be harmed. Further, if members of our management and other key personnel in critical functions across our organization are unable to perform their duties or have limited availability due to COVID-19, we may not be able to execute on our business strategy and/or our operations may be negatively impacted.</w:t>
      </w:r>
    </w:p>
    <w:p>
      <w:pPr>
        <w:spacing w:after="0" w:line="16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If we cannot maintain our company culture as we grow, our success and our business and competitive position may be harmed.</w:t>
      </w:r>
    </w:p>
    <w:p>
      <w:pPr>
        <w:spacing w:after="0" w:line="170" w:lineRule="exact"/>
        <w:rPr>
          <w:sz w:val="20"/>
          <w:szCs w:val="20"/>
          <w:color w:val="auto"/>
        </w:rPr>
      </w:pPr>
    </w:p>
    <w:p>
      <w:pPr>
        <w:ind w:left="60" w:right="59" w:firstLine="648"/>
        <w:spacing w:after="0" w:line="255" w:lineRule="auto"/>
        <w:rPr>
          <w:sz w:val="20"/>
          <w:szCs w:val="20"/>
          <w:color w:val="auto"/>
        </w:rPr>
      </w:pPr>
      <w:r>
        <w:rPr>
          <w:rFonts w:ascii="Arial" w:cs="Arial" w:eastAsia="Arial" w:hAnsi="Arial"/>
          <w:sz w:val="18"/>
          <w:szCs w:val="18"/>
          <w:color w:val="auto"/>
        </w:rPr>
        <w:t>We believe our culture has been a key contributor to our success to date and that the critical nature of the mission we are pursuing promotes a sense of greater purpose and fulfillment in our employees.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If we fail to maintain our company culture, our business and competitive position may be harmed.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Relationships with Third Parties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Our business depends on our ability to maintain our Center of Excellence network of high-quality fertility specialists and other healthcare providers. If we are unable to do so, our future growth would be limited and our business, financial condition and results of operations would be harmed.</w:t>
      </w:r>
    </w:p>
    <w:p>
      <w:pPr>
        <w:spacing w:after="0" w:line="184"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Our success is dependent upon our continued ability to maintain a selective Center of Excellence, our proprietary, credentialed network of high-quality fertility specialists. Fertility specialists and our other network providers could refuse to contract, demand higher payments or take other actions that could result in higher medical costs, less attractive service for our members or difficulty meeting regulatory or accreditation requirements. Identifying high-quality fertility specialists and other healthcare providers, credentialing and negotiating contracts with them and evaluating, monitoring and maintaining our network, requires significant time and resources. Our network provider arrangements generally may be terminated or not renewed by either party without cause upon prior written notice. We cannot provide any assurance that we will be able to continue to renew our existing contracts or enter into new contracts on a timely basis or under favorable terms enabling us to service our members profitably. If we are not successful in maintaining our relationships with top fertility specialists, these fertility specialists may refuse to renew their contracts with us, and potential competitors may be effective in onboarding these or other high-quality fertility specialists to create a similarly high-quality network. Any of these events could have a material adverse effect on the provision of services to our members and our operations.</w:t>
      </w:r>
    </w:p>
    <w:p>
      <w:pPr>
        <w:spacing w:after="0" w:line="168"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There may be additional shifts in the fertility specialty provider space as the fertility market matures, and high-quality fertility specialists may become more demanding in re-negotiating to remain in our network. Our ability to develop and maintain satisfactory relationships with high-quality fertility specialists and other healthcare providers also may be negatively impacted by other factors not associated with us, such as legal and regulatory changes, including changes in government enforcement priorities, impacting providers or consolidation activity among hospitals, physician groups and healthcare providers. In addition, in some markets and geographies, certain organizations of physicians or healthcare providers, such as practice management companies (which group together physician practices for administrative efficiency and marketing leverage), accountable care organizations, clinically integrated networks, independent practice associations, and other organizational structures that physicians and other healthcare providers choose may change the way in which</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these providers do business with us, and may change the competitive landscape. Such organizations or groups of health care providers may compete directly with us, which could adversely affect our operations, and our results of operations, financial position, and cash flows by impacting our relationships with these providers or affecting the way that we price our products and estimate our costs, which might require us to incur costs to change our operations. Health care providers in our network may consolidate or merge into other groups or healthcare systems, resulting in a reduction of providers in our network and in the competitive environment. In addition, if these providers refuse to contract with us, use their market position to negotiate contracts unfavorable to us or place us at a competitive disadvantage, our ability to market our solutions or to be profitable in those areas could be materially and adversely affected.</w:t>
      </w:r>
    </w:p>
    <w:p>
      <w:pPr>
        <w:spacing w:after="0" w:line="165"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From time to time, our network providers may assert, or threaten to assert, claims seeking to terminate our contractual arrangements. If enough provider agreements were terminated, such termination could adversely impact the adequacy of our network to service our members, and may put us at risk of non-compliance with applicable federal and state laws. If we are unable to retain our current provider contract terms or enter into new provider contracts timely or on favorable terms, our profitability may be harmed. In addition, from time to time, we may in the future be subject to class action or other lawsuits by health care providers with respect to claims payment procedures, reimbursement policies, network participation, or similar matters. In addition, regardless of whether any such lawsuits brought against us are successful or have merit, they will be time-consuming and costly, and could have an adverse impact on our reputation. As a result, under such circumstances, we may be unable to operate our business effectively.</w:t>
      </w:r>
    </w:p>
    <w:p>
      <w:pPr>
        <w:spacing w:after="0" w:line="166"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 addition, the perceived value of our solutions and our reputation may be negatively impacted if the services provided by one or more of our fertility specialists or another network healthcare provider are not satisfactory to our members, including as a result of provider error that could result in litigation. For example, if a provider within our network experiences an issue with their cryopreservation techniques or releases sensitive information of our members, we could incur additional expenses and it could give rise to litigation against us. Any such issue with one of our providers may expose us to public scrutiny, adversely affect our brand and reputation, expose us to litigation and/or regulatory action, and otherwise make our operations vulnerable. Further, if a fertility specialist provides services that result in less than favorable outcomes, this could cause us to fail to meet our contractually guaranteed specified service metrics, and we could be obligated to provide the client with a fee reduction. The failure to maintain our selective network of high-quality fertility specialists and other healthcare providers or the failure of those providers to meet and exceed our members’ expectations, may result in a loss of or inability to grow or maintain our client base, which could adversely affect our business, financial condition and results of operations.</w:t>
      </w:r>
    </w:p>
    <w:p>
      <w:pPr>
        <w:spacing w:after="0" w:line="17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Our growth depends in part on the success of our strategic relationships with, and monitoring of, third parties, including vendors, as well as insurance carriers.</w:t>
      </w:r>
    </w:p>
    <w:p>
      <w:pPr>
        <w:spacing w:after="0" w:line="170"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In order to grow our business, we anticipate that we will continue to depend on our relationships with third parties, including vendors and insurance carriers. As the fertility management market and our client base grow, if we do not successfully maintain our relationships with insurance carriers, they may make integration more difficult or expensive, such as implementing an onerous fee structure in exchange for our ability to continue to integrate our solutions with their platforms. If we are unsuccessful in establishing or maintaining our relationships with third parties, our ability to compete in the marketplace or to grow our revenue could be impaired and our results of operations may suffer.</w:t>
      </w:r>
    </w:p>
    <w:p>
      <w:pPr>
        <w:spacing w:after="0" w:line="164" w:lineRule="exact"/>
        <w:rPr>
          <w:sz w:val="20"/>
          <w:szCs w:val="20"/>
          <w:color w:val="auto"/>
        </w:rPr>
      </w:pPr>
    </w:p>
    <w:p>
      <w:pPr>
        <w:jc w:val="both"/>
        <w:ind w:left="60" w:right="119" w:firstLine="648"/>
        <w:spacing w:after="0" w:line="259" w:lineRule="auto"/>
        <w:rPr>
          <w:sz w:val="20"/>
          <w:szCs w:val="20"/>
          <w:color w:val="auto"/>
        </w:rPr>
      </w:pPr>
      <w:r>
        <w:rPr>
          <w:rFonts w:ascii="Arial" w:cs="Arial" w:eastAsia="Arial" w:hAnsi="Arial"/>
          <w:sz w:val="18"/>
          <w:szCs w:val="18"/>
          <w:color w:val="auto"/>
        </w:rPr>
        <w:t>In addition, our arrangements with these third parties may expose us to public scrutiny, adversely affect our brand and reputation, expose us to litigation and/or regulatory action, and otherwise make our operations vulnerable if we fail to adequately monitor their performance or if they fail to meet their contractual obligations to us or to comply with applicable laws or regulations.</w:t>
      </w:r>
    </w:p>
    <w:p>
      <w:pPr>
        <w:spacing w:after="0" w:line="18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If we fail to maintain an efficient pharmacy distribution network or if there is a disruption to our network of specialty pharmacies, our business, financial condition and results of operations could suffer.</w:t>
      </w:r>
    </w:p>
    <w:p>
      <w:pPr>
        <w:spacing w:after="0" w:line="103"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The timely delivery of fertility prescriptions is essential for fertility treatments. If prescriptions are delivered late, the delay may result in postponement of a member’s treatment cycle and member dissatisfaction with our solutions. We believe that our ability to maintain and grow the adoption of Progyny Rx is highly dependent on our success in maintaining an efficient pharmacy distribution network and our record of on-time delivery. The specialty pharmacies in our network</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could refuse to contract, demand higher drug pricing or take other actions that could result in higher medical costs or less attractive services for our members. We do not control the pricing strategies of our specialty pharmacy partners, each of whom may be motivated by independent considerations and drivers that are outside our control and has the ability to set or impact market price for different prescription medications. We also cannot provide any assurance that we will be able to continue to renew our existing contracts, current negotiated pricing or discounts, or enter into new contracts on a timely basis or under favorable terms enabling us to service our members profitably. If we are not successful in maintaining our relationships with the specialty pharmacies in our network, are otherwise unable to maintain an efficient pharmacy distribution network, or if a significant disruption thereto should occur, the use of Progyny Rx may decline due to the inability to timely deliver prescription or offer competitive drug pricing to members, which could cause our business, financial condition and results of operations to suffer.</w:t>
      </w:r>
    </w:p>
    <w:p>
      <w:pPr>
        <w:spacing w:after="0" w:line="118"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b w:val="1"/>
          <w:bCs w:val="1"/>
          <w:i w:val="1"/>
          <w:iCs w:val="1"/>
          <w:color w:val="auto"/>
        </w:rPr>
        <w:t>If we lose our relationship with one or more key pharmacy program partners, or if the rebates provided by pharmacy program partners decline, our business and results of operations could be adversely affected.</w:t>
      </w:r>
    </w:p>
    <w:p>
      <w:pPr>
        <w:spacing w:after="0" w:line="79"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We maintain contractual relationships with select pharmacy program partners, which provide us with access to limited distribution specialty pharmaceutical rebates for drugs we purchase. While we have contractual relationships with such pharmacy program partners, they in turn often negotiate complex and multi-party pricing structures with other industry participants, and we have no control over the policies and strategies implemented in negotiating these pricing structures, and such structures may set or significantly impact market prices for prescription drugs we purchase and associated rebates for such drugs. Pharmacy program partners generally direct medication pricing by setting medication list prices and offering rebates and/or discounts for their medications. Various market considerations—such as the number of competitor medications, the availability of alternative treatment options, and negotiated rates among industry participants —impact the list prices for medications. Our ability to obtain specialty pharmaceutical rebates, our relative bargaining power, the value of any such rebates and our ability to generate revenue are directly affected by the pricing structures in place among the various industry participants, and changes in medication pricing and in the general pricing structures, whether due to regulatory requirements, competitive pressures or otherwise, could have an adverse effect on our business, financial condition and results of operations. Further, the consolidation of pharmaceutical manufacturers, the shortages of drugs provided by such manufacturers, the termination or material alteration of our contractual relationships, or our failure to renew such contracts on favorable terms could have a material adverse effect on our business and results of operations.</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marketing efforts depend on our ability to maintain our relationship with benefits consultants.</w:t>
      </w:r>
    </w:p>
    <w:p>
      <w:pPr>
        <w:spacing w:after="0" w:line="158"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sell our solutions through our sales organization and, in many cases, we leverage our relationships with top benefits consultants to establish relationships with potential clients. Our sales team has broad experience in health benefits management and extensive pre-existing long-term relationships with industry participants and benefits executives at large employers. If we fail to maintain our relationship with the benefits consultants, our marketing efforts, business and profitability would be adversely impacted.</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are exposed to credit risk from our members</w:t>
      </w:r>
      <w:r>
        <w:rPr>
          <w:rFonts w:ascii="Arial" w:cs="Arial" w:eastAsia="Arial" w:hAnsi="Arial"/>
          <w:sz w:val="18"/>
          <w:szCs w:val="18"/>
          <w:i w:val="1"/>
          <w:iCs w:val="1"/>
          <w:color w:val="auto"/>
        </w:rPr>
        <w:t>.</w:t>
      </w:r>
    </w:p>
    <w:p>
      <w:pPr>
        <w:spacing w:after="0" w:line="158"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collect copayments, coinsurance and deductibles directly from members. We do not require collateral for such receivables. Our failure to collect a significant portion of the amount due on such receivables directly from members could adversely affect our business, financial condition and results of operations.</w:t>
      </w:r>
    </w:p>
    <w:p>
      <w:pPr>
        <w:spacing w:after="0" w:line="1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6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operate in a highly regulated industry and must comply with a significant number of complex and evolving legal and regulatory requirements.</w:t>
      </w:r>
    </w:p>
    <w:p>
      <w:pPr>
        <w:spacing w:after="0" w:line="103"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We have attempted to structure our operations to comply with laws, regulations and other requirements applicable to us directly and to our clients and vendors, but there can be no assurance that our operations will not be challenged or impacted by regulatory authorities or enforcement initiatives. We have been, and in the future may become, involved in governmental investigations, audits, reviews and assessments. Any determination by a court or agency that our corporate structure, solutions or services violate, or cause our clients to violate, applicable laws, regulations or other requirements could subject us or our clients to significant administrative, civil or criminal penalties. Such a determination also could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require us to change or terminate portions of our business, disqualify us from serving clients that do business with government entities, or cause us to refund some or all of our service fees or otherwise compensate our clients. In addition, failure to satisfy laws, regulations or other requirements could adversely affect demand for our solutions and could force us to expend significant capital, research and development and other resources to address the failure. Even an unsuccessful challenge by regulatory and other authorities or parties could be expensive and time-consuming, could result in loss of business, exposure to adverse publicity, and injury to our reputation and could adversely affect our ability to retain and attract clients. If we fail to comply with applicable laws, regulations and other requirements, our business, financial condition and results of operations could be adversely affected. Such non-compliance could also require significant investment to address and may prove costly. There are several additional federal and state statutes, regulations, guidance and contractual provisions related to or impacting the healthcare industry that may apply to our business activities directly or indirectly, including, but not limited to:</w:t>
      </w:r>
    </w:p>
    <w:p>
      <w:pPr>
        <w:spacing w:after="0" w:line="101" w:lineRule="exact"/>
        <w:rPr>
          <w:sz w:val="20"/>
          <w:szCs w:val="20"/>
          <w:color w:val="auto"/>
        </w:rPr>
      </w:pPr>
    </w:p>
    <w:p>
      <w:pPr>
        <w:jc w:val="both"/>
        <w:ind w:left="1040" w:right="79" w:hanging="315"/>
        <w:spacing w:after="0" w:line="286" w:lineRule="auto"/>
        <w:tabs>
          <w:tab w:leader="none" w:pos="1040" w:val="left"/>
        </w:tabs>
        <w:numPr>
          <w:ilvl w:val="0"/>
          <w:numId w:val="22"/>
        </w:numPr>
        <w:rPr>
          <w:rFonts w:ascii="Arial" w:cs="Arial" w:eastAsia="Arial" w:hAnsi="Arial"/>
          <w:sz w:val="16"/>
          <w:szCs w:val="16"/>
          <w:color w:val="auto"/>
        </w:rPr>
      </w:pPr>
      <w:r>
        <w:rPr>
          <w:rFonts w:ascii="Arial" w:cs="Arial" w:eastAsia="Arial" w:hAnsi="Arial"/>
          <w:sz w:val="16"/>
          <w:szCs w:val="16"/>
          <w:b w:val="1"/>
          <w:bCs w:val="1"/>
          <w:i w:val="1"/>
          <w:iCs w:val="1"/>
          <w:color w:val="auto"/>
        </w:rPr>
        <w:t>Licensing and Licensed Personnel</w:t>
      </w:r>
      <w:r>
        <w:rPr>
          <w:rFonts w:ascii="Arial" w:cs="Arial" w:eastAsia="Arial" w:hAnsi="Arial"/>
          <w:sz w:val="16"/>
          <w:szCs w:val="16"/>
          <w:color w:val="auto"/>
        </w:rPr>
        <w:t>. Many states have licensure or registration requirements for entities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acting as a third-party administrator, or TPA, and/or PBMs. The scope of these laws differs from state to state, and the application of such laws to the activities of TPAs and/or PBMs is often unclear. Given the nature and scope of the solutions and services that we provide, we are required to maintain TPA and PBM licenses and registrations in certain jurisdictions and to ensure that such licenses and registrations are in good standing on an annual basis. We are licensed, have licensure applications pending before appropriate regulatory bodies, are exempt from licensure or registration, or believe that we are otherwise authorized under such laws in those states in which we provide our TPA and PBM services. These licenses require us to comply with the rules and regulations of the governmental bodies that issued such licenses, including maintaining certain solvency or bonds requirements. Our failure to comply with such rules and regulations could result in significant administrative penalties, the suspension of a license, or the loss of a license, all of which could negatively impact our business. Additionally, from time to time, legislation is considered that would purport to declare a PBM a fiduciary with respect to its clients. While the validity of such laws is questionable and we do not believe any such laws are currently in effect, we cannot predict what effect, if any, such statutes, if enacted, may have on our business and financial results</w:t>
      </w:r>
    </w:p>
    <w:p>
      <w:pPr>
        <w:spacing w:after="0" w:line="86" w:lineRule="exact"/>
        <w:rPr>
          <w:sz w:val="20"/>
          <w:szCs w:val="20"/>
          <w:color w:val="auto"/>
        </w:rPr>
      </w:pPr>
    </w:p>
    <w:p>
      <w:pPr>
        <w:jc w:val="both"/>
        <w:ind w:left="1020" w:right="59"/>
        <w:spacing w:after="0" w:line="269" w:lineRule="auto"/>
        <w:rPr>
          <w:sz w:val="20"/>
          <w:szCs w:val="20"/>
          <w:color w:val="auto"/>
        </w:rPr>
      </w:pPr>
      <w:r>
        <w:rPr>
          <w:rFonts w:ascii="Arial" w:cs="Arial" w:eastAsia="Arial" w:hAnsi="Arial"/>
          <w:sz w:val="17"/>
          <w:szCs w:val="17"/>
          <w:color w:val="auto"/>
        </w:rPr>
        <w:t>Separately, states impose licensing requirements on insurers, risk-bearing entities, and insurance agents, as well as those entities that provide utilization review services. We do not believe that the nature of our services requires us to be licensed under applicable state law. We are unable to predict, however, how our services may be viewed by regulators over time, how these laws and regulations will be interpreted and enforced, or the full extent of their application. If a regulatory authority in any state determines that the nature of our business requires that we be licensed under applicable state laws, we may need to restructure our business to comply with any related requirements, such as maintaining adequate reserves, creating new compliance processes, hiring additional personnel to manage regulatory compliance, and paying additional regulatory fees or penalties, which could adversely affect our results of operation. Additionally, we may need to cease operations until we are able to obtain appropriate licensure, which may adversely affect our revenue for a period of time that we cannot estimate.</w:t>
      </w:r>
    </w:p>
    <w:p>
      <w:pPr>
        <w:spacing w:after="0" w:line="182" w:lineRule="exact"/>
        <w:rPr>
          <w:sz w:val="20"/>
          <w:szCs w:val="20"/>
          <w:color w:val="auto"/>
        </w:rPr>
      </w:pPr>
    </w:p>
    <w:p>
      <w:pPr>
        <w:jc w:val="both"/>
        <w:ind w:left="1020" w:right="59"/>
        <w:spacing w:after="0" w:line="270" w:lineRule="auto"/>
        <w:rPr>
          <w:sz w:val="20"/>
          <w:szCs w:val="20"/>
          <w:color w:val="auto"/>
        </w:rPr>
      </w:pPr>
      <w:r>
        <w:rPr>
          <w:rFonts w:ascii="Arial" w:cs="Arial" w:eastAsia="Arial" w:hAnsi="Arial"/>
          <w:sz w:val="17"/>
          <w:szCs w:val="17"/>
          <w:color w:val="auto"/>
        </w:rPr>
        <w:t>In addition, we employ PCAs to support and guide our members as part of our fertility benefits management services. The PCAs do not provide any licensed healthcare services, and in turn, are not licensed by any regulatory body to provide these services. We otherwise do not employ individuals to provide any healthcare services requiring licensure. If a professional board in any state determines that the services provided by our employed PCAs require a license to be provided, we may need to conduct additional training and credentialing, replace staff, obtain additional insurance, and pay increased salaries, which could adversely affect our results of operation. We may additionally need to suspend the PCA services we provide while our personnel obtains the necessary licensure, which may adversely affect our relationships with our clients and members and cause us to be in breach of our contracts.</w:t>
      </w:r>
    </w:p>
    <w:p>
      <w:pPr>
        <w:spacing w:after="0" w:line="100" w:lineRule="exact"/>
        <w:rPr>
          <w:sz w:val="20"/>
          <w:szCs w:val="20"/>
          <w:color w:val="auto"/>
        </w:rPr>
      </w:pPr>
    </w:p>
    <w:p>
      <w:pPr>
        <w:jc w:val="both"/>
        <w:ind w:left="1040" w:right="79" w:hanging="315"/>
        <w:spacing w:after="0" w:line="296" w:lineRule="auto"/>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b w:val="1"/>
          <w:bCs w:val="1"/>
          <w:i w:val="1"/>
          <w:iCs w:val="1"/>
          <w:color w:val="auto"/>
        </w:rPr>
        <w:t>HIPAA Privacy and Security Requirements</w:t>
      </w:r>
      <w:r>
        <w:rPr>
          <w:rFonts w:ascii="Arial" w:cs="Arial" w:eastAsia="Arial" w:hAnsi="Arial"/>
          <w:sz w:val="16"/>
          <w:szCs w:val="16"/>
          <w:color w:val="auto"/>
        </w:rPr>
        <w:t>. There are numerous federal and state laws and regulations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related to the privacy and security of health information. In particular, regulations promulgated pursuant to the Health Insurance Portability and Accountability Act of 1996, or HIPAA, establish privacy and security standards that limit the use and disclosure of certain individually identifiable health information (known as “protected health information”) and require the implementation of administrative, physical and technological</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1040" w:right="79"/>
        <w:spacing w:after="0" w:line="269" w:lineRule="auto"/>
        <w:rPr>
          <w:sz w:val="20"/>
          <w:szCs w:val="20"/>
          <w:color w:val="auto"/>
        </w:rPr>
      </w:pPr>
      <w:r>
        <w:rPr>
          <w:rFonts w:ascii="Arial" w:cs="Arial" w:eastAsia="Arial" w:hAnsi="Arial"/>
          <w:sz w:val="17"/>
          <w:szCs w:val="17"/>
          <w:color w:val="auto"/>
        </w:rPr>
        <w:t>safeguards to protect the privacy of protected health information and ensure the confidentiality, integrity and availability of electronic protected health information. The privacy regulations established under HIPAA also provide patients with rights related to understanding and controlling how their protected health information is used and disclosed. As a provider of services to entities subject to HIPAA, we are directly subject to certain provisions of the regulations as a “Business Associate.” When acting as a Business Associate under HIPAA, to the extent permitted by applicable privacy regulations and contracts and associated Business Associate Agreements with our clients, we are permitted to use and disclose protected health information to perform our services and for other limited purposes, but other uses and disclosures, such as marketing communications, require written authorization from the patient or must meet an exception specified under the privacy regulations. We also have downstream Business Associates, which provide us with services and are also subject to HIPAA regulations.</w:t>
      </w:r>
    </w:p>
    <w:p>
      <w:pPr>
        <w:spacing w:after="0" w:line="101" w:lineRule="exact"/>
        <w:rPr>
          <w:sz w:val="20"/>
          <w:szCs w:val="20"/>
          <w:color w:val="auto"/>
        </w:rPr>
      </w:pPr>
    </w:p>
    <w:p>
      <w:pPr>
        <w:jc w:val="both"/>
        <w:ind w:left="1020" w:right="59"/>
        <w:spacing w:after="0" w:line="284" w:lineRule="auto"/>
        <w:rPr>
          <w:sz w:val="20"/>
          <w:szCs w:val="20"/>
          <w:color w:val="auto"/>
        </w:rPr>
      </w:pPr>
      <w:r>
        <w:rPr>
          <w:rFonts w:ascii="Arial" w:cs="Arial" w:eastAsia="Arial" w:hAnsi="Arial"/>
          <w:sz w:val="16"/>
          <w:szCs w:val="16"/>
          <w:color w:val="auto"/>
        </w:rPr>
        <w:t>If we, or any of our downstream Business Associates, are unable to properly protect the privacy and security of protected health information entrusted to us, we could be found to have breached our contracts with our clients and be subject to investigation by HHS, Office for Civil Rights, or OCR. In the event OCR finds that we have failed to comply with applicable HIPAA privacy and security standards, we could face civil and criminal penalties. In addition, OCR performs compliance audits of Covered Entities and Business Associates in order to proactively enforce the HIPAA privacy and security standards. OCR has become an increasingly active regulator and has signaled its intention to continue this trend. OCR has the discretion to impose penalties and may require companies to enter into resolution agreements and corrective action plans which impose ongoing compliance requirements. OCR enforcement activity, or a third-party audit related to a HIPAA incident regarding us or a third-party vendor, can result in financial liability and reputational harm, and responses to such enforcement activity can consume significant internal resources. In addition to enforcement by OCR, state attorneys general are authorized to bring civil actions under either HIPAA or relevant state laws seeking either injunctions or damages in response to violations that threaten the privacy of state residents. Although we have implemented and maintain policies, processes and compliance program infrastructure to assist us in complying with these laws and regulations and our contractual obligations, we cannot provide assurance regarding how these laws and regulations will be interpreted, enforced or applied to our operations. In addition to the risks associated with enforcement activities and potential contractual liabilities, our ongoing efforts to comply with evolving laws and regulations at the federal and state levels also might require us to make costly system purchases and/or modifications or otherwise divert significant resources to HIPAA compliance initiatives from time to time.</w:t>
      </w:r>
    </w:p>
    <w:p>
      <w:pPr>
        <w:spacing w:after="0" w:line="87" w:lineRule="exact"/>
        <w:rPr>
          <w:sz w:val="20"/>
          <w:szCs w:val="20"/>
          <w:color w:val="auto"/>
        </w:rPr>
      </w:pPr>
    </w:p>
    <w:p>
      <w:pPr>
        <w:jc w:val="both"/>
        <w:ind w:left="1040" w:right="79" w:hanging="315"/>
        <w:spacing w:after="0" w:line="268" w:lineRule="auto"/>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b w:val="1"/>
          <w:bCs w:val="1"/>
          <w:i w:val="1"/>
          <w:iCs w:val="1"/>
          <w:color w:val="auto"/>
        </w:rPr>
        <w:t>Other Privacy and Security Requirements</w:t>
      </w:r>
      <w:r>
        <w:rPr>
          <w:rFonts w:ascii="Arial" w:cs="Arial" w:eastAsia="Arial" w:hAnsi="Arial"/>
          <w:sz w:val="17"/>
          <w:szCs w:val="17"/>
          <w:color w:val="auto"/>
        </w:rPr>
        <w:t>. In addition to HIPAA, numerous other federal and state laws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govern the collection, dissemination, use, access to and confidentiality of personal information, some of which may be applicable to our business. Certain federal and state laws protect types of personal information that may be viewed as particularly sensitive. For example, New York’s Public Health Law, Article 27-F protects information that could reveal confidential HIV-related information about an individual. In many cases, state laws are more restrictive than, and not preempted by, HIPAA, and may allow personal rights of action with respect to privacy or security breaches, as well as fines. State laws are contributing to increased enforcement activity and may also be subject to interpretation by various courts and other governmental authorities. Further, California recently enacted the CCPA, which went into operation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may increase our compliance costs and potential liability. Some observers have noted that the CCPA could mark the beginning of a trend toward more stringent privacy legislation in the United States, which could increase our potential liability and adversely affect our business.</w:t>
      </w:r>
    </w:p>
    <w:p>
      <w:pPr>
        <w:spacing w:after="0" w:line="85" w:lineRule="exact"/>
        <w:rPr>
          <w:sz w:val="20"/>
          <w:szCs w:val="20"/>
          <w:color w:val="auto"/>
        </w:rPr>
      </w:pPr>
    </w:p>
    <w:p>
      <w:pPr>
        <w:jc w:val="both"/>
        <w:ind w:left="1020" w:right="59"/>
        <w:spacing w:after="0" w:line="296" w:lineRule="auto"/>
        <w:rPr>
          <w:sz w:val="20"/>
          <w:szCs w:val="20"/>
          <w:color w:val="auto"/>
        </w:rPr>
      </w:pPr>
      <w:r>
        <w:rPr>
          <w:rFonts w:ascii="Arial" w:cs="Arial" w:eastAsia="Arial" w:hAnsi="Arial"/>
          <w:sz w:val="16"/>
          <w:szCs w:val="16"/>
          <w:color w:val="auto"/>
        </w:rPr>
        <w:t>Certain of our solutions and services involve the transmission and storage of client and member data in various jurisdictions, which subjects the operation of those solutions and services to privacy or data protection laws and regulations in those jurisdictions. While we believe these solutions and services comply with current regulatory and security requirements in the jurisdictions in which we provide these solutions and services, there can be no assurance that such requirements will not change or that we will not otherwise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1020" w:right="59"/>
        <w:spacing w:after="0" w:line="286" w:lineRule="auto"/>
        <w:rPr>
          <w:sz w:val="20"/>
          <w:szCs w:val="20"/>
          <w:color w:val="auto"/>
        </w:rPr>
      </w:pPr>
      <w:r>
        <w:rPr>
          <w:rFonts w:ascii="Arial" w:cs="Arial" w:eastAsia="Arial" w:hAnsi="Arial"/>
          <w:sz w:val="16"/>
          <w:szCs w:val="16"/>
          <w:color w:val="auto"/>
        </w:rPr>
        <w:t>be subject to legal or regulatory actions. These laws and regulations are rapidly evolving and changing, and could have an adverse impact on our operations. These laws and regulations are subject to uncertainty in how they may be interpreted and enforced by government authorities and regulators. The costs of compliance with, and the other burdens imposed by, these and other laws or regulatory actions may increase our operational costs, prevent us from providing our solutions, and/or impact our ability to invest in or jointly develop our solutions. We also may face audits or investigations by one or more government agencies relating to our compliance with these laws and regulations. An adverse outcome under any such investigation or audit could result in fines, penalties, other liability, or could result in adverse publicity or a loss of reputation, and adversely affect our business. Any failure or perceived failure by us or by our solutions to comply with these laws and regulations may subject us to legal or regulatory actions, damage our reputation or adversely affect our ability to provide our solutions in the jurisdiction that has enacted the applicable law or regulation. Moreover, if these laws and regulations change, or are interpreted and applied in a manner that is inconsistent with our policies and processes or the operation of our solutions, we may need to expend resources in order to change our business operations, policies and processes or the manner in which we provide our solutions. This could adversely affect our business, financial condition and results of operations.</w:t>
      </w:r>
    </w:p>
    <w:p>
      <w:pPr>
        <w:spacing w:after="0" w:line="86" w:lineRule="exact"/>
        <w:rPr>
          <w:sz w:val="20"/>
          <w:szCs w:val="20"/>
          <w:color w:val="auto"/>
        </w:rPr>
      </w:pPr>
    </w:p>
    <w:p>
      <w:pPr>
        <w:jc w:val="both"/>
        <w:ind w:left="1040" w:right="79" w:hanging="315"/>
        <w:spacing w:after="0" w:line="269" w:lineRule="auto"/>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b w:val="1"/>
          <w:bCs w:val="1"/>
          <w:i w:val="1"/>
          <w:iCs w:val="1"/>
          <w:color w:val="auto"/>
        </w:rPr>
        <w:t>Data Protection and Breaches</w:t>
      </w:r>
      <w:r>
        <w:rPr>
          <w:rFonts w:ascii="Arial" w:cs="Arial" w:eastAsia="Arial" w:hAnsi="Arial"/>
          <w:sz w:val="17"/>
          <w:szCs w:val="17"/>
          <w:color w:val="auto"/>
        </w:rPr>
        <w:t>. In recent years, there have been a number of well-publicized data breaches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involving the improper dissemination of personal information of individuals both within and outside of the healthcare industry. Laws in all 50 states require businesses to provide notice to clients whose personally identifiable information has been disclosed as a result of a data breach. The laws are not consistent, and compliance in the event of a widespread data breach is costly. States are also constantly amending existing laws, requiring attention to frequently changing regulatory requirements. Most states require holders of personal information to maintain safeguards and take certain actions in response to a data breach, such as providing prompt notification of the breach to affected individuals or the state’s attorney general. In some states, these laws are limited to electronic data, but states increasingly are enacting or considering stricter and broader requirements.</w:t>
      </w:r>
    </w:p>
    <w:p>
      <w:pPr>
        <w:spacing w:after="0" w:line="185" w:lineRule="exact"/>
        <w:rPr>
          <w:sz w:val="20"/>
          <w:szCs w:val="20"/>
          <w:color w:val="auto"/>
        </w:rPr>
      </w:pPr>
    </w:p>
    <w:p>
      <w:pPr>
        <w:jc w:val="both"/>
        <w:ind w:left="1020" w:right="59"/>
        <w:spacing w:after="0" w:line="270" w:lineRule="auto"/>
        <w:rPr>
          <w:sz w:val="20"/>
          <w:szCs w:val="20"/>
          <w:color w:val="auto"/>
        </w:rPr>
      </w:pPr>
      <w:r>
        <w:rPr>
          <w:rFonts w:ascii="Arial" w:cs="Arial" w:eastAsia="Arial" w:hAnsi="Arial"/>
          <w:sz w:val="17"/>
          <w:szCs w:val="17"/>
          <w:color w:val="auto"/>
        </w:rPr>
        <w:t>Additionally, under HIPAA, Covered Entities must report breaches of unsecured protected health information to affected individuals without unreasonable delay, not to exceed 60 days following discovery of the breach by a Covered Entity or its agents. Notification also must be made to OCR and, in certain circumstances involving large breaches, to the media. Business Associates must report breaches of unsecured protected health information to Covered Entities within 60 days of discovery of the breach by the Business Associate or its agents or such shorter period as set forth in the applicable Business Associate Agreement. A non-permitted use or disclosure of protected health information is presumed to be a breach under HIPAA unless the Covered Entity or Business Associate establishes that there is a low probability the information has been compromised consistent with requirements enumerated in HIPAA.</w:t>
      </w:r>
    </w:p>
    <w:p>
      <w:pPr>
        <w:spacing w:after="0" w:line="181" w:lineRule="exact"/>
        <w:rPr>
          <w:sz w:val="20"/>
          <w:szCs w:val="20"/>
          <w:color w:val="auto"/>
        </w:rPr>
      </w:pPr>
    </w:p>
    <w:p>
      <w:pPr>
        <w:jc w:val="both"/>
        <w:ind w:left="1020" w:right="59"/>
        <w:spacing w:after="0" w:line="285" w:lineRule="auto"/>
        <w:rPr>
          <w:sz w:val="20"/>
          <w:szCs w:val="20"/>
          <w:color w:val="auto"/>
        </w:rPr>
      </w:pPr>
      <w:r>
        <w:rPr>
          <w:rFonts w:ascii="Arial" w:cs="Arial" w:eastAsia="Arial" w:hAnsi="Arial"/>
          <w:sz w:val="16"/>
          <w:szCs w:val="16"/>
          <w:color w:val="auto"/>
        </w:rPr>
        <w:t>Despite our security management efforts with respect to physical and technological safeguards, employee training, vendor (and sub-vendor) controls and contractual relationships, our infrastructure, data or other operation centers and systems used in our business operations, including the internet and related systems of our vendors (including vendors to whom we outsource data hosting, storage and processing functions) are vulnerable to, and from time to time experience, unauthorized access to data and/or breaches of confidential information due to a variety of causes. Techniques used to obtain unauthorized access to or compromise systems change frequently, are becoming increasingly sophisticated and complex, and are often not detected until after an incident has occurred. As a result, we might not be able to anticipate these techniques, implement adequate preventive measures, or immediately detect a potential compromise. If our security measures, some of which are managed by third parties, or the security measures of our service providers or vendors, are breached or fail, it is possible that unauthorized or illegal access to or acquisition, disclosure, use or processing of personal information, confidential information, or other sensitive client, member, or employee data, including HIPAA-regulated protected health information, may occur. A security breach or failure could result from a variety of circumstances and events, including third-party action, human negligence or error, malfeasance, employee theft or misuse, phishing and other social engineering schemes, computer viruses, attacks by computer hackers, failures during the process of upgrading or replacing software, databases or components thereof, power outages, hardware failures, telecommunication failures, and catastrophic events.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1020" w:right="59"/>
        <w:spacing w:after="0" w:line="267" w:lineRule="auto"/>
        <w:rPr>
          <w:sz w:val="20"/>
          <w:szCs w:val="20"/>
          <w:color w:val="auto"/>
        </w:rPr>
      </w:pPr>
      <w:r>
        <w:rPr>
          <w:rFonts w:ascii="Arial" w:cs="Arial" w:eastAsia="Arial" w:hAnsi="Arial"/>
          <w:sz w:val="17"/>
          <w:szCs w:val="17"/>
          <w:color w:val="auto"/>
        </w:rPr>
        <w:t>If our security measures, or those of our service providers or vendors, were to be breached or fail, our reputation could be severely damaged, adversely affecting client or investor confidence. As a result, clients may curtail their use of or stop using our offering and our business may suffer. In addition, we could face litigation, damages for contract breach, penalties and regulatory actions for violation of HIPAA and other laws or regulations applicable to data protection and significant costs for remediation and for measures to prevent future occurrences. In addition, any potential security breach could result in increased costs associated with liability for stolen assets or information, repairing system damage that may have been caused by such breaches, incentives offered to clients or other business partners in an effort to maintain the business relationships after a breach and implementing measures to prevent future occurrences, including organizational changes, deploying additional personnel and protection technologies, training employees and engaging third-party experts and consultants. Negative publicity may also result from real, threatened or perceived security breaches affecting us or our industry or clients, which could cause us to lose clients or partners and adversely affect our operations and future prospects. While we maintain cyber insurance covering certain security and privacy damages and claim expenses, we may not carry insurance or maintain coverage sufficient to compensate for all liability and such insurance may not be available for renewal on acceptable terms or at all, and in any event, insurance coverage would not address the reputational damage that could result from a security incident.</w:t>
      </w:r>
    </w:p>
    <w:p>
      <w:pPr>
        <w:spacing w:after="0" w:line="110" w:lineRule="exact"/>
        <w:rPr>
          <w:sz w:val="20"/>
          <w:szCs w:val="20"/>
          <w:color w:val="auto"/>
        </w:rPr>
      </w:pPr>
    </w:p>
    <w:p>
      <w:pPr>
        <w:jc w:val="both"/>
        <w:ind w:left="1040" w:right="79" w:hanging="315"/>
        <w:spacing w:after="0" w:line="287" w:lineRule="auto"/>
        <w:tabs>
          <w:tab w:leader="none" w:pos="1040" w:val="left"/>
        </w:tabs>
        <w:numPr>
          <w:ilvl w:val="0"/>
          <w:numId w:val="26"/>
        </w:numPr>
        <w:rPr>
          <w:rFonts w:ascii="Arial" w:cs="Arial" w:eastAsia="Arial" w:hAnsi="Arial"/>
          <w:sz w:val="16"/>
          <w:szCs w:val="16"/>
          <w:color w:val="auto"/>
        </w:rPr>
      </w:pPr>
      <w:r>
        <w:rPr>
          <w:rFonts w:ascii="Arial" w:cs="Arial" w:eastAsia="Arial" w:hAnsi="Arial"/>
          <w:sz w:val="16"/>
          <w:szCs w:val="16"/>
          <w:b w:val="1"/>
          <w:bCs w:val="1"/>
          <w:i w:val="1"/>
          <w:iCs w:val="1"/>
          <w:color w:val="auto"/>
        </w:rPr>
        <w:t>HIPAA Transaction and Identifier Standards</w:t>
      </w:r>
      <w:r>
        <w:rPr>
          <w:rFonts w:ascii="Arial" w:cs="Arial" w:eastAsia="Arial" w:hAnsi="Arial"/>
          <w:sz w:val="16"/>
          <w:szCs w:val="16"/>
          <w:color w:val="auto"/>
        </w:rPr>
        <w:t>. HIPAA and its implementing regulations mandate format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data content standards and provider identifier standards (known as the National Provider Identifier) that must be used in certain electronic transactions, such as claims, payment advice and eligibility inquiries. HHS has established standards that health plans must use for electronic fund transfers with providers, has established operating rules for certain transactions, and is in the process of establishing operating rules to promote uniformity in the implementation of the remaining types of covered transactions. The ACA also requires HHS to establish standards for health claims attachment transactions. HHS has modified the standards for electronic healthcare transactions (such as eligibility, claims submission and payment and electronic remittance) from Version 4010/4010A to Version 5010. Further, HHS now requires the use of updated standard code sets for diagnoses and procedures known as the ICD-10 code sets. Enforcement of compliance with these standards falls under HHS and is carried out by CMS.</w:t>
      </w:r>
    </w:p>
    <w:p>
      <w:pPr>
        <w:spacing w:after="0" w:line="172" w:lineRule="exact"/>
        <w:rPr>
          <w:sz w:val="20"/>
          <w:szCs w:val="20"/>
          <w:color w:val="auto"/>
        </w:rPr>
      </w:pPr>
    </w:p>
    <w:p>
      <w:pPr>
        <w:jc w:val="both"/>
        <w:ind w:left="1020" w:right="59"/>
        <w:spacing w:after="0" w:line="272" w:lineRule="auto"/>
        <w:rPr>
          <w:sz w:val="20"/>
          <w:szCs w:val="20"/>
          <w:color w:val="auto"/>
        </w:rPr>
      </w:pPr>
      <w:r>
        <w:rPr>
          <w:rFonts w:ascii="Arial" w:cs="Arial" w:eastAsia="Arial" w:hAnsi="Arial"/>
          <w:sz w:val="17"/>
          <w:szCs w:val="17"/>
          <w:color w:val="auto"/>
        </w:rPr>
        <w:t>In the event new requirements are imposed, we will be required to modify our systems and processes to accommodate these changes. We will seek to modify our systems and processes as needed to prepare for and implement changes to the transaction standards, code sets operating rules and identifier requirements; however, we may not be successful in responding to these changes, and any responsive changes we make to our systems and processes may result in errors or otherwise negatively impact our service levels. In addition, the compliance dates for new or modified transaction standards, operating rules and identifiers may overlap, which may further burden our resources.</w:t>
      </w:r>
    </w:p>
    <w:p>
      <w:pPr>
        <w:spacing w:after="0" w:line="177" w:lineRule="exact"/>
        <w:rPr>
          <w:sz w:val="20"/>
          <w:szCs w:val="20"/>
          <w:color w:val="auto"/>
        </w:rPr>
      </w:pPr>
    </w:p>
    <w:p>
      <w:pPr>
        <w:jc w:val="both"/>
        <w:ind w:left="1040" w:right="79" w:hanging="315"/>
        <w:spacing w:after="0" w:line="290" w:lineRule="auto"/>
        <w:tabs>
          <w:tab w:leader="none" w:pos="1040" w:val="left"/>
        </w:tabs>
        <w:numPr>
          <w:ilvl w:val="0"/>
          <w:numId w:val="27"/>
        </w:numPr>
        <w:rPr>
          <w:rFonts w:ascii="Arial" w:cs="Arial" w:eastAsia="Arial" w:hAnsi="Arial"/>
          <w:sz w:val="16"/>
          <w:szCs w:val="16"/>
          <w:color w:val="auto"/>
        </w:rPr>
      </w:pPr>
      <w:r>
        <w:rPr>
          <w:rFonts w:ascii="Arial" w:cs="Arial" w:eastAsia="Arial" w:hAnsi="Arial"/>
          <w:sz w:val="16"/>
          <w:szCs w:val="16"/>
          <w:b w:val="1"/>
          <w:bCs w:val="1"/>
          <w:i w:val="1"/>
          <w:iCs w:val="1"/>
          <w:color w:val="auto"/>
        </w:rPr>
        <w:t>Fraud and Abuse Laws</w:t>
      </w:r>
      <w:r>
        <w:rPr>
          <w:rFonts w:ascii="Arial" w:cs="Arial" w:eastAsia="Arial" w:hAnsi="Arial"/>
          <w:sz w:val="16"/>
          <w:szCs w:val="16"/>
          <w:color w:val="auto"/>
        </w:rPr>
        <w:t>. Many of our clients, insurance carriers, and network healthcare providers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impacted directly and indirectly by certain fraud and abuse laws, including the federal Anti-Kickback Statute, the Physician Self-Referral Law, commonly referred to as the Stark Law, and the False Claims Act, as well as their state equivalents. Because the solutions and services we provide are not reimbursed by government healthcare payors, such fraud and abuse laws generally do not directly apply to our business, however, some laws may be applicable to us. For example, certain states have anti-kickback and false claims laws that may be broader in scope than analogous federal laws and may apply to items and services reimbursed by any third-party payor, including private insurers, self-insured employers and on a cash basis by patients.</w:t>
      </w:r>
    </w:p>
    <w:p>
      <w:pPr>
        <w:spacing w:after="0" w:line="165" w:lineRule="exact"/>
        <w:rPr>
          <w:sz w:val="20"/>
          <w:szCs w:val="20"/>
          <w:color w:val="auto"/>
        </w:rPr>
      </w:pPr>
    </w:p>
    <w:p>
      <w:pPr>
        <w:jc w:val="both"/>
        <w:ind w:left="1020" w:right="59"/>
        <w:spacing w:after="0" w:line="293" w:lineRule="auto"/>
        <w:rPr>
          <w:sz w:val="20"/>
          <w:szCs w:val="20"/>
          <w:color w:val="auto"/>
        </w:rPr>
      </w:pPr>
      <w:r>
        <w:rPr>
          <w:rFonts w:ascii="Arial" w:cs="Arial" w:eastAsia="Arial" w:hAnsi="Arial"/>
          <w:sz w:val="16"/>
          <w:szCs w:val="16"/>
          <w:color w:val="auto"/>
        </w:rPr>
        <w:t>The laws, regulations and other requirements in this area are both broad and complex and judicial and regulatory interpretation can also be inconsistent. We review our practices with regulatory experts in an effort to comply with all applicable laws, regulatory and other requirements. However, we are unable to predict how these laws, regulations and other requirements will be interpreted or the full extent of their application, particularly to services that are not directly reimbursed by federal and state healthcare programs. Any determination by a federal or state regulatory authority that any of our activities or those of our clients or</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1020" w:right="59"/>
        <w:spacing w:after="0" w:line="254" w:lineRule="auto"/>
        <w:rPr>
          <w:sz w:val="20"/>
          <w:szCs w:val="20"/>
          <w:color w:val="auto"/>
        </w:rPr>
      </w:pPr>
      <w:r>
        <w:rPr>
          <w:rFonts w:ascii="Arial" w:cs="Arial" w:eastAsia="Arial" w:hAnsi="Arial"/>
          <w:sz w:val="18"/>
          <w:szCs w:val="18"/>
          <w:color w:val="auto"/>
        </w:rPr>
        <w:t>vendors violate any of these laws or regulations could subject us to significant administrative, civil or criminal penalties, damages, disgorgement, monetary fines or imprisonment, require us to enter into corporate integrity agreements or similar agreements with ongoing compliance obligations, disqualify us from providing services to clients that are, or do business with, government healthcare programs and/or have an adverse impact on our business, financial condition and results of operations. Even an unsuccessful challenge by a regulatory authority of our activities could result in adverse publicity and could require a costly response from us.</w:t>
      </w:r>
    </w:p>
    <w:p>
      <w:pPr>
        <w:spacing w:after="0" w:line="195" w:lineRule="exact"/>
        <w:rPr>
          <w:sz w:val="20"/>
          <w:szCs w:val="20"/>
          <w:color w:val="auto"/>
        </w:rPr>
      </w:pPr>
    </w:p>
    <w:p>
      <w:pPr>
        <w:jc w:val="both"/>
        <w:ind w:left="1040" w:right="79" w:hanging="315"/>
        <w:spacing w:after="0" w:line="267" w:lineRule="auto"/>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State Corporate Practice and Fee-Splitting Prohibitions. </w:t>
      </w:r>
      <w:r>
        <w:rPr>
          <w:rFonts w:ascii="Arial" w:cs="Arial" w:eastAsia="Arial" w:hAnsi="Arial"/>
          <w:sz w:val="17"/>
          <w:szCs w:val="17"/>
          <w:color w:val="auto"/>
        </w:rPr>
        <w:t>There is a risk that regulatory authorities in some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jurisdictions may find that our contractual relationships with our fertility specialists violate laws prohibiting the corporate practice of medicine and/or fee-splitting. These laws generally prohibit non-physician entities from practicing medicine, exercising control over physicians or engaging in certain practices such as fee-splitting with physicians. Although we believe all of our arrangements with our network providers are in compliance with such laws, there can be no assurance that these laws will be interpreted in a manner consistent with our practices or that other laws or regulations will not be enacted in the future that could have a material and adverse effect on our business, results of operations, and financial condition. Regulatory authorities, state medical boards of medicine, state attorneys general and other parties, including our network physicians, may assert that we are engaged in the prohibited corporate practice of medicine, and/or that our arrangement with our network providers constitutes unlawful fee-splitting. If a state’s prohibition on corporate practice of medicine or fee-splitting law is interpreted in a manner that is inconsistent with our practices, we would be required to restructure or terminate our contractual relationship with our network providers to bring our activities into compliance with such laws, disciplinary action, penalties, damages, fines, and/or a loss of revenue, any of which could have a material and adverse effect on our business, results of operations, and financial condition. State corporate practice of medicine doctrines and fee-splitting prohibitions also often impose penalties on physicians themselves for aiding the corporate practice of medicine or unlawful fee-splitting, which could discourage physicians from participating in our network of providers.</w:t>
      </w:r>
    </w:p>
    <w:p>
      <w:pPr>
        <w:spacing w:after="0" w:line="188" w:lineRule="exact"/>
        <w:rPr>
          <w:rFonts w:ascii="Arial" w:cs="Arial" w:eastAsia="Arial" w:hAnsi="Arial"/>
          <w:sz w:val="17"/>
          <w:szCs w:val="17"/>
          <w:color w:val="auto"/>
        </w:rPr>
      </w:pPr>
    </w:p>
    <w:p>
      <w:pPr>
        <w:jc w:val="both"/>
        <w:ind w:left="1040" w:right="79" w:hanging="315"/>
        <w:spacing w:after="0" w:line="283" w:lineRule="auto"/>
        <w:tabs>
          <w:tab w:leader="none" w:pos="1040" w:val="left"/>
        </w:tabs>
        <w:numPr>
          <w:ilvl w:val="0"/>
          <w:numId w:val="28"/>
        </w:numPr>
        <w:rPr>
          <w:rFonts w:ascii="Arial" w:cs="Arial" w:eastAsia="Arial" w:hAnsi="Arial"/>
          <w:sz w:val="16"/>
          <w:szCs w:val="16"/>
          <w:color w:val="auto"/>
        </w:rPr>
      </w:pPr>
      <w:r>
        <w:rPr>
          <w:rFonts w:ascii="Arial" w:cs="Arial" w:eastAsia="Arial" w:hAnsi="Arial"/>
          <w:sz w:val="16"/>
          <w:szCs w:val="16"/>
          <w:b w:val="1"/>
          <w:bCs w:val="1"/>
          <w:i w:val="1"/>
          <w:iCs w:val="1"/>
          <w:color w:val="auto"/>
        </w:rPr>
        <w:t>ERISA Regulation</w:t>
      </w:r>
      <w:r>
        <w:rPr>
          <w:rFonts w:ascii="Arial" w:cs="Arial" w:eastAsia="Arial" w:hAnsi="Arial"/>
          <w:sz w:val="16"/>
          <w:szCs w:val="16"/>
          <w:color w:val="auto"/>
        </w:rPr>
        <w:t>. The Employee Retirement Income Security Act of 1974, or ERISA, regulates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certain aspects of employee health plans, including both insured and self-funded health plans sponsored by our clients, with which we have agreements to provide TPA services. As part of our agreements with a number of these clients, we offer PBM services through Progyny Rx. Because we believe the conduct of our business vis-à-vis these plans is not of a fiduciary nature, it is not generally subject to the fiduciary obligations of ERISA. However, there can be no assurance the United States Department of Labor, or the DOL, which is the agency that enforces ERISA, would not in the future assert that the fiduciary obligations imposed by ERISA apply to certain aspects of our operations or courts would not reach such a ruling in private ERISA litigation. ERISA also imposes civil and criminal liability on service providers to health plans subject to ERISA and certain other persons with relationships to such plans if certain forms of illegal or prohibited remuneration are made or received by such service providers or other persons. These provisions of ERISA are similar, but not identical, to the healthcare anti-kickback laws described above, although ERISA lacks the statutory and regulatory “safe harbor” exceptions incorporated into the healthcare anti-kickback</w:t>
      </w:r>
    </w:p>
    <w:p>
      <w:pPr>
        <w:spacing w:after="0" w:line="2" w:lineRule="exact"/>
        <w:rPr>
          <w:sz w:val="20"/>
          <w:szCs w:val="20"/>
          <w:color w:val="auto"/>
        </w:rPr>
      </w:pPr>
    </w:p>
    <w:p>
      <w:pPr>
        <w:jc w:val="both"/>
        <w:ind w:left="1040" w:right="79"/>
        <w:spacing w:after="0" w:line="270" w:lineRule="auto"/>
        <w:rPr>
          <w:sz w:val="20"/>
          <w:szCs w:val="20"/>
          <w:color w:val="auto"/>
        </w:rPr>
      </w:pPr>
      <w:r>
        <w:rPr>
          <w:rFonts w:ascii="Arial" w:cs="Arial" w:eastAsia="Arial" w:hAnsi="Arial"/>
          <w:sz w:val="17"/>
          <w:szCs w:val="17"/>
          <w:color w:val="auto"/>
        </w:rPr>
        <w:t xml:space="preserve">laws. Like the healthcare anti-kickback laws, the corresponding provisions of ERISA are broadly written and their application to particular cases can be uncertain. ERISA plans are subject to certain rules, published by the DOL, including certain reporting requirements for direct and indirect compensation received by plan service providers Separately, although ERISA generally preempts state laws that relate to ERISA plans, the recent Supreme Court ruling in </w:t>
      </w:r>
      <w:r>
        <w:rPr>
          <w:rFonts w:ascii="Arial" w:cs="Arial" w:eastAsia="Arial" w:hAnsi="Arial"/>
          <w:sz w:val="17"/>
          <w:szCs w:val="17"/>
          <w:i w:val="1"/>
          <w:iCs w:val="1"/>
          <w:color w:val="auto"/>
        </w:rPr>
        <w:t>Rutledge v. Pharm. Care Mgmt. Ass’n</w:t>
      </w:r>
      <w:r>
        <w:rPr>
          <w:rFonts w:ascii="Arial" w:cs="Arial" w:eastAsia="Arial" w:hAnsi="Arial"/>
          <w:sz w:val="17"/>
          <w:szCs w:val="17"/>
          <w:color w:val="auto"/>
        </w:rPr>
        <w:t xml:space="preserve"> established that ERISA does not preempt all state laws imposing transparency or other requirements on PBMs.</w:t>
      </w:r>
    </w:p>
    <w:p>
      <w:pPr>
        <w:spacing w:after="0" w:line="178" w:lineRule="exact"/>
        <w:rPr>
          <w:sz w:val="20"/>
          <w:szCs w:val="20"/>
          <w:color w:val="auto"/>
        </w:rPr>
      </w:pPr>
    </w:p>
    <w:p>
      <w:pPr>
        <w:jc w:val="both"/>
        <w:ind w:left="1040" w:right="79" w:hanging="315"/>
        <w:spacing w:after="0" w:line="293" w:lineRule="auto"/>
        <w:tabs>
          <w:tab w:leader="none" w:pos="1040" w:val="left"/>
        </w:tabs>
        <w:numPr>
          <w:ilvl w:val="0"/>
          <w:numId w:val="29"/>
        </w:numPr>
        <w:rPr>
          <w:rFonts w:ascii="Arial" w:cs="Arial" w:eastAsia="Arial" w:hAnsi="Arial"/>
          <w:sz w:val="16"/>
          <w:szCs w:val="16"/>
          <w:color w:val="auto"/>
        </w:rPr>
      </w:pPr>
      <w:r>
        <w:rPr>
          <w:rFonts w:ascii="Arial" w:cs="Arial" w:eastAsia="Arial" w:hAnsi="Arial"/>
          <w:sz w:val="16"/>
          <w:szCs w:val="16"/>
          <w:b w:val="1"/>
          <w:bCs w:val="1"/>
          <w:i w:val="1"/>
          <w:iCs w:val="1"/>
          <w:color w:val="auto"/>
        </w:rPr>
        <w:t>Prompt Pay Laws</w:t>
      </w:r>
      <w:r>
        <w:rPr>
          <w:rFonts w:ascii="Arial" w:cs="Arial" w:eastAsia="Arial" w:hAnsi="Arial"/>
          <w:sz w:val="16"/>
          <w:szCs w:val="16"/>
          <w:color w:val="auto"/>
        </w:rPr>
        <w:t>. Certain states have laws regulating the amount of time that may elapse from when a third-party payor receives a claim for services rendered to when those services are paid. These “prompt pay” laws may impact us as well as our self-insured clients and insurance carriers. Under these “prompt pay” laws, we may be obligated to pay healthcare providers within established time periods, and such time periods may be shorter than existing contracted terms and/or via electronic transfer. In many states, we are deemed to be exempt from the prompt pay laws, however, we seek to comply with them in each state in which we do</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1040" w:right="79"/>
        <w:spacing w:after="0" w:line="293" w:lineRule="auto"/>
        <w:rPr>
          <w:sz w:val="20"/>
          <w:szCs w:val="20"/>
          <w:color w:val="auto"/>
        </w:rPr>
      </w:pPr>
      <w:r>
        <w:rPr>
          <w:rFonts w:ascii="Arial" w:cs="Arial" w:eastAsia="Arial" w:hAnsi="Arial"/>
          <w:sz w:val="16"/>
          <w:szCs w:val="16"/>
          <w:color w:val="auto"/>
        </w:rPr>
        <w:t>business to the extent applicable, and our efforts include the use of controls such as policies and processing systems that ensure we pay claims as quickly as possible and contract language related to timeframes permitted by applicable law. If we do not make payments to healthcare providers in a timely fashion consistent with prompt pay laws, we may be required to pay interest in addition to any amounts owed to such providers. In addition, our reputation may be harmed and our contractual obligations to certain clients may be breached, causing us to lose revenue or otherwise pay penalties under such contracts.</w:t>
      </w:r>
    </w:p>
    <w:p>
      <w:pPr>
        <w:spacing w:after="0" w:line="164" w:lineRule="exact"/>
        <w:rPr>
          <w:sz w:val="20"/>
          <w:szCs w:val="20"/>
          <w:color w:val="auto"/>
        </w:rPr>
      </w:pPr>
    </w:p>
    <w:p>
      <w:pPr>
        <w:jc w:val="both"/>
        <w:ind w:left="1040" w:right="79" w:hanging="315"/>
        <w:spacing w:after="0" w:line="285" w:lineRule="auto"/>
        <w:tabs>
          <w:tab w:leader="none" w:pos="1040" w:val="left"/>
        </w:tabs>
        <w:numPr>
          <w:ilvl w:val="0"/>
          <w:numId w:val="30"/>
        </w:numPr>
        <w:rPr>
          <w:rFonts w:ascii="Arial" w:cs="Arial" w:eastAsia="Arial" w:hAnsi="Arial"/>
          <w:sz w:val="16"/>
          <w:szCs w:val="16"/>
          <w:color w:val="auto"/>
        </w:rPr>
      </w:pPr>
      <w:r>
        <w:rPr>
          <w:rFonts w:ascii="Arial" w:cs="Arial" w:eastAsia="Arial" w:hAnsi="Arial"/>
          <w:sz w:val="16"/>
          <w:szCs w:val="16"/>
          <w:b w:val="1"/>
          <w:bCs w:val="1"/>
          <w:i w:val="1"/>
          <w:iCs w:val="1"/>
          <w:color w:val="auto"/>
        </w:rPr>
        <w:t>Network Adequacy and Access Requirements</w:t>
      </w:r>
      <w:r>
        <w:rPr>
          <w:rFonts w:ascii="Arial" w:cs="Arial" w:eastAsia="Arial" w:hAnsi="Arial"/>
          <w:sz w:val="16"/>
          <w:szCs w:val="16"/>
          <w:color w:val="auto"/>
        </w:rPr>
        <w:t>. Network adequacy and access laws require health plans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maintain a network of healthcare providers sufficient to deliver the benefits they contract to provide to their enrollees. In light of the increase in “narrow networks”, there has been a legislative push to ensure that commercial payors contract with a sufficient number of healthcare providers to create an “adequate network.” Additionally, a majority of states now have some form of legislation affecting our payor clients’ ability to limit access to a provider network or remove a provider from the network. Such legislation may require our clients to admit any healthcare provider including any pharmacy provider willing to meet the plan’s price and other terms for network participation (“any willing provider” legislation) or may provide that a provider may not be removed from a network except in compliance with certain procedures (“due process” legislation). Further, to ensure network adequacy and quality, a network may seek to accredit its healthcare providers through any number of accrediting bodies, such as the National Committee for Quality Assurance, or NCQA, and the Utilization Review Accreditation Commission. We follow NCQA standards to credential the health providers with whom we contract to provide services within our network, and engage Council for Affordable Quality Healthcare to conduct provider credentialing where required. Should any of the states we operate in determine that our network of providers does not meet adequacy or access requirements, we may be subject to administrative penalties and other administrative actions, as well as private litigation. In addition, if we are unable to contract with a sufficient number of providers, we may become subject to administrative penalties or enforcement actions from state regulatory agencies, litigation from consumers, and may be in breach of certain contractual covenants with our partners.</w:t>
      </w:r>
    </w:p>
    <w:p>
      <w:pPr>
        <w:spacing w:after="0" w:line="168" w:lineRule="exact"/>
        <w:rPr>
          <w:rFonts w:ascii="Arial" w:cs="Arial" w:eastAsia="Arial" w:hAnsi="Arial"/>
          <w:sz w:val="16"/>
          <w:szCs w:val="16"/>
          <w:color w:val="auto"/>
        </w:rPr>
      </w:pPr>
    </w:p>
    <w:p>
      <w:pPr>
        <w:jc w:val="both"/>
        <w:ind w:left="1040" w:right="79" w:hanging="315"/>
        <w:spacing w:after="0" w:line="269" w:lineRule="auto"/>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b w:val="1"/>
          <w:bCs w:val="1"/>
          <w:i w:val="1"/>
          <w:iCs w:val="1"/>
          <w:color w:val="auto"/>
        </w:rPr>
        <w:t>Consumer Protection Laws</w:t>
      </w:r>
      <w:r>
        <w:rPr>
          <w:rFonts w:ascii="Arial" w:cs="Arial" w:eastAsia="Arial" w:hAnsi="Arial"/>
          <w:sz w:val="17"/>
          <w:szCs w:val="17"/>
          <w:color w:val="auto"/>
        </w:rPr>
        <w:t>. Federal and state consumer protection laws are being applied increasingly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Federal Trade Commission, or FTC, Federal Communications Commission, or FCC, and states’ attorneys general to regulate the collection, use, storage and disclosure of personal or health information, through websites or otherwise, and to regulate the presentation of website content. Courts may also adopt the standards for fair information practices promulgated by the FTC, which concern consumer notice, choice, security and access. Consumer protection laws require us to publish statements to users of our services that describe how we handle personal information and choices consumers may have about the way we handle personal information. If such information that we publish is considered untrue, we may be subject to claims of unfair or deceptive trade practices, which could lead to significant liabilities and consequences, including, costs of defending against litigation, settling claims and loss of willingness of current and future clients to work with us.</w:t>
      </w:r>
    </w:p>
    <w:p>
      <w:pPr>
        <w:spacing w:after="0" w:line="181" w:lineRule="exact"/>
        <w:rPr>
          <w:rFonts w:ascii="Arial" w:cs="Arial" w:eastAsia="Arial" w:hAnsi="Arial"/>
          <w:sz w:val="17"/>
          <w:szCs w:val="17"/>
          <w:color w:val="auto"/>
        </w:rPr>
      </w:pPr>
    </w:p>
    <w:p>
      <w:pPr>
        <w:jc w:val="both"/>
        <w:ind w:left="1040" w:right="79" w:hanging="315"/>
        <w:spacing w:after="0" w:line="272" w:lineRule="auto"/>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b w:val="1"/>
          <w:bCs w:val="1"/>
          <w:i w:val="1"/>
          <w:iCs w:val="1"/>
          <w:color w:val="auto"/>
        </w:rPr>
        <w:t>Restrictions on Communication</w:t>
      </w:r>
      <w:r>
        <w:rPr>
          <w:rFonts w:ascii="Arial" w:cs="Arial" w:eastAsia="Arial" w:hAnsi="Arial"/>
          <w:sz w:val="17"/>
          <w:szCs w:val="17"/>
          <w:color w:val="auto"/>
        </w:rPr>
        <w:t>. Communications with our members increasingly may be subject to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restricted by laws and regulations governing communications via telephone, fax, text, and email. We also use email and social media platforms as marketing tools. For example, we maintain social media accounts. As laws and regulations, including FTC enforcement, rapidly evolve to govern the use of these platforms and devices, the failure by us, our employees or third parties acting at our direction to abide by applicable laws and regulations in the use of these platforms and devices could adversely impact our business, financial condition and results of operations or subject us to fines or other penalties.</w:t>
      </w:r>
    </w:p>
    <w:p>
      <w:pPr>
        <w:spacing w:after="0" w:line="177"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b w:val="1"/>
          <w:bCs w:val="1"/>
          <w:i w:val="1"/>
          <w:iCs w:val="1"/>
          <w:color w:val="auto"/>
        </w:rPr>
        <w:t>The healthcare regulatory and political framework is uncertain and evolving. Recent and future developments in the healthcare industry could have an adverse impact on our business, financial condition and results of operations.</w:t>
      </w:r>
    </w:p>
    <w:p>
      <w:pPr>
        <w:spacing w:after="0" w:line="124"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All of our revenue is derived from the healthcare industry, which is highly regulated and subject to changing political, legislative, regulatory and other influences. Healthcare laws and regulations are rapidly evolving and may change significantly in the future. For example, the ACA may affect the coverage and plan designs that are or will be provided by certain insurance carriers and certain of our clients with self-insured plans, taxability of benefits under such plans, as well</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83" w:lineRule="auto"/>
        <w:rPr>
          <w:sz w:val="20"/>
          <w:szCs w:val="20"/>
          <w:color w:val="auto"/>
        </w:rPr>
      </w:pPr>
      <w:r>
        <w:rPr>
          <w:rFonts w:ascii="Arial" w:cs="Arial" w:eastAsia="Arial" w:hAnsi="Arial"/>
          <w:sz w:val="16"/>
          <w:szCs w:val="16"/>
          <w:color w:val="auto"/>
        </w:rPr>
        <w:t>as the overall reimbursement and drug pricing environment for healthcare providers. Since its enactment, there have been judicial, executive and Congressional challenges to certain aspects of the ACA, as well as efforts to repeal or replace certain aspects of the ACA, which may continue in the future. For example, on June 17, 2021, the U.S. Supreme Court dismissed the most recent judicial challenge to the ACA brought by several states without specifically ruling on the constitutionality of the ACA. Other health reform efforts have been proposed by members of Congress, such as measures that would expand the role of government-sponsored coverage, including further reform to the ACA, which could have far-reaching implications for the healthcare industry if enacted. On January 28, 2021, President Joe Biden issued an Executive Order directing federal agencies to examine all existing regulations, orders, guidance documents, policies and similar agency actions to determine if any such actions are inconsistent with the policy set forth in the Executive Order to protect and strengthen the ACA and make high-quality healthcare accessible and affordable for every American. As another example of recent healthcare legislative changes, the Consolidated Appropriations Act, or CAA, enacted on December 27, 2020, contain provisions impacting group health plans, including protections for plan participants from surprise medical bills and ensuring health plan price transparency. The CAA prohibits plans from entering into services agreements that directly or indirectly restrict the plans from disclosing provider-specific costs and quality of care information. It also requires disclosure by health insurance brokers and consultants to plan sponsors regarding reasonably expected direct and indirect compensation for referral of services to group health plans. Additionally, the CAA requires plans to submit reports to the Department of Labor, HHS and IRS with certain information on pharmacy benefits and drug costs for participants and beneficiaries and the application of in-network rates to out of network services, effective December 27, 2021. The CAA will also require certain service providers for health plans to comply with certain ERISA fee disclosure rules. In addition, effective January 1, 2022, the No Surprises Act (enacted as part of the CAA) provides protection against surprise medical bills by prohibiting plans and providers from balance billing patients for emergency care performed by out-of-network providers as well as non-emergency and ancillary services performed by out-of-network providers at in-network facilities, subject to certain notice and consent exceptions for non-emergency and ancillary services. The new law also grants additional patient protections, including requiring providers to send a good faith estimate of the expected charges for furnishing items or services to an insured patient’s health plan (or directly to an uninsured patient) before such items or services are delivered (including items or services reasonably expected to be provided in conjunction with scheduled items or services or that are reasonably expected to be delivered by another provider). The No Surprises Act also provides a dispute resolution process in the event the actual charges for such items and services are substantially higher than the plan’s estimate, and will prohibit providers from charging patients an amount beyond the in-network cost sharing amount for services rendered by out-of-network providers, subject to certain exceptions. Several states have also enacted comprehensive surprise billing laws and the CAA defers to existing state requirements with respect to state-established payment amounts.</w:t>
      </w:r>
    </w:p>
    <w:p>
      <w:pPr>
        <w:spacing w:after="0" w:line="200" w:lineRule="exact"/>
        <w:rPr>
          <w:sz w:val="20"/>
          <w:szCs w:val="20"/>
          <w:color w:val="auto"/>
        </w:rPr>
      </w:pPr>
    </w:p>
    <w:p>
      <w:pPr>
        <w:spacing w:after="0" w:line="203"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are unable to predict how these changes to the ACA and other healthcare reform initiatives from new legislation, regulation, judicial action and/or executive action, including the CAA and No Surprises Act and state laws, will ultimately impact the healthcare industry and what the potential impact may be on our business or on our business and on our relationships with future clients, insurance carriers, and healthcare providers.</w:t>
      </w:r>
    </w:p>
    <w:p>
      <w:pPr>
        <w:spacing w:after="0" w:line="187" w:lineRule="exact"/>
        <w:rPr>
          <w:sz w:val="20"/>
          <w:szCs w:val="20"/>
          <w:color w:val="auto"/>
        </w:rPr>
      </w:pPr>
    </w:p>
    <w:p>
      <w:pPr>
        <w:jc w:val="both"/>
        <w:ind w:left="60" w:right="59"/>
        <w:spacing w:after="0" w:line="340" w:lineRule="auto"/>
        <w:rPr>
          <w:sz w:val="20"/>
          <w:szCs w:val="20"/>
          <w:color w:val="auto"/>
        </w:rPr>
      </w:pPr>
      <w:r>
        <w:rPr>
          <w:rFonts w:ascii="Arial" w:cs="Arial" w:eastAsia="Arial" w:hAnsi="Arial"/>
          <w:sz w:val="15"/>
          <w:szCs w:val="15"/>
          <w:b w:val="1"/>
          <w:bCs w:val="1"/>
          <w:i w:val="1"/>
          <w:iCs w:val="1"/>
          <w:color w:val="auto"/>
        </w:rPr>
        <w:t>We are subject to potential changes in laws, regulations, government enforcement priorities, public policy, industry standards and other requirements, including with respect to Progyny Rx’s PBM practices, which create risks and challenges with respect to our compliance efforts and our business strategies, and may adversely affect our business.</w:t>
      </w:r>
    </w:p>
    <w:p>
      <w:pPr>
        <w:spacing w:after="0" w:line="131"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The healthcare industry is highly regulated and subject to frequently changing laws, regulations, government enforcement priorities, public policies, industry standards and other requirements. Many healthcare laws and regulations are complex, and their application to specific solutions, services and relationships may not be clear. Because our clients are subject to various requirements, we may be impacted as a result of our contractual obligations even when we are not directly subject to such requirements. In particular, many existing healthcare laws and regulations, when enacted, did not anticipate the solutions and services that we provide, and these laws and regulations may be applied to our solutions and services in ways that we do not anticipate. The ACA, efforts to revise, expand or materially change the ACA, and other federal and state efforts to reform or revise aspects of the healthcare industry or to revise or create additional legal or and regulatory requirements could impact our operations, the use of our solutions and services, and our ability to market new solutions and services, or could create unexpected liabilities for us. We also may be impacted by laws, industry standards and other requirements that are not specific to the healthcare industry, such as consumer protection laws and payment card</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industry standards. These requirements may impact our operations and, if not followed, could result in fines, penalties and other liabilities and adverse publicity and injury to our reputation.</w:t>
      </w:r>
    </w:p>
    <w:p>
      <w:pPr>
        <w:spacing w:after="0" w:line="170" w:lineRule="exact"/>
        <w:rPr>
          <w:sz w:val="20"/>
          <w:szCs w:val="20"/>
          <w:color w:val="auto"/>
        </w:rPr>
      </w:pPr>
    </w:p>
    <w:p>
      <w:pPr>
        <w:jc w:val="both"/>
        <w:ind w:left="60" w:right="59" w:firstLine="648"/>
        <w:spacing w:after="0" w:line="283" w:lineRule="auto"/>
        <w:rPr>
          <w:sz w:val="20"/>
          <w:szCs w:val="20"/>
          <w:color w:val="auto"/>
        </w:rPr>
      </w:pPr>
      <w:r>
        <w:rPr>
          <w:rFonts w:ascii="Arial" w:cs="Arial" w:eastAsia="Arial" w:hAnsi="Arial"/>
          <w:sz w:val="16"/>
          <w:szCs w:val="16"/>
          <w:color w:val="auto"/>
        </w:rPr>
        <w:t xml:space="preserve">In recent years, there have been a number of reform efforts, including from federal and state legislatures as well as the HHS OIG, around PBM program pricing and transparency that could affect our business. Current PBM laws and regulations govern, and proposed legislation and regulations may govern and/or further restrict critical PBM practices, including, among other things, disclosure, receipt and retention of rebates and other payments received from pharmaceutical manufacturers or pharmacy program partners, rules governing contractual provisions between PBMs and their contracted payers and/or pharmacies, and registration or licensing of PBMs. For example, in 2019, the U.S. Senate and House of Representatives proposed a number of bills that would, among other things, require PBMs to submit information on their costs, fees and rebates, requiring 100% of the rebates to be passed on to consumers, and/or impose rebates on manufacturers that chose to increase their drug prices more rapidly than inflation. Further, the U.S. Supreme Court’s recent decision in </w:t>
      </w:r>
      <w:r>
        <w:rPr>
          <w:rFonts w:ascii="Arial" w:cs="Arial" w:eastAsia="Arial" w:hAnsi="Arial"/>
          <w:sz w:val="16"/>
          <w:szCs w:val="16"/>
          <w:i w:val="1"/>
          <w:iCs w:val="1"/>
          <w:color w:val="auto"/>
        </w:rPr>
        <w:t>Rutledge v. Pharm. Care Mgmt. Ass’n</w:t>
      </w:r>
      <w:r>
        <w:rPr>
          <w:rFonts w:ascii="Arial" w:cs="Arial" w:eastAsia="Arial" w:hAnsi="Arial"/>
          <w:sz w:val="16"/>
          <w:szCs w:val="16"/>
          <w:color w:val="auto"/>
        </w:rPr>
        <w:t xml:space="preserve"> on December 10, 2020, which held that an Arkansas state law requiring PBMs to reimburse pharmacies at a price equal to or greater than the price pharmacies pay in purchasing medications from a wholesaler, was not preempted by the federal ERISA statute. The Supreme Court’s ruling solidifies the legality of state-level legislation regulating PBMs, which may encourage a new wave of legislation aimed at controlling prescription drug costs and providing pricing transparency. In the wake of the </w:t>
      </w:r>
      <w:r>
        <w:rPr>
          <w:rFonts w:ascii="Arial" w:cs="Arial" w:eastAsia="Arial" w:hAnsi="Arial"/>
          <w:sz w:val="16"/>
          <w:szCs w:val="16"/>
          <w:i w:val="1"/>
          <w:iCs w:val="1"/>
          <w:color w:val="auto"/>
        </w:rPr>
        <w:t>Rutledge</w:t>
      </w:r>
      <w:r>
        <w:rPr>
          <w:rFonts w:ascii="Arial" w:cs="Arial" w:eastAsia="Arial" w:hAnsi="Arial"/>
          <w:sz w:val="16"/>
          <w:szCs w:val="16"/>
          <w:color w:val="auto"/>
        </w:rPr>
        <w:t xml:space="preserve"> ruling, for example, New York has already reintroduced previously vetoed PBM legislation and Governor Andrew Cuomo has issued an Executive Budget for 2022 that highlights the need for PBM accountability. States have proposed over 100 separate PBM bills in 2021 alone, and at least 12 states have adopted new PBM oversight laws. A number of these proposed laws would require PBMs to submit annual transparency reports or otherwise disclose contractual arrangements with health benefit plans or health insurance issuers, or allow regulators to conduct audits of PBM operations. Additionally, certain quasi-regulatory organizations, including the National Association of Boards of Pharmacy and the National Association of Insurance Commissioners, have issued model regulations or may propose future model regulations concerning PBM operations. PBM credentialing organizations may also establish voluntary standards regarding PBM activities. While the model regulations and standards of these quasi-regulatory or credentialing organizations are not legal requirements, federal and state lawmakers may be influenced to adopt similar legislation and such model regulations and standards may also impact client expectations or requirements for PBM services. PBM operations may also be subject to federal and state fraud and abuse laws. We do not believe our operations are directly subject to such laws (including the recent finalization of regulations under the federal anti-kickback statute directly applicable to PBMs) as the PBM solutions and services we provide are not reimbursed by government healthcare payors. Some states’ anti-kickback and false claims laws may be broader in scope than analogous federal laws and may apply to items and services reimbursed by any third-party payor, including private insurers, self-insured employers and on a cash basis by patients, and may be applicable to us.</w:t>
      </w:r>
    </w:p>
    <w:p>
      <w:pPr>
        <w:spacing w:after="0" w:line="188"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Accordingly, it is reasonably possible that our business operations and operating results could be materially adversely affected by legislative, regulatory and public policy changes at the federal or state level, increased government involvement in drug reimbursement and pricing, and/or increased regulation of PBMs. Adoption of new laws, rules or regulations or changes in government enforcement priorities of or new interpretations of, existing laws, rules or regulations relating to PBMs could materially adversely affect our business and results of operations with respect to Progyny Rx. Additionally, such legal and regulatory changes may adversely affect our ability to conduct business on commercially reasonable terms in states where PBM legislation is in effect and the Company’s ability to standardize its Progyny Rx PBM products and services across state lines. Further, failure by the Company to comply with these laws or regulations could result in material fines and/or sanctions and could have a material adverse effect on the Company’s operating results and/or cash flows.</w:t>
      </w:r>
    </w:p>
    <w:p>
      <w:pPr>
        <w:spacing w:after="0" w:line="185" w:lineRule="exact"/>
        <w:rPr>
          <w:sz w:val="20"/>
          <w:szCs w:val="20"/>
          <w:color w:val="auto"/>
        </w:rPr>
      </w:pPr>
    </w:p>
    <w:p>
      <w:pPr>
        <w:jc w:val="both"/>
        <w:ind w:left="60" w:right="59"/>
        <w:spacing w:after="0" w:line="381" w:lineRule="auto"/>
        <w:rPr>
          <w:sz w:val="20"/>
          <w:szCs w:val="20"/>
          <w:color w:val="auto"/>
        </w:rPr>
      </w:pPr>
      <w:r>
        <w:rPr>
          <w:rFonts w:ascii="Arial" w:cs="Arial" w:eastAsia="Arial" w:hAnsi="Arial"/>
          <w:sz w:val="15"/>
          <w:szCs w:val="15"/>
          <w:b w:val="1"/>
          <w:bCs w:val="1"/>
          <w:i w:val="1"/>
          <w:iCs w:val="1"/>
          <w:color w:val="auto"/>
        </w:rPr>
        <w:t>We are subject to anti-corruption, anti-bribery, anti-money laundering, and similar laws, and non-compliance with such laws can subject us to criminal or civil liability and harm our business, financial condition and results of operations.</w:t>
      </w:r>
    </w:p>
    <w:p>
      <w:pPr>
        <w:spacing w:after="0" w:line="100"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While we operate only in the United States, we remain subject to the U.S. Foreign Corrupt Practices Act, U.S. domestic bribery laws, and other anti-corruption and anti-money laundering laws in the countries in which we conduct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If we expand</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our business and sales outside the United States and to the public sector, we may engage with business partners and third-party intermediaries to market our services and to obtain for us the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192"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prosecution, enforcement actions, sanctions, settlements,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 which could adversely affect our business, financial condition and results of operations.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Any potential sales to government entities are subject to a number of challenges and risks.</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may sell our services or solutions to U.S. federal, state, and local government, and agency, clients. Sales to such entities are subject to a number of challenges and risks. Selling to such entities can be highly competitive, expensive, and time-consuming, often requiring significant upfront time and expense without any assurance that these efforts will generate a sale. Government contracting requirements may change and in doing so restrict our ability to sell into the government sector until we have attained the revised certification. Government demand and payment for our offerings is dependent on many factors outside our control, including general economic conditions, public sector budgetary constraints and funding authorizations, and general political priorities, with funding reductions or delays adversely affecting public sector demand for our offerings.</w:t>
      </w:r>
    </w:p>
    <w:p>
      <w:pPr>
        <w:spacing w:after="0" w:line="19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Further, governmental and highly regulated entities may demand contract terms that differ from our standard arrangements. Such entities may have statutory, contractual, or other legal rights to terminate contracts with us or our partners due to a default or for other reasons. Any such termination may adversely affect our reputation, business, financial condition and results of operations.</w:t>
      </w:r>
    </w:p>
    <w:p>
      <w:pPr>
        <w:spacing w:after="0" w:line="18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Any failure to protect our intellectual property rights could impair our ability to protect our proprietary technology and our brand.</w:t>
      </w:r>
    </w:p>
    <w:p>
      <w:pPr>
        <w:spacing w:after="0" w:line="170"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Our success depends in part on our ability to protect our brand and proprietary trade secret and confidential information, including unpatented know-how, technology and other proprietary information, maintaining, defending and enforcing our intellectual property rights. We rely on our agreements with our clients, and non-disclosure and confidentiality agreements with employees and third parties, and our trademarks, trade secrets, and copyrights to protect our intellectual property rights. However, any of these parties may breach such agreements and disclose our proprietary information, and we may not be able to obtain adequate remedies for such breaches. There is no assurance that we will be able to obtain, maintain, defend and enforce our intellectual property rights, or that such intellectual property rights will not be challenged, narrowed, held unenforceable or circumvented. Therefore, these legal protections and precautions may not prevent infringement, misappropriation or other violations of our intellectual property. Any litigation and any infringement, misappropriation or other violations of our intellectual property could hinder our ability to market and sell our solutions, and our business, financial condition and results of operations could be adversely affected.</w:t>
      </w:r>
    </w:p>
    <w:p>
      <w:pPr>
        <w:spacing w:after="0" w:line="172"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If any of our trade secrets were to be lawfully obtained or independently developed by a competitor or other third party, we would have no right to prevent them from using that technology or information to compete with us and our competitive position would be harmed.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Third parties may allege that our products and services, or the conduct of our business, infringe, misappropriate or otherwise violate such third party’s intellectual property rights. Even if such claims are without merit, defending such claims would cause us to incur substantial expenses and could cause us to pay substantial damages or seek a costly license if we are found to be infringing, misappropriating, or otherwise violating a third party’s intellectual property rights. If we are unable to enter into a license on acceptable terms or at all, we could be forced to cease some aspect of our business operations or be forced to redesign our products or services so that we no longer infringe the third-party intellectual property rights, which may result in significant cost and delay to us, or which redesign could be technically infeasible. Even if resolved in our favor, litigation or other legal proceedings relating to intellectual property claims may cause us to incur significant expenses and could distract our employees and management personnel from their normal responsibilities.</w:t>
      </w:r>
    </w:p>
    <w:p>
      <w:pPr>
        <w:spacing w:after="0" w:line="166"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Moreover,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third parties, including such individual’s former employer.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92"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Furthermore, we currently own registered trademarks. In addition, any of our trademarks or trade names, whether registered or unregistered, may be challenged, opposed, infringed, cancelled, circumvented or declared generic, or determined to be infringing on other marks, as applicable. We may not be able to protect our rights to these trademarks and trade names, which we will need to build name recognition by potential collaborators or clients in our markets of interest.</w:t>
      </w:r>
    </w:p>
    <w:p>
      <w:pPr>
        <w:spacing w:after="0" w:line="15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Any litigation against us could be costly and time-consuming to defend and could harm our business, financial condition and results of operations.</w:t>
      </w:r>
    </w:p>
    <w:p>
      <w:pPr>
        <w:spacing w:after="0" w:line="170"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We have in the past and may in the future become subject to legal proceedings and claims that arise in the ordinary course of business, such as claims brought by our clients or vendors in connection with commercial disputes or employment claims made by our current or former employees. We are unable to predict the outcome of any legal proceedings. Such proceedings might result in substantial costs, regardless of the outcome, and may divert management’s attention and resources, which might seriously harm our business, financial condition and results of operations. As described in Part II, Item 1. “Legal Proceedings” of this Quarterly Report on Form 10-Q, we were subject to a vendor arbitration that was recently settled in December 2020. As part of our settlement and to avoid further costs, we agreed to pay the vendor a total of $5.75 million. Insurance might not cover litigation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condition and results of operations. See Note 7 – Commitments and Contingencies – in the notes to the consolidated financial statements included in Part I, Item 1, of this Quarterly Report on Form 10-Q.</w:t>
      </w:r>
    </w:p>
    <w:p>
      <w:pPr>
        <w:spacing w:after="0" w:line="168"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184"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We may in the future seek to acquire or invest in businesses, joint ventures, products and services, or technologies that we believe could complement or expand our platform, enhance our technical capabilities, or otherwise offer growth opportunities. Any such acquisition or investment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and services, personnel or operations of the acquired companies, particularly if the key personnel of the acquired company choose not to work for us, they are operationally difficult to integrate, or we have difficulty retaining the clients of any acquired business due to changes in ownership, management or otherwise. These transactions may also disrupt our business, divert our resources, and require significant management attention that would otherwise be available for development of our existing business. Any such transactions that we are able to complete may not result in any synergies or other benefits we had expected to achieve, which could</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result in impairment charges that could be substantial. In addition, we may not be able to find and identify desirable acquisition targets or business opportunities or be successful in entering into an agreement with any particular strategic partner. These transactions could also result in dilutive issuances of equity securities or the incurrence of debt, which could adversely affect our results of operations. In addition, if the resulting business from such a transaction fails to meet our expectations, or we fail to successfully integrate such businesses into our own, our business, financial condition and results of operations may be adversely affected or we may be exposed to unknown risks or liabilities.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Changes in our effective tax rate or tax liabilities may have an adverse effect on our results of operations.</w:t>
      </w:r>
    </w:p>
    <w:p>
      <w:pPr>
        <w:spacing w:after="0" w:line="23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effective tax rate could be impacted due to several factors, including, but not limited to:</w:t>
      </w:r>
    </w:p>
    <w:p>
      <w:pPr>
        <w:spacing w:after="0" w:line="225" w:lineRule="exact"/>
        <w:rPr>
          <w:sz w:val="20"/>
          <w:szCs w:val="20"/>
          <w:color w:val="auto"/>
        </w:rPr>
      </w:pPr>
    </w:p>
    <w:p>
      <w:pPr>
        <w:ind w:left="720" w:right="179" w:hanging="319"/>
        <w:spacing w:after="0" w:line="277"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relative amounts of income before taxes in the various jurisdictions in which we operate that have differing statutory tax rates;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tax laws, tax treaties, and regulations or the interpretation of them;</w:t>
      </w:r>
    </w:p>
    <w:p>
      <w:pPr>
        <w:spacing w:after="0" w:line="225" w:lineRule="exact"/>
        <w:rPr>
          <w:rFonts w:ascii="Arial" w:cs="Arial" w:eastAsia="Arial" w:hAnsi="Arial"/>
          <w:sz w:val="18"/>
          <w:szCs w:val="18"/>
          <w:color w:val="auto"/>
        </w:rPr>
      </w:pPr>
    </w:p>
    <w:p>
      <w:pPr>
        <w:ind w:left="720" w:right="339" w:hanging="319"/>
        <w:spacing w:after="0" w:line="263"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183"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outcome of future tax audits, examinations, or administrative appeals;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limitations or adverse findings regarding our ability to do business in some jurisdictions; and</w:t>
      </w:r>
    </w:p>
    <w:p>
      <w:pPr>
        <w:spacing w:after="0" w:line="225" w:lineRule="exact"/>
        <w:rPr>
          <w:rFonts w:ascii="Arial" w:cs="Arial" w:eastAsia="Arial" w:hAnsi="Arial"/>
          <w:sz w:val="18"/>
          <w:szCs w:val="18"/>
          <w:color w:val="auto"/>
        </w:rPr>
      </w:pPr>
    </w:p>
    <w:p>
      <w:pPr>
        <w:ind w:left="720" w:right="199" w:hanging="319"/>
        <w:spacing w:after="0" w:line="277"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discrete impact tax items, including such items resulting from the amount and timing of equity exercises and our share price.</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Any of these developments could have an adverse effect on our results of operations.</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Certain U.S. state tax authorities may assert that we have a state nexus and seek to impose state and local taxes which could adversely affect our results of operations.</w:t>
      </w:r>
    </w:p>
    <w:p>
      <w:pPr>
        <w:spacing w:after="0" w:line="170"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We currently file state tax returns in certain states. There is a risk that certain state tax authorities, where we do not currently file a state tax return, could assert that we are liable for state and local taxes based upon income or gross receipts allocable to such states. States are becoming increasingly aggressive in asserting a nexus for state tax purposes. We could be subject to state and local taxation, including penalties and interest attributable to prior periods, if a state tax authority in which we do not currently file a state tax return successfully asserts that our activities give rise to a taxable nexus. Such tax assessments, penalties and interest may adversely affect our results of operations.</w:t>
      </w:r>
    </w:p>
    <w:p>
      <w:pPr>
        <w:spacing w:after="0" w:line="17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may not be able to utilize a significant portion of our net operating loss or research tax credit carryforwards, which could adversely affect our profitability.</w:t>
      </w:r>
    </w:p>
    <w:p>
      <w:pPr>
        <w:spacing w:after="0" w:line="170"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Under Section 382 of the Internal Revenue Code of 1986, as amended, our ability to utilize net operating loss carryforwards or other tax attributes in any taxable year may be limited if we experience an “ownership change.” 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Future issuances of our stock could cause an “ownership change.” Any future ownership change, which could be outside of our control, could also have a material effect on the use of our net operating loss carryforwards or other tax attributes, which could adversely affect our profitability.</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reported financial results may be adversely affected by changes in accounting principles generally accepted in the United States.</w:t>
      </w:r>
    </w:p>
    <w:p>
      <w:pPr>
        <w:spacing w:after="0" w:line="170"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 xml:space="preserve">Accounting principles generally accepted in the United States are subject to interpretation by the Financial Accounting Standards Board, or FASB, the SEC and various bodies formed to promulgate and interpret appropriate accounting principles. As of January 1, 2020, we adopted ASU No. 2016-02, Leases </w:t>
      </w:r>
      <w:r>
        <w:rPr>
          <w:rFonts w:ascii="Arial" w:cs="Arial" w:eastAsia="Arial" w:hAnsi="Arial"/>
          <w:sz w:val="17"/>
          <w:szCs w:val="17"/>
          <w:i w:val="1"/>
          <w:iCs w:val="1"/>
          <w:color w:val="auto"/>
        </w:rPr>
        <w:t>(Topic 842)</w:t>
      </w:r>
      <w:r>
        <w:rPr>
          <w:rFonts w:ascii="Arial" w:cs="Arial" w:eastAsia="Arial" w:hAnsi="Arial"/>
          <w:sz w:val="17"/>
          <w:szCs w:val="17"/>
          <w:color w:val="auto"/>
        </w:rPr>
        <w:t xml:space="preserve"> using the modified retrospective transition method and recorded a right-of-use asset and lease liabilities of $9.5 million and $9.9 million, respectively. In addition, as of January 1, 2020, we also adopted ASU 2016-13, </w:t>
      </w:r>
      <w:r>
        <w:rPr>
          <w:rFonts w:ascii="Arial" w:cs="Arial" w:eastAsia="Arial" w:hAnsi="Arial"/>
          <w:sz w:val="17"/>
          <w:szCs w:val="17"/>
          <w:i w:val="1"/>
          <w:iCs w:val="1"/>
          <w:color w:val="auto"/>
        </w:rPr>
        <w:t>Financial Instruments – Credit Losses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(Topic 326) </w:t>
      </w:r>
      <w:r>
        <w:rPr>
          <w:rFonts w:ascii="Arial" w:cs="Arial" w:eastAsia="Arial" w:hAnsi="Arial"/>
          <w:sz w:val="17"/>
          <w:szCs w:val="17"/>
          <w:color w:val="auto"/>
        </w:rPr>
        <w:t>using the modified retrospective transition method, which resulted in a cumulative-effect adjustment to</w:t>
      </w:r>
      <w:r>
        <w:rPr>
          <w:rFonts w:ascii="Arial" w:cs="Arial" w:eastAsia="Arial" w:hAnsi="Arial"/>
          <w:sz w:val="17"/>
          <w:szCs w:val="17"/>
          <w:i w:val="1"/>
          <w:iCs w:val="1"/>
          <w:color w:val="auto"/>
        </w:rPr>
        <w:t xml:space="preserve"> </w:t>
      </w:r>
      <w:r>
        <w:rPr>
          <w:rFonts w:ascii="Arial" w:cs="Arial" w:eastAsia="Arial" w:hAnsi="Arial"/>
          <w:sz w:val="17"/>
          <w:szCs w:val="17"/>
          <w:color w:val="auto"/>
        </w:rPr>
        <w:t>accumulated deficit of $1.2 million and impacted our methodology for calculating and estimating our allowance for doubtful accounts. See Note 2 – Significant Accounting Policies included in Part I, Item I of this Quarterly Report on Form 10-Q for additional information on recently adopted accounting standards. A change in accounting principles or interpretations could have a significant effect on our reported results of operations and could affect the reporting of transactions already completed before the announcement of a change. The adoption of new or revised accounting principles may require us to make changes to our systems, processes and control, which could have a significant effect on our reported financial results, cause unexpected financial reporting fluctuations, retroactively affect previously reported results or require us to make costly changes to our operational processes and accounting systems upon or following the adoption of these standards.</w:t>
      </w:r>
    </w:p>
    <w:p>
      <w:pPr>
        <w:spacing w:after="0" w:line="18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our results of operations could be adversely affected.</w:t>
      </w:r>
    </w:p>
    <w:p>
      <w:pPr>
        <w:spacing w:after="0" w:line="170"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The preparation of consolidated financial statements in conformity with U.S. generally accepted accounting principles, or U.S. GAAP, requires management to make estimates and assumptions that affect the amounts reported in our consolidated financial statements and accompanying notes included elsewhere in this Quarterly Report on Form 10-Q. We base our estimates on historical experience and on various other assumptions that we believe to be reasonable under the circumstances, as provided in Part I, Item 2. “Management’s Discussion and Analysis of Financial Condition and Results of Operations-Critical Accounting Policies and Estimates” of this Quarterly Report on Form 10-Q. The results of these estimates form the basis for making judgments about the carrying values of assets, liabilities and equity, and the amount of revenue and expenses that are not readily apparent from other sources. We believe that the assumptions and estimates associated with our revenue recognition including accrued receivables and allowance for service changes and cancellations, accrued claims payable, stock-based compensation, and accounting for income taxes have the greatest potential impact on our consolidated financial statements and therefore, we consider these to be our critical accounting policies and estimates.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common stock.</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stock price may be volatile, and the value of our common stock may decline.</w:t>
      </w:r>
    </w:p>
    <w:p>
      <w:pPr>
        <w:spacing w:after="0" w:line="225"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As tenured investors look to monetize their positions, we have seen large blocks of shares enter the public market over a short period of time. The market price of our common stock may be highly volatile and may fluctuate or decline substantially as a result of this and a variety of factors, some of which are beyond our control, including, but not limited to:</w:t>
      </w:r>
    </w:p>
    <w:p>
      <w:pPr>
        <w:spacing w:after="0" w:line="149" w:lineRule="exact"/>
        <w:rPr>
          <w:sz w:val="20"/>
          <w:szCs w:val="20"/>
          <w:color w:val="auto"/>
        </w:rPr>
      </w:pPr>
    </w:p>
    <w:p>
      <w:pPr>
        <w:ind w:left="720" w:hanging="319"/>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high volume of direct sales into the market by large investors;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or results of operations;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variance in our financial performance from expectations of securities analysts;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the pricing of our solutions and services;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our projected operating and financial results;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products and solutions;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business developments, acquisitions, or new offerings;</w:t>
      </w:r>
    </w:p>
    <w:p>
      <w:pPr>
        <w:spacing w:after="0" w:line="236" w:lineRule="exact"/>
        <w:rPr>
          <w:rFonts w:ascii="Arial" w:cs="Arial" w:eastAsia="Arial" w:hAnsi="Arial"/>
          <w:sz w:val="17"/>
          <w:szCs w:val="17"/>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significant data breaches of our company, providers, vendors or pharmacies;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involvement in litigation;</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future sales of our common stock by us or our stockholders;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anticipated future size and growth rate of our market;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25"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Broad market and industry fluctuations, as well as general economic, political, regulatory, and market conditions, including those related to the recent COVID-19 pandemic, may also negatively impact the market price of our common stock. Fluctuations in our quarterly operating results and the price of our common stock may be particularly pronounced in the current economic environment due to the uncertainty caused by and the unprecedented nature of the current COVID-19 pandemic. These and other factors may cause the market price and demand for our common stock to fluctuate substantially, which may limit or prevent investors from readily selling their shares of common stock and may otherwise negatively affect the liquidity of our common stock.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An active public trading market for our common stock may not be 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 capital to continue to fund operations by selling shares and may impair our ability to acquire other companies or technologies by using our shares as consideration.</w:t>
      </w:r>
    </w:p>
    <w:p>
      <w:pPr>
        <w:spacing w:after="0" w:line="18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expect fluctuations in our financial results, making it difficult to project future results, and if we fail to meet the expectations of securities analysts or investors with respect to our results of operations, our stock price and the value of your investment could decline.</w:t>
      </w:r>
    </w:p>
    <w:p>
      <w:pPr>
        <w:spacing w:after="0" w:line="184"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Our results of operations may fluctuate in the future due to a variety of factors, many of which are outside of our control. As a result, our past results may not be indicative of our future performance. In addition to the other risks described herein, factors that may affect our results of operations include the following:</w:t>
      </w:r>
    </w:p>
    <w:p>
      <w:pPr>
        <w:spacing w:after="0" w:line="184" w:lineRule="exact"/>
        <w:rPr>
          <w:sz w:val="20"/>
          <w:szCs w:val="20"/>
          <w:color w:val="auto"/>
        </w:rPr>
      </w:pP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fluctuations in demand for or pricing of our solutions;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attract new clients;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retain our existing clients;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client expansion rates;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clients’ budgets and in the timing of their budget cycles and purchasing decisions;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 and healthcare costs;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amount and timing of payment for operating expenses, particularly sales and marketing expenses;</w:t>
      </w:r>
    </w:p>
    <w:p>
      <w:pPr>
        <w:spacing w:after="0" w:line="225"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amount and timing of non-cash expenses, including stock-based compensation, goodwill impairments and other non-cash charges;</w:t>
      </w:r>
    </w:p>
    <w:p>
      <w:pPr>
        <w:spacing w:after="0" w:line="170"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amount and timing of costs associated with recruiting, training and integrating new employees and retaining and motivating existing employees;</w:t>
      </w:r>
    </w:p>
    <w:p>
      <w:pPr>
        <w:spacing w:after="0" w:line="170"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economic conditions, as well as economic conditions specifically affecting industries in which our clients participate, including those related to the recent COVID-19 pandemic;</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impact of new accounting pronouncements;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changes in the competitive dynamics of our market, including consolidation among competitors or clients; and</w:t>
      </w:r>
    </w:p>
    <w:p>
      <w:pPr>
        <w:spacing w:after="0" w:line="236" w:lineRule="exact"/>
        <w:rPr>
          <w:rFonts w:ascii="Arial" w:cs="Arial" w:eastAsia="Arial" w:hAnsi="Arial"/>
          <w:sz w:val="17"/>
          <w:szCs w:val="17"/>
          <w:color w:val="auto"/>
        </w:rPr>
      </w:pPr>
    </w:p>
    <w:p>
      <w:pPr>
        <w:ind w:left="720" w:right="79" w:hanging="319"/>
        <w:spacing w:after="0" w:line="277"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significant security breaches of, technical difficulties with, or interruptions to, the delivery and use of our solutions and services.</w:t>
      </w:r>
    </w:p>
    <w:p>
      <w:pPr>
        <w:spacing w:after="0" w:line="170"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Any of these and other factors, or the cumulative effect of some of these factors, may cause our results of operations to vary significantly. For example, the full impact of the COVID-19 pandemic is unknown at this time, but could result in adverse changes in our results of operations for an unknown period of time as the virus and its related political, social and economic impacts spread. If our quarterly results of operations fall below the expectations of investors and securities analysts who follow our stock, the price of our common stock could decline substantially, and we could face costly lawsuits, including securities class action suits.</w:t>
      </w:r>
    </w:p>
    <w:p>
      <w:pPr>
        <w:spacing w:after="0" w:line="192"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b w:val="1"/>
          <w:bCs w:val="1"/>
          <w:i w:val="1"/>
          <w:iCs w:val="1"/>
          <w:color w:val="auto"/>
        </w:rPr>
        <w:t>As a result of being a public company, we are obligated to develop and maintain proper and effective internal controls over financial reporting, and any failure to maintain the adequacy of these internal controls may adversely affect investor confidence in our company and, as a result, the value of our common stock.</w:t>
      </w:r>
    </w:p>
    <w:p>
      <w:pPr>
        <w:spacing w:after="0" w:line="165"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We are required, pursuant to Section 404 of the Sarbanes-Oxley Act, or Section 404, to furnish a report by management on, among other things, the effectiveness of our internal control over financial reporting and our independent registered public accounting firm is required to attest to the effectiveness of our internal control over financial reporting. To achieve compliance with Section 404, we perform system and process evaluation and testing of our internal controls over financial reporting to allow management to report on the effectiveness of our internal controls over financial reporting in our Annual Report on Form 10-K filing for each year, as required by Section 404 of SOX. Our existing management team has and will continue to devote a substantial amount of time to these compliance initiatives, and we may need to hire additional accounting and financial staff with appropriate public company experience to assist us in ongoing compliance with these requirements. Moreover, these rules and regulations have increased and will continue to increase our legal and financial compliance costs and will make some activities more time consuming and costly.</w:t>
      </w:r>
    </w:p>
    <w:p>
      <w:pPr>
        <w:spacing w:after="0" w:line="168"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During the evaluation and testing process of our internal controls, if we identify one or more material weaknesses in our internal control over financial reporting, we will be unable to certify that our internal control over financial reporting is effective. For example, in connection with our audit of the fiscal year 2018 consolidated financial statements, we and our independent registered public accounting firm identified one material weakness in our controls related to the lack of review and oversight over financial reporting, which we determined we had remediated as of December 31, 2019.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Future sales of our common stock in the public market could cause the market price of our common stock to decline.</w:t>
      </w:r>
    </w:p>
    <w:p>
      <w:pPr>
        <w:spacing w:after="0" w:line="260"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Future sales of a substantial number of shares of our common stock in the public market by us or our stockholders,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w:t>
      </w:r>
    </w:p>
    <w:p>
      <w:pPr>
        <w:spacing w:after="0" w:line="187"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have registered all of the shares of common stock issuable upon exercise of outstanding options or other equity awards we may grant in the future, for public resale under the Securities Act. Accordingly, these shares will be eligible for sale in the public market to the extent such options are exercised and restricted stock units are vested, in compliance with applicable securities laws.</w:t>
      </w:r>
    </w:p>
    <w:p>
      <w:pPr>
        <w:spacing w:after="0" w:line="187"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Further, holders of a substantial number of shares of our common stock have rights, subject to certain conditions, to require us to file registration statements covering the sale of their shares or to include their shares in registration statements that we may file for ourselves or other stockholders.</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equity incentive plans or otherwise will dilute all other stockholders</w:t>
      </w:r>
      <w:r>
        <w:rPr>
          <w:rFonts w:ascii="Arial" w:cs="Arial" w:eastAsia="Arial" w:hAnsi="Arial"/>
          <w:sz w:val="18"/>
          <w:szCs w:val="18"/>
          <w:i w:val="1"/>
          <w:iCs w:val="1"/>
          <w:color w:val="auto"/>
        </w:rPr>
        <w:t>.</w:t>
      </w:r>
    </w:p>
    <w:p>
      <w:pPr>
        <w:spacing w:after="0" w:line="170"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 businesses, joint ventures, products and services,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or inaccurate research, about our business, the market price and trading volume of our common stock could decline.</w:t>
      </w:r>
    </w:p>
    <w:p>
      <w:pPr>
        <w:spacing w:after="0" w:line="17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market price and trading volume of our common stock will be heavily influenced by the way analysts interpret our financial information and other disclosures. We do not have control over these analysts. If few securities analysts commence coverage of us, or if industry analysts cease coverage of us, our stock price would be negatively affected. If securities or industry analysts do not publish research or reports about our business, downgrade our common stock, or publish negative reports about our business, our stock price would likely decline. If one or more of these analysts cease coverage of us or fail to publish reports on us regularly, demand for our common stock could decrease, which might cause our stock price to decline and could decrease the trading volume of our common stock. We have experienced and may in the future experience analyst coverage reduction due to analysts leaving firms, changing firms or going on temporary leaves of absences. Such reduction in analyst coverage, even if temporary, could lead to volatility in our stock price.</w:t>
      </w:r>
    </w:p>
    <w:p>
      <w:pPr>
        <w:spacing w:after="0" w:line="19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170"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you may need to rely on sales of our common stock after price appreciation, which may never occur, as the only way to realize any future gains on your investment.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b w:val="1"/>
          <w:bCs w:val="1"/>
          <w:i w:val="1"/>
          <w:iCs w:val="1"/>
          <w:color w:val="auto"/>
        </w:rPr>
        <w:t>We incur increased costs as a result of operating as a public company, and our management is required to devote substantial time to compliance with our public company responsibilities and corporate governance practices.</w:t>
      </w:r>
    </w:p>
    <w:p>
      <w:pPr>
        <w:spacing w:after="0" w:line="124"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As a public company, we have incurred and will continue to incur significant legal, accounting, and other expenses that we did not incur prior to our initial public offering. The Sarbanes-Oxley Act, the Dodd-Frank Wall Street Reform and Consumer Protection Act, the listing requirements of the Nasdaq Stock Market, or Nasdaq, and other applicable securities rules and regulations impose various requirements on public companies. Our management and other personnel devote a substantial amount of time to compliance with these requirements. Effective January 1, 2021, we became a “large accelerated filer” under SEC reporting rules and are required to file our annual report and quarterly reports more quickly than we previously had been required to file them, which may require us to dedicate additional resources to the timely filing of such reports. Moreover, these rules and regulations have increased and will continue to increase our legal and financial compliance costs and make some activities more time-consuming and costly. We cannot predict or estimate the amount of additional costs we will incur as a public company or the specific timing of such costs.</w:t>
      </w:r>
    </w:p>
    <w:p>
      <w:pPr>
        <w:spacing w:after="0" w:line="168"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common stock.</w:t>
      </w:r>
    </w:p>
    <w:p>
      <w:pPr>
        <w:spacing w:after="0" w:line="184"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184" w:lineRule="exact"/>
        <w:rPr>
          <w:sz w:val="20"/>
          <w:szCs w:val="20"/>
          <w:color w:val="auto"/>
        </w:rPr>
      </w:pPr>
    </w:p>
    <w:p>
      <w:pPr>
        <w:ind w:left="720" w:right="79" w:hanging="319"/>
        <w:spacing w:after="0" w:line="263"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shares of undesignated preferred stock with terms, rights, and preferences determined by our Board of Directors that may be senior to our common stock;</w:t>
      </w:r>
    </w:p>
    <w:p>
      <w:pPr>
        <w:spacing w:after="0" w:line="183" w:lineRule="exact"/>
        <w:rPr>
          <w:rFonts w:ascii="Arial" w:cs="Arial" w:eastAsia="Arial" w:hAnsi="Arial"/>
          <w:sz w:val="18"/>
          <w:szCs w:val="18"/>
          <w:color w:val="auto"/>
        </w:rPr>
      </w:pPr>
    </w:p>
    <w:p>
      <w:pPr>
        <w:ind w:left="720" w:right="219" w:hanging="319"/>
        <w:spacing w:after="0" w:line="277"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require that any action to be taken by our stockholders be effected at a duly called annual or special meeting and not by written consent;</w:t>
      </w:r>
    </w:p>
    <w:p>
      <w:pPr>
        <w:spacing w:after="0" w:line="170" w:lineRule="exact"/>
        <w:rPr>
          <w:rFonts w:ascii="Arial" w:cs="Arial" w:eastAsia="Arial" w:hAnsi="Arial"/>
          <w:sz w:val="18"/>
          <w:szCs w:val="18"/>
          <w:color w:val="auto"/>
        </w:rPr>
      </w:pPr>
    </w:p>
    <w:p>
      <w:pPr>
        <w:ind w:left="720" w:right="139" w:hanging="319"/>
        <w:spacing w:after="0" w:line="277"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our Board of Directors, or our chief executive officer;</w:t>
      </w:r>
    </w:p>
    <w:p>
      <w:pPr>
        <w:spacing w:after="0" w:line="170" w:lineRule="exact"/>
        <w:rPr>
          <w:rFonts w:ascii="Arial" w:cs="Arial" w:eastAsia="Arial" w:hAnsi="Arial"/>
          <w:sz w:val="18"/>
          <w:szCs w:val="18"/>
          <w:color w:val="auto"/>
        </w:rPr>
      </w:pPr>
    </w:p>
    <w:p>
      <w:pPr>
        <w:ind w:left="720" w:right="779" w:hanging="319"/>
        <w:spacing w:after="0" w:line="308" w:lineRule="auto"/>
        <w:tabs>
          <w:tab w:leader="none" w:pos="7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establish an advance notice procedure for stockholder proposals to be brought before an annual meeting, including proposed nominations of persons for election to our Board of Directors;</w:t>
      </w:r>
    </w:p>
    <w:p>
      <w:pPr>
        <w:spacing w:after="0" w:line="146" w:lineRule="exact"/>
        <w:rPr>
          <w:rFonts w:ascii="Arial" w:cs="Arial" w:eastAsia="Arial" w:hAnsi="Arial"/>
          <w:sz w:val="17"/>
          <w:szCs w:val="17"/>
          <w:color w:val="auto"/>
        </w:rPr>
      </w:pPr>
    </w:p>
    <w:p>
      <w:pPr>
        <w:ind w:left="720" w:right="379" w:hanging="319"/>
        <w:spacing w:after="0" w:line="277"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three-year staggered terms;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225"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that our directors may be removed for cause only upon the vote of at least 66 and 2/3% of our outstanding shares of voting stock;</w:t>
      </w:r>
    </w:p>
    <w:p>
      <w:pPr>
        <w:spacing w:after="0" w:line="170" w:lineRule="exact"/>
        <w:rPr>
          <w:rFonts w:ascii="Arial" w:cs="Arial" w:eastAsia="Arial" w:hAnsi="Arial"/>
          <w:sz w:val="18"/>
          <w:szCs w:val="18"/>
          <w:color w:val="auto"/>
        </w:rPr>
      </w:pPr>
    </w:p>
    <w:p>
      <w:pPr>
        <w:ind w:left="720" w:right="119" w:hanging="319"/>
        <w:spacing w:after="0" w:line="277"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 and</w:t>
      </w:r>
    </w:p>
    <w:p>
      <w:pPr>
        <w:spacing w:after="0" w:line="170" w:lineRule="exact"/>
        <w:rPr>
          <w:rFonts w:ascii="Arial" w:cs="Arial" w:eastAsia="Arial" w:hAnsi="Arial"/>
          <w:sz w:val="18"/>
          <w:szCs w:val="18"/>
          <w:color w:val="auto"/>
        </w:rPr>
      </w:pPr>
    </w:p>
    <w:p>
      <w:pPr>
        <w:ind w:left="720" w:right="179" w:hanging="319"/>
        <w:spacing w:after="0" w:line="308" w:lineRule="auto"/>
        <w:tabs>
          <w:tab w:leader="none" w:pos="7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require the approval of our Board of Directors or the holders of at least 66 and 2/3% of our outstanding shares of voting stock to amend our bylaws and certain provisions of our certificate of incorporation.</w:t>
      </w:r>
    </w:p>
    <w:p>
      <w:pPr>
        <w:spacing w:after="0" w:line="146"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common stock, and they could deter potential acquirers of our company, thereby reducing the likelihood that you would receive a premium for your shares of our common stock in an acquisition.</w:t>
      </w:r>
    </w:p>
    <w:p>
      <w:pPr>
        <w:spacing w:after="0" w:line="176"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b w:val="1"/>
          <w:bCs w:val="1"/>
          <w:i w:val="1"/>
          <w:iCs w:val="1"/>
          <w:color w:val="auto"/>
        </w:rPr>
        <w:t>Our amended and restated certificate of incorporation designates the state courts in the State of Delaware or, if no state court located within the State of Delaware has jurisdiction, the federal court for the District of Delaware, as the sole and exclusive forum for certain types of actions and proceedings that may be initiated by our stockholders, which could discourage lawsuits against us or our directors, officers, or employees.</w:t>
      </w:r>
    </w:p>
    <w:p>
      <w:pPr>
        <w:spacing w:after="0" w:line="171" w:lineRule="exact"/>
        <w:rPr>
          <w:sz w:val="20"/>
          <w:szCs w:val="20"/>
          <w:color w:val="auto"/>
        </w:rPr>
      </w:pPr>
    </w:p>
    <w:p>
      <w:pPr>
        <w:jc w:val="both"/>
        <w:ind w:left="60" w:right="59" w:firstLine="648"/>
        <w:spacing w:after="0" w:line="267" w:lineRule="auto"/>
        <w:rPr>
          <w:sz w:val="20"/>
          <w:szCs w:val="20"/>
          <w:color w:val="auto"/>
        </w:rPr>
      </w:pPr>
      <w:r>
        <w:rPr>
          <w:rFonts w:ascii="Arial" w:cs="Arial" w:eastAsia="Arial" w:hAnsi="Arial"/>
          <w:sz w:val="17"/>
          <w:szCs w:val="17"/>
          <w:color w:val="auto"/>
        </w:rPr>
        <w:t>Our amended and restated certificate of incorporation provides that, to the fullest extent permitted by law, unless we consent in writing to the selection of an alternative forum, the Court of Chancery of the State of Delaware (or, if the Court of Chancery does not have jurisdiction, any state court located within the State of Delaware, or if all such state courts lack jurisdiction, the federal district court for the District of Delaware) will be the sole and exclusive forum for the following types of actions or proceedings under Delaware statutory or common law: (1) any derivative action or proceeding brought on our behalf; (2) any action asserting a breach of a fiduciary duty owed by any current or former director, officer or other employee, to us or our stockholders; (3) any action or proceeding asserting a claim against us or any of our current or former directors, officers or other employees, arising out of or pursuant to any provisions of the Delaware General Corporation Law, our amended and restated certificate of incorporation, or our amended and restated bylaws; (4) or any action or proceeding to interpret, apply, enforce or determine the validity of our amended and restated certificate of incorporation or our amended and restated bylaws; (5) any action or proceeding as to which the Delaware General Corporation Law confers jurisdiction on the Court of Chancery of the State of Delaware; or (6) any action asserting a claim against us, or any of our directors, officers or other employees, that is governed by the internal affairs doctrine, in all cases to the fullest extent permitted by law and subject to the court’s having personal jurisdiction over the indispensable parties named as defendants. For the avoidance of doubt, these choice of forum provisions will not apply to suits brought to enforce a duty or liability created by the Securities Act, the Exchange Act or any other claim for which the federal courts have exclusive jurisdiction. In particular, Section 22 of the Securities Act creates concurrent jurisdiction for federal and state courts over all such Securities Act actions.</w:t>
      </w:r>
    </w:p>
    <w:p>
      <w:pPr>
        <w:spacing w:after="0" w:line="190"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These choice of forum provisions may limit a stockholder’s ability to bring a claim in a judicial forum that it finds favorable for disputes with us or our directors, officers, or other employees and may discourage these types of lawsuits. A stockholder may, nevertheless, seek to bring a claim in a venue other than that designated in our amended and restated certificate of incorporation. In such instance we would expect to vigorously assert the validity and enforceability of the exclusive forum provisions, which may require significant additional costs. Furthermore, if a court were to find the choice of forum provisions contained in our amended and restated certificate of incorporation to be inapplicable or unenforceable in an action, we may incur additional costs associated with resolving such action in other jurisdictions.</w:t>
      </w:r>
    </w:p>
    <w:p>
      <w:pPr>
        <w:spacing w:after="0" w:line="3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On October 29, 2019, in connection with our IPO, we issued and sold 6,700,000 shares of our common stock and certain of our selling stockholders offered and sold 4,800,000 shares of our common stock at a price to the public of $13.00 per share resulting in net proceeds to us of $77.6 million, after deducting the underwriting discount of $5.9 million and offering expenses of $3.6 million. All of the shares issued and sold in our IPO were registered under the Securities Act pursuant to a registration statement on Form S-1 (File No. 333-233965), which was declared effective by the SEC on October 24, 2019. The net proceeds of $77.6 million from our IPO have been invested in investment grade, interest-bearing instruments. There has been no material change in the expected use of the net proceeds from our IPO as described in our final prospectus, filed with the SEC on October 25, 2019 pursuant to Rule 424(b) relating to our Registration Statement.</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Settlement of Equity Awards</w:t>
      </w:r>
    </w:p>
    <w:p>
      <w:pPr>
        <w:spacing w:after="0" w:line="229" w:lineRule="exact"/>
        <w:rPr>
          <w:sz w:val="20"/>
          <w:szCs w:val="20"/>
          <w:color w:val="auto"/>
        </w:rPr>
      </w:pPr>
    </w:p>
    <w:p>
      <w:pPr>
        <w:ind w:left="60" w:right="459" w:firstLine="486"/>
        <w:spacing w:after="0" w:line="277" w:lineRule="auto"/>
        <w:rPr>
          <w:sz w:val="20"/>
          <w:szCs w:val="20"/>
          <w:color w:val="auto"/>
        </w:rPr>
      </w:pPr>
      <w:r>
        <w:rPr>
          <w:rFonts w:ascii="Arial" w:cs="Arial" w:eastAsia="Arial" w:hAnsi="Arial"/>
          <w:sz w:val="18"/>
          <w:szCs w:val="18"/>
          <w:color w:val="auto"/>
        </w:rPr>
        <w:t>Our restricted stock units are subject to vesting and the underlying shares of common stock are issued when the restricted stock units vest.</w:t>
      </w:r>
    </w:p>
    <w:p>
      <w:pPr>
        <w:spacing w:after="0" w:line="170" w:lineRule="exact"/>
        <w:rPr>
          <w:sz w:val="20"/>
          <w:szCs w:val="20"/>
          <w:color w:val="auto"/>
        </w:rPr>
      </w:pPr>
    </w:p>
    <w:p>
      <w:pPr>
        <w:ind w:left="60" w:right="219" w:firstLine="486"/>
        <w:spacing w:after="0" w:line="263" w:lineRule="auto"/>
        <w:rPr>
          <w:sz w:val="20"/>
          <w:szCs w:val="20"/>
          <w:color w:val="auto"/>
        </w:rPr>
      </w:pPr>
      <w:r>
        <w:rPr>
          <w:rFonts w:ascii="Arial" w:cs="Arial" w:eastAsia="Arial" w:hAnsi="Arial"/>
          <w:sz w:val="18"/>
          <w:szCs w:val="18"/>
          <w:color w:val="auto"/>
        </w:rPr>
        <w:t>In the second quarter of 2021, we withheld shares through net settlements (where the award holder receives the net of the shares vested, after surrendering a portion of the shares back to the Company for tax withholding) for certain restricted stock units that vested.</w:t>
      </w:r>
    </w:p>
    <w:p>
      <w:pPr>
        <w:spacing w:after="0" w:line="184" w:lineRule="exact"/>
        <w:rPr>
          <w:sz w:val="20"/>
          <w:szCs w:val="20"/>
          <w:color w:val="auto"/>
        </w:rPr>
      </w:pPr>
    </w:p>
    <w:p>
      <w:pPr>
        <w:ind w:left="60" w:right="739" w:firstLine="486"/>
        <w:spacing w:after="0" w:line="342" w:lineRule="auto"/>
        <w:rPr>
          <w:sz w:val="20"/>
          <w:szCs w:val="20"/>
          <w:color w:val="auto"/>
        </w:rPr>
      </w:pPr>
      <w:r>
        <w:rPr>
          <w:rFonts w:ascii="Arial" w:cs="Arial" w:eastAsia="Arial" w:hAnsi="Arial"/>
          <w:sz w:val="16"/>
          <w:szCs w:val="16"/>
          <w:color w:val="auto"/>
        </w:rPr>
        <w:t>The following table provides a summary of shares surrendered back to the Company for tax withholding on restricted stock units that vested under our equity incentive plans in the three months ended June 30, 2021:</w:t>
      </w:r>
    </w:p>
    <w:p>
      <w:pPr>
        <w:spacing w:after="0" w:line="8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Total Number of</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Maximum Dollar</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2"/>
                <w:szCs w:val="12"/>
                <w:color w:val="auto"/>
              </w:rPr>
            </w:pPr>
          </w:p>
        </w:tc>
        <w:tc>
          <w:tcPr>
            <w:tcW w:w="94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Purchased as</w:t>
            </w: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Shares That May</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Average Price</w:t>
            </w: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4"/>
        </w:trPr>
        <w:tc>
          <w:tcPr>
            <w:tcW w:w="4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0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6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89"/>
              </w:rPr>
              <w:t>Announced Plans</w:t>
            </w:r>
          </w:p>
        </w:tc>
        <w:tc>
          <w:tcPr>
            <w:tcW w:w="140" w:type="dxa"/>
            <w:vAlign w:val="bottom"/>
          </w:tcPr>
          <w:p>
            <w:pPr>
              <w:spacing w:after="0"/>
              <w:rPr>
                <w:sz w:val="12"/>
                <w:szCs w:val="12"/>
                <w:color w:val="auto"/>
              </w:rPr>
            </w:pPr>
          </w:p>
        </w:tc>
        <w:tc>
          <w:tcPr>
            <w:tcW w:w="940" w:type="dxa"/>
            <w:vAlign w:val="bottom"/>
          </w:tcPr>
          <w:p>
            <w:pPr>
              <w:jc w:val="center"/>
              <w:ind w:right="38"/>
              <w:spacing w:after="0" w:line="145" w:lineRule="exact"/>
              <w:rPr>
                <w:sz w:val="20"/>
                <w:szCs w:val="20"/>
                <w:color w:val="auto"/>
              </w:rPr>
            </w:pPr>
            <w:r>
              <w:rPr>
                <w:rFonts w:ascii="Arial" w:cs="Arial" w:eastAsia="Arial" w:hAnsi="Arial"/>
                <w:sz w:val="14"/>
                <w:szCs w:val="14"/>
                <w:b w:val="1"/>
                <w:bCs w:val="1"/>
                <w:color w:val="auto"/>
                <w:w w:val="94"/>
              </w:rPr>
              <w:t>Under the</w:t>
            </w:r>
          </w:p>
        </w:tc>
        <w:tc>
          <w:tcPr>
            <w:tcW w:w="0" w:type="dxa"/>
            <w:vAlign w:val="bottom"/>
          </w:tcPr>
          <w:p>
            <w:pPr>
              <w:spacing w:after="0"/>
              <w:rPr>
                <w:sz w:val="1"/>
                <w:szCs w:val="1"/>
                <w:color w:val="auto"/>
              </w:rPr>
            </w:pPr>
          </w:p>
        </w:tc>
      </w:tr>
      <w:tr>
        <w:trPr>
          <w:trHeight w:val="175"/>
        </w:trPr>
        <w:tc>
          <w:tcPr>
            <w:tcW w:w="4100" w:type="dxa"/>
            <w:vAlign w:val="bottom"/>
            <w:gridSpan w:val="2"/>
            <w:vMerge w:val="continue"/>
          </w:tcPr>
          <w:p>
            <w:pPr>
              <w:spacing w:after="0"/>
              <w:rPr>
                <w:sz w:val="15"/>
                <w:szCs w:val="15"/>
                <w:color w:val="auto"/>
              </w:rPr>
            </w:pPr>
          </w:p>
        </w:tc>
        <w:tc>
          <w:tcPr>
            <w:tcW w:w="1060" w:type="dxa"/>
            <w:vAlign w:val="bottom"/>
          </w:tcPr>
          <w:p>
            <w:pPr>
              <w:jc w:val="center"/>
              <w:spacing w:after="0" w:line="176" w:lineRule="exact"/>
              <w:rPr>
                <w:sz w:val="20"/>
                <w:szCs w:val="20"/>
                <w:color w:val="auto"/>
              </w:rPr>
            </w:pPr>
            <w:r>
              <w:rPr>
                <w:rFonts w:ascii="Arial" w:cs="Arial" w:eastAsia="Arial" w:hAnsi="Arial"/>
                <w:sz w:val="14"/>
                <w:szCs w:val="14"/>
                <w:b w:val="1"/>
                <w:bCs w:val="1"/>
                <w:color w:val="auto"/>
                <w:w w:val="88"/>
              </w:rPr>
              <w:t xml:space="preserve">Repurchased </w:t>
            </w:r>
            <w:r>
              <w:rPr>
                <w:rFonts w:ascii="Arial" w:cs="Arial" w:eastAsia="Arial" w:hAnsi="Arial"/>
                <w:sz w:val="20"/>
                <w:szCs w:val="20"/>
                <w:b w:val="1"/>
                <w:bCs w:val="1"/>
                <w:color w:val="auto"/>
                <w:w w:val="88"/>
                <w:vertAlign w:val="superscript"/>
              </w:rPr>
              <w:t>(1)</w:t>
            </w:r>
          </w:p>
        </w:tc>
        <w:tc>
          <w:tcPr>
            <w:tcW w:w="160" w:type="dxa"/>
            <w:vAlign w:val="bottom"/>
          </w:tcPr>
          <w:p>
            <w:pPr>
              <w:spacing w:after="0"/>
              <w:rPr>
                <w:sz w:val="15"/>
                <w:szCs w:val="15"/>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Paid per Share</w:t>
            </w: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or Programs</w:t>
            </w:r>
          </w:p>
        </w:tc>
        <w:tc>
          <w:tcPr>
            <w:tcW w:w="140" w:type="dxa"/>
            <w:vAlign w:val="bottom"/>
          </w:tcPr>
          <w:p>
            <w:pPr>
              <w:spacing w:after="0"/>
              <w:rPr>
                <w:sz w:val="15"/>
                <w:szCs w:val="15"/>
                <w:color w:val="auto"/>
              </w:rPr>
            </w:pPr>
          </w:p>
        </w:tc>
        <w:tc>
          <w:tcPr>
            <w:tcW w:w="940" w:type="dxa"/>
            <w:vAlign w:val="bottom"/>
          </w:tcPr>
          <w:p>
            <w:pPr>
              <w:jc w:val="center"/>
              <w:ind w:right="58"/>
              <w:spacing w:after="0"/>
              <w:rPr>
                <w:sz w:val="20"/>
                <w:szCs w:val="20"/>
                <w:color w:val="auto"/>
              </w:rPr>
            </w:pPr>
            <w:r>
              <w:rPr>
                <w:rFonts w:ascii="Arial" w:cs="Arial" w:eastAsia="Arial" w:hAnsi="Arial"/>
                <w:sz w:val="14"/>
                <w:szCs w:val="14"/>
                <w:b w:val="1"/>
                <w:bCs w:val="1"/>
                <w:color w:val="auto"/>
                <w:w w:val="97"/>
              </w:rPr>
              <w:t>Program</w:t>
            </w:r>
          </w:p>
        </w:tc>
        <w:tc>
          <w:tcPr>
            <w:tcW w:w="0" w:type="dxa"/>
            <w:vAlign w:val="bottom"/>
          </w:tcPr>
          <w:p>
            <w:pPr>
              <w:spacing w:after="0"/>
              <w:rPr>
                <w:sz w:val="1"/>
                <w:szCs w:val="1"/>
                <w:color w:val="auto"/>
              </w:rPr>
            </w:pPr>
          </w:p>
        </w:tc>
      </w:tr>
      <w:tr>
        <w:trPr>
          <w:trHeight w:val="142"/>
        </w:trPr>
        <w:tc>
          <w:tcPr>
            <w:tcW w:w="39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1, 2021 through April 30, 2021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49.76</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gridSpan w:val="2"/>
          </w:tcPr>
          <w:p>
            <w:pPr>
              <w:ind w:left="20"/>
              <w:spacing w:after="0"/>
              <w:rPr>
                <w:sz w:val="20"/>
                <w:szCs w:val="20"/>
                <w:color w:val="auto"/>
              </w:rPr>
            </w:pPr>
            <w:r>
              <w:rPr>
                <w:rFonts w:ascii="Arial" w:cs="Arial" w:eastAsia="Arial" w:hAnsi="Arial"/>
                <w:sz w:val="18"/>
                <w:szCs w:val="18"/>
                <w:color w:val="auto"/>
              </w:rPr>
              <w:t>May 1, 2021 through May 31, 2021</w:t>
            </w:r>
          </w:p>
        </w:tc>
        <w:tc>
          <w:tcPr>
            <w:tcW w:w="1060" w:type="dxa"/>
            <w:vAlign w:val="bottom"/>
          </w:tcPr>
          <w:p>
            <w:pPr>
              <w:jc w:val="right"/>
              <w:spacing w:after="0"/>
              <w:rPr>
                <w:sz w:val="20"/>
                <w:szCs w:val="20"/>
                <w:color w:val="auto"/>
              </w:rPr>
            </w:pPr>
            <w:r>
              <w:rPr>
                <w:rFonts w:ascii="Arial" w:cs="Arial" w:eastAsia="Arial" w:hAnsi="Arial"/>
                <w:sz w:val="18"/>
                <w:szCs w:val="18"/>
                <w:color w:val="auto"/>
              </w:rPr>
              <w:t>413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53.13</w:t>
            </w:r>
          </w:p>
        </w:tc>
        <w:tc>
          <w:tcPr>
            <w:tcW w:w="160" w:type="dxa"/>
            <w:vAlign w:val="bottom"/>
          </w:tcPr>
          <w:p>
            <w:pPr>
              <w:spacing w:after="0"/>
              <w:rPr>
                <w:sz w:val="18"/>
                <w:szCs w:val="18"/>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1, 2021 through June 30,2021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63.84</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100" w:type="dxa"/>
            <w:vAlign w:val="bottom"/>
            <w:gridSpan w:val="2"/>
          </w:tcPr>
          <w:p>
            <w:pPr>
              <w:ind w:left="120"/>
              <w:spacing w:after="0"/>
              <w:rPr>
                <w:sz w:val="20"/>
                <w:szCs w:val="20"/>
                <w:color w:val="auto"/>
              </w:rPr>
            </w:pPr>
            <w:r>
              <w:rPr>
                <w:rFonts w:ascii="Arial" w:cs="Arial" w:eastAsia="Arial" w:hAnsi="Arial"/>
                <w:sz w:val="18"/>
                <w:szCs w:val="18"/>
                <w:color w:val="auto"/>
              </w:rPr>
              <w:t>Total shares repurchased</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8,760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56.78</w:t>
            </w:r>
          </w:p>
        </w:tc>
        <w:tc>
          <w:tcPr>
            <w:tcW w:w="160" w:type="dxa"/>
            <w:vAlign w:val="bottom"/>
          </w:tcPr>
          <w:p>
            <w:pPr>
              <w:spacing w:after="0"/>
              <w:rPr>
                <w:sz w:val="18"/>
                <w:szCs w:val="18"/>
                <w:color w:val="auto"/>
              </w:rPr>
            </w:pPr>
          </w:p>
        </w:tc>
        <w:tc>
          <w:tcPr>
            <w:tcW w:w="108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ind w:left="260" w:hanging="210"/>
        <w:spacing w:after="0"/>
        <w:tabs>
          <w:tab w:leader="none" w:pos="260" w:val="left"/>
        </w:tabs>
        <w:numPr>
          <w:ilvl w:val="0"/>
          <w:numId w:val="37"/>
        </w:numPr>
        <w:rPr>
          <w:rFonts w:ascii="Arial" w:cs="Arial" w:eastAsia="Arial" w:hAnsi="Arial"/>
          <w:sz w:val="24"/>
          <w:szCs w:val="24"/>
          <w:color w:val="auto"/>
          <w:vertAlign w:val="superscript"/>
        </w:rPr>
      </w:pPr>
      <w:r>
        <w:rPr>
          <w:rFonts w:ascii="Arial" w:cs="Arial" w:eastAsia="Arial" w:hAnsi="Arial"/>
          <w:sz w:val="16"/>
          <w:szCs w:val="16"/>
          <w:color w:val="auto"/>
        </w:rPr>
        <w:t>Represents shares withheld on net settlements of restricted stock units that vested under our equity incentive plans.</w:t>
      </w:r>
    </w:p>
    <w:p>
      <w:pPr>
        <w:spacing w:after="0" w:line="3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11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Incorporated by Reference</w:t>
            </w: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Filed/Furnished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60" w:type="dxa"/>
            <w:vAlign w:val="bottom"/>
            <w:gridSpan w:val="19"/>
            <w:vMerge w:val="restart"/>
          </w:tcPr>
          <w:p>
            <w:pPr>
              <w:ind w:left="140"/>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0"/>
                <w:szCs w:val="10"/>
                <w:color w:val="auto"/>
              </w:rPr>
            </w:pPr>
          </w:p>
        </w:tc>
        <w:tc>
          <w:tcPr>
            <w:tcW w:w="5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Form</w:t>
            </w:r>
          </w:p>
        </w:tc>
        <w:tc>
          <w:tcPr>
            <w:tcW w:w="92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File No.</w:t>
            </w:r>
          </w:p>
        </w:tc>
        <w:tc>
          <w:tcPr>
            <w:tcW w:w="74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Exhibit</w:t>
            </w:r>
          </w:p>
        </w:tc>
        <w:tc>
          <w:tcPr>
            <w:tcW w:w="1780" w:type="dxa"/>
            <w:vAlign w:val="bottom"/>
          </w:tcPr>
          <w:p>
            <w:pPr>
              <w:ind w:left="220"/>
              <w:spacing w:after="0" w:line="119" w:lineRule="exact"/>
              <w:rPr>
                <w:sz w:val="20"/>
                <w:szCs w:val="20"/>
                <w:color w:val="auto"/>
              </w:rPr>
            </w:pPr>
            <w:r>
              <w:rPr>
                <w:rFonts w:ascii="Arial" w:cs="Arial" w:eastAsia="Arial" w:hAnsi="Arial"/>
                <w:sz w:val="13"/>
                <w:szCs w:val="13"/>
                <w:b w:val="1"/>
                <w:bCs w:val="1"/>
                <w:color w:val="auto"/>
              </w:rPr>
              <w:t>Filing</w:t>
            </w: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19"/>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7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Date</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0" w:type="dxa"/>
            <w:vAlign w:val="bottom"/>
          </w:tcPr>
          <w:p>
            <w:pPr>
              <w:spacing w:after="0" w:line="169" w:lineRule="exact"/>
              <w:rPr>
                <w:sz w:val="20"/>
                <w:szCs w:val="20"/>
                <w:color w:val="auto"/>
              </w:rPr>
            </w:pPr>
            <w:r>
              <w:rPr>
                <w:rFonts w:ascii="Arial" w:cs="Arial" w:eastAsia="Arial" w:hAnsi="Arial"/>
                <w:sz w:val="18"/>
                <w:szCs w:val="18"/>
                <w:color w:val="auto"/>
              </w:rPr>
              <w:t>3.1</w:t>
            </w:r>
          </w:p>
        </w:tc>
        <w:tc>
          <w:tcPr>
            <w:tcW w:w="16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1640" w:type="dxa"/>
            <w:vAlign w:val="bottom"/>
            <w:tcBorders>
              <w:bottom w:val="single" w:sz="8" w:color="0000EE"/>
            </w:tcBorders>
            <w:gridSpan w:val="9"/>
          </w:tcPr>
          <w:p>
            <w:pPr>
              <w:spacing w:after="0" w:line="169" w:lineRule="exact"/>
              <w:rPr>
                <w:rFonts w:ascii="Arial" w:cs="Arial" w:eastAsia="Arial" w:hAnsi="Arial"/>
                <w:sz w:val="18"/>
                <w:szCs w:val="18"/>
                <w:color w:val="0000EE"/>
                <w:w w:val="85"/>
              </w:rPr>
            </w:pPr>
            <w:hyperlink r:id="rId88">
              <w:r>
                <w:rPr>
                  <w:rFonts w:ascii="Arial" w:cs="Arial" w:eastAsia="Arial" w:hAnsi="Arial"/>
                  <w:sz w:val="18"/>
                  <w:szCs w:val="18"/>
                  <w:color w:val="0000EE"/>
                  <w:w w:val="85"/>
                </w:rPr>
                <w:t>Amended and Restated</w:t>
              </w:r>
            </w:hyperlink>
          </w:p>
        </w:tc>
        <w:tc>
          <w:tcPr>
            <w:tcW w:w="800" w:type="dxa"/>
            <w:vAlign w:val="bottom"/>
            <w:gridSpan w:val="12"/>
          </w:tcPr>
          <w:p>
            <w:pPr>
              <w:spacing w:after="0"/>
              <w:rPr>
                <w:sz w:val="14"/>
                <w:szCs w:val="14"/>
                <w:color w:val="auto"/>
              </w:rPr>
            </w:pPr>
          </w:p>
        </w:tc>
        <w:tc>
          <w:tcPr>
            <w:tcW w:w="660" w:type="dxa"/>
            <w:vAlign w:val="bottom"/>
            <w:gridSpan w:val="2"/>
          </w:tcPr>
          <w:p>
            <w:pPr>
              <w:ind w:left="100"/>
              <w:spacing w:after="0" w:line="169" w:lineRule="exact"/>
              <w:rPr>
                <w:sz w:val="20"/>
                <w:szCs w:val="20"/>
                <w:color w:val="auto"/>
              </w:rPr>
            </w:pPr>
            <w:r>
              <w:rPr>
                <w:rFonts w:ascii="Arial" w:cs="Arial" w:eastAsia="Arial" w:hAnsi="Arial"/>
                <w:sz w:val="18"/>
                <w:szCs w:val="18"/>
                <w:color w:val="auto"/>
              </w:rPr>
              <w:t>8-K</w:t>
            </w:r>
          </w:p>
        </w:tc>
        <w:tc>
          <w:tcPr>
            <w:tcW w:w="920" w:type="dxa"/>
            <w:vAlign w:val="bottom"/>
          </w:tcPr>
          <w:p>
            <w:pPr>
              <w:jc w:val="right"/>
              <w:spacing w:after="0" w:line="169" w:lineRule="exact"/>
              <w:rPr>
                <w:sz w:val="20"/>
                <w:szCs w:val="20"/>
                <w:color w:val="auto"/>
              </w:rPr>
            </w:pPr>
            <w:r>
              <w:rPr>
                <w:rFonts w:ascii="Arial" w:cs="Arial" w:eastAsia="Arial" w:hAnsi="Arial"/>
                <w:sz w:val="18"/>
                <w:szCs w:val="18"/>
                <w:color w:val="auto"/>
                <w:w w:val="97"/>
              </w:rPr>
              <w:t>001-39100</w:t>
            </w:r>
          </w:p>
        </w:tc>
        <w:tc>
          <w:tcPr>
            <w:tcW w:w="740" w:type="dxa"/>
            <w:vAlign w:val="bottom"/>
          </w:tcPr>
          <w:p>
            <w:pPr>
              <w:jc w:val="right"/>
              <w:ind w:right="379"/>
              <w:spacing w:after="0" w:line="169" w:lineRule="exact"/>
              <w:rPr>
                <w:sz w:val="20"/>
                <w:szCs w:val="20"/>
                <w:color w:val="auto"/>
              </w:rPr>
            </w:pPr>
            <w:r>
              <w:rPr>
                <w:rFonts w:ascii="Arial" w:cs="Arial" w:eastAsia="Arial" w:hAnsi="Arial"/>
                <w:sz w:val="18"/>
                <w:szCs w:val="18"/>
                <w:color w:val="auto"/>
              </w:rPr>
              <w:t>3.1</w:t>
            </w:r>
          </w:p>
        </w:tc>
        <w:tc>
          <w:tcPr>
            <w:tcW w:w="1780" w:type="dxa"/>
            <w:vAlign w:val="bottom"/>
          </w:tcPr>
          <w:p>
            <w:pPr>
              <w:ind w:left="220"/>
              <w:spacing w:after="0" w:line="169" w:lineRule="exact"/>
              <w:rPr>
                <w:sz w:val="20"/>
                <w:szCs w:val="20"/>
                <w:color w:val="auto"/>
              </w:rPr>
            </w:pPr>
            <w:r>
              <w:rPr>
                <w:rFonts w:ascii="Arial" w:cs="Arial" w:eastAsia="Arial" w:hAnsi="Arial"/>
                <w:sz w:val="18"/>
                <w:szCs w:val="18"/>
                <w:color w:val="auto"/>
              </w:rPr>
              <w:t>10/31/2019</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gridSpan w:val="22"/>
          </w:tcPr>
          <w:p>
            <w:pPr>
              <w:spacing w:after="0" w:line="196" w:lineRule="exact"/>
              <w:rPr>
                <w:rFonts w:ascii="Arial" w:cs="Arial" w:eastAsia="Arial" w:hAnsi="Arial"/>
                <w:sz w:val="18"/>
                <w:szCs w:val="18"/>
                <w:color w:val="0000EE"/>
              </w:rPr>
            </w:pPr>
            <w:hyperlink r:id="rId88">
              <w:r>
                <w:rPr>
                  <w:rFonts w:ascii="Arial" w:cs="Arial" w:eastAsia="Arial" w:hAnsi="Arial"/>
                  <w:sz w:val="18"/>
                  <w:szCs w:val="18"/>
                  <w:color w:val="0000EE"/>
                </w:rPr>
                <w:t>Certificate of Incorporation of</w:t>
              </w:r>
            </w:hyperlink>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88">
              <w:r>
                <w:rPr>
                  <w:rFonts w:ascii="Arial" w:cs="Arial" w:eastAsia="Arial" w:hAnsi="Arial"/>
                  <w:sz w:val="18"/>
                  <w:szCs w:val="18"/>
                  <w:color w:val="0000EE"/>
                  <w:w w:val="89"/>
                </w:rPr>
                <w:t>Progyny, Inc.</w:t>
              </w:r>
            </w:hyperlink>
          </w:p>
        </w:tc>
        <w:tc>
          <w:tcPr>
            <w:tcW w:w="1200" w:type="dxa"/>
            <w:vAlign w:val="bottom"/>
            <w:tcBorders>
              <w:top w:val="single" w:sz="8" w:color="0000EE"/>
            </w:tcBorders>
            <w:gridSpan w:val="13"/>
          </w:tcPr>
          <w:p>
            <w:pPr>
              <w:spacing w:after="0"/>
              <w:rPr>
                <w:sz w:val="17"/>
                <w:szCs w:val="17"/>
                <w:color w:val="auto"/>
              </w:rPr>
            </w:pPr>
          </w:p>
        </w:tc>
        <w:tc>
          <w:tcPr>
            <w:tcW w:w="300" w:type="dxa"/>
            <w:vAlign w:val="bottom"/>
            <w:gridSpan w:val="5"/>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3.2</w:t>
            </w:r>
          </w:p>
        </w:tc>
        <w:tc>
          <w:tcPr>
            <w:tcW w:w="160" w:type="dxa"/>
            <w:vAlign w:val="bottom"/>
          </w:tcPr>
          <w:p>
            <w:pPr>
              <w:spacing w:after="0"/>
              <w:rPr>
                <w:sz w:val="17"/>
                <w:szCs w:val="17"/>
                <w:color w:val="auto"/>
              </w:rPr>
            </w:pPr>
          </w:p>
        </w:tc>
        <w:tc>
          <w:tcPr>
            <w:tcW w:w="232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r:id="rId89">
              <w:r>
                <w:rPr>
                  <w:rFonts w:ascii="Arial" w:cs="Arial" w:eastAsia="Arial" w:hAnsi="Arial"/>
                  <w:sz w:val="18"/>
                  <w:szCs w:val="18"/>
                  <w:color w:val="0000EE"/>
                  <w:w w:val="89"/>
                </w:rPr>
                <w:t>Amended and Restated By-laws</w:t>
              </w:r>
            </w:hyperlink>
          </w:p>
        </w:tc>
        <w:tc>
          <w:tcPr>
            <w:tcW w:w="140" w:type="dxa"/>
            <w:vAlign w:val="bottom"/>
            <w:gridSpan w:val="2"/>
          </w:tcPr>
          <w:p>
            <w:pPr>
              <w:spacing w:after="0"/>
              <w:rPr>
                <w:sz w:val="17"/>
                <w:szCs w:val="17"/>
                <w:color w:val="auto"/>
              </w:rPr>
            </w:pPr>
          </w:p>
        </w:tc>
        <w:tc>
          <w:tcPr>
            <w:tcW w:w="6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S-1</w:t>
            </w:r>
          </w:p>
        </w:tc>
        <w:tc>
          <w:tcPr>
            <w:tcW w:w="1660" w:type="dxa"/>
            <w:vAlign w:val="bottom"/>
            <w:gridSpan w:val="2"/>
          </w:tcPr>
          <w:p>
            <w:pPr>
              <w:jc w:val="right"/>
              <w:ind w:right="379"/>
              <w:spacing w:after="0" w:line="196" w:lineRule="exact"/>
              <w:rPr>
                <w:sz w:val="20"/>
                <w:szCs w:val="20"/>
                <w:color w:val="auto"/>
              </w:rPr>
            </w:pPr>
            <w:r>
              <w:rPr>
                <w:rFonts w:ascii="Arial" w:cs="Arial" w:eastAsia="Arial" w:hAnsi="Arial"/>
                <w:sz w:val="18"/>
                <w:szCs w:val="18"/>
                <w:color w:val="auto"/>
                <w:w w:val="97"/>
              </w:rPr>
              <w:t>333-2339653.4</w:t>
            </w:r>
          </w:p>
        </w:tc>
        <w:tc>
          <w:tcPr>
            <w:tcW w:w="1780" w:type="dxa"/>
            <w:vAlign w:val="bottom"/>
          </w:tcPr>
          <w:p>
            <w:pPr>
              <w:ind w:left="220"/>
              <w:spacing w:after="0" w:line="196" w:lineRule="exact"/>
              <w:rPr>
                <w:sz w:val="20"/>
                <w:szCs w:val="20"/>
                <w:color w:val="auto"/>
              </w:rPr>
            </w:pPr>
            <w:r>
              <w:rPr>
                <w:rFonts w:ascii="Arial" w:cs="Arial" w:eastAsia="Arial" w:hAnsi="Arial"/>
                <w:sz w:val="18"/>
                <w:szCs w:val="18"/>
                <w:color w:val="auto"/>
              </w:rPr>
              <w:t>9/27/2019</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gridSpan w:val="22"/>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of Progyny, Inc.</w:t>
              </w:r>
            </w:hyperlink>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4.1</w:t>
            </w:r>
          </w:p>
        </w:tc>
        <w:tc>
          <w:tcPr>
            <w:tcW w:w="160" w:type="dxa"/>
            <w:vAlign w:val="bottom"/>
          </w:tcPr>
          <w:p>
            <w:pPr>
              <w:spacing w:after="0"/>
              <w:rPr>
                <w:sz w:val="17"/>
                <w:szCs w:val="17"/>
                <w:color w:val="auto"/>
              </w:rPr>
            </w:pPr>
          </w:p>
        </w:tc>
        <w:tc>
          <w:tcPr>
            <w:tcW w:w="168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90">
              <w:r>
                <w:rPr>
                  <w:rFonts w:ascii="Arial" w:cs="Arial" w:eastAsia="Arial" w:hAnsi="Arial"/>
                  <w:sz w:val="18"/>
                  <w:szCs w:val="18"/>
                  <w:color w:val="0000EE"/>
                  <w:w w:val="90"/>
                </w:rPr>
                <w:t>Form of common stock</w:t>
              </w:r>
            </w:hyperlink>
          </w:p>
        </w:tc>
        <w:tc>
          <w:tcPr>
            <w:tcW w:w="780" w:type="dxa"/>
            <w:vAlign w:val="bottom"/>
            <w:gridSpan w:val="11"/>
          </w:tcPr>
          <w:p>
            <w:pPr>
              <w:spacing w:after="0"/>
              <w:rPr>
                <w:sz w:val="17"/>
                <w:szCs w:val="17"/>
                <w:color w:val="auto"/>
              </w:rPr>
            </w:pPr>
          </w:p>
        </w:tc>
        <w:tc>
          <w:tcPr>
            <w:tcW w:w="6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S-1/A</w:t>
            </w:r>
          </w:p>
        </w:tc>
        <w:tc>
          <w:tcPr>
            <w:tcW w:w="1660" w:type="dxa"/>
            <w:vAlign w:val="bottom"/>
            <w:gridSpan w:val="2"/>
          </w:tcPr>
          <w:p>
            <w:pPr>
              <w:jc w:val="right"/>
              <w:ind w:right="379"/>
              <w:spacing w:after="0" w:line="196" w:lineRule="exact"/>
              <w:rPr>
                <w:sz w:val="20"/>
                <w:szCs w:val="20"/>
                <w:color w:val="auto"/>
              </w:rPr>
            </w:pPr>
            <w:r>
              <w:rPr>
                <w:rFonts w:ascii="Arial" w:cs="Arial" w:eastAsia="Arial" w:hAnsi="Arial"/>
                <w:sz w:val="18"/>
                <w:szCs w:val="18"/>
                <w:color w:val="auto"/>
                <w:w w:val="97"/>
              </w:rPr>
              <w:t>333-2339654.1</w:t>
            </w:r>
          </w:p>
        </w:tc>
        <w:tc>
          <w:tcPr>
            <w:tcW w:w="1780" w:type="dxa"/>
            <w:vAlign w:val="bottom"/>
          </w:tcPr>
          <w:p>
            <w:pPr>
              <w:ind w:left="220"/>
              <w:spacing w:after="0" w:line="196" w:lineRule="exact"/>
              <w:rPr>
                <w:sz w:val="20"/>
                <w:szCs w:val="20"/>
                <w:color w:val="auto"/>
              </w:rPr>
            </w:pPr>
            <w:r>
              <w:rPr>
                <w:rFonts w:ascii="Arial" w:cs="Arial" w:eastAsia="Arial" w:hAnsi="Arial"/>
                <w:sz w:val="18"/>
                <w:szCs w:val="18"/>
                <w:color w:val="auto"/>
              </w:rPr>
              <w:t>10/15/2019</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gridSpan w:val="22"/>
          </w:tcPr>
          <w:p>
            <w:pPr>
              <w:spacing w:after="0" w:line="196" w:lineRule="exact"/>
              <w:rPr>
                <w:rFonts w:ascii="Arial" w:cs="Arial" w:eastAsia="Arial" w:hAnsi="Arial"/>
                <w:sz w:val="18"/>
                <w:szCs w:val="18"/>
                <w:color w:val="0000EE"/>
              </w:rPr>
            </w:pPr>
            <w:hyperlink r:id="rId90">
              <w:r>
                <w:rPr>
                  <w:rFonts w:ascii="Arial" w:cs="Arial" w:eastAsia="Arial" w:hAnsi="Arial"/>
                  <w:sz w:val="18"/>
                  <w:szCs w:val="18"/>
                  <w:color w:val="0000EE"/>
                </w:rPr>
                <w:t>certificate</w:t>
              </w:r>
            </w:hyperlink>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4.2</w:t>
            </w:r>
          </w:p>
        </w:tc>
        <w:tc>
          <w:tcPr>
            <w:tcW w:w="160" w:type="dxa"/>
            <w:vAlign w:val="bottom"/>
          </w:tcPr>
          <w:p>
            <w:pPr>
              <w:spacing w:after="0"/>
              <w:rPr>
                <w:sz w:val="17"/>
                <w:szCs w:val="17"/>
                <w:color w:val="auto"/>
              </w:rPr>
            </w:pPr>
          </w:p>
        </w:tc>
        <w:tc>
          <w:tcPr>
            <w:tcW w:w="2460" w:type="dxa"/>
            <w:vAlign w:val="bottom"/>
            <w:gridSpan w:val="22"/>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Form of 2013 Preferred Stock</w:t>
              </w:r>
            </w:hyperlink>
          </w:p>
        </w:tc>
        <w:tc>
          <w:tcPr>
            <w:tcW w:w="6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S-1/A</w:t>
            </w:r>
          </w:p>
        </w:tc>
        <w:tc>
          <w:tcPr>
            <w:tcW w:w="1660" w:type="dxa"/>
            <w:vAlign w:val="bottom"/>
            <w:gridSpan w:val="2"/>
          </w:tcPr>
          <w:p>
            <w:pPr>
              <w:jc w:val="right"/>
              <w:ind w:right="379"/>
              <w:spacing w:after="0" w:line="196" w:lineRule="exact"/>
              <w:rPr>
                <w:sz w:val="20"/>
                <w:szCs w:val="20"/>
                <w:color w:val="auto"/>
              </w:rPr>
            </w:pPr>
            <w:r>
              <w:rPr>
                <w:rFonts w:ascii="Arial" w:cs="Arial" w:eastAsia="Arial" w:hAnsi="Arial"/>
                <w:sz w:val="18"/>
                <w:szCs w:val="18"/>
                <w:color w:val="auto"/>
                <w:w w:val="97"/>
              </w:rPr>
              <w:t>333-2339654.2</w:t>
            </w:r>
          </w:p>
        </w:tc>
        <w:tc>
          <w:tcPr>
            <w:tcW w:w="1780" w:type="dxa"/>
            <w:vAlign w:val="bottom"/>
          </w:tcPr>
          <w:p>
            <w:pPr>
              <w:ind w:left="220"/>
              <w:spacing w:after="0" w:line="196" w:lineRule="exact"/>
              <w:rPr>
                <w:sz w:val="20"/>
                <w:szCs w:val="20"/>
                <w:color w:val="auto"/>
              </w:rPr>
            </w:pPr>
            <w:r>
              <w:rPr>
                <w:rFonts w:ascii="Arial" w:cs="Arial" w:eastAsia="Arial" w:hAnsi="Arial"/>
                <w:sz w:val="18"/>
                <w:szCs w:val="18"/>
                <w:color w:val="auto"/>
              </w:rPr>
              <w:t>10/15/2019</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Warrant.</w:t>
              </w:r>
            </w:hyperlink>
          </w:p>
        </w:tc>
        <w:tc>
          <w:tcPr>
            <w:tcW w:w="320" w:type="dxa"/>
            <w:vAlign w:val="bottom"/>
            <w:gridSpan w:val="6"/>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4.3</w:t>
            </w:r>
          </w:p>
        </w:tc>
        <w:tc>
          <w:tcPr>
            <w:tcW w:w="160" w:type="dxa"/>
            <w:vAlign w:val="bottom"/>
          </w:tcPr>
          <w:p>
            <w:pPr>
              <w:spacing w:after="0"/>
              <w:rPr>
                <w:sz w:val="17"/>
                <w:szCs w:val="17"/>
                <w:color w:val="auto"/>
              </w:rPr>
            </w:pPr>
          </w:p>
        </w:tc>
        <w:tc>
          <w:tcPr>
            <w:tcW w:w="2460" w:type="dxa"/>
            <w:vAlign w:val="bottom"/>
            <w:gridSpan w:val="22"/>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Form of 2014 Preferred Stock</w:t>
              </w:r>
            </w:hyperlink>
          </w:p>
        </w:tc>
        <w:tc>
          <w:tcPr>
            <w:tcW w:w="6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S-1/A</w:t>
            </w:r>
          </w:p>
        </w:tc>
        <w:tc>
          <w:tcPr>
            <w:tcW w:w="1660" w:type="dxa"/>
            <w:vAlign w:val="bottom"/>
            <w:gridSpan w:val="2"/>
          </w:tcPr>
          <w:p>
            <w:pPr>
              <w:jc w:val="right"/>
              <w:ind w:right="379"/>
              <w:spacing w:after="0" w:line="196" w:lineRule="exact"/>
              <w:rPr>
                <w:sz w:val="20"/>
                <w:szCs w:val="20"/>
                <w:color w:val="auto"/>
              </w:rPr>
            </w:pPr>
            <w:r>
              <w:rPr>
                <w:rFonts w:ascii="Arial" w:cs="Arial" w:eastAsia="Arial" w:hAnsi="Arial"/>
                <w:sz w:val="18"/>
                <w:szCs w:val="18"/>
                <w:color w:val="auto"/>
                <w:w w:val="97"/>
              </w:rPr>
              <w:t>333-2339654.3</w:t>
            </w:r>
          </w:p>
        </w:tc>
        <w:tc>
          <w:tcPr>
            <w:tcW w:w="1780" w:type="dxa"/>
            <w:vAlign w:val="bottom"/>
          </w:tcPr>
          <w:p>
            <w:pPr>
              <w:ind w:left="220"/>
              <w:spacing w:after="0" w:line="196" w:lineRule="exact"/>
              <w:rPr>
                <w:sz w:val="20"/>
                <w:szCs w:val="20"/>
                <w:color w:val="auto"/>
              </w:rPr>
            </w:pPr>
            <w:r>
              <w:rPr>
                <w:rFonts w:ascii="Arial" w:cs="Arial" w:eastAsia="Arial" w:hAnsi="Arial"/>
                <w:sz w:val="18"/>
                <w:szCs w:val="18"/>
                <w:color w:val="auto"/>
              </w:rPr>
              <w:t>10/15/2019</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Warrant.</w:t>
              </w:r>
            </w:hyperlink>
          </w:p>
        </w:tc>
        <w:tc>
          <w:tcPr>
            <w:tcW w:w="320" w:type="dxa"/>
            <w:vAlign w:val="bottom"/>
            <w:gridSpan w:val="6"/>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4.4</w:t>
            </w:r>
          </w:p>
        </w:tc>
        <w:tc>
          <w:tcPr>
            <w:tcW w:w="160" w:type="dxa"/>
            <w:vAlign w:val="bottom"/>
          </w:tcPr>
          <w:p>
            <w:pPr>
              <w:spacing w:after="0"/>
              <w:rPr>
                <w:sz w:val="17"/>
                <w:szCs w:val="17"/>
                <w:color w:val="auto"/>
              </w:rPr>
            </w:pPr>
          </w:p>
        </w:tc>
        <w:tc>
          <w:tcPr>
            <w:tcW w:w="2460" w:type="dxa"/>
            <w:vAlign w:val="bottom"/>
            <w:gridSpan w:val="22"/>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Form of 2015 Preferred Stock</w:t>
              </w:r>
            </w:hyperlink>
          </w:p>
        </w:tc>
        <w:tc>
          <w:tcPr>
            <w:tcW w:w="6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S-1/A</w:t>
            </w:r>
          </w:p>
        </w:tc>
        <w:tc>
          <w:tcPr>
            <w:tcW w:w="1660" w:type="dxa"/>
            <w:vAlign w:val="bottom"/>
            <w:gridSpan w:val="2"/>
          </w:tcPr>
          <w:p>
            <w:pPr>
              <w:jc w:val="right"/>
              <w:ind w:right="379"/>
              <w:spacing w:after="0" w:line="196" w:lineRule="exact"/>
              <w:rPr>
                <w:sz w:val="20"/>
                <w:szCs w:val="20"/>
                <w:color w:val="auto"/>
              </w:rPr>
            </w:pPr>
            <w:r>
              <w:rPr>
                <w:rFonts w:ascii="Arial" w:cs="Arial" w:eastAsia="Arial" w:hAnsi="Arial"/>
                <w:sz w:val="18"/>
                <w:szCs w:val="18"/>
                <w:color w:val="auto"/>
                <w:w w:val="97"/>
              </w:rPr>
              <w:t>333-2339654.4</w:t>
            </w:r>
          </w:p>
        </w:tc>
        <w:tc>
          <w:tcPr>
            <w:tcW w:w="1780" w:type="dxa"/>
            <w:vAlign w:val="bottom"/>
          </w:tcPr>
          <w:p>
            <w:pPr>
              <w:ind w:left="220"/>
              <w:spacing w:after="0" w:line="196" w:lineRule="exact"/>
              <w:rPr>
                <w:sz w:val="20"/>
                <w:szCs w:val="20"/>
                <w:color w:val="auto"/>
              </w:rPr>
            </w:pPr>
            <w:r>
              <w:rPr>
                <w:rFonts w:ascii="Arial" w:cs="Arial" w:eastAsia="Arial" w:hAnsi="Arial"/>
                <w:sz w:val="18"/>
                <w:szCs w:val="18"/>
                <w:color w:val="auto"/>
              </w:rPr>
              <w:t>10/15/2019</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Warrant.</w:t>
              </w:r>
            </w:hyperlink>
          </w:p>
        </w:tc>
        <w:tc>
          <w:tcPr>
            <w:tcW w:w="320" w:type="dxa"/>
            <w:vAlign w:val="bottom"/>
            <w:gridSpan w:val="6"/>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4.5</w:t>
            </w:r>
          </w:p>
        </w:tc>
        <w:tc>
          <w:tcPr>
            <w:tcW w:w="160" w:type="dxa"/>
            <w:vAlign w:val="bottom"/>
          </w:tcPr>
          <w:p>
            <w:pPr>
              <w:spacing w:after="0"/>
              <w:rPr>
                <w:sz w:val="17"/>
                <w:szCs w:val="17"/>
                <w:color w:val="auto"/>
              </w:rPr>
            </w:pPr>
          </w:p>
        </w:tc>
        <w:tc>
          <w:tcPr>
            <w:tcW w:w="190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r:id="rId94">
              <w:r>
                <w:rPr>
                  <w:rFonts w:ascii="Arial" w:cs="Arial" w:eastAsia="Arial" w:hAnsi="Arial"/>
                  <w:sz w:val="18"/>
                  <w:szCs w:val="18"/>
                  <w:color w:val="0000EE"/>
                  <w:w w:val="87"/>
                </w:rPr>
                <w:t>Warrant to Purchase Stock</w:t>
              </w:r>
            </w:hyperlink>
          </w:p>
        </w:tc>
        <w:tc>
          <w:tcPr>
            <w:tcW w:w="560" w:type="dxa"/>
            <w:vAlign w:val="bottom"/>
            <w:gridSpan w:val="9"/>
          </w:tcPr>
          <w:p>
            <w:pPr>
              <w:spacing w:after="0"/>
              <w:rPr>
                <w:sz w:val="17"/>
                <w:szCs w:val="17"/>
                <w:color w:val="auto"/>
              </w:rPr>
            </w:pPr>
          </w:p>
        </w:tc>
        <w:tc>
          <w:tcPr>
            <w:tcW w:w="6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S-1/A</w:t>
            </w:r>
          </w:p>
        </w:tc>
        <w:tc>
          <w:tcPr>
            <w:tcW w:w="1660" w:type="dxa"/>
            <w:vAlign w:val="bottom"/>
            <w:gridSpan w:val="2"/>
          </w:tcPr>
          <w:p>
            <w:pPr>
              <w:jc w:val="right"/>
              <w:ind w:right="379"/>
              <w:spacing w:after="0" w:line="196" w:lineRule="exact"/>
              <w:rPr>
                <w:sz w:val="20"/>
                <w:szCs w:val="20"/>
                <w:color w:val="auto"/>
              </w:rPr>
            </w:pPr>
            <w:r>
              <w:rPr>
                <w:rFonts w:ascii="Arial" w:cs="Arial" w:eastAsia="Arial" w:hAnsi="Arial"/>
                <w:sz w:val="18"/>
                <w:szCs w:val="18"/>
                <w:color w:val="auto"/>
                <w:w w:val="97"/>
              </w:rPr>
              <w:t>333-2339654.5</w:t>
            </w:r>
          </w:p>
        </w:tc>
        <w:tc>
          <w:tcPr>
            <w:tcW w:w="1780" w:type="dxa"/>
            <w:vAlign w:val="bottom"/>
          </w:tcPr>
          <w:p>
            <w:pPr>
              <w:ind w:left="220"/>
              <w:spacing w:after="0" w:line="196" w:lineRule="exact"/>
              <w:rPr>
                <w:sz w:val="20"/>
                <w:szCs w:val="20"/>
                <w:color w:val="auto"/>
              </w:rPr>
            </w:pPr>
            <w:r>
              <w:rPr>
                <w:rFonts w:ascii="Arial" w:cs="Arial" w:eastAsia="Arial" w:hAnsi="Arial"/>
                <w:sz w:val="18"/>
                <w:szCs w:val="18"/>
                <w:color w:val="auto"/>
              </w:rPr>
              <w:t>10/15/2019</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gridSpan w:val="22"/>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issued to Silicon Valley Bank</w:t>
              </w:r>
            </w:hyperlink>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7"/>
              </w:rPr>
            </w:pPr>
            <w:hyperlink r:id="rId94">
              <w:r>
                <w:rPr>
                  <w:rFonts w:ascii="Arial" w:cs="Arial" w:eastAsia="Arial" w:hAnsi="Arial"/>
                  <w:sz w:val="18"/>
                  <w:szCs w:val="18"/>
                  <w:color w:val="0000EE"/>
                  <w:w w:val="87"/>
                </w:rPr>
                <w:t>dated October 9, 2013.</w:t>
              </w:r>
            </w:hyperlink>
          </w:p>
        </w:tc>
        <w:tc>
          <w:tcPr>
            <w:tcW w:w="460" w:type="dxa"/>
            <w:vAlign w:val="bottom"/>
            <w:tcBorders>
              <w:top w:val="single" w:sz="8" w:color="0000EE"/>
            </w:tcBorders>
            <w:gridSpan w:val="5"/>
          </w:tcPr>
          <w:p>
            <w:pPr>
              <w:spacing w:after="0"/>
              <w:rPr>
                <w:sz w:val="17"/>
                <w:szCs w:val="17"/>
                <w:color w:val="auto"/>
              </w:rPr>
            </w:pPr>
          </w:p>
        </w:tc>
        <w:tc>
          <w:tcPr>
            <w:tcW w:w="360" w:type="dxa"/>
            <w:vAlign w:val="bottom"/>
            <w:gridSpan w:val="8"/>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31.1</w:t>
            </w:r>
          </w:p>
        </w:tc>
        <w:tc>
          <w:tcPr>
            <w:tcW w:w="160" w:type="dxa"/>
            <w:vAlign w:val="bottom"/>
          </w:tcPr>
          <w:p>
            <w:pPr>
              <w:spacing w:after="0"/>
              <w:rPr>
                <w:sz w:val="17"/>
                <w:szCs w:val="17"/>
                <w:color w:val="auto"/>
              </w:rPr>
            </w:pPr>
          </w:p>
        </w:tc>
        <w:tc>
          <w:tcPr>
            <w:tcW w:w="2460" w:type="dxa"/>
            <w:vAlign w:val="bottom"/>
            <w:gridSpan w:val="22"/>
          </w:tcPr>
          <w:p>
            <w:pPr>
              <w:spacing w:after="0" w:line="196" w:lineRule="exact"/>
              <w:rPr>
                <w:rFonts w:ascii="Arial" w:cs="Arial" w:eastAsia="Arial" w:hAnsi="Arial"/>
                <w:sz w:val="18"/>
                <w:szCs w:val="18"/>
                <w:color w:val="0000EE"/>
                <w:w w:val="99"/>
              </w:rPr>
            </w:pPr>
            <w:hyperlink w:anchor="page73">
              <w:r>
                <w:rPr>
                  <w:rFonts w:ascii="Arial" w:cs="Arial" w:eastAsia="Arial" w:hAnsi="Arial"/>
                  <w:sz w:val="18"/>
                  <w:szCs w:val="18"/>
                  <w:color w:val="0000EE"/>
                  <w:w w:val="99"/>
                </w:rPr>
                <w:t>Certification of Chief Executive</w:t>
              </w:r>
            </w:hyperlink>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0"/>
              </w:rPr>
            </w:pPr>
            <w:hyperlink w:anchor="page73">
              <w:r>
                <w:rPr>
                  <w:rFonts w:ascii="Arial" w:cs="Arial" w:eastAsia="Arial" w:hAnsi="Arial"/>
                  <w:sz w:val="18"/>
                  <w:szCs w:val="18"/>
                  <w:color w:val="0000EE"/>
                  <w:w w:val="90"/>
                </w:rPr>
                <w:t>Officer pursuant to Exchange</w:t>
              </w:r>
            </w:hyperlink>
          </w:p>
        </w:tc>
        <w:tc>
          <w:tcPr>
            <w:tcW w:w="180" w:type="dxa"/>
            <w:vAlign w:val="bottom"/>
            <w:tcBorders>
              <w:top w:val="single" w:sz="8" w:color="0000EE"/>
            </w:tcBorders>
            <w:gridSpan w:val="4"/>
          </w:tcPr>
          <w:p>
            <w:pPr>
              <w:spacing w:after="0"/>
              <w:rPr>
                <w:sz w:val="17"/>
                <w:szCs w:val="17"/>
                <w:color w:val="auto"/>
              </w:rPr>
            </w:pPr>
          </w:p>
        </w:tc>
        <w:tc>
          <w:tcPr>
            <w:tcW w:w="16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gridSpan w:val="22"/>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Act Rule 13a-14(a).</w:t>
              </w:r>
            </w:hyperlink>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31.2</w:t>
            </w:r>
          </w:p>
        </w:tc>
        <w:tc>
          <w:tcPr>
            <w:tcW w:w="160" w:type="dxa"/>
            <w:vAlign w:val="bottom"/>
          </w:tcPr>
          <w:p>
            <w:pPr>
              <w:spacing w:after="0"/>
              <w:rPr>
                <w:sz w:val="17"/>
                <w:szCs w:val="17"/>
                <w:color w:val="auto"/>
              </w:rPr>
            </w:pPr>
          </w:p>
        </w:tc>
        <w:tc>
          <w:tcPr>
            <w:tcW w:w="2260" w:type="dxa"/>
            <w:vAlign w:val="bottom"/>
            <w:tcBorders>
              <w:bottom w:val="single" w:sz="8" w:color="0000EE"/>
            </w:tcBorders>
            <w:gridSpan w:val="18"/>
          </w:tcPr>
          <w:p>
            <w:pPr>
              <w:spacing w:after="0" w:line="196" w:lineRule="exact"/>
              <w:rPr>
                <w:rFonts w:ascii="Arial" w:cs="Arial" w:eastAsia="Arial" w:hAnsi="Arial"/>
                <w:sz w:val="18"/>
                <w:szCs w:val="18"/>
                <w:color w:val="0000EE"/>
                <w:w w:val="93"/>
              </w:rPr>
            </w:pPr>
            <w:hyperlink w:anchor="page74">
              <w:r>
                <w:rPr>
                  <w:rFonts w:ascii="Arial" w:cs="Arial" w:eastAsia="Arial" w:hAnsi="Arial"/>
                  <w:sz w:val="18"/>
                  <w:szCs w:val="18"/>
                  <w:color w:val="0000EE"/>
                  <w:w w:val="93"/>
                </w:rPr>
                <w:t>Certification of Chief Financial</w:t>
              </w:r>
            </w:hyperlink>
          </w:p>
        </w:tc>
        <w:tc>
          <w:tcPr>
            <w:tcW w:w="20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74">
              <w:r>
                <w:rPr>
                  <w:rFonts w:ascii="Arial" w:cs="Arial" w:eastAsia="Arial" w:hAnsi="Arial"/>
                  <w:sz w:val="18"/>
                  <w:szCs w:val="18"/>
                  <w:color w:val="0000EE"/>
                  <w:w w:val="90"/>
                </w:rPr>
                <w:t>Officer pursuant to Exchange</w:t>
              </w:r>
            </w:hyperlink>
          </w:p>
        </w:tc>
        <w:tc>
          <w:tcPr>
            <w:tcW w:w="340" w:type="dxa"/>
            <w:vAlign w:val="bottom"/>
            <w:gridSpan w:val="7"/>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gridSpan w:val="22"/>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Act Rule 13a-14(a).</w:t>
              </w:r>
            </w:hyperlink>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32.1</w:t>
            </w:r>
          </w:p>
        </w:tc>
        <w:tc>
          <w:tcPr>
            <w:tcW w:w="160" w:type="dxa"/>
            <w:vAlign w:val="bottom"/>
          </w:tcPr>
          <w:p>
            <w:pPr>
              <w:spacing w:after="0"/>
              <w:rPr>
                <w:sz w:val="17"/>
                <w:szCs w:val="17"/>
                <w:color w:val="auto"/>
              </w:rPr>
            </w:pPr>
          </w:p>
        </w:tc>
        <w:tc>
          <w:tcPr>
            <w:tcW w:w="2460" w:type="dxa"/>
            <w:vAlign w:val="bottom"/>
            <w:gridSpan w:val="22"/>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Certification of Principal</w:t>
              </w:r>
            </w:hyperlink>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gridSpan w:val="22"/>
          </w:tcPr>
          <w:p>
            <w:pPr>
              <w:spacing w:after="0" w:line="196" w:lineRule="exact"/>
              <w:rPr>
                <w:rFonts w:ascii="Arial" w:cs="Arial" w:eastAsia="Arial" w:hAnsi="Arial"/>
                <w:sz w:val="18"/>
                <w:szCs w:val="18"/>
                <w:color w:val="0000EE"/>
                <w:w w:val="95"/>
              </w:rPr>
            </w:pPr>
            <w:hyperlink w:anchor="page75">
              <w:r>
                <w:rPr>
                  <w:rFonts w:ascii="Arial" w:cs="Arial" w:eastAsia="Arial" w:hAnsi="Arial"/>
                  <w:sz w:val="18"/>
                  <w:szCs w:val="18"/>
                  <w:color w:val="0000EE"/>
                  <w:w w:val="95"/>
                </w:rPr>
                <w:t>Executive Officer pursuant to 18</w:t>
              </w:r>
            </w:hyperlink>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U.S.C. Section 1350.</w:t>
              </w:r>
            </w:hyperlink>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32.2</w:t>
            </w:r>
          </w:p>
        </w:tc>
        <w:tc>
          <w:tcPr>
            <w:tcW w:w="160" w:type="dxa"/>
            <w:vAlign w:val="bottom"/>
          </w:tcPr>
          <w:p>
            <w:pPr>
              <w:spacing w:after="0"/>
              <w:rPr>
                <w:sz w:val="17"/>
                <w:szCs w:val="17"/>
                <w:color w:val="auto"/>
              </w:rPr>
            </w:pPr>
          </w:p>
        </w:tc>
        <w:tc>
          <w:tcPr>
            <w:tcW w:w="2260" w:type="dxa"/>
            <w:vAlign w:val="bottom"/>
            <w:tcBorders>
              <w:bottom w:val="single" w:sz="8" w:color="0000EE"/>
            </w:tcBorders>
            <w:gridSpan w:val="18"/>
          </w:tcPr>
          <w:p>
            <w:pPr>
              <w:spacing w:after="0" w:line="196" w:lineRule="exact"/>
              <w:rPr>
                <w:rFonts w:ascii="Arial" w:cs="Arial" w:eastAsia="Arial" w:hAnsi="Arial"/>
                <w:sz w:val="18"/>
                <w:szCs w:val="18"/>
                <w:color w:val="0000EE"/>
                <w:w w:val="93"/>
              </w:rPr>
            </w:pPr>
            <w:hyperlink w:anchor="page76">
              <w:r>
                <w:rPr>
                  <w:rFonts w:ascii="Arial" w:cs="Arial" w:eastAsia="Arial" w:hAnsi="Arial"/>
                  <w:sz w:val="18"/>
                  <w:szCs w:val="18"/>
                  <w:color w:val="0000EE"/>
                  <w:w w:val="93"/>
                </w:rPr>
                <w:t>Certification of Chief Financial</w:t>
              </w:r>
            </w:hyperlink>
          </w:p>
        </w:tc>
        <w:tc>
          <w:tcPr>
            <w:tcW w:w="20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76">
              <w:r>
                <w:rPr>
                  <w:rFonts w:ascii="Arial" w:cs="Arial" w:eastAsia="Arial" w:hAnsi="Arial"/>
                  <w:sz w:val="18"/>
                  <w:szCs w:val="18"/>
                  <w:color w:val="0000EE"/>
                  <w:w w:val="90"/>
                </w:rPr>
                <w:t>Officer pursuant to 18 U.S.C.</w:t>
              </w:r>
            </w:hyperlink>
          </w:p>
        </w:tc>
        <w:tc>
          <w:tcPr>
            <w:tcW w:w="340" w:type="dxa"/>
            <w:vAlign w:val="bottom"/>
            <w:gridSpan w:val="7"/>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76">
              <w:r>
                <w:rPr>
                  <w:rFonts w:ascii="Arial" w:cs="Arial" w:eastAsia="Arial" w:hAnsi="Arial"/>
                  <w:sz w:val="18"/>
                  <w:szCs w:val="18"/>
                  <w:color w:val="0000EE"/>
                  <w:w w:val="87"/>
                </w:rPr>
                <w:t>Section 1350.</w:t>
              </w:r>
            </w:hyperlink>
          </w:p>
        </w:tc>
        <w:tc>
          <w:tcPr>
            <w:tcW w:w="1480" w:type="dxa"/>
            <w:vAlign w:val="bottom"/>
            <w:gridSpan w:val="17"/>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60" w:type="dxa"/>
            <w:vAlign w:val="bottom"/>
          </w:tcPr>
          <w:p>
            <w:pPr>
              <w:spacing w:after="0"/>
              <w:rPr>
                <w:sz w:val="19"/>
                <w:szCs w:val="19"/>
                <w:color w:val="auto"/>
              </w:rPr>
            </w:pPr>
          </w:p>
        </w:tc>
        <w:tc>
          <w:tcPr>
            <w:tcW w:w="2460" w:type="dxa"/>
            <w:vAlign w:val="bottom"/>
            <w:gridSpan w:val="22"/>
          </w:tcPr>
          <w:p>
            <w:pPr>
              <w:spacing w:after="0"/>
              <w:rPr>
                <w:sz w:val="20"/>
                <w:szCs w:val="20"/>
                <w:color w:val="auto"/>
              </w:rPr>
            </w:pPr>
            <w:r>
              <w:rPr>
                <w:rFonts w:ascii="Arial" w:cs="Arial" w:eastAsia="Arial" w:hAnsi="Arial"/>
                <w:sz w:val="18"/>
                <w:szCs w:val="18"/>
                <w:color w:val="auto"/>
                <w:w w:val="95"/>
              </w:rPr>
              <w:t>Inline XBRL Instance Document</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60" w:type="dxa"/>
            <w:vAlign w:val="bottom"/>
          </w:tcPr>
          <w:p>
            <w:pPr>
              <w:spacing w:after="0"/>
              <w:rPr>
                <w:sz w:val="18"/>
                <w:szCs w:val="18"/>
                <w:color w:val="auto"/>
              </w:rPr>
            </w:pPr>
          </w:p>
        </w:tc>
        <w:tc>
          <w:tcPr>
            <w:tcW w:w="2460" w:type="dxa"/>
            <w:vAlign w:val="bottom"/>
            <w:gridSpan w:val="22"/>
          </w:tcPr>
          <w:p>
            <w:pPr>
              <w:spacing w:after="0"/>
              <w:rPr>
                <w:sz w:val="20"/>
                <w:szCs w:val="20"/>
                <w:color w:val="auto"/>
              </w:rPr>
            </w:pPr>
            <w:r>
              <w:rPr>
                <w:rFonts w:ascii="Arial" w:cs="Arial" w:eastAsia="Arial" w:hAnsi="Arial"/>
                <w:sz w:val="18"/>
                <w:szCs w:val="18"/>
                <w:color w:val="auto"/>
              </w:rPr>
              <w:t>Inline XBRL Taxonomy</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22"/>
          </w:tcPr>
          <w:p>
            <w:pPr>
              <w:spacing w:after="0"/>
              <w:rPr>
                <w:sz w:val="20"/>
                <w:szCs w:val="20"/>
                <w:color w:val="auto"/>
              </w:rPr>
            </w:pPr>
            <w:r>
              <w:rPr>
                <w:rFonts w:ascii="Arial" w:cs="Arial" w:eastAsia="Arial" w:hAnsi="Arial"/>
                <w:sz w:val="18"/>
                <w:szCs w:val="18"/>
                <w:color w:val="auto"/>
              </w:rPr>
              <w:t>Extension Schema Document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60" w:type="dxa"/>
            <w:vAlign w:val="bottom"/>
          </w:tcPr>
          <w:p>
            <w:pPr>
              <w:spacing w:after="0"/>
              <w:rPr>
                <w:sz w:val="18"/>
                <w:szCs w:val="18"/>
                <w:color w:val="auto"/>
              </w:rPr>
            </w:pPr>
          </w:p>
        </w:tc>
        <w:tc>
          <w:tcPr>
            <w:tcW w:w="2460" w:type="dxa"/>
            <w:vAlign w:val="bottom"/>
            <w:gridSpan w:val="22"/>
          </w:tcPr>
          <w:p>
            <w:pPr>
              <w:spacing w:after="0"/>
              <w:rPr>
                <w:sz w:val="20"/>
                <w:szCs w:val="20"/>
                <w:color w:val="auto"/>
              </w:rPr>
            </w:pPr>
            <w:r>
              <w:rPr>
                <w:rFonts w:ascii="Arial" w:cs="Arial" w:eastAsia="Arial" w:hAnsi="Arial"/>
                <w:sz w:val="18"/>
                <w:szCs w:val="18"/>
                <w:color w:val="auto"/>
              </w:rPr>
              <w:t>Inline XBRL Taxonomy</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22"/>
          </w:tcPr>
          <w:p>
            <w:pPr>
              <w:spacing w:after="0"/>
              <w:rPr>
                <w:sz w:val="20"/>
                <w:szCs w:val="20"/>
                <w:color w:val="auto"/>
              </w:rPr>
            </w:pPr>
            <w:r>
              <w:rPr>
                <w:rFonts w:ascii="Arial" w:cs="Arial" w:eastAsia="Arial" w:hAnsi="Arial"/>
                <w:sz w:val="18"/>
                <w:szCs w:val="18"/>
                <w:color w:val="auto"/>
                <w:w w:val="97"/>
              </w:rPr>
              <w:t>Extension Calculation Linkbase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22"/>
          </w:tcPr>
          <w:p>
            <w:pPr>
              <w:spacing w:after="0"/>
              <w:rPr>
                <w:sz w:val="20"/>
                <w:szCs w:val="20"/>
                <w:color w:val="auto"/>
              </w:rPr>
            </w:pPr>
            <w:r>
              <w:rPr>
                <w:rFonts w:ascii="Arial" w:cs="Arial" w:eastAsia="Arial" w:hAnsi="Arial"/>
                <w:sz w:val="18"/>
                <w:szCs w:val="18"/>
                <w:color w:val="auto"/>
              </w:rPr>
              <w:t>Document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60" w:type="dxa"/>
            <w:vAlign w:val="bottom"/>
          </w:tcPr>
          <w:p>
            <w:pPr>
              <w:spacing w:after="0"/>
              <w:rPr>
                <w:sz w:val="18"/>
                <w:szCs w:val="18"/>
                <w:color w:val="auto"/>
              </w:rPr>
            </w:pPr>
          </w:p>
        </w:tc>
        <w:tc>
          <w:tcPr>
            <w:tcW w:w="2460" w:type="dxa"/>
            <w:vAlign w:val="bottom"/>
            <w:gridSpan w:val="22"/>
          </w:tcPr>
          <w:p>
            <w:pPr>
              <w:spacing w:after="0"/>
              <w:rPr>
                <w:sz w:val="20"/>
                <w:szCs w:val="20"/>
                <w:color w:val="auto"/>
              </w:rPr>
            </w:pPr>
            <w:r>
              <w:rPr>
                <w:rFonts w:ascii="Arial" w:cs="Arial" w:eastAsia="Arial" w:hAnsi="Arial"/>
                <w:sz w:val="18"/>
                <w:szCs w:val="18"/>
                <w:color w:val="auto"/>
              </w:rPr>
              <w:t>Inline XBRL Taxonomy</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22"/>
          </w:tcPr>
          <w:p>
            <w:pPr>
              <w:spacing w:after="0"/>
              <w:rPr>
                <w:sz w:val="20"/>
                <w:szCs w:val="20"/>
                <w:color w:val="auto"/>
              </w:rPr>
            </w:pPr>
            <w:r>
              <w:rPr>
                <w:rFonts w:ascii="Arial" w:cs="Arial" w:eastAsia="Arial" w:hAnsi="Arial"/>
                <w:sz w:val="18"/>
                <w:szCs w:val="18"/>
                <w:color w:val="auto"/>
              </w:rPr>
              <w:t>Extension Definition Linkbase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22"/>
          </w:tcPr>
          <w:p>
            <w:pPr>
              <w:spacing w:after="0"/>
              <w:rPr>
                <w:sz w:val="20"/>
                <w:szCs w:val="20"/>
                <w:color w:val="auto"/>
              </w:rPr>
            </w:pPr>
            <w:r>
              <w:rPr>
                <w:rFonts w:ascii="Arial" w:cs="Arial" w:eastAsia="Arial" w:hAnsi="Arial"/>
                <w:sz w:val="18"/>
                <w:szCs w:val="18"/>
                <w:color w:val="auto"/>
              </w:rPr>
              <w:t>Document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60" w:type="dxa"/>
            <w:vAlign w:val="bottom"/>
          </w:tcPr>
          <w:p>
            <w:pPr>
              <w:spacing w:after="0"/>
              <w:rPr>
                <w:sz w:val="18"/>
                <w:szCs w:val="18"/>
                <w:color w:val="auto"/>
              </w:rPr>
            </w:pPr>
          </w:p>
        </w:tc>
        <w:tc>
          <w:tcPr>
            <w:tcW w:w="2460" w:type="dxa"/>
            <w:vAlign w:val="bottom"/>
            <w:gridSpan w:val="22"/>
          </w:tcPr>
          <w:p>
            <w:pPr>
              <w:spacing w:after="0"/>
              <w:rPr>
                <w:sz w:val="20"/>
                <w:szCs w:val="20"/>
                <w:color w:val="auto"/>
              </w:rPr>
            </w:pPr>
            <w:r>
              <w:rPr>
                <w:rFonts w:ascii="Arial" w:cs="Arial" w:eastAsia="Arial" w:hAnsi="Arial"/>
                <w:sz w:val="18"/>
                <w:szCs w:val="18"/>
                <w:color w:val="auto"/>
              </w:rPr>
              <w:t>Inline XBRL Taxonomy</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22"/>
          </w:tcPr>
          <w:p>
            <w:pPr>
              <w:spacing w:after="0"/>
              <w:rPr>
                <w:sz w:val="20"/>
                <w:szCs w:val="20"/>
                <w:color w:val="auto"/>
              </w:rPr>
            </w:pPr>
            <w:r>
              <w:rPr>
                <w:rFonts w:ascii="Arial" w:cs="Arial" w:eastAsia="Arial" w:hAnsi="Arial"/>
                <w:sz w:val="18"/>
                <w:szCs w:val="18"/>
                <w:color w:val="auto"/>
              </w:rPr>
              <w:t>Extension Label Linkbase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22"/>
          </w:tcPr>
          <w:p>
            <w:pPr>
              <w:spacing w:after="0"/>
              <w:rPr>
                <w:sz w:val="20"/>
                <w:szCs w:val="20"/>
                <w:color w:val="auto"/>
              </w:rPr>
            </w:pPr>
            <w:r>
              <w:rPr>
                <w:rFonts w:ascii="Arial" w:cs="Arial" w:eastAsia="Arial" w:hAnsi="Arial"/>
                <w:sz w:val="18"/>
                <w:szCs w:val="18"/>
                <w:color w:val="auto"/>
              </w:rPr>
              <w:t>Document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60" w:type="dxa"/>
            <w:vAlign w:val="bottom"/>
          </w:tcPr>
          <w:p>
            <w:pPr>
              <w:spacing w:after="0"/>
              <w:rPr>
                <w:sz w:val="18"/>
                <w:szCs w:val="18"/>
                <w:color w:val="auto"/>
              </w:rPr>
            </w:pPr>
          </w:p>
        </w:tc>
        <w:tc>
          <w:tcPr>
            <w:tcW w:w="2460" w:type="dxa"/>
            <w:vAlign w:val="bottom"/>
            <w:gridSpan w:val="22"/>
          </w:tcPr>
          <w:p>
            <w:pPr>
              <w:spacing w:after="0"/>
              <w:rPr>
                <w:sz w:val="20"/>
                <w:szCs w:val="20"/>
                <w:color w:val="auto"/>
              </w:rPr>
            </w:pPr>
            <w:r>
              <w:rPr>
                <w:rFonts w:ascii="Arial" w:cs="Arial" w:eastAsia="Arial" w:hAnsi="Arial"/>
                <w:sz w:val="18"/>
                <w:szCs w:val="18"/>
                <w:color w:val="auto"/>
              </w:rPr>
              <w:t>Inline XBRL Taxonomy</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22"/>
          </w:tcPr>
          <w:p>
            <w:pPr>
              <w:spacing w:after="0"/>
              <w:rPr>
                <w:sz w:val="20"/>
                <w:szCs w:val="20"/>
                <w:color w:val="auto"/>
              </w:rPr>
            </w:pPr>
            <w:r>
              <w:rPr>
                <w:rFonts w:ascii="Arial" w:cs="Arial" w:eastAsia="Arial" w:hAnsi="Arial"/>
                <w:sz w:val="18"/>
                <w:szCs w:val="18"/>
                <w:color w:val="auto"/>
                <w:w w:val="93"/>
              </w:rPr>
              <w:t>Extension Presentation Linkbase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60" w:type="dxa"/>
            <w:vAlign w:val="bottom"/>
            <w:gridSpan w:val="22"/>
          </w:tcPr>
          <w:p>
            <w:pPr>
              <w:spacing w:after="0"/>
              <w:rPr>
                <w:sz w:val="20"/>
                <w:szCs w:val="20"/>
                <w:color w:val="auto"/>
              </w:rPr>
            </w:pPr>
            <w:r>
              <w:rPr>
                <w:rFonts w:ascii="Arial" w:cs="Arial" w:eastAsia="Arial" w:hAnsi="Arial"/>
                <w:sz w:val="18"/>
                <w:szCs w:val="18"/>
                <w:color w:val="auto"/>
              </w:rPr>
              <w:t>Document</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240" w:right="5439" w:hanging="1184"/>
        <w:spacing w:after="0" w:line="277" w:lineRule="auto"/>
        <w:tabs>
          <w:tab w:leader="none" w:pos="1240" w:val="left"/>
        </w:tabs>
        <w:numPr>
          <w:ilvl w:val="1"/>
          <w:numId w:val="38"/>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and contained in Exhibit 101)</w:t>
      </w:r>
    </w:p>
    <w:p>
      <w:pPr>
        <w:spacing w:after="0" w:line="172" w:lineRule="exact"/>
        <w:rPr>
          <w:rFonts w:ascii="Arial" w:cs="Arial" w:eastAsia="Arial" w:hAnsi="Arial"/>
          <w:sz w:val="17"/>
          <w:szCs w:val="17"/>
          <w:color w:val="auto"/>
        </w:rPr>
      </w:pPr>
    </w:p>
    <w:p>
      <w:pPr>
        <w:ind w:left="60"/>
        <w:spacing w:after="0"/>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3" w:lineRule="exact"/>
        <w:rPr>
          <w:rFonts w:ascii="Arial" w:cs="Arial" w:eastAsia="Arial" w:hAnsi="Arial"/>
          <w:sz w:val="17"/>
          <w:szCs w:val="17"/>
          <w:color w:val="auto"/>
        </w:rPr>
      </w:pPr>
    </w:p>
    <w:p>
      <w:pPr>
        <w:ind w:left="480" w:hanging="430"/>
        <w:spacing w:after="0"/>
        <w:tabs>
          <w:tab w:leader="none" w:pos="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-336550</wp:posOffset>
            </wp:positionV>
            <wp:extent cx="141414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79"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2600" w:type="dxa"/>
            <w:vAlign w:val="bottom"/>
            <w:gridSpan w:val="2"/>
          </w:tcPr>
          <w:p>
            <w:pPr>
              <w:ind w:left="1460"/>
              <w:spacing w:after="0"/>
              <w:rPr>
                <w:sz w:val="20"/>
                <w:szCs w:val="20"/>
                <w:color w:val="auto"/>
              </w:rPr>
            </w:pPr>
            <w:r>
              <w:rPr>
                <w:rFonts w:ascii="Arial" w:cs="Arial" w:eastAsia="Arial" w:hAnsi="Arial"/>
                <w:sz w:val="18"/>
                <w:szCs w:val="18"/>
                <w:color w:val="auto"/>
              </w:rPr>
              <w:t>Progyny, Inc.</w:t>
            </w:r>
          </w:p>
        </w:tc>
        <w:tc>
          <w:tcPr>
            <w:tcW w:w="3300" w:type="dxa"/>
            <w:vAlign w:val="bottom"/>
          </w:tcPr>
          <w:p>
            <w:pPr>
              <w:spacing w:after="0"/>
              <w:rPr>
                <w:sz w:val="18"/>
                <w:szCs w:val="18"/>
                <w:color w:val="auto"/>
              </w:rPr>
            </w:pPr>
          </w:p>
        </w:tc>
      </w:tr>
      <w:tr>
        <w:trPr>
          <w:trHeight w:val="230"/>
        </w:trPr>
        <w:tc>
          <w:tcPr>
            <w:tcW w:w="3000" w:type="dxa"/>
            <w:vAlign w:val="bottom"/>
          </w:tcPr>
          <w:p>
            <w:pPr>
              <w:spacing w:after="0"/>
              <w:rPr>
                <w:sz w:val="20"/>
                <w:szCs w:val="20"/>
                <w:color w:val="auto"/>
              </w:rPr>
            </w:pPr>
          </w:p>
        </w:tc>
        <w:tc>
          <w:tcPr>
            <w:tcW w:w="2600" w:type="dxa"/>
            <w:vAlign w:val="bottom"/>
            <w:gridSpan w:val="2"/>
          </w:tcPr>
          <w:p>
            <w:pPr>
              <w:ind w:left="1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Registrant</w:t>
            </w:r>
            <w:r>
              <w:rPr>
                <w:rFonts w:ascii="Arial" w:cs="Arial" w:eastAsia="Arial" w:hAnsi="Arial"/>
                <w:sz w:val="18"/>
                <w:szCs w:val="18"/>
                <w:color w:val="auto"/>
              </w:rPr>
              <w:t>)</w:t>
            </w:r>
          </w:p>
        </w:tc>
        <w:tc>
          <w:tcPr>
            <w:tcW w:w="3300" w:type="dxa"/>
            <w:vAlign w:val="bottom"/>
          </w:tcPr>
          <w:p>
            <w:pPr>
              <w:spacing w:after="0"/>
              <w:rPr>
                <w:sz w:val="20"/>
                <w:szCs w:val="20"/>
                <w:color w:val="auto"/>
              </w:rPr>
            </w:pPr>
          </w:p>
        </w:tc>
      </w:tr>
      <w:tr>
        <w:trPr>
          <w:trHeight w:val="459"/>
        </w:trPr>
        <w:tc>
          <w:tcPr>
            <w:tcW w:w="3000" w:type="dxa"/>
            <w:vAlign w:val="bottom"/>
          </w:tcPr>
          <w:p>
            <w:pPr>
              <w:spacing w:after="0"/>
              <w:rPr>
                <w:sz w:val="20"/>
                <w:szCs w:val="20"/>
                <w:color w:val="auto"/>
              </w:rPr>
            </w:pPr>
            <w:r>
              <w:rPr>
                <w:rFonts w:ascii="Arial" w:cs="Arial" w:eastAsia="Arial" w:hAnsi="Arial"/>
                <w:sz w:val="18"/>
                <w:szCs w:val="18"/>
                <w:color w:val="auto"/>
              </w:rPr>
              <w:t>Date: August 6, 2021</w:t>
            </w:r>
          </w:p>
        </w:tc>
        <w:tc>
          <w:tcPr>
            <w:tcW w:w="2600" w:type="dxa"/>
            <w:vAlign w:val="bottom"/>
            <w:gridSpan w:val="2"/>
          </w:tcPr>
          <w:p>
            <w:pPr>
              <w:ind w:left="1460"/>
              <w:spacing w:after="0"/>
              <w:rPr>
                <w:sz w:val="20"/>
                <w:szCs w:val="20"/>
                <w:color w:val="auto"/>
              </w:rPr>
            </w:pPr>
            <w:r>
              <w:rPr>
                <w:rFonts w:ascii="Arial" w:cs="Arial" w:eastAsia="Arial" w:hAnsi="Arial"/>
                <w:sz w:val="18"/>
                <w:szCs w:val="18"/>
                <w:color w:val="auto"/>
              </w:rPr>
              <w:t>By:</w:t>
            </w:r>
          </w:p>
        </w:tc>
        <w:tc>
          <w:tcPr>
            <w:tcW w:w="3300" w:type="dxa"/>
            <w:vAlign w:val="bottom"/>
          </w:tcPr>
          <w:p>
            <w:pPr>
              <w:jc w:val="center"/>
              <w:ind w:right="790"/>
              <w:spacing w:after="0"/>
              <w:rPr>
                <w:sz w:val="20"/>
                <w:szCs w:val="20"/>
                <w:color w:val="auto"/>
              </w:rPr>
            </w:pPr>
            <w:r>
              <w:rPr>
                <w:rFonts w:ascii="Arial" w:cs="Arial" w:eastAsia="Arial" w:hAnsi="Arial"/>
                <w:sz w:val="18"/>
                <w:szCs w:val="18"/>
                <w:color w:val="auto"/>
                <w:w w:val="90"/>
              </w:rPr>
              <w:t>/s/ David Schlanger</w:t>
            </w:r>
          </w:p>
        </w:tc>
      </w:tr>
      <w:tr>
        <w:trPr>
          <w:trHeight w:val="222"/>
        </w:trPr>
        <w:tc>
          <w:tcPr>
            <w:tcW w:w="30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300" w:type="dxa"/>
            <w:vAlign w:val="bottom"/>
            <w:tcBorders>
              <w:top w:val="single" w:sz="8" w:color="auto"/>
            </w:tcBorders>
          </w:tcPr>
          <w:p>
            <w:pPr>
              <w:jc w:val="center"/>
              <w:ind w:right="770"/>
              <w:spacing w:after="0"/>
              <w:rPr>
                <w:sz w:val="20"/>
                <w:szCs w:val="20"/>
                <w:color w:val="auto"/>
              </w:rPr>
            </w:pPr>
            <w:r>
              <w:rPr>
                <w:rFonts w:ascii="Arial" w:cs="Arial" w:eastAsia="Arial" w:hAnsi="Arial"/>
                <w:sz w:val="18"/>
                <w:szCs w:val="18"/>
                <w:color w:val="auto"/>
                <w:w w:val="90"/>
              </w:rPr>
              <w:t>David Schlanger</w:t>
            </w:r>
          </w:p>
        </w:tc>
      </w:tr>
      <w:tr>
        <w:trPr>
          <w:trHeight w:val="216"/>
        </w:trPr>
        <w:tc>
          <w:tcPr>
            <w:tcW w:w="30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300" w:type="dxa"/>
            <w:vAlign w:val="bottom"/>
          </w:tcPr>
          <w:p>
            <w:pPr>
              <w:jc w:val="center"/>
              <w:ind w:right="770"/>
              <w:spacing w:after="0"/>
              <w:rPr>
                <w:sz w:val="20"/>
                <w:szCs w:val="20"/>
                <w:color w:val="auto"/>
              </w:rPr>
            </w:pPr>
            <w:r>
              <w:rPr>
                <w:rFonts w:ascii="Arial" w:cs="Arial" w:eastAsia="Arial" w:hAnsi="Arial"/>
                <w:sz w:val="18"/>
                <w:szCs w:val="18"/>
                <w:color w:val="auto"/>
                <w:w w:val="93"/>
              </w:rPr>
              <w:t>Chief Executive Officer</w:t>
            </w:r>
          </w:p>
        </w:tc>
      </w:tr>
      <w:tr>
        <w:trPr>
          <w:trHeight w:val="230"/>
        </w:trPr>
        <w:tc>
          <w:tcPr>
            <w:tcW w:w="30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300" w:type="dxa"/>
            <w:vAlign w:val="bottom"/>
          </w:tcPr>
          <w:p>
            <w:pPr>
              <w:jc w:val="center"/>
              <w:ind w:right="79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r>
      <w:tr>
        <w:trPr>
          <w:trHeight w:val="459"/>
        </w:trPr>
        <w:tc>
          <w:tcPr>
            <w:tcW w:w="3000" w:type="dxa"/>
            <w:vAlign w:val="bottom"/>
          </w:tcPr>
          <w:p>
            <w:pPr>
              <w:spacing w:after="0"/>
              <w:rPr>
                <w:sz w:val="20"/>
                <w:szCs w:val="20"/>
                <w:color w:val="auto"/>
              </w:rPr>
            </w:pPr>
            <w:r>
              <w:rPr>
                <w:rFonts w:ascii="Arial" w:cs="Arial" w:eastAsia="Arial" w:hAnsi="Arial"/>
                <w:sz w:val="18"/>
                <w:szCs w:val="18"/>
                <w:color w:val="auto"/>
              </w:rPr>
              <w:t>Date: August 6, 2021</w:t>
            </w:r>
          </w:p>
        </w:tc>
        <w:tc>
          <w:tcPr>
            <w:tcW w:w="2600" w:type="dxa"/>
            <w:vAlign w:val="bottom"/>
            <w:gridSpan w:val="2"/>
          </w:tcPr>
          <w:p>
            <w:pPr>
              <w:ind w:left="1460"/>
              <w:spacing w:after="0"/>
              <w:rPr>
                <w:sz w:val="20"/>
                <w:szCs w:val="20"/>
                <w:color w:val="auto"/>
              </w:rPr>
            </w:pPr>
            <w:r>
              <w:rPr>
                <w:rFonts w:ascii="Arial" w:cs="Arial" w:eastAsia="Arial" w:hAnsi="Arial"/>
                <w:sz w:val="18"/>
                <w:szCs w:val="18"/>
                <w:color w:val="auto"/>
              </w:rPr>
              <w:t>By:</w:t>
            </w:r>
          </w:p>
        </w:tc>
        <w:tc>
          <w:tcPr>
            <w:tcW w:w="3300" w:type="dxa"/>
            <w:vAlign w:val="bottom"/>
          </w:tcPr>
          <w:p>
            <w:pPr>
              <w:jc w:val="center"/>
              <w:ind w:right="790"/>
              <w:spacing w:after="0"/>
              <w:rPr>
                <w:sz w:val="20"/>
                <w:szCs w:val="20"/>
                <w:color w:val="auto"/>
              </w:rPr>
            </w:pPr>
            <w:r>
              <w:rPr>
                <w:rFonts w:ascii="Arial" w:cs="Arial" w:eastAsia="Arial" w:hAnsi="Arial"/>
                <w:sz w:val="18"/>
                <w:szCs w:val="18"/>
                <w:color w:val="auto"/>
                <w:w w:val="94"/>
              </w:rPr>
              <w:t>/s/ Mark Livingston</w:t>
            </w:r>
          </w:p>
        </w:tc>
      </w:tr>
      <w:tr>
        <w:trPr>
          <w:trHeight w:val="224"/>
        </w:trPr>
        <w:tc>
          <w:tcPr>
            <w:tcW w:w="30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300" w:type="dxa"/>
            <w:vAlign w:val="bottom"/>
            <w:tcBorders>
              <w:top w:val="single" w:sz="8" w:color="auto"/>
            </w:tcBorders>
          </w:tcPr>
          <w:p>
            <w:pPr>
              <w:jc w:val="center"/>
              <w:ind w:right="790"/>
              <w:spacing w:after="0"/>
              <w:rPr>
                <w:sz w:val="20"/>
                <w:szCs w:val="20"/>
                <w:color w:val="auto"/>
              </w:rPr>
            </w:pPr>
            <w:r>
              <w:rPr>
                <w:rFonts w:ascii="Arial" w:cs="Arial" w:eastAsia="Arial" w:hAnsi="Arial"/>
                <w:sz w:val="18"/>
                <w:szCs w:val="18"/>
                <w:color w:val="auto"/>
                <w:w w:val="96"/>
              </w:rPr>
              <w:t>Mark Livingston</w:t>
            </w:r>
          </w:p>
        </w:tc>
      </w:tr>
    </w:tbl>
    <w:p>
      <w:pPr>
        <w:jc w:val="center"/>
        <w:ind w:left="4720"/>
        <w:spacing w:after="0"/>
        <w:rPr>
          <w:sz w:val="20"/>
          <w:szCs w:val="20"/>
          <w:color w:val="auto"/>
        </w:rPr>
      </w:pPr>
      <w:r>
        <w:rPr>
          <w:rFonts w:ascii="Arial" w:cs="Arial" w:eastAsia="Arial" w:hAnsi="Arial"/>
          <w:sz w:val="18"/>
          <w:szCs w:val="18"/>
          <w:color w:val="auto"/>
        </w:rPr>
        <w:t>Chief Financial Officer</w:t>
      </w:r>
    </w:p>
    <w:p>
      <w:pPr>
        <w:spacing w:after="0" w:line="22" w:lineRule="exact"/>
        <w:rPr>
          <w:sz w:val="20"/>
          <w:szCs w:val="20"/>
          <w:color w:val="auto"/>
        </w:rPr>
      </w:pPr>
    </w:p>
    <w:p>
      <w:pPr>
        <w:jc w:val="center"/>
        <w:ind w:left="4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and Accounting Officer</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Schlanger, certify that:</w:t>
      </w:r>
    </w:p>
    <w:p>
      <w:pPr>
        <w:spacing w:after="0" w:line="225"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Progyny, Inc.;</w:t>
      </w:r>
    </w:p>
    <w:p>
      <w:pPr>
        <w:spacing w:after="0" w:line="225" w:lineRule="exact"/>
        <w:rPr>
          <w:rFonts w:ascii="Arial" w:cs="Arial" w:eastAsia="Arial" w:hAnsi="Arial"/>
          <w:sz w:val="18"/>
          <w:szCs w:val="18"/>
          <w:color w:val="auto"/>
        </w:rPr>
      </w:pPr>
    </w:p>
    <w:p>
      <w:pPr>
        <w:ind w:left="660" w:right="200" w:hanging="328"/>
        <w:spacing w:after="0" w:line="263"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80" w:hanging="328"/>
        <w:spacing w:after="0" w:line="263"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right="40" w:hanging="328"/>
        <w:spacing w:after="0" w:line="263"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100" w:right="20" w:hanging="444"/>
        <w:spacing w:after="0" w:line="311" w:lineRule="auto"/>
        <w:tabs>
          <w:tab w:leader="none" w:pos="11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1100" w:right="300" w:hanging="444"/>
        <w:spacing w:after="0" w:line="311" w:lineRule="auto"/>
        <w:tabs>
          <w:tab w:leader="none" w:pos="11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1100" w:right="160" w:hanging="444"/>
        <w:spacing w:after="0" w:line="263" w:lineRule="auto"/>
        <w:tabs>
          <w:tab w:leader="none" w:pos="11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100" w:right="280" w:hanging="444"/>
        <w:spacing w:after="0" w:line="259" w:lineRule="auto"/>
        <w:tabs>
          <w:tab w:leader="none" w:pos="11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660" w:right="360" w:hanging="328"/>
        <w:spacing w:after="0" w:line="263"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100" w:right="80" w:hanging="444"/>
        <w:spacing w:after="0" w:line="263" w:lineRule="auto"/>
        <w:tabs>
          <w:tab w:leader="none" w:pos="11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100" w:right="460" w:hanging="444"/>
        <w:spacing w:after="0" w:line="277" w:lineRule="auto"/>
        <w:tabs>
          <w:tab w:leader="none" w:pos="11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Date: August 6, 2021</w:t>
            </w:r>
          </w:p>
        </w:tc>
        <w:tc>
          <w:tcPr>
            <w:tcW w:w="2160" w:type="dxa"/>
            <w:vAlign w:val="bottom"/>
          </w:tcPr>
          <w:p>
            <w:pPr>
              <w:ind w:left="1820"/>
              <w:spacing w:after="0"/>
              <w:rPr>
                <w:sz w:val="20"/>
                <w:szCs w:val="20"/>
                <w:color w:val="auto"/>
              </w:rPr>
            </w:pPr>
            <w:r>
              <w:rPr>
                <w:rFonts w:ascii="Arial" w:cs="Arial" w:eastAsia="Arial" w:hAnsi="Arial"/>
                <w:sz w:val="18"/>
                <w:szCs w:val="18"/>
                <w:color w:val="auto"/>
              </w:rPr>
              <w:t>By:</w:t>
            </w:r>
          </w:p>
        </w:tc>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David Schlanger</w:t>
            </w:r>
          </w:p>
        </w:tc>
      </w:tr>
      <w:tr>
        <w:trPr>
          <w:trHeight w:val="222"/>
        </w:trPr>
        <w:tc>
          <w:tcPr>
            <w:tcW w:w="33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2"/>
              </w:rPr>
              <w:t>David Schlanger</w:t>
            </w:r>
          </w:p>
        </w:tc>
      </w:tr>
      <w:tr>
        <w:trPr>
          <w:trHeight w:val="216"/>
        </w:trPr>
        <w:tc>
          <w:tcPr>
            <w:tcW w:w="33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5"/>
              </w:rPr>
              <w:t>Chief Executive Officer</w:t>
            </w:r>
          </w:p>
        </w:tc>
      </w:tr>
      <w:tr>
        <w:trPr>
          <w:trHeight w:val="230"/>
        </w:trPr>
        <w:tc>
          <w:tcPr>
            <w:tcW w:w="33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40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776"/>
        </w:trPr>
        <w:tc>
          <w:tcPr>
            <w:tcW w:w="33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Livingston, certify that:</w:t>
      </w:r>
    </w:p>
    <w:p>
      <w:pPr>
        <w:spacing w:after="0" w:line="225"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Progyny, Inc.;</w:t>
      </w:r>
    </w:p>
    <w:p>
      <w:pPr>
        <w:spacing w:after="0" w:line="225" w:lineRule="exact"/>
        <w:rPr>
          <w:rFonts w:ascii="Arial" w:cs="Arial" w:eastAsia="Arial" w:hAnsi="Arial"/>
          <w:sz w:val="18"/>
          <w:szCs w:val="18"/>
          <w:color w:val="auto"/>
        </w:rPr>
      </w:pPr>
    </w:p>
    <w:p>
      <w:pPr>
        <w:ind w:left="660" w:right="200" w:hanging="328"/>
        <w:spacing w:after="0" w:line="263"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80" w:hanging="328"/>
        <w:spacing w:after="0" w:line="263"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right="40" w:hanging="328"/>
        <w:spacing w:after="0" w:line="263"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80" w:right="20" w:hanging="424"/>
        <w:spacing w:after="0" w:line="311" w:lineRule="auto"/>
        <w:tabs>
          <w:tab w:leader="none" w:pos="1080" w:val="left"/>
        </w:tabs>
        <w:numPr>
          <w:ilvl w:val="1"/>
          <w:numId w:val="4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1080" w:right="300" w:hanging="424"/>
        <w:spacing w:after="0" w:line="311" w:lineRule="auto"/>
        <w:tabs>
          <w:tab w:leader="none" w:pos="1080" w:val="left"/>
        </w:tabs>
        <w:numPr>
          <w:ilvl w:val="1"/>
          <w:numId w:val="4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1080" w:right="180" w:hanging="424"/>
        <w:spacing w:after="0" w:line="263" w:lineRule="auto"/>
        <w:tabs>
          <w:tab w:leader="none" w:pos="10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080" w:right="280" w:hanging="424"/>
        <w:spacing w:after="0" w:line="259" w:lineRule="auto"/>
        <w:tabs>
          <w:tab w:leader="none" w:pos="10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660" w:right="360" w:hanging="328"/>
        <w:spacing w:after="0" w:line="263"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080" w:right="100" w:hanging="424"/>
        <w:spacing w:after="0" w:line="263" w:lineRule="auto"/>
        <w:tabs>
          <w:tab w:leader="none" w:pos="10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080" w:right="480" w:hanging="424"/>
        <w:spacing w:after="0" w:line="277" w:lineRule="auto"/>
        <w:tabs>
          <w:tab w:leader="none" w:pos="10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Date: August 6, 2021</w:t>
            </w:r>
          </w:p>
        </w:tc>
        <w:tc>
          <w:tcPr>
            <w:tcW w:w="2120" w:type="dxa"/>
            <w:vAlign w:val="bottom"/>
          </w:tcPr>
          <w:p>
            <w:pPr>
              <w:ind w:left="1820"/>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Mark Livingston</w:t>
            </w:r>
          </w:p>
        </w:tc>
      </w:tr>
      <w:tr>
        <w:trPr>
          <w:trHeight w:val="222"/>
        </w:trPr>
        <w:tc>
          <w:tcPr>
            <w:tcW w:w="33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6"/>
              </w:rPr>
              <w:t>Mark Livingston</w:t>
            </w:r>
          </w:p>
        </w:tc>
      </w:tr>
      <w:tr>
        <w:trPr>
          <w:trHeight w:val="216"/>
        </w:trPr>
        <w:tc>
          <w:tcPr>
            <w:tcW w:w="3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r>
      <w:tr>
        <w:trPr>
          <w:trHeight w:val="230"/>
        </w:trPr>
        <w:tc>
          <w:tcPr>
            <w:tcW w:w="33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i w:val="1"/>
                <w:iCs w:val="1"/>
                <w:color w:val="auto"/>
                <w:w w:val="97"/>
              </w:rPr>
              <w:t>principal financial officer</w:t>
            </w:r>
            <w:r>
              <w:rPr>
                <w:rFonts w:ascii="Arial" w:cs="Arial" w:eastAsia="Arial" w:hAnsi="Arial"/>
                <w:sz w:val="18"/>
                <w:szCs w:val="18"/>
                <w:color w:val="auto"/>
                <w:w w:val="97"/>
              </w:rPr>
              <w:t>)</w:t>
            </w:r>
          </w:p>
        </w:tc>
      </w:tr>
      <w:tr>
        <w:trPr>
          <w:trHeight w:val="776"/>
        </w:trPr>
        <w:tc>
          <w:tcPr>
            <w:tcW w:w="33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441"/>
        <w:spacing w:after="0" w:line="263" w:lineRule="auto"/>
        <w:rPr>
          <w:sz w:val="20"/>
          <w:szCs w:val="20"/>
          <w:color w:val="auto"/>
        </w:rPr>
      </w:pPr>
      <w:r>
        <w:rPr>
          <w:rFonts w:ascii="Arial" w:cs="Arial" w:eastAsia="Arial" w:hAnsi="Arial"/>
          <w:sz w:val="18"/>
          <w:szCs w:val="18"/>
          <w:color w:val="auto"/>
        </w:rPr>
        <w:t>In connection with the Quarterly Report on Form 10-Q of Progyny, Inc. (the “Company”) for the period ending June 30, 2021 as filed with the Securities and Exchange Commission on the date hereof (the “Report”), I certify, pursuant to 18 U.S.C. § 1350, as adopted pursuant to § 906 of the Sarbanes-Oxley Act of 2002, that, to my knowledge:</w:t>
      </w:r>
    </w:p>
    <w:p>
      <w:pPr>
        <w:spacing w:after="0" w:line="184" w:lineRule="exact"/>
        <w:rPr>
          <w:sz w:val="20"/>
          <w:szCs w:val="20"/>
          <w:color w:val="auto"/>
        </w:rPr>
      </w:pPr>
    </w:p>
    <w:p>
      <w:pPr>
        <w:ind w:left="880" w:hanging="440"/>
        <w:spacing w:after="0"/>
        <w:tabs>
          <w:tab w:leader="none" w:pos="8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880" w:right="640" w:hanging="440"/>
        <w:spacing w:after="0" w:line="277"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Date: August 6, 2021</w:t>
            </w:r>
          </w:p>
        </w:tc>
        <w:tc>
          <w:tcPr>
            <w:tcW w:w="1920" w:type="dxa"/>
            <w:vAlign w:val="bottom"/>
          </w:tcPr>
          <w:p>
            <w:pPr>
              <w:ind w:left="162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David Schlanger</w:t>
            </w:r>
          </w:p>
        </w:tc>
      </w:tr>
      <w:tr>
        <w:trPr>
          <w:trHeight w:val="222"/>
        </w:trPr>
        <w:tc>
          <w:tcPr>
            <w:tcW w:w="31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2"/>
              </w:rPr>
              <w:t>David Schlanger</w:t>
            </w:r>
          </w:p>
        </w:tc>
      </w:tr>
      <w:tr>
        <w:trPr>
          <w:trHeight w:val="216"/>
        </w:trPr>
        <w:tc>
          <w:tcPr>
            <w:tcW w:w="3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5"/>
              </w:rPr>
              <w:t>Chief Executive Officer</w:t>
            </w:r>
          </w:p>
        </w:tc>
      </w:tr>
      <w:tr>
        <w:trPr>
          <w:trHeight w:val="230"/>
        </w:trPr>
        <w:tc>
          <w:tcPr>
            <w:tcW w:w="3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r>
      <w:tr>
        <w:trPr>
          <w:trHeight w:val="776"/>
        </w:trPr>
        <w:tc>
          <w:tcPr>
            <w:tcW w:w="31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441"/>
        <w:spacing w:after="0" w:line="263" w:lineRule="auto"/>
        <w:rPr>
          <w:sz w:val="20"/>
          <w:szCs w:val="20"/>
          <w:color w:val="auto"/>
        </w:rPr>
      </w:pPr>
      <w:r>
        <w:rPr>
          <w:rFonts w:ascii="Arial" w:cs="Arial" w:eastAsia="Arial" w:hAnsi="Arial"/>
          <w:sz w:val="18"/>
          <w:szCs w:val="18"/>
          <w:color w:val="auto"/>
        </w:rPr>
        <w:t>In connection with the Quarterly Report on Form 10-Q of Progyny, Inc. (the “Company”) for the period ending June 30, 2021 as filed with the Securities and Exchange Commission on the date hereof (the “Report”), I certify, pursuant to 18 U.S.C. § 1350, as adopted pursuant to § 906 of the Sarbanes-Oxley Act of 2002, that, to my knowledge:</w:t>
      </w:r>
    </w:p>
    <w:p>
      <w:pPr>
        <w:spacing w:after="0" w:line="184" w:lineRule="exact"/>
        <w:rPr>
          <w:sz w:val="20"/>
          <w:szCs w:val="20"/>
          <w:color w:val="auto"/>
        </w:rPr>
      </w:pPr>
    </w:p>
    <w:p>
      <w:pPr>
        <w:ind w:left="880" w:hanging="440"/>
        <w:spacing w:after="0"/>
        <w:tabs>
          <w:tab w:leader="none" w:pos="8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880" w:right="640" w:hanging="440"/>
        <w:spacing w:after="0" w:line="277"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Date: August 6, 2021</w:t>
            </w:r>
          </w:p>
        </w:tc>
        <w:tc>
          <w:tcPr>
            <w:tcW w:w="1900" w:type="dxa"/>
            <w:vAlign w:val="bottom"/>
          </w:tcPr>
          <w:p>
            <w:pPr>
              <w:ind w:left="1620"/>
              <w:spacing w:after="0"/>
              <w:rPr>
                <w:sz w:val="20"/>
                <w:szCs w:val="20"/>
                <w:color w:val="auto"/>
              </w:rPr>
            </w:pPr>
            <w:r>
              <w:rPr>
                <w:rFonts w:ascii="Arial" w:cs="Arial" w:eastAsia="Arial" w:hAnsi="Arial"/>
                <w:sz w:val="18"/>
                <w:szCs w:val="18"/>
                <w:color w:val="auto"/>
                <w:w w:val="99"/>
              </w:rPr>
              <w:t>By:</w:t>
            </w:r>
          </w:p>
        </w:tc>
        <w:tc>
          <w:tcPr>
            <w:tcW w:w="4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Mark Livingston</w:t>
            </w:r>
          </w:p>
        </w:tc>
      </w:tr>
      <w:tr>
        <w:trPr>
          <w:trHeight w:val="222"/>
        </w:trPr>
        <w:tc>
          <w:tcPr>
            <w:tcW w:w="31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5"/>
              </w:rPr>
              <w:t>Mark Livingston</w:t>
            </w:r>
          </w:p>
        </w:tc>
      </w:tr>
      <w:tr>
        <w:trPr>
          <w:trHeight w:val="216"/>
        </w:trPr>
        <w:tc>
          <w:tcPr>
            <w:tcW w:w="31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31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i w:val="1"/>
                <w:iCs w:val="1"/>
                <w:color w:val="auto"/>
                <w:w w:val="97"/>
              </w:rPr>
              <w:t>principal financial officer)</w:t>
            </w:r>
          </w:p>
        </w:tc>
      </w:tr>
      <w:tr>
        <w:trPr>
          <w:trHeight w:val="776"/>
        </w:trPr>
        <w:tc>
          <w:tcPr>
            <w:tcW w:w="31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1."/>
      <w:numFmt w:val="decimal"/>
      <w:start w:val="1"/>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1."/>
      <w:numFmt w:val="decimal"/>
      <w:start w:val="2"/>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1."/>
      <w:numFmt w:val="decimal"/>
      <w:start w:val="3"/>
    </w:lvl>
  </w:abstractNum>
  <w:abstractNum w:abstractNumId="10">
    <w:nsid w:val="54E49EB4"/>
    <w:multiLevelType w:val="hybridMultilevel"/>
    <w:lvl w:ilvl="0">
      <w:lvlJc w:val="left"/>
      <w:lvlText w:val="%1."/>
      <w:numFmt w:val="decimal"/>
      <w:start w:val="4"/>
    </w:lvl>
  </w:abstractNum>
  <w:abstractNum w:abstractNumId="11">
    <w:nsid w:val="71F32454"/>
    <w:multiLevelType w:val="hybridMultilevel"/>
    <w:lvl w:ilvl="0">
      <w:lvlJc w:val="left"/>
      <w:lvlText w:val="%1."/>
      <w:numFmt w:val="decimal"/>
      <w:start w:val="5"/>
    </w:lvl>
  </w:abstractNum>
  <w:abstractNum w:abstractNumId="12">
    <w:nsid w:val="2CA88611"/>
    <w:multiLevelType w:val="hybridMultilevel"/>
    <w:lvl w:ilvl="0">
      <w:lvlJc w:val="left"/>
      <w:lvlText w:val="%1."/>
      <w:numFmt w:val="decimal"/>
      <w:start w:val="6"/>
    </w:lvl>
  </w:abstractNum>
  <w:abstractNum w:abstractNumId="13">
    <w:nsid w:val="836C40E"/>
    <w:multiLevelType w:val="hybridMultilevel"/>
    <w:lvl w:ilvl="0">
      <w:lvlJc w:val="left"/>
      <w:lvlText w:val="%1."/>
      <w:numFmt w:val="decimal"/>
      <w:start w:val="7"/>
    </w:lvl>
  </w:abstractNum>
  <w:abstractNum w:abstractNumId="14">
    <w:nsid w:val="2901D82"/>
    <w:multiLevelType w:val="hybridMultilevel"/>
    <w:lvl w:ilvl="0">
      <w:lvlJc w:val="left"/>
      <w:lvlText w:val="%1."/>
      <w:numFmt w:val="decimal"/>
      <w:start w:val="10"/>
    </w:lvl>
  </w:abstractNum>
  <w:abstractNum w:abstractNumId="15">
    <w:nsid w:val="3A95F874"/>
    <w:multiLevelType w:val="hybridMultilevel"/>
    <w:lvl w:ilvl="0">
      <w:lvlJc w:val="left"/>
      <w:lvlText w:val="(%1)"/>
      <w:numFmt w:val="decimal"/>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1)"/>
      <w:numFmt w:val="decimal"/>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1)"/>
      <w:numFmt w:val="decimal"/>
      <w:start w:val="1"/>
    </w:lvl>
  </w:abstractNum>
  <w:abstractNum w:abstractNumId="37">
    <w:nsid w:val="580BD78F"/>
    <w:multiLevelType w:val="hybridMultilevel"/>
    <w:lvl w:ilvl="0">
      <w:lvlJc w:val="left"/>
      <w:lvlText w:val="*"/>
      <w:numFmt w:val="bullet"/>
      <w:start w:val="1"/>
    </w:lvl>
    <w:lvl w:ilvl="1">
      <w:lvlJc w:val="left"/>
      <w:lvlText w:val="%2"/>
      <w:numFmt w:val="decimal"/>
      <w:start w:val="104"/>
    </w:lvl>
  </w:abstractNum>
  <w:abstractNum w:abstractNumId="38">
    <w:nsid w:val="153EA438"/>
    <w:multiLevelType w:val="hybridMultilevel"/>
    <w:lvl w:ilvl="0">
      <w:lvlJc w:val="left"/>
      <w:lvlText w:val="**"/>
      <w:numFmt w:val="bullet"/>
      <w:start w:val="1"/>
    </w:lvl>
    <w:lvl w:ilvl="1">
      <w:lvlJc w:val="left"/>
      <w:lvlText w:val="%2"/>
      <w:numFmt w:val="decimal"/>
      <w:start w:val="1"/>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88" Type="http://schemas.openxmlformats.org/officeDocument/2006/relationships/hyperlink" Target="http://www.sec.gov/Archives/edgar/data/1551306/000110465919058484/a19-21599_1ex3d1.htm" TargetMode="External"/><Relationship Id="rId89" Type="http://schemas.openxmlformats.org/officeDocument/2006/relationships/hyperlink" Target="http://www.sec.gov/Archives/edgar/data/1551306/000104746919005487/a2239750zex-3_4.htm" TargetMode="External"/><Relationship Id="rId90" Type="http://schemas.openxmlformats.org/officeDocument/2006/relationships/hyperlink" Target="http://www.sec.gov/Archives/edgar/data/1551306/000104746919005727/a2239825zex-4_1.htm" TargetMode="External"/><Relationship Id="rId91" Type="http://schemas.openxmlformats.org/officeDocument/2006/relationships/hyperlink" Target="http://www.sec.gov/Archives/edgar/data/1551306/000104746919005727/a2239825zex-4_2.htm" TargetMode="External"/><Relationship Id="rId92" Type="http://schemas.openxmlformats.org/officeDocument/2006/relationships/hyperlink" Target="http://www.sec.gov/Archives/edgar/data/1551306/000104746919005727/a2239825zex-4_3.htm" TargetMode="External"/><Relationship Id="rId93" Type="http://schemas.openxmlformats.org/officeDocument/2006/relationships/hyperlink" Target="http://www.sec.gov/Archives/edgar/data/1551306/000104746919005727/a2239825zex-4_4.htm" TargetMode="External"/><Relationship Id="rId94" Type="http://schemas.openxmlformats.org/officeDocument/2006/relationships/hyperlink" Target="http://www.sec.gov/Archives/edgar/data/1551306/000104746919005727/a2239825zex-4_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2021-08-06T06:10:52Z</dcterms:created>
  <dcterms:modified xsi:type="dcterms:W3CDTF">2021-08-06T06:10:52Z</dcterms:modified>
</cp:coreProperties>
</file>