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660" w:right="326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October 31, 2024, the registrant had 85,153,267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2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60" w:type="dxa"/>
            <w:vAlign w:val="bottom"/>
            <w:gridSpan w:val="13"/>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0" w:type="dxa"/>
            <w:vAlign w:val="bottom"/>
            <w:tcBorders>
              <w:bottom w:val="single" w:sz="8" w:color="0000FF"/>
            </w:tcBorders>
            <w:gridSpan w:val="10"/>
            <w:vMerge w:val="continue"/>
          </w:tcPr>
          <w:p>
            <w:pPr>
              <w:spacing w:after="0"/>
              <w:rPr>
                <w:sz w:val="15"/>
                <w:szCs w:val="15"/>
                <w:color w:val="auto"/>
              </w:rPr>
            </w:pPr>
          </w:p>
        </w:tc>
        <w:tc>
          <w:tcPr>
            <w:tcW w:w="6760" w:type="dxa"/>
            <w:vAlign w:val="bottom"/>
            <w:gridSpan w:val="13"/>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and Nine Months Ended September 30,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Three and Nine Months Ended September 30, 2024</w:t>
            </w:r>
          </w:p>
        </w:tc>
        <w:tc>
          <w:tcPr>
            <w:tcW w:w="28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6"/>
              </w:rPr>
              <w:t>and 2023</w:t>
            </w:r>
          </w:p>
        </w:tc>
        <w:tc>
          <w:tcPr>
            <w:tcW w:w="472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Borders>
              <w:top w:val="single" w:sz="8" w:color="0000FF"/>
            </w:tcBorders>
            <w:gridSpan w:val="2"/>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1580" w:type="dxa"/>
            <w:vAlign w:val="bottom"/>
            <w:tcBorders>
              <w:top w:val="single" w:sz="8" w:color="0000FF"/>
            </w:tcBorders>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2024 and 2023</w:t>
            </w:r>
          </w:p>
        </w:tc>
        <w:tc>
          <w:tcPr>
            <w:tcW w:w="1900" w:type="dxa"/>
            <w:vAlign w:val="bottom"/>
            <w:gridSpan w:val="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40" w:type="dxa"/>
            <w:vAlign w:val="bottom"/>
            <w:gridSpan w:val="11"/>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20"/>
                <w:szCs w:val="20"/>
                <w:color w:val="auto"/>
              </w:rPr>
            </w:pPr>
          </w:p>
        </w:tc>
        <w:tc>
          <w:tcPr>
            <w:tcW w:w="2700" w:type="dxa"/>
            <w:vAlign w:val="bottom"/>
            <w:gridSpan w:val="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80" w:type="dxa"/>
            <w:vAlign w:val="bottom"/>
            <w:gridSpan w:val="16"/>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80" w:type="dxa"/>
            <w:vAlign w:val="bottom"/>
          </w:tcPr>
          <w:p>
            <w:pPr>
              <w:spacing w:after="0"/>
              <w:rPr>
                <w:sz w:val="24"/>
                <w:szCs w:val="24"/>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4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40" w:type="dxa"/>
            <w:vAlign w:val="bottom"/>
            <w:gridSpan w:val="24"/>
          </w:tcPr>
          <w:p>
            <w:pPr>
              <w:ind w:left="580"/>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10"/>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82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580" w:type="dxa"/>
            <w:vAlign w:val="bottom"/>
          </w:tcPr>
          <w:p>
            <w:pPr>
              <w:spacing w:after="0"/>
              <w:rPr>
                <w:sz w:val="20"/>
                <w:szCs w:val="20"/>
                <w:color w:val="auto"/>
              </w:rPr>
            </w:pP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380" w:type="dxa"/>
            <w:vAlign w:val="bottom"/>
            <w:gridSpan w:val="16"/>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Borders>
              <w:top w:val="single" w:sz="8" w:color="0000FF"/>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17"/>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800" w:type="dxa"/>
            <w:vAlign w:val="bottom"/>
            <w:gridSpan w:val="12"/>
          </w:tcPr>
          <w:p>
            <w:pPr>
              <w:jc w:val="right"/>
              <w:ind w:right="12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9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 as well as complex judicial mandates.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273,791</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$55,671 and $46,636 of allowances at September 30, 2024 and December 31,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659,972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6)</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97,477,153 and 96,348,522 shares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issued; 88,343,258 and 96,348,522 shares outstanding at September 30, 2024 and December 31, 2023,</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551,587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461,639</w:t>
            </w:r>
          </w:p>
        </w:tc>
        <w:tc>
          <w:tcPr>
            <w:tcW w:w="0" w:type="dxa"/>
            <w:vAlign w:val="bottom"/>
          </w:tcPr>
          <w:p>
            <w:pPr>
              <w:spacing w:after="0"/>
              <w:rPr>
                <w:sz w:val="1"/>
                <w:szCs w:val="1"/>
                <w:color w:val="auto"/>
              </w:rPr>
            </w:pPr>
          </w:p>
        </w:tc>
      </w:tr>
      <w:tr>
        <w:trPr>
          <w:trHeight w:val="21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9,749,875 and 615,980 shares at September 30, 2024 and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434,876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553,429</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659,972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280,891</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818,658</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227,381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218,267</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678,859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636,753</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62,624</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181,905</w:t>
            </w: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88,944</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44,435</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133,521</w:t>
            </w: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w:t>
            </w:r>
          </w:p>
        </w:tc>
        <w:tc>
          <w:tcPr>
            <w:tcW w:w="0" w:type="dxa"/>
            <w:vAlign w:val="bottom"/>
          </w:tcPr>
          <w:p>
            <w:pPr>
              <w:spacing w:after="0"/>
              <w:rPr>
                <w:sz w:val="1"/>
                <w:szCs w:val="1"/>
                <w:color w:val="auto"/>
              </w:rPr>
            </w:pPr>
          </w:p>
        </w:tc>
      </w:tr>
      <w:tr>
        <w:trPr>
          <w:trHeight w:val="257"/>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0" w:type="dxa"/>
            <w:vAlign w:val="bottom"/>
          </w:tcPr>
          <w:p>
            <w:pPr>
              <w:spacing w:after="0"/>
              <w:rPr>
                <w:sz w:val="1"/>
                <w:szCs w:val="1"/>
                <w:color w:val="auto"/>
              </w:rPr>
            </w:pPr>
          </w:p>
        </w:tc>
      </w:tr>
      <w:tr>
        <w:trPr>
          <w:trHeight w:val="25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5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24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88"/>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90,067,675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95,502,250</w:t>
            </w:r>
          </w:p>
        </w:tc>
        <w:tc>
          <w:tcPr>
            <w:tcW w:w="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91,650,576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94,698,616</w:t>
            </w:r>
          </w:p>
        </w:tc>
        <w:tc>
          <w:tcPr>
            <w:tcW w:w="0" w:type="dxa"/>
            <w:vAlign w:val="bottom"/>
          </w:tcPr>
          <w:p>
            <w:pPr>
              <w:spacing w:after="0"/>
              <w:rPr>
                <w:sz w:val="1"/>
                <w:szCs w:val="1"/>
                <w:color w:val="auto"/>
              </w:rPr>
            </w:pPr>
          </w:p>
        </w:tc>
      </w:tr>
      <w:tr>
        <w:trPr>
          <w:trHeight w:val="243"/>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93,821,812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100,879,576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95,758,529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100,552,705</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on marketable securities before reclassifications</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1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(2,193)</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(1,377)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56"/>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change on unrealized gains on marketable securities</w:t>
            </w:r>
          </w:p>
        </w:tc>
        <w:tc>
          <w:tcPr>
            <w:tcW w:w="9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50"/>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9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w:t>
            </w:r>
          </w:p>
        </w:tc>
      </w:tr>
      <w:tr>
        <w:trPr>
          <w:trHeight w:val="21"/>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5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line="14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1"/>
                <w:szCs w:val="11"/>
                <w:color w:val="auto"/>
              </w:rPr>
            </w:pPr>
          </w:p>
        </w:tc>
        <w:tc>
          <w:tcPr>
            <w:tcW w:w="1000" w:type="dxa"/>
            <w:vAlign w:val="bottom"/>
            <w:gridSpan w:val="2"/>
            <w:vMerge w:val="restart"/>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90,711,413</w:t>
            </w:r>
          </w:p>
        </w:tc>
        <w:tc>
          <w:tcPr>
            <w:tcW w:w="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519,670</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123,354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456,193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169,168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(2,817,190)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(61,960)</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279,867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10,421</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88,343,258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(250,825)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133,775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434,876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95,165,253</w:t>
            </w:r>
          </w:p>
        </w:tc>
        <w:tc>
          <w:tcPr>
            <w:tcW w:w="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408,814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469,499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351,765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247,672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95,764,690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438,044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76,501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515,393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96,348,522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461,639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553,429</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848,764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97,998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97,998</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(9,133,895)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(249,816)</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279,867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43,804</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88,343,258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(250,825)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551,587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133,775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434,876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93,301,156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349,533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376,968</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 withheld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2,215,862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94,251</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247,672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93"/>
        </w:trPr>
        <w:tc>
          <w:tcPr>
            <w:tcW w:w="3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48,567</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95,764,690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438,044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515,393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4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43,804</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48,567</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5,862</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expense</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1,647</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93,812</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Bad debt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15,062</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accretion of discounts on marketable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(2,701)</w:t>
            </w:r>
          </w:p>
        </w:tc>
      </w:tr>
      <w:tr>
        <w:trPr>
          <w:trHeight w:val="225"/>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Foreign currency exchange rate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(43,761)</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(2,523)</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22,884</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11,744</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noncurrent assets and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126,941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151,155</w:t>
            </w: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(170,339)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(262,961)</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299,955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158,813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business, net of cash acquired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120,802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(107,111)</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70"/>
        </w:trPr>
        <w:tc>
          <w:tcPr>
            <w:tcW w:w="8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(245,176)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employee taxes related to equity awards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(10,504)</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contributions to employee stock purchase plan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(253,553)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(6,047)</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37,997</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120,078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income taxes, net of refunds received</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34,872</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2,318</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Additions of property and equipment, net included in accounts payable and accrued expenses</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w:t>
            </w: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client success teams, and end to end comprehensive concierge member support provided by Progyny’s in-house staff of Patient Care Advocates (“PCAs”) (collectively, the “care management services”).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September 30, 2024, the results of the Company's operations for the three and nine months ended September 30, 2024 and 2023 and the results of the Company's cash flows for the nine months ended September 30, 2024 and 2023. Therefore, these unaudited consolidated financial statements should be read in conjunction with the audited consolidated financial statements and related footnotes included in the Company’s Annual Report on Form 10-K for the fiscal year ended December 31, 2023, filed with the SEC on February 29, 2024 (the “Annual Report on Form 10-K”).</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2024 are not necessarily indicative of the operating results expected for the year ending December 31, 2024 or any other future period. Additionally, the coronavirus (“COVID-19”) pandemic continues to evolve and due to the uncertainty of the pandemic, including variants, the Company’s customers and members, provider network, specialty pharmacy partners, employees, suppliers, vendors, and other business partners may continue to be impacted in future periods. A resurgence of COVID-19 could have a material adverse effect on the Company’s business, financial condition, results of operations and growth prospects. The Company will continue to assess these potential impacts to its business and will make adjustments to its operations as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September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accrued receivables were $65.6 million and $45.8 million, respectively. Accrued receivables are included within accounts receivable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$40.3 million and $30.3 million as of September 30, 2024 and December 31, 2023,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unbilled receivables, which represent claims received and approved but unbilled at the end of the reporting period, were $59.5 million and $45.1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55,671</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standard is intended to provide a better understanding of an entity's overall performance and business activities through improved disclosure about an entity's reportable segments, including more detailed information about reportable segment expenses. The new standard will be effective for the Company for the fiscal year beginning January 1, 2024 and for interim periods within the fiscal year beginning January 1, 2025. While the new standard requires additional footnote disclosure, the Company currently does not expect the adoption of the new standard to have a material effect on its consolidated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requires further disaggregation of the income tax footnote, the Company currently does not expect the adoption of the new standard to have a material effect on its consolidated financial statements.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standard is intended to provide enhanced transparency into the nature of expenses and requires more detailed information on specific expense categories (purchases 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4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Fertility benefits services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175,110</w:t>
            </w:r>
          </w:p>
        </w:tc>
        <w:tc>
          <w:tcPr>
            <w:tcW w:w="2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504,993</w:t>
            </w:r>
          </w:p>
        </w:tc>
      </w:tr>
      <w:tr>
        <w:trPr>
          <w:trHeight w:val="25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107,867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105,781</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326,700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313,665</w:t>
            </w:r>
          </w:p>
        </w:tc>
      </w:tr>
      <w:tr>
        <w:trPr>
          <w:trHeight w:val="282"/>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280,891</w:t>
            </w: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$95.0 million and $35.2 million, respectively, in financial assets held in money market accounts and $144.2 million and $273.8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 For the three and nine months ended September 30, 2024, interest income on cash and cash equivalents and marketable securities, including the accretion of discounts on investments, was $8.9 million and $10.4 million, respectively.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did not have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sublease agreement for the 25,212 square foot office in its corporate headquarters commenced in New York, NY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commenced in New York, NY and is expected to expire in the fourth quarter of 2035. In accordance with ASC 842, the Company recorded right-of-use assets and lease liabilities of $12.2 million and $12.1 million, respectively. Pursuant to the lease, the Company is obligated to pay the base rent of approximately $1.4 million per annum through the end of the fifth lease year and approximately $1.5 million per annum thereafter through the expiration date.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three months ended September 30, 2024 and 2023 was $0.7 million. For the nine months ended September 30, 2024 and 2023, lease expense was $2.0 million and $1.7 million, respectively.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nine months ended September 30, 2024 and 2023 was $1.6 million and $1.0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w:t>
            </w:r>
          </w:p>
        </w:tc>
        <w:tc>
          <w:tcPr>
            <w:tcW w:w="120" w:type="dxa"/>
            <w:vAlign w:val="bottom"/>
          </w:tcPr>
          <w:p>
            <w:pPr>
              <w:spacing w:after="0"/>
              <w:rPr>
                <w:sz w:val="21"/>
                <w:szCs w:val="21"/>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8.8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years</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minimum facility lease payments related to the Company's operating lease liabilities as of September 30, 2024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0" w:type="dxa"/>
            <w:vAlign w:val="bottom"/>
          </w:tcPr>
          <w:p>
            <w:pPr>
              <w:spacing w:after="0"/>
              <w:rPr>
                <w:sz w:val="16"/>
                <w:szCs w:val="16"/>
                <w:color w:val="auto"/>
              </w:rPr>
            </w:pPr>
          </w:p>
        </w:tc>
        <w:tc>
          <w:tcPr>
            <w:tcW w:w="40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Operating Lease Payments as of September 30, 2024</w:t>
            </w:r>
          </w:p>
        </w:tc>
      </w:tr>
      <w:tr>
        <w:trPr>
          <w:trHeight w:val="23"/>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5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1"/>
                <w:szCs w:val="21"/>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r>
      <w:tr>
        <w:trPr>
          <w:trHeight w:val="26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22"/>
                <w:szCs w:val="22"/>
                <w:color w:val="auto"/>
              </w:rPr>
            </w:pP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r>
      <w:tr>
        <w:trPr>
          <w:trHeight w:val="25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1"/>
                <w:szCs w:val="21"/>
                <w:color w:val="auto"/>
              </w:rPr>
            </w:pP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6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22"/>
                <w:szCs w:val="22"/>
                <w:color w:val="auto"/>
              </w:rPr>
            </w:pP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r>
      <w:tr>
        <w:trPr>
          <w:trHeight w:val="25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4,342</w:t>
            </w:r>
          </w:p>
        </w:tc>
      </w:tr>
      <w:tr>
        <w:trPr>
          <w:trHeight w:val="25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19,497</w:t>
            </w:r>
          </w:p>
        </w:tc>
      </w:tr>
      <w:tr>
        <w:trPr>
          <w:trHeight w:val="25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5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4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office in its corporate offices in New York, NY in February 2023, pursuant to a lease agreement entered into by the Company in February 2022. The lease 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fourth quarter of 2025 for five years and approximately $1.4 million per year thereafter through the fourth quarter of 2035, the expected expiration date. For the current 25,212 square foot office, the Company is obligated to pay the base rent of approximately $1.6 million per year beginning in June 2029, which is the lease commencement, through the fourth quarter of 2035, the expected expiration date.</w:t>
      </w:r>
    </w:p>
    <w:p>
      <w:pPr>
        <w:spacing w:after="0" w:line="18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discloses the matter, and the amount or range of the possible loss, if estimable, in the notes to the consolidated financial statements.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jc w:val="both"/>
        <w:ind w:right="8960" w:firstLine="8"/>
        <w:spacing w:after="0" w:line="495" w:lineRule="auto"/>
        <w:tabs>
          <w:tab w:leader="none" w:pos="64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Share Repurchase Programs</w:t>
      </w:r>
    </w:p>
    <w:p>
      <w:pPr>
        <w:spacing w:after="0" w:line="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February 2024, the Company's Board of Directors authorized a share repurchase program of up to $100 million in shares of common stock (the “February 2024 share repurchase program”). In May 2024, the Company's Board of Directors authorized an additional share repurchase program of up to $100 million in shares of common stock (the “May 2024 share repurchase program”). In August 2024, the Company's Board of Directors authorized an additional share repurchase program of up to $100 million in shares of common stock (the “August 2024 share repurchase program”).</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repurchased a total of 9,133,895 shares of common stock under the share repurchase programs at an average price per share of $27.09 and a total cost of $249.8 million, inclusive of excise taxes and trading fees. As of October 2024, the authorized share repurchase programs were completed, and no amounts remained available for repurchase under the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28,009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15,372</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45,747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47,456</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0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31,251</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97,271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16"/>
                <w:szCs w:val="16"/>
                <w:color w:val="auto"/>
              </w:rPr>
            </w:pPr>
          </w:p>
        </w:tc>
        <w:tc>
          <w:tcPr>
            <w:tcW w:w="3500" w:type="dxa"/>
            <w:vAlign w:val="bottom"/>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122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175"/>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 net of tax</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175"/>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 net of tax</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155"/>
        </w:trPr>
        <w:tc>
          <w:tcPr>
            <w:tcW w:w="38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16"/>
                <w:szCs w:val="16"/>
                <w:color w:val="auto"/>
              </w:rPr>
            </w:pPr>
          </w:p>
        </w:tc>
        <w:tc>
          <w:tcPr>
            <w:tcW w:w="3500" w:type="dxa"/>
            <w:vAlign w:val="bottom"/>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22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2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on marketable</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1"/>
                <w:szCs w:val="11"/>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76"/>
        </w:trPr>
        <w:tc>
          <w:tcPr>
            <w:tcW w:w="3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 net of tax</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income, net of tax</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156"/>
        </w:trPr>
        <w:tc>
          <w:tcPr>
            <w:tcW w:w="38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right="18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 of $0.4 million, net of tax expense of $0.1 million, for the three months ended September 30, 2024 and unrealized gains of $2.1 million, net of tax expense of $0, for the three months ended September 30, 2023</w:t>
      </w:r>
    </w:p>
    <w:p>
      <w:pPr>
        <w:spacing w:after="0" w:line="5" w:lineRule="exact"/>
        <w:rPr>
          <w:rFonts w:ascii="Times New Roman" w:cs="Times New Roman" w:eastAsia="Times New Roman" w:hAnsi="Times New Roman"/>
          <w:sz w:val="18"/>
          <w:szCs w:val="18"/>
          <w:color w:val="auto"/>
        </w:rPr>
      </w:pPr>
    </w:p>
    <w:p>
      <w:pPr>
        <w:ind w:right="16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gains of $6.3 million, net of tax expense of $1.7 million, for the nine months ended September 30, 2024 and unrealized gains of $4.0 million, net of tax expense of $0, for the nine months ended September 30, 2023</w:t>
      </w:r>
    </w:p>
    <w:p>
      <w:pPr>
        <w:spacing w:after="0" w:line="1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net income of amounts reclassified from accumulated other comprehensive income were as follows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95"/>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Affected Line Item in Statement of</w:t>
            </w:r>
          </w:p>
        </w:tc>
      </w:tr>
      <w:tr>
        <w:trPr>
          <w:trHeight w:val="19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64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Operations</w:t>
            </w:r>
          </w:p>
        </w:tc>
      </w:tr>
      <w:tr>
        <w:trPr>
          <w:trHeight w:val="228"/>
        </w:trPr>
        <w:tc>
          <w:tcPr>
            <w:tcW w:w="3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r>
      <w:tr>
        <w:trPr>
          <w:trHeight w:val="230"/>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30"/>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8"/>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bl>
    <w:p>
      <w:pPr>
        <w:spacing w:after="0" w:line="28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2024 and 2023,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nine months ended September 30, 2024, the Company recorded a provision for income taxes of $21.7 million primarily driven by the Company's operating profit and equity compensation activity that occurred during the period. During the nine months ended September 30, 2023, the Company recorded a provision for income taxes of $5.9 million, primarily driven by the Company's operating profit, partially offset by equity compensation activity that occurred during the period.</w:t>
      </w:r>
    </w:p>
    <w:p>
      <w:pPr>
        <w:spacing w:after="0" w:line="18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17, 2024, the Company completed its acquisition of Apryl GmbH, a Berlin-based fertility benefits platform, to expand its global offering. The transaction was for a purchase price of €5.1 million, or $5.5 million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15,898</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43,804</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48,567</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90,067,675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95,502,250</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91,650,576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94,698,616</w:t>
            </w:r>
          </w:p>
        </w:tc>
        <w:tc>
          <w:tcPr>
            <w:tcW w:w="0" w:type="dxa"/>
            <w:vAlign w:val="bottom"/>
          </w:tcPr>
          <w:p>
            <w:pPr>
              <w:spacing w:after="0"/>
              <w:rPr>
                <w:sz w:val="1"/>
                <w:szCs w:val="1"/>
                <w:color w:val="auto"/>
              </w:rPr>
            </w:pPr>
          </w:p>
        </w:tc>
      </w:tr>
      <w:tr>
        <w:trPr>
          <w:trHeight w:val="23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15,898</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43,804</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48,567</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90,067,675</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95,502,250</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91,650,576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94,698,616</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3,377,946</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4,469,252</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3,624,530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5,003,182</w:t>
            </w:r>
          </w:p>
        </w:tc>
        <w:tc>
          <w:tcPr>
            <w:tcW w:w="0" w:type="dxa"/>
            <w:vAlign w:val="bottom"/>
          </w:tcPr>
          <w:p>
            <w:pPr>
              <w:spacing w:after="0"/>
              <w:rPr>
                <w:sz w:val="1"/>
                <w:szCs w:val="1"/>
                <w:color w:val="auto"/>
              </w:rPr>
            </w:pPr>
          </w:p>
        </w:tc>
      </w:tr>
      <w:tr>
        <w:trPr>
          <w:trHeight w:val="210"/>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issuable under ESPP</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283,620</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472,147</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237,630</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515,335</w:t>
            </w:r>
          </w:p>
        </w:tc>
        <w:tc>
          <w:tcPr>
            <w:tcW w:w="0" w:type="dxa"/>
            <w:vAlign w:val="bottom"/>
          </w:tcPr>
          <w:p>
            <w:pPr>
              <w:spacing w:after="0"/>
              <w:rPr>
                <w:sz w:val="1"/>
                <w:szCs w:val="1"/>
                <w:color w:val="auto"/>
              </w:rPr>
            </w:pPr>
          </w:p>
        </w:tc>
      </w:tr>
      <w:tr>
        <w:trPr>
          <w:trHeight w:val="210"/>
        </w:trPr>
        <w:tc>
          <w:tcPr>
            <w:tcW w:w="4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stock units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433,781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238,862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334,266</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effect of dilutive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3,754,137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5,377,326</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4,107,953</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5,854,089</w:t>
            </w:r>
          </w:p>
        </w:tc>
        <w:tc>
          <w:tcPr>
            <w:tcW w:w="0" w:type="dxa"/>
            <w:vAlign w:val="bottom"/>
          </w:tcPr>
          <w:p>
            <w:pPr>
              <w:spacing w:after="0"/>
              <w:rPr>
                <w:sz w:val="1"/>
                <w:szCs w:val="1"/>
                <w:color w:val="auto"/>
              </w:rPr>
            </w:pPr>
          </w:p>
        </w:tc>
      </w:tr>
      <w:tr>
        <w:trPr>
          <w:trHeight w:val="175"/>
        </w:trPr>
        <w:tc>
          <w:tcPr>
            <w:tcW w:w="486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Weighted-average shares used in computing diluted net income per</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93,821,812</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100,879,576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95,758,529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100,552,705</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86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15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4"/>
        </w:trPr>
        <w:tc>
          <w:tcPr>
            <w:tcW w:w="48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14,229,102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11,988,899</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13,405,518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11,887,706</w:t>
            </w: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2,793,955</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986,798</w:t>
            </w:r>
          </w:p>
        </w:tc>
        <w:tc>
          <w:tcPr>
            <w:tcW w:w="24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1,919,893</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1,045,151</w:t>
            </w:r>
          </w:p>
        </w:tc>
      </w:tr>
      <w:tr>
        <w:trPr>
          <w:trHeight w:val="25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17,025,837</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12,975,697</w:t>
            </w:r>
          </w:p>
        </w:tc>
        <w:tc>
          <w:tcPr>
            <w:tcW w:w="2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15,328,346</w:t>
            </w:r>
          </w:p>
        </w:tc>
        <w:tc>
          <w:tcPr>
            <w:tcW w:w="10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12,934,446</w:t>
            </w:r>
          </w:p>
        </w:tc>
      </w:tr>
      <w:tr>
        <w:trPr>
          <w:trHeight w:val="21"/>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2023, filed with the SEC on February 29, 2024.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in a world where everyone can realize dreams of family and ideal health. Our mission is to empower healthier, supported journeys through transformative fertility, family building and women's health benefits. Through our differentiated approach to benefits plan design, patient education and support and active network management, our clients’ employees are able to pursue the most effective treatment across life's milestones from the best physicians and achieve optimal outcomes.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465 with at least 1,000 covered lives. We currently provide coverage to approximately 6.4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industry-leading Net Promoter Score, or NPS, of +80 for our fertility benefits solution and +80 for our integrated pharmacy benefits solution, Progyny Rx as of December 31, 2023. Our members experience healthier pregnancies and superior rates of pregnancy and live births, as well as reduced rates of miscarriages and multiple births, saving valuable time and money and limiting personal and professional disruption.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vMerge w:val="restart"/>
          </w:tcPr>
          <w:p>
            <w:pPr>
              <w:jc w:val="center"/>
              <w:ind w:right="80"/>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182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National Averages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All Provider</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Clinics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Members Only</w:t>
            </w:r>
            <w:r>
              <w:rPr>
                <w:rFonts w:ascii="Times New Roman" w:cs="Times New Roman" w:eastAsia="Times New Roman" w:hAnsi="Times New Roman"/>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250"/>
        </w:trPr>
        <w:tc>
          <w:tcPr>
            <w:tcW w:w="56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312"/>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23"/>
                <w:szCs w:val="23"/>
                <w:color w:val="auto"/>
                <w:vertAlign w:val="superscript"/>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2020 National Summary Report, finalized in 2023.</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2021 National Summary and Clinic Data Sets, published in 2023.</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2022.</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color w:val="auto"/>
        </w:rPr>
        <w:t>. 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PCAs can choose their preferred provider clinics within our network and utilize the specific Smart Cycle treatment bundles necessary for the treatment pathway they determine throughout their fertility journey.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465 employers with at least 1,000 covered lives in the United States across more than 40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6.4 million covered lives.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nine months ended September 30, 2024 and 2023, respectively.</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6"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 approximately 106 million potential covered lives in total. Our current member base of approximately 6.4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2024 and December 31, 2023, we served 468 and 392 clients, respectively, representing 6,446,000 and 5,418,000 members,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color w:val="auto"/>
        </w:rPr>
        <w:t>. 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approximately 6.4 million members as of September 30, 2024.</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2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4620" w:type="dxa"/>
            <w:vAlign w:val="bottom"/>
          </w:tcPr>
          <w:p>
            <w:pPr>
              <w:spacing w:after="0"/>
              <w:rPr>
                <w:sz w:val="16"/>
                <w:szCs w:val="16"/>
                <w:color w:val="auto"/>
              </w:rPr>
            </w:pPr>
          </w:p>
        </w:tc>
        <w:tc>
          <w:tcPr>
            <w:tcW w:w="14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6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6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42,947</w:t>
            </w:r>
          </w:p>
        </w:tc>
      </w:tr>
      <w:tr>
        <w:trPr>
          <w:trHeight w:val="256"/>
        </w:trPr>
        <w:tc>
          <w:tcPr>
            <w:tcW w:w="46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46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31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Members</w:t>
            </w:r>
            <w:r>
              <w:rPr>
                <w:rFonts w:ascii="Times New Roman" w:cs="Times New Roman" w:eastAsia="Times New Roman" w:hAnsi="Times New Roman"/>
                <w:sz w:val="23"/>
                <w:szCs w:val="23"/>
                <w:color w:val="auto"/>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6,444,000</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5,428,000</w:t>
            </w:r>
          </w:p>
        </w:tc>
        <w:tc>
          <w:tcPr>
            <w:tcW w:w="2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6,381,000</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5,366,000</w:t>
            </w: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40" w:right="2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number of unique members utilizing the benefit for that period. Individual periods cannot be combined as member treatments may span multiple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Includes approximately 300,000 members from a single client who are not reflected in utilization as a result of the client's chosen benefit design.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COVID-19 pandemic significantly impacted various markets around the world, including the United States. Restrictions related to COVID-19, including variants, and our responses to them significantly impacted and may continue to impact how our members use our services, access our providers, and how our employees work and provide services to our clients and members, resulting in an impact on our revenue.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refer to Part II, Item 1A. "Risk Factors"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clients. Revenue from the PEPM fee is billed and recognized monthly based upon the contractual fee and the number of employees at that specific client for that month.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income, net primarily includes interest income and expense as well as investment income and losses.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are realizable.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4"/>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280,891</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818,658</w:t>
            </w:r>
          </w:p>
        </w:tc>
        <w:tc>
          <w:tcPr>
            <w:tcW w:w="0" w:type="dxa"/>
            <w:vAlign w:val="bottom"/>
          </w:tcPr>
          <w:p>
            <w:pPr>
              <w:spacing w:after="0"/>
              <w:rPr>
                <w:sz w:val="1"/>
                <w:szCs w:val="1"/>
                <w:color w:val="auto"/>
              </w:rPr>
            </w:pPr>
          </w:p>
        </w:tc>
      </w:tr>
      <w:tr>
        <w:trPr>
          <w:trHeight w:val="256"/>
        </w:trPr>
        <w:tc>
          <w:tcPr>
            <w:tcW w:w="4880" w:type="dxa"/>
            <w:vAlign w:val="bottom"/>
            <w:tcBorders>
              <w:bottom w:val="single" w:sz="8" w:color="CCEEFF"/>
            </w:tcBorders>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227,381</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218,267</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678,859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636,753</w:t>
            </w:r>
          </w:p>
        </w:tc>
        <w:tc>
          <w:tcPr>
            <w:tcW w:w="0" w:type="dxa"/>
            <w:vAlign w:val="bottom"/>
          </w:tcPr>
          <w:p>
            <w:pPr>
              <w:spacing w:after="0"/>
              <w:rPr>
                <w:sz w:val="1"/>
                <w:szCs w:val="1"/>
                <w:color w:val="auto"/>
              </w:rPr>
            </w:pPr>
          </w:p>
        </w:tc>
      </w:tr>
      <w:tr>
        <w:trPr>
          <w:trHeight w:val="250"/>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181,905</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10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0" w:type="dxa"/>
            <w:vAlign w:val="bottom"/>
          </w:tcPr>
          <w:p>
            <w:pPr>
              <w:spacing w:after="0"/>
              <w:rPr>
                <w:sz w:val="1"/>
                <w:szCs w:val="1"/>
                <w:color w:val="auto"/>
              </w:rPr>
            </w:pPr>
          </w:p>
        </w:tc>
      </w:tr>
      <w:tr>
        <w:trPr>
          <w:trHeight w:val="81"/>
        </w:trPr>
        <w:tc>
          <w:tcPr>
            <w:tcW w:w="1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1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14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89,931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88,944</w:t>
            </w: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44,435</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138,263</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133,521</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w:t>
            </w:r>
          </w:p>
        </w:tc>
        <w:tc>
          <w:tcPr>
            <w:tcW w:w="0" w:type="dxa"/>
            <w:vAlign w:val="bottom"/>
          </w:tcPr>
          <w:p>
            <w:pPr>
              <w:spacing w:after="0"/>
              <w:rPr>
                <w:sz w:val="1"/>
                <w:szCs w:val="1"/>
                <w:color w:val="auto"/>
              </w:rPr>
            </w:pPr>
          </w:p>
        </w:tc>
      </w:tr>
      <w:tr>
        <w:trPr>
          <w:trHeight w:val="257"/>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54,429</w:t>
            </w:r>
          </w:p>
        </w:tc>
        <w:tc>
          <w:tcPr>
            <w:tcW w:w="0" w:type="dxa"/>
            <w:vAlign w:val="bottom"/>
          </w:tcPr>
          <w:p>
            <w:pPr>
              <w:spacing w:after="0"/>
              <w:rPr>
                <w:sz w:val="1"/>
                <w:szCs w:val="1"/>
                <w:color w:val="auto"/>
              </w:rPr>
            </w:pPr>
          </w:p>
        </w:tc>
      </w:tr>
      <w:tr>
        <w:trPr>
          <w:trHeight w:val="257"/>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57"/>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80" w:type="dxa"/>
            <w:vAlign w:val="bottom"/>
          </w:tcPr>
          <w:p>
            <w:pPr>
              <w:spacing w:after="0"/>
              <w:rPr>
                <w:sz w:val="22"/>
                <w:szCs w:val="22"/>
                <w:color w:val="auto"/>
              </w:rPr>
            </w:pPr>
          </w:p>
        </w:tc>
        <w:tc>
          <w:tcPr>
            <w:tcW w:w="5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24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48,567</w:t>
            </w:r>
          </w:p>
        </w:tc>
        <w:tc>
          <w:tcPr>
            <w:tcW w:w="0" w:type="dxa"/>
            <w:vAlign w:val="bottom"/>
          </w:tcPr>
          <w:p>
            <w:pPr>
              <w:spacing w:after="0"/>
              <w:rPr>
                <w:sz w:val="1"/>
                <w:szCs w:val="1"/>
                <w:color w:val="auto"/>
              </w:rPr>
            </w:pPr>
          </w:p>
        </w:tc>
      </w:tr>
      <w:tr>
        <w:trPr>
          <w:trHeight w:val="20"/>
        </w:trPr>
        <w:tc>
          <w:tcPr>
            <w:tcW w:w="4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8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1780" w:type="dxa"/>
            <w:vAlign w:val="bottom"/>
            <w:tcBorders>
              <w:bottom w:val="single" w:sz="8" w:color="CCEEFF"/>
            </w:tcBorders>
            <w:gridSpan w:val="3"/>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20,389</w:t>
            </w: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47,456</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80" w:type="dxa"/>
            <w:vAlign w:val="bottom"/>
          </w:tcPr>
          <w:p>
            <w:pPr>
              <w:spacing w:after="0"/>
              <w:rPr>
                <w:sz w:val="21"/>
                <w:szCs w:val="21"/>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31,251</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ind w:right="256"/>
              <w:spacing w:after="0"/>
              <w:rPr>
                <w:sz w:val="20"/>
                <w:szCs w:val="20"/>
                <w:color w:val="auto"/>
              </w:rPr>
            </w:pPr>
            <w:r>
              <w:rPr>
                <w:rFonts w:ascii="Times New Roman" w:cs="Times New Roman" w:eastAsia="Times New Roman" w:hAnsi="Times New Roman"/>
                <w:sz w:val="18"/>
                <w:szCs w:val="18"/>
                <w:color w:val="auto"/>
                <w:w w:val="99"/>
              </w:rPr>
              <w:t>26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4"/>
                <w:szCs w:val="14"/>
                <w:color w:val="auto"/>
              </w:rPr>
            </w:pPr>
          </w:p>
        </w:tc>
      </w:tr>
      <w:tr>
        <w:trPr>
          <w:trHeight w:val="190"/>
        </w:trPr>
        <w:tc>
          <w:tcPr>
            <w:tcW w:w="4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5500" w:type="dxa"/>
            <w:vAlign w:val="bottom"/>
            <w:gridSpan w:val="2"/>
          </w:tcPr>
          <w:p>
            <w:pPr>
              <w:ind w:left="52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7"/>
        </w:trPr>
        <w:tc>
          <w:tcPr>
            <w:tcW w:w="45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 as a</w:t>
            </w:r>
          </w:p>
        </w:tc>
        <w:tc>
          <w:tcPr>
            <w:tcW w:w="9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45"/>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77.8</w:t>
            </w:r>
          </w:p>
        </w:tc>
      </w:tr>
      <w:tr>
        <w:trPr>
          <w:trHeight w:val="257"/>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w:t>
            </w:r>
          </w:p>
        </w:tc>
      </w:tr>
      <w:tr>
        <w:trPr>
          <w:trHeight w:val="25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r>
      <w:tr>
        <w:trPr>
          <w:trHeight w:val="25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w:t>
            </w:r>
          </w:p>
        </w:tc>
      </w:tr>
      <w:tr>
        <w:trPr>
          <w:trHeight w:val="25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r>
      <w:tr>
        <w:trPr>
          <w:trHeight w:val="25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56"/>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1"/>
        </w:trPr>
        <w:tc>
          <w:tcPr>
            <w:tcW w:w="4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8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4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4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
        </w:trPr>
        <w:tc>
          <w:tcPr>
            <w:tcW w:w="4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10,421</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15,898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48,567</w:t>
            </w:r>
          </w:p>
        </w:tc>
      </w:tr>
      <w:tr>
        <w:trPr>
          <w:trHeight w:val="25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56"/>
        </w:trPr>
        <w:tc>
          <w:tcPr>
            <w:tcW w:w="48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33,183</w:t>
            </w: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31,251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r>
      <w:tr>
        <w:trPr>
          <w:trHeight w:val="257"/>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(5,504)</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r>
      <w:tr>
        <w:trPr>
          <w:trHeight w:val="250"/>
        </w:trPr>
        <w:tc>
          <w:tcPr>
            <w:tcW w:w="4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w:t>
            </w:r>
          </w:p>
        </w:tc>
      </w:tr>
      <w:tr>
        <w:trPr>
          <w:trHeight w:val="282"/>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46,478</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50,019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$286,625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$5.7 million, or 2%, for the three months ended September 30, 2024 compared to the three months ended September 30, 2023. This increase is primarily due to a $3.6 million, or 2%, increase in revenue from our fertility benefits solution and a $2.1 million, or 2%, increase in revenue from our Progyny Rx solution. The increases in revenue from our fertility benefits solution and Progyny Rx solution were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$227,381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$218,267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$9.1 million, or 4%, for the three months ended September 30, 2024 compared to the three months ended September 30, 2023, primarily due to an increase in medical treatment and pharmacy prescription costs associated with fertility treatment delivered. This increase was also attributable to an increase in personnel-related costs primarily due to incremental headcount as well as a $0.6 million increase in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$59,244</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$62,624</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decreased by $3.4 million, or 5%, for the three months ended September 30, 2024 compared to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Gross margin decreased 160 basis points for the three months ended September 30, 2024 compared to the three months ended September 30, 2023, primarily due to an increase in personnel-related costs in the delivery of our care management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$1.5 million, or 10% for the three months ended September 30, 2024 compared to the three months ended September 30, 2023. This increase was due to a $1.1 million increase in personnel-related costs mainly attributable to an increase in stock-based compensation expense, as well as a $0.4 million increase in other related sales and marketing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$30,329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$0.8 million, or 3%, for the three months ended September 30, 2024 compared to the three months ended September 30, 2023. This increase was due to a $3.6 million increase in personnel-related costs attributable to incremental headcount. This increase was partially offset by a $2.3 million decrease in bad debt expense and a $0.5 million decrease in other related general and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80" w:type="dxa"/>
            <w:vAlign w:val="bottom"/>
            <w:gridSpan w:val="2"/>
            <w:shd w:val="clear" w:color="auto" w:fill="CCEEFF"/>
          </w:tcPr>
          <w:p>
            <w:pPr>
              <w:jc w:val="right"/>
              <w:ind w:right="5148"/>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$5,504</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increased by $2.8 million for the three months ended September 30, 2024 compared to the three months ended September 30, 2023, primarily due to an increase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80" w:type="dxa"/>
            <w:vAlign w:val="bottom"/>
            <w:gridSpan w:val="2"/>
            <w:shd w:val="clear" w:color="auto" w:fill="CCEEFF"/>
          </w:tcPr>
          <w:p>
            <w:pPr>
              <w:jc w:val="right"/>
              <w:ind w:right="5188"/>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$7,541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we recorded a provision for income taxes of $7.5 million, as compared to $5.0 million for the three months ended September 30, 2023, primarily due to a decrease in tax benefits for equity compensation, including discrete tax benefits, in the current year period.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$868,790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increased by $50.1 million, or 6%, for the nine months ended September 30, 2024 compared to the nine months ended September 30, 2023. This increase is primarily due to a $37.1 million, or 7%, increase in revenue from our fertility benefits solution and a $13.0 million, or 4%, increase in revenue from our Progyny Rx solution. The increases in revenue from our fertility benefits solution and Progyny Rx solution were primarily due to the increase in the number of clients and covered lives.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$678,859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$636,753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$42.1 million, or 7%, for the nine months ended September 30, 2024 compared to the nine months ended September 30, 2023, primarily due to an increase in medical treatment and pharmacy prescription costs associated with fertility treatments delivered. This increase was also attributable to an increase in personnel-related costs primarily due to incremental headcount as well as a $2.0 million increase in stock-based compensation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$189,931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$181,905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$8.0 million, or 4%, for the nine months ended September 30, 2024 compared to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Gross margin decreased 30 basis points for the nine months ended September 30, 2024 compared to the nine months ended September 30, 2023, primarily due to an increase in personnel-related costs in the delivery of our care management services.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$48,332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$3.8 million, or 8% for the nine months ended September 30, 2024 compared to the nine months ended September 30, 2023. This increase was primarily due to a $3.1 million increase in personnel-related costs attributable to an increase in stock-based compensation expense, as well as a $0.7 million increase in other related sales and marketing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$89,931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$1.0 million for the nine months ended September 30, 2024 compared to the nine months ended September 30, 2023. This increase was primarily due to a $3.6 million increase in personnel-related costs attributable to incremental headcount, largely offset by a $2.3 million decrease in bad debt expense, as well as a $0.3 million decrease in other related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$13,876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increased by $7.8 million for the nine months ended September 30, 2024 compared to the nine months ended September 30, 2023, primarily due to an increase in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$21,740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we recorded a provision for income taxes of $21.7 million as compared to $5.9 million for the nine months ended September 30, 2023, primarily due to the higher operating profit as well as a decrease in tax benefits for equity compensation, including discrete tax benefits, in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we had $91.5 million of cash and cash equivalents and $144.2 million of marketable securities. Since inception, we have financed our operations primarily through sales of our solutions and the net proceeds we have received from sales of equity securities, including our initial public offering. Our cash and cash equivalents and</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and cash flow from operations will be sufficient to support our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expansion of our sales and marketing activities, and the continued market adoption of our solutions.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the prior impact on our revenue growth and the related cash flows resulting from the various restrictions on activities due to the COVID-19 pandemic, as of September 30, 2024, our sources and uses of cash were not otherwise significantly impacted by the COVID-19 pandemic and, to date based on the information currently available to us, we have not identified and do not expect any material liquidity deficiencies as a result of the COVID-19 pandemic. For additional information on the various risks posed by the COVID-19 pandemic, please refer to Part II, Item 1A. "Risk Factors" included in this Quarterly Report on Form 10-Q.</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(107,111)</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$126.9 million for the nine months ended September 30, 2024, primarily consisting of net income of $43.8 million adjusted for certain items, which include $97.3 million of stock-based compensation expense, $12.7 million of bad debt expense, $3.8 million of net accretion of discounts on marketable securities, $10.4 million of deferred tax expense, and $2.3 million of depreciation and amortization. Changes in operating assets and liabilities resulted in cash used in operating activities from increases in accounts receivable of $51.6 million and prepaid expenses and other current assets of $2.4 million, partially offset by cash provided by operating activities from increases in accrued expenses and other current liabilities of $13.1 million and accounts payable of $5.1 million. These changes were a result of the impact of revenue growth and our operating results as well as the timing of cash collections and payments to third parties, including $34.9 million of cash paid for income taxes, net of refunds in the nine months ended September 30, 2024.</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$151.2 million for the nine months ended September 30, 2023, primarily consisting of net income of $48.6 million adjusted for certain items, which include $93.8 million of stock-based compensation expense, $15.1 million of bad debt expense, $5.9 million of deferred tax expense, $2.7 million of net accretion of discounts on marketable securities, and $1.6 million of depreciation and amortization. Changes in operating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resulted in cash used in operating activities from increases in accounts receivable of $43.8 million and prepaid expenses and other current assets of $2.5 million, partially offset by cash provided by operating activities from increases in accounts payable of $22.9 million, accrued expenses and other current liabilities of $11.7 million, and other noncurrent assets and liabilities of $0.5 million. These changes were a result of the impact of revenue growth and our operating results as well as new agreements with our pharmacy program partners, which included more favorable payment receipt terms and resulted in an additional receipt in the nine months ended September 30, 2023, and the timing of cash collections and payments to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$120.8 million for the nine months ended September 30, 2024, which primarily consisted of net proceeds from marketable securities of $129.6 million, partially offset by $5.3 million used for a business acquisition, net of cash acquired. For the nine months ended September 30, 2023, net cash used in investing activities was $107.1 million, which primarily consisted of net investments in marketable securities of $104.1 million. The remainder of the activity for each of the nine months ended September 30, 2024 and September 30, 2023 consisted of purchases of computers, software, including capitalized software development costs, and leasehold improvements.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$253.6 million for the nine months ended September 30, 2024, consisting of $245.2 million of repurchases of common stock under the February 2024, May 2024, and August 2024 share repurchase programs and payments of $10.4 million for employee taxes related to equity awards, partially offset by $1.1 million in proceeds from stock option exercises and $0.9 million in proceeds from contributions to our employee stock purchase plan.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$6.0 million for the nine months ended September 30, 2023, consisting of payments of $10.5 million for employee taxes related to equity awards, partially offset by $3.6 million in proceeds from stock option exercises and $0.9 million in proceeds from contributions to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February 2024, our Board of Directors authorized a share repurchase program of up to $100 million in shares of common stock (the “February 2024 share repurchase program”). In May 2024, our Board of Directors authorized an additional share repurchase program of up to $100 million in shares of common stock (the “May 2024 share repurchase program”). In August 2024, our Board of Directors authorized an additional share repurchase program of up to $100 million in shares of common stock (the “August 2024 share repurchase program”).</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nine months ended September 30, 2024, we repurchased a total of 9,133,895 shares of common stock under the share repurchase programs at an average price per share of $27.09 and a total cost of $249.8 million, inclusive of excise taxes and trading fees. To date, we repurchased a total of 12,382,193 shares of common stock under the share repurchase programs for a total cost of $300.3 million, inclusive of trading fees. As of October 2024, the February 2024 share repurchase program, May 2024 share repurchase program, and August 2024 share repurchase program were completed, and no amounts remained available for repurchase under the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through the end of the fifth lease year and approximately $1.5 million per year thereafter through the fourth quarter of 2035, the expected expiration date. For the 21,262 square foot office, we will pay the base rent of approximately $1.3 million starting in the fourth quarter of 2025 for five years and approximately $1.4 million per year thereafter through the fourth quarter of 2035, the expected expiration date. For our current 25,212 square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foot office, we will pay the base rent of approximately $1.6 million per year beginning in June 2029 through the fourth quarter of 2035, the expected expiration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At September 30, 2024, we had cash and cash equivalents of $91.5 million and marketable securities of $144.2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September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September 30, 2024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 “Financial Statements (Unaudited) — Note 6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November 12, 2024, we issued guidance for the fourth quarter of 2024 and full year 2024. This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including, but not limited to, our business strategy, plans, goals, expectations concerning our market position, future operations and other financial and operating information, as well as the impact of events outside of our control (such as macroeconomic conditions), the COVID-19 pandemic, or shortages of fertility medications that are or were at this time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results of operations. Furthermore,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that are able to provide fertility benefits management services as part of their overall administration of a company's health plan and that are our primary competition. In addition, other competitors include specialty fertility-focused solutions owned or sponsored by the health insurance companies to provide more comprehensive support to fertility patients than their general medical coverage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provides, such as case management or educational support, and the venture capital or private equity-backed companies that focus on maternity and reproductive health services more broadly, or who provide fertility-specific benefits solutions.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geopolitical conflict, political turmoil, natural catastrophes, resurgences or outbreaks of contagious diseases or the worsening thereof, including the COVID-19 pandemic, warfare and terrorist attacks, could cause a decrease in business investments, including spending on employee benefits, and negatively affect the growth of our business.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clients’ and potential clients’ results of operations. This could result in the delay or cancellation by certain clients, including if purchases of our solution are perceived by clients and potential clients to be discretionary,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in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91% of our current clients have now launched this solution, including approximately 98% of the clients we signed in 2023.</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family building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the unemployment 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the business environment of our clients and, in particular, slowing growth or reduction in our clients’ headcount;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serve over 465 employers with at least 1,000 covered lives in the United States across more than 40 industries. For the nine months ended September 30, 2024, one of our clients accounted for 12% of our total revenue (the "Client"). For the nine months ended September 30, 2023, the Client accounted for 13% of our total revenue. No other clients accounted for more than 10% of our total revenue for the nine months ended September 30, 2024 and 2023. 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compromise our growth strategy. In the third quarter of 2024, we were notified that the Client elected to exercise a 90-day option to terminate its services agreement, effective as of January 1, 2025.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reductions in workforce or employee attrition,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including variants and resurgences, has had and may continue to have, and similar health epidemics or pandemics could in the future have, an adverse impact on our business, operations, and the markets and communities in which we and our clients, members and providers operate.</w:t>
      </w:r>
    </w:p>
    <w:p>
      <w:pPr>
        <w:spacing w:after="0" w:line="19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pandemic adversely impacted, and may continue to adversely impact, many aspects of our business. Our revenue growth in past periods was negatively impacted by COVID-19, including variants, and our revenue growth in future periods may continue to be adversely impacted by COVID-19.Our providers have delayed and may in the future delay new fertility cycles because they operate in areas acutely affected by the COVID-19 pandemic. Many of our members live in communities that have been acutely affected by the COVID-19 pandemic and have delayed and may not want to continue or begin new fertility cycles during the pandemic, including due to resurgences in and the emergence of variant strains.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to the direct and indirect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20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global impact of COVID-19, due to variants and resurgences of infections, continues to evolve, and we will continue to monitor the situation closely.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There is no guarantee that any future resurgences or future outbreaks of this or any other widespread epidemics or pandemics will not occur, or that the global economy will fully recover, either of which could seriously harm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impacts related to outbreaks and resurgence of contagious diseases and/or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or negative publicity through social media or otherwise and news coverage.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success teams to educate potential clients and drive new client adoption, as well as enhance the scope of Progyny benefits within our existing client base. We also expect to incur additional costs as we introduce new solutions and services to enhance our comprehensive family building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or pharmacy benefit management practices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reiterates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may have on our business. We cannot predict the timing or impact of any future rulemaking, court decisions or other changes in the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our provider clinics, specialty pharmacies or other vendors have an issue with our or their respective information technology systems, it may result in a disruption to our operations or downstream disruption to our relationships with our clients or our selective network of high-quality fertility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specialists. Additionally, if we choose to in source any of the services currently handled by a third party, it may result in technological or operational disruptions.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information technology system or any updates or upgrades thereto, the current or future information technology systems of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1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We maintain cyber liability insurance; however, this insurance may not be sufficient to cover the financial, legal, business or reputational losses that may result from an interruption or breach of our systems.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 We operate in a highly regulated industry and must comply with a significant number of complex and evolving legal and regulatory requirements,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complex judicial mandates - Data Protection and Breaches.”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marketing efforts depend significantly on our ability to call on our current clients, channel partners and benefit consultants to provide positive references to new and potential clients. Given our limited number of long-term clients, the loss or dissatisfaction of any client, channel partnership or benefit consulting relationship could substantially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success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terminations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substantial additional expenses, expose us to public scrutiny, adversely affect our brand and reputation, expose us to litigation and/or regulatory action, and otherwise make our operations vulnerable. Further, if 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with us, demand higher drug pricing or take other actions that could result in higher medical costs or less attractive services for our members.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the benefits consultants, our marketing efforts,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evolving legal and regulatory requirements, as well as complex judicial mandates.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or network partners to violate, applicable laws, regulations or other requirements could subject us or our clients to significant administrative, civil or criminal penalties. Such a determination also could require us to change or terminate portions of our business, disqualify us from serving clients in certain states, or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judicial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93" w:lineRule="exact"/>
        <w:rPr>
          <w:sz w:val="20"/>
          <w:szCs w:val="20"/>
          <w:color w:val="auto"/>
        </w:rPr>
      </w:pPr>
    </w:p>
    <w:p>
      <w:pPr>
        <w:jc w:val="both"/>
        <w:ind w:left="660" w:hanging="328"/>
        <w:spacing w:after="0" w:line="25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We cannot predict what effect, if any, such statutes, if enacted, may have on our business and financial results.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9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operations. We may additionally need to suspend the PCA services we provide while our personnel obtain the necessary licensure, which may adversely affect our relationships with our clients and members and cause us to be in breach of our contracts.</w:t>
      </w:r>
    </w:p>
    <w:p>
      <w:pPr>
        <w:spacing w:after="0" w:line="185" w:lineRule="exact"/>
        <w:rPr>
          <w:sz w:val="20"/>
          <w:szCs w:val="20"/>
          <w:color w:val="auto"/>
        </w:rPr>
      </w:pPr>
    </w:p>
    <w:p>
      <w:pPr>
        <w:jc w:val="both"/>
        <w:ind w:left="660" w:hanging="328"/>
        <w:spacing w:after="0" w:line="254" w:lineRule="auto"/>
        <w:tabs>
          <w:tab w:leader="none" w:pos="655"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as amended, and regulations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collectively,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6" w:lineRule="exact"/>
        <w:rPr>
          <w:rFonts w:ascii="Times New Roman" w:cs="Times New Roman" w:eastAsia="Times New Roman" w:hAnsi="Times New Roman"/>
          <w:sz w:val="18"/>
          <w:szCs w:val="18"/>
          <w:b w:val="1"/>
          <w:bCs w:val="1"/>
          <w:i w:val="1"/>
          <w:iCs w:val="1"/>
          <w:color w:val="auto"/>
        </w:rPr>
      </w:pPr>
    </w:p>
    <w:p>
      <w:pPr>
        <w:jc w:val="both"/>
        <w:ind w:left="660"/>
        <w:spacing w:after="0" w:line="25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91"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California Consumer Privacy Act of 2018, or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which has increased the likelihood and risks associated with data breach litigation. Further, the California Privacy Rights Act, or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w:t>
      </w:r>
    </w:p>
    <w:p>
      <w:pPr>
        <w:spacing w:after="0" w:line="196"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93" w:lineRule="exact"/>
        <w:rPr>
          <w:sz w:val="20"/>
          <w:szCs w:val="20"/>
          <w:color w:val="auto"/>
        </w:rPr>
      </w:pPr>
    </w:p>
    <w:p>
      <w:pPr>
        <w:jc w:val="both"/>
        <w:ind w:left="660" w:hanging="328"/>
        <w:spacing w:after="0" w:line="25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6"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may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3" w:lineRule="exact"/>
        <w:rPr>
          <w:sz w:val="20"/>
          <w:szCs w:val="20"/>
          <w:color w:val="auto"/>
        </w:rPr>
      </w:pPr>
    </w:p>
    <w:p>
      <w:pPr>
        <w:jc w:val="both"/>
        <w:ind w:left="660" w:hanging="328"/>
        <w:spacing w:after="0" w:line="255"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4" w:lineRule="exact"/>
        <w:rPr>
          <w:sz w:val="20"/>
          <w:szCs w:val="20"/>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185"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88" w:lineRule="exact"/>
        <w:rPr>
          <w:sz w:val="20"/>
          <w:szCs w:val="20"/>
          <w:color w:val="auto"/>
        </w:rPr>
      </w:pPr>
    </w:p>
    <w:p>
      <w:pPr>
        <w:jc w:val="both"/>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aspects of the ACA. On June 17, 2021, the U.S. Supreme Court dismissed the most recent judicial challenge to the ACA brought by several states without specifically ruling on the constitutionality of the ACA.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recently, on August 16, 2022, President Biden signed the Inflation Reduction Act of 2022, or IRA, into law.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DOL,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how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results of operations could be materially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state and federal judicial action, industry standards and other requirements, including with respect to Progyny Rx’s PBM practices, which create risks and challenges with respect to our compliance efforts and business strategies, or the business of our network partners, which may adversely affect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as well as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recently enacted IRA, and other federal and state efforts to reform or revise aspects of the healthcare industry or to revise or create additional legal and/or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among other things, disclosure, receipt and retention of rebates and other payments received from pharmaceutical manufacturers or pharmacy program partners,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In June 2022, the FTC announced an inquiry regarding the role of PBMs and stated its intent to closely scrutinize the impact of PBM rebates and fees on patients and payers.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our results of operations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our ability to standardize Progyny Rx PBM products and services across state lines. Further, our failure to comply with these laws or regulations could result in material fines and/or sanctions and could have a material adverse effect on our results of operations and/or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anti-bribery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employees and management from their normal responsibilities.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build name recognition by potential collaborators or clients in our markets of interest.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In addition, Progyny seeks to continue to expand its offerings in preconception, maternity and postpartum, menopause and related offerings.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1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recent IRA, which, among other changes, introduced a 15% corporate minimum tax on certain United States corporations and a 1% excise tax on certain stock redemptions by United States corporations);</w:t>
      </w:r>
    </w:p>
    <w:p>
      <w:pPr>
        <w:spacing w:after="0" w:line="19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stock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developments could have an adverse effect on our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Part I, Item 1 of this Quarterly Report on Form 10-Q for additional information on recently issued but not yet adopted accounting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of research or other reports about us or our industry, including those which may contain inaccurate or misleading information, financial estimates about us, changes in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incidents of terrorism, or responses to these events;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 to continue to fund operations by selling shares and may impair our ability to acquire other companies or technologies by using our shares as consideration.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COVID-19 pandemic;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long-term impact of the COVID-19 pandemic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this internal control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Report on Form 10-K filing for each year, as required by Section 404.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that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the ownership interests of all other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and the trading volume of our common stock could decrease.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incur as a public company or the specific timing of such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amended and restated bylaws and certain provisions of our amended and restated certificate of incorporation.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impact our ability to obtain any necessary financing and adversely impact our business, financial condition and stock price.</w:t>
      </w:r>
    </w:p>
    <w:p>
      <w:pPr>
        <w:spacing w:after="0" w:line="1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or ESG, practices and reporting. The SEC and investors have focused increasingly on ESG practices and placed increasing importance on the implications and social cost of ESG reporting. With this increased focus and demand, public reporting regarding ESG practices is becoming more broadly expected. Expectations regarding voluntary ESG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initiatives and disclosures may result in increased costs, changes in demand for certain offerings, enhanced compliance or disclosure obligations, or other adverse impacts to our business, financial condition or results of operations. We may provide information in this Quarterly Report on Form 10-Q or our other filings with the SEC that are informed by various ESG standards and frameworks (including standards for the measurement of underlying data) and the interest of various stakeholders. Much of this information is subject to assumptions, estimates or third-party information that is still evolving and subject to change, and our disclosures based on any standards may change due to revisions in framework requirements, availability of information, changes in our business or applicable government policies, or other factors, some of which may be beyond our control. If our ESG practices and reporting do not meet or are viewed as not meeting SEC, investor or other industry or stakeholder expectations, which continue to evolve, our brand, reputation and investor retention may be negatively impacted. It is possible that stakeholders may not be satisfied with our ESG practices or the speed of their adoption. We could also incur additional costs and require additional resources to monitor, report, implement, enhance and comply with various ESG practices and standards. Also, our failure, or perceived failure to meet the standards included in any ESG disclosure could negatively impact our reputation, employee recruiting and retention, and the willingness of our customers and suppliers to do business with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2024, we withheld shares through net settlements (where the award holder receives the net of the shares vested, after surrendering a portion of the shares back to the Company for tax withholding) for certain restricted stock units that 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29, 2024, the Company announced the February 2024 share repurchase program of up to $100 million in shares of common stock. On May 22, 2024, the Company announced the May 2024 share repurchase program of up to an additional $100 million in shares of common stock. On August 6, 2024, the Company announced the August 2024 share repurchase program of up to an additional $100 million in shares of common stock. Repurchases under all programs may be in the form of open market repurchases, including through plans complying with Rule 10b5-1 under the Exchange Act, depending on stock price, market conditions, and other factors, as determined by the Company. There can be no assurance as to the number of shares to be repurchased by the Company.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 repurchase activity as well as shares surrendered back to the Company for tax withholding on restricted stock units that vested under our equity incentive plans during the three months ended September 30,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60"/>
        </w:trPr>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58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through July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520,141</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488,721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2024 through August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654,830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620,939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86,500</w:t>
            </w: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1,730,935</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1,707,530</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52,501</w:t>
            </w:r>
          </w:p>
        </w:tc>
      </w:tr>
      <w:tr>
        <w:trPr>
          <w:trHeight w:val="257"/>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2,905,906</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2,817,190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79" w:lineRule="exact"/>
        <w:rPr>
          <w:sz w:val="20"/>
          <w:szCs w:val="20"/>
          <w:color w:val="auto"/>
        </w:rPr>
      </w:pPr>
    </w:p>
    <w:p>
      <w:pPr>
        <w:ind w:left="5540" w:right="1380" w:hanging="5532"/>
        <w:spacing w:after="0"/>
        <w:tabs>
          <w:tab w:leader="none" w:pos="164"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share repurchases and shares withheld on net settlements of restricted stock units that vested under our equity incentive plans.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jc w:val="both"/>
        <w:ind w:left="1060" w:hanging="404"/>
        <w:spacing w:after="0" w:line="239" w:lineRule="auto"/>
        <w:tabs>
          <w:tab w:leader="none" w:pos="10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11, 2024, </w:t>
      </w:r>
      <w:r>
        <w:rPr>
          <w:rFonts w:ascii="Times New Roman" w:cs="Times New Roman" w:eastAsia="Times New Roman" w:hAnsi="Times New Roman"/>
          <w:sz w:val="18"/>
          <w:szCs w:val="18"/>
          <w:color w:val="212529"/>
        </w:rPr>
        <w:t>Beth Seidenberg M.D. notified the Board of Directors of the Company of her resignation of service as a director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Company, effective November 25, 2024. Dr. Seidenberg’s decision to resign is not the result of a disagreement with the Company on any matter relating to the Company’s operations, policies or practices; rather, in her discussion with management regarding the reason for her resignation, Dr. Seidenberg stated that she wished to reduce the overall number of boards of directors of public companies on which she currently serves. The Company deeply appreciates the dedicated service of Dr. Seidenberg during her tenure on the Board of Directors.</w:t>
      </w:r>
    </w:p>
    <w:p>
      <w:pPr>
        <w:spacing w:after="0" w:line="184" w:lineRule="exact"/>
        <w:rPr>
          <w:rFonts w:ascii="Times New Roman" w:cs="Times New Roman" w:eastAsia="Times New Roman" w:hAnsi="Times New Roman"/>
          <w:sz w:val="18"/>
          <w:szCs w:val="18"/>
          <w:color w:val="auto"/>
        </w:rPr>
      </w:pPr>
    </w:p>
    <w:p>
      <w:pPr>
        <w:ind w:left="10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2024, the Board of Directors approved and adopted, effective immediately upon adoption, the Company’s Second Amended and Restated Bylaws (as amended and restated, the “Bylaws”). The amendments, among other things:</w:t>
      </w:r>
    </w:p>
    <w:p>
      <w:pPr>
        <w:spacing w:after="0" w:line="189" w:lineRule="exact"/>
        <w:rPr>
          <w:rFonts w:ascii="Times New Roman" w:cs="Times New Roman" w:eastAsia="Times New Roman" w:hAnsi="Times New Roman"/>
          <w:sz w:val="18"/>
          <w:szCs w:val="18"/>
          <w:color w:val="auto"/>
        </w:rPr>
      </w:pPr>
    </w:p>
    <w:p>
      <w:pPr>
        <w:ind w:left="1700" w:hanging="396"/>
        <w:spacing w:after="0" w:line="266" w:lineRule="auto"/>
        <w:tabs>
          <w:tab w:leader="none" w:pos="16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Bylaws to align to the DGCL as a result of recent amendments, including provisions related to accessing the Company’s stockholder list;</w:t>
      </w:r>
    </w:p>
    <w:p>
      <w:pPr>
        <w:spacing w:after="0" w:line="189" w:lineRule="exact"/>
        <w:rPr>
          <w:rFonts w:ascii="Times New Roman" w:cs="Times New Roman" w:eastAsia="Times New Roman" w:hAnsi="Times New Roman"/>
          <w:sz w:val="18"/>
          <w:szCs w:val="18"/>
          <w:color w:val="auto"/>
        </w:rPr>
      </w:pPr>
    </w:p>
    <w:p>
      <w:pPr>
        <w:jc w:val="both"/>
        <w:ind w:left="1700" w:hanging="396"/>
        <w:spacing w:after="0" w:line="250" w:lineRule="auto"/>
        <w:tabs>
          <w:tab w:leader="none" w:pos="16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Bylaws in accordance with the “universal proxy” rules, including requiring stockholders providing notice pursuant to Rule 14a-19 under the Exchange Act, to provide reasonable evidence to the Company that they have complied with certain requirements under the universal proxy rules no later than five days prior to the applicable stockholder meeting;</w:t>
      </w:r>
    </w:p>
    <w:p>
      <w:pPr>
        <w:spacing w:after="0" w:line="203" w:lineRule="exact"/>
        <w:rPr>
          <w:rFonts w:ascii="Times New Roman" w:cs="Times New Roman" w:eastAsia="Times New Roman" w:hAnsi="Times New Roman"/>
          <w:sz w:val="18"/>
          <w:szCs w:val="18"/>
          <w:color w:val="auto"/>
        </w:rPr>
      </w:pPr>
    </w:p>
    <w:p>
      <w:pPr>
        <w:jc w:val="both"/>
        <w:ind w:left="1700" w:hanging="396"/>
        <w:spacing w:after="0" w:line="238" w:lineRule="auto"/>
        <w:tabs>
          <w:tab w:leader="none" w:pos="16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the requirements with respect to notice of stockholder nominations and proposals, including provisions regarding the information, representations and acknowledgments to be provided in such notices by proposing stockholders, proposed nominees and other persons related to a stockholder’s solicitation of proxies, including an acknowledgment that if the proposing stockholder does not appear to present a nomination or proposal at the meeting, the Company need not present such nomination or proposal for a vote at such meeting, notwithstanding that proxies in respect of such nomination or proposal may have been received by the Company;</w:t>
      </w:r>
    </w:p>
    <w:p>
      <w:pPr>
        <w:spacing w:after="0" w:line="212"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number of nominees a stockholder may nominate to the number of directors to be elected at the meeting;</w:t>
      </w:r>
    </w:p>
    <w:p>
      <w:pPr>
        <w:spacing w:after="0" w:line="238" w:lineRule="exact"/>
        <w:rPr>
          <w:rFonts w:ascii="Times New Roman" w:cs="Times New Roman" w:eastAsia="Times New Roman" w:hAnsi="Times New Roman"/>
          <w:sz w:val="18"/>
          <w:szCs w:val="18"/>
          <w:color w:val="auto"/>
        </w:rPr>
      </w:pPr>
    </w:p>
    <w:p>
      <w:pPr>
        <w:ind w:left="1700" w:hanging="396"/>
        <w:spacing w:after="0" w:line="266" w:lineRule="auto"/>
        <w:tabs>
          <w:tab w:leader="none" w:pos="16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stockholder directly or indirectly soliciting proxies from other stockholders use a proxy card color other than white; and</w:t>
      </w:r>
    </w:p>
    <w:p>
      <w:pPr>
        <w:spacing w:after="0" w:line="189" w:lineRule="exact"/>
        <w:rPr>
          <w:rFonts w:ascii="Times New Roman" w:cs="Times New Roman" w:eastAsia="Times New Roman" w:hAnsi="Times New Roman"/>
          <w:sz w:val="18"/>
          <w:szCs w:val="18"/>
          <w:color w:val="auto"/>
        </w:rPr>
      </w:pPr>
    </w:p>
    <w:p>
      <w:pPr>
        <w:ind w:left="1700" w:right="20" w:hanging="396"/>
        <w:spacing w:after="0" w:line="266" w:lineRule="auto"/>
        <w:tabs>
          <w:tab w:leader="none" w:pos="16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any previously scheduled annual meeting of stockholders may be postponed, rescheduled or cancelled by action of the Board of Directors.</w:t>
      </w:r>
    </w:p>
    <w:p>
      <w:pPr>
        <w:spacing w:after="0" w:line="189" w:lineRule="exact"/>
        <w:rPr>
          <w:sz w:val="20"/>
          <w:szCs w:val="20"/>
          <w:color w:val="auto"/>
        </w:rPr>
      </w:pPr>
    </w:p>
    <w:p>
      <w:pPr>
        <w:jc w:val="both"/>
        <w:ind w:left="660" w:right="20"/>
        <w:spacing w:after="0" w:line="250" w:lineRule="auto"/>
        <w:rPr>
          <w:sz w:val="20"/>
          <w:szCs w:val="20"/>
          <w:color w:val="auto"/>
        </w:rPr>
      </w:pPr>
      <w:r>
        <w:rPr>
          <w:rFonts w:ascii="Times New Roman" w:cs="Times New Roman" w:eastAsia="Times New Roman" w:hAnsi="Times New Roman"/>
          <w:sz w:val="18"/>
          <w:szCs w:val="18"/>
          <w:color w:val="auto"/>
        </w:rPr>
        <w:t>In addition, certain other technical, ministerial, clarifying and conforming changes were made to the Bylaws, including clarifying the existing voting standard for certain matters at any meeting of stockholders. The foregoing description is qualified in its entirety by reference to the full text of the Bylaws, a copy of which is filed hereto as Exhibit 3.1 and incorporated by reference herein.</w:t>
      </w:r>
    </w:p>
    <w:p>
      <w:pPr>
        <w:spacing w:after="0" w:line="19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80" w:type="dxa"/>
            <w:vAlign w:val="bottom"/>
            <w:gridSpan w:val="6"/>
            <w:vMerge w:val="restart"/>
          </w:tcPr>
          <w:p>
            <w:pPr>
              <w:jc w:val="right"/>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1"/>
                <w:szCs w:val="11"/>
                <w:color w:val="auto"/>
              </w:rPr>
            </w:pPr>
          </w:p>
        </w:tc>
        <w:tc>
          <w:tcPr>
            <w:tcW w:w="70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124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6"/>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w w:val="99"/>
              </w:rPr>
              <w:t>Second Amended and Restated Bylaws</w:t>
            </w:r>
          </w:p>
        </w:tc>
        <w:tc>
          <w:tcPr>
            <w:tcW w:w="19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7"/>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500" w:type="dxa"/>
            <w:vAlign w:val="bottom"/>
            <w:tcBorders>
              <w:top w:val="single" w:sz="8" w:color="0000FF"/>
            </w:tcBorders>
            <w:gridSpan w:val="6"/>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4"/>
          </w:tcPr>
          <w:p>
            <w:pPr>
              <w:spacing w:after="0"/>
              <w:rPr>
                <w:sz w:val="15"/>
                <w:szCs w:val="15"/>
                <w:color w:val="auto"/>
              </w:rPr>
            </w:pPr>
          </w:p>
        </w:tc>
        <w:tc>
          <w:tcPr>
            <w:tcW w:w="34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3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2"/>
          </w:tcPr>
          <w:p>
            <w:pPr>
              <w:ind w:left="140"/>
              <w:spacing w:after="0"/>
              <w:rPr>
                <w:sz w:val="20"/>
                <w:szCs w:val="20"/>
                <w:color w:val="auto"/>
              </w:rPr>
            </w:pPr>
            <w:r>
              <w:rPr>
                <w:rFonts w:ascii="Times New Roman" w:cs="Times New Roman" w:eastAsia="Times New Roman" w:hAnsi="Times New Roman"/>
                <w:sz w:val="18"/>
                <w:szCs w:val="18"/>
                <w:color w:val="auto"/>
              </w:rPr>
              <w:t>Furnished herewith.</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25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SECOND AMENDED AND RESTATED BYLAWS</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PROGYNY, INC.</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 DELAWARE CORPORATION)</w:t>
      </w:r>
    </w:p>
    <w:p>
      <w:pPr>
        <w:sectPr>
          <w:pgSz w:w="11900" w:h="16838" w:orient="portrait"/>
          <w:cols w:equalWidth="0" w:num="1">
            <w:col w:w="10120"/>
          </w:cols>
          <w:pgMar w:left="1440" w:top="10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OFFICES</w:t>
      </w:r>
    </w:p>
    <w:p>
      <w:pPr>
        <w:spacing w:after="0" w:line="22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shall be established and maintained at the office of Corporation Service Company, Inc., in the City of Wilmington, County of New Castle, in the State of Delaware, and said corporation, or other such person or entity as the Board of Directors may from time to time designate, shall be the registered agent of the corporation.</w:t>
      </w:r>
    </w:p>
    <w:p>
      <w:pPr>
        <w:spacing w:after="0" w:line="20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Other Offices</w:t>
      </w:r>
      <w:r>
        <w:rPr>
          <w:rFonts w:ascii="Times New Roman" w:cs="Times New Roman" w:eastAsia="Times New Roman" w:hAnsi="Times New Roman"/>
          <w:sz w:val="21"/>
          <w:szCs w:val="21"/>
          <w:color w:val="auto"/>
        </w:rPr>
        <w:t>. The corporation shall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CORPORATE SEAL</w:t>
      </w:r>
    </w:p>
    <w:p>
      <w:pPr>
        <w:spacing w:after="0" w:line="223" w:lineRule="exact"/>
        <w:rPr>
          <w:sz w:val="20"/>
          <w:szCs w:val="20"/>
          <w:color w:val="auto"/>
        </w:rPr>
      </w:pPr>
    </w:p>
    <w:p>
      <w:pPr>
        <w:jc w:val="both"/>
        <w:ind w:firstLine="1205"/>
        <w:spacing w:after="0" w:line="257"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Corporate Seal</w:t>
      </w:r>
      <w:r>
        <w:rPr>
          <w:rFonts w:ascii="Times New Roman" w:cs="Times New Roman" w:eastAsia="Times New Roman" w:hAnsi="Times New Roman"/>
          <w:sz w:val="22"/>
          <w:szCs w:val="22"/>
          <w:color w:val="auto"/>
        </w:rPr>
        <w:t>. The Board of Directors may adopt a corporate seal. If adopted, the corporate seal shall consist of a die bearing the name of the corporation and the inscription, “Corporate Seal-Delaware.” Said seal may be used by causing it or a facsimile thereof to be impressed or affixed or reproduced or otherwise.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STOCKHOLDERS’ MEETINGS</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Meetings of the stockholders of the corporation may be 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as amended from time to time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49"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Any previously scheduled annual meeting of stockholders may be postponed, rescheduled or cancelled by action of the Board of Directors prior to the time previously scheduled for such annual meeting of the stockholders.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22"/>
          <w:szCs w:val="22"/>
          <w:color w:val="auto"/>
        </w:rPr>
        <w:t>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22"/>
          <w:szCs w:val="22"/>
          <w:b w:val="1"/>
          <w:bCs w:val="1"/>
          <w:i w:val="1"/>
          <w:iCs w:val="1"/>
          <w:color w:val="auto"/>
        </w:rPr>
        <w:t>1934 Act</w:t>
      </w:r>
      <w:r>
        <w:rPr>
          <w:rFonts w:ascii="Times New Roman" w:cs="Times New Roman" w:eastAsia="Times New Roman" w:hAnsi="Times New Roman"/>
          <w:sz w:val="22"/>
          <w:szCs w:val="22"/>
          <w:color w:val="auto"/>
        </w:rPr>
        <w:t>”)) before an annual meeting of stockholders. Notwithstanding anything to the contrary herein, only persons who are nominated in accordance with the procedures set forth in these Bylaws shall be eligible for election as directors.</w:t>
      </w:r>
    </w:p>
    <w:p>
      <w:pPr>
        <w:spacing w:after="0" w:line="207" w:lineRule="exact"/>
        <w:rPr>
          <w:sz w:val="20"/>
          <w:szCs w:val="20"/>
          <w:color w:val="auto"/>
        </w:rPr>
      </w:pPr>
    </w:p>
    <w:p>
      <w:pPr>
        <w:ind w:right="20" w:firstLine="1304"/>
        <w:spacing w:after="0" w:line="284"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 annual meeting of the stockholders, only such business shall be conducted as is a proper matter for stockholder action under Delaware law and as shall have been properly brought before the meeting.</w:t>
      </w:r>
    </w:p>
    <w:p>
      <w:pPr>
        <w:spacing w:after="0" w:line="171" w:lineRule="exact"/>
        <w:rPr>
          <w:sz w:val="20"/>
          <w:szCs w:val="20"/>
          <w:color w:val="auto"/>
        </w:rPr>
      </w:pPr>
    </w:p>
    <w:p>
      <w:pPr>
        <w:jc w:val="both"/>
        <w:ind w:firstLine="1304"/>
        <w:spacing w:after="0" w:line="247" w:lineRule="auto"/>
        <w:tabs>
          <w:tab w:leader="none" w:pos="193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The number of nominees a stockholder may nominate for election at an annual meeting of the stockholders (or in the case of a stockholder giving notice on behalf of a beneficial owner, the number of nominees a stockholder may nominate for election at the annual meeting of the stockholders on behalf of such beneficial owner) shall not exceed the number of directors to be elected at such annual meeting of the stockholders. Such stockholder’s notice shall set forth and include the following information and/or documents, as applicable:</w:t>
      </w:r>
    </w:p>
    <w:p>
      <w:pPr>
        <w:spacing w:after="0" w:line="6" w:lineRule="exact"/>
        <w:rPr>
          <w:rFonts w:ascii="Times New Roman" w:cs="Times New Roman" w:eastAsia="Times New Roman" w:hAnsi="Times New Roman"/>
          <w:sz w:val="22"/>
          <w:szCs w:val="22"/>
          <w:color w:val="auto"/>
        </w:rPr>
      </w:pPr>
    </w:p>
    <w:p>
      <w:pPr>
        <w:jc w:val="both"/>
        <w:ind w:firstLine="8"/>
        <w:spacing w:after="0" w:line="259" w:lineRule="auto"/>
        <w:tabs>
          <w:tab w:leader="none" w:pos="361"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a statement whether such nominee, if elected, intends to tender, promptly following such person’s failure to receive the required vote for election or re-election at the next meeting at which such person would face election or re- election, an irrevocable resignation effective upon acceptance of such resignation by the Board of Directors, (6) a completed questionnaire, representation and agreement required by this Section 5 signed by such nominee, (7) in the case of a nomination to elect one or more directors to the Board of Directors, a representation that, if the Proponent (as defined below) intends to solicit proxies in support of director nominees other than the corporation’s nominees, the Proponent will (i) solicit proxies from holders of the outstanding capital stock of the corporation representing at least sixty-seven percent (67%) of the voting power of shares of capital stock of the corporation entitled to vote on the election of directors, (ii) include a statement to that effect in its proxy statement and/or the form of proxy, (iii) otherwise comply with Rule 14a-19 promulgated under the 1934 Act and (iv) provide the Secretary not less than five (5) days prior to the annual meeting of the stockholders or any adjournment, rescheduling or postponement thereof, with reasonable documentary evidence (as determined by the Secretary in good faith) that such Proponent complied with such representation, (8) a written 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47" w:lineRule="auto"/>
        <w:rPr>
          <w:sz w:val="20"/>
          <w:szCs w:val="20"/>
          <w:color w:val="auto"/>
        </w:rPr>
      </w:pPr>
      <w:r>
        <w:rPr>
          <w:rFonts w:ascii="Times New Roman" w:cs="Times New Roman" w:eastAsia="Times New Roman" w:hAnsi="Times New Roman"/>
          <w:sz w:val="22"/>
          <w:szCs w:val="22"/>
          <w:color w:val="auto"/>
        </w:rPr>
        <w:t>and agreement from each nominee that such nominee (i) is not and will not become a party to any agreement, arrangement or understanding with, and has not given any commitment or assurance to, any person or entity as to how such person, if elected as a director of the corporation, will act or vote on any issue or question if such agreement, arrangement or understanding has not been disclosed to the corporation, or if such agreement, arrangement or understanding could limit or interfere with such person’s ability to comply, if elected as a director of the corporation, with such person’s fiduciary duties under applicable law, (ii) has not been during the past three years, is not, and may not become, a party to any compensatory, payment, indemnification or other financial agreement, arrangement or understanding with any person or entity other than the corporation in connection with service or action as a director that has not been disclosed to the corporation, (iii) intends to serve as a director of the corporation for the full term for which such nominee is to stand for election, and (iv) will comply with all of the corporation’s corporate governance, conflict of interest, confidentiality and stock ownership and trading policies and guidelines, and any other corporation policies and guidelines applicable to directors, and (9)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in any proxy statement and other proxy materials for the applicable meeting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224" w:lineRule="exact"/>
        <w:rPr>
          <w:sz w:val="20"/>
          <w:szCs w:val="20"/>
          <w:color w:val="auto"/>
        </w:rPr>
      </w:pPr>
    </w:p>
    <w:p>
      <w:pPr>
        <w:jc w:val="both"/>
        <w:ind w:firstLine="1304"/>
        <w:spacing w:after="0" w:line="248"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and the reasons for conducting such business at the meeting, (B) the text of the proposal or business (including the text of any resolutions proposed for consideration and, in the event that such business includes a proposal to amend these Bylaws, the language of such proposed amendment), (C)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(D) the information required by Section 5(b)(4).</w:t>
      </w:r>
    </w:p>
    <w:p>
      <w:pPr>
        <w:spacing w:after="0" w:line="21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the written notice required by Section 5(b)(1) or 5(b)(2) must be received by the Secretary at the principal executive offices of the corporation not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49" w:lineRule="auto"/>
        <w:rPr>
          <w:sz w:val="20"/>
          <w:szCs w:val="20"/>
          <w:color w:val="auto"/>
        </w:rPr>
      </w:pPr>
      <w:r>
        <w:rPr>
          <w:rFonts w:ascii="Times New Roman" w:cs="Times New Roman" w:eastAsia="Times New Roman" w:hAnsi="Times New Roman"/>
          <w:sz w:val="22"/>
          <w:szCs w:val="22"/>
          <w:color w:val="auto"/>
        </w:rPr>
        <w:t>than the close of business on the ninetieth (90th) day nor earlier than the close of business on the one hundred twentieth (120th) day prior to the first anniversary of the preceding year’s annual meeting; provided that, subject to the last sentence of this Section 5(b)(3), in the event that no annual meeting was held during the preceding year or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210" w:lineRule="exact"/>
        <w:rPr>
          <w:sz w:val="20"/>
          <w:szCs w:val="20"/>
          <w:color w:val="auto"/>
        </w:rPr>
      </w:pPr>
    </w:p>
    <w:p>
      <w:pPr>
        <w:jc w:val="both"/>
        <w:ind w:firstLine="1304"/>
        <w:spacing w:after="0" w:line="246" w:lineRule="auto"/>
        <w:tabs>
          <w:tab w:leader="none" w:pos="193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notice required by Section 5(b)(1) or 5(b)(2)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22"/>
          <w:szCs w:val="22"/>
          <w:b w:val="1"/>
          <w:bCs w:val="1"/>
          <w:i w:val="1"/>
          <w:iCs w:val="1"/>
          <w:color w:val="auto"/>
        </w:rPr>
        <w:t>Proponent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Proponents</w:t>
      </w:r>
      <w:r>
        <w:rPr>
          <w:rFonts w:ascii="Times New Roman" w:cs="Times New Roman" w:eastAsia="Times New Roman" w:hAnsi="Times New Roman"/>
          <w:sz w:val="22"/>
          <w:szCs w:val="22"/>
          <w:color w:val="auto"/>
        </w:rPr>
        <w:t>”): (A) the name and address of each Proponent, as they appear on the corporation’s books; (B) the class, series and number of shares of the corporation that are, directly or indirectly,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and an acknowledgement that if such Proponents do not appear to present such nomination or business at the meeting, the corporation need not present such nomination or business for a vote at such meeting, notwithstanding that proxies in respect of such nomination or business may have been received by the corporation; (E) a representation as to whether the Proponents intend to deliver a proxy statement and form of proxy to holders of a sufficient number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240" w:lineRule="exact"/>
        <w:rPr>
          <w:rFonts w:ascii="Times New Roman" w:cs="Times New Roman" w:eastAsia="Times New Roman" w:hAnsi="Times New Roman"/>
          <w:sz w:val="22"/>
          <w:szCs w:val="22"/>
          <w:color w:val="auto"/>
        </w:rPr>
      </w:pPr>
    </w:p>
    <w:p>
      <w:pPr>
        <w:jc w:val="both"/>
        <w:ind w:firstLine="1303"/>
        <w:spacing w:after="0" w:line="257" w:lineRule="auto"/>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written notice required by Section 5(b)(1) or 5(b)(2) shall update and supplement such notice in writing, if necessary, so that the information provided or required to be provided in such notice is true and correct in all material respects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74" w:name="page75"/>
    <w:bookmarkEnd w:id="74"/>
    <w:p>
      <w:pPr>
        <w:jc w:val="both"/>
        <w:ind w:firstLine="8"/>
        <w:spacing w:after="0" w:line="261" w:lineRule="auto"/>
        <w:tabs>
          <w:tab w:leader="none" w:pos="279"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record date for the meeting and (ii) the date that is five (5) business days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If a Proponent provides notice on behalf of itself and/or any beneficial owner intending to solicit proxies in support of director nominees other than the corporation’s nominees no longer intends to solicit proxies in accordance with its representation pursuant to Section 5(b)(1)(A)(8), such stockholder and/or beneficial owner shall inform the corporation of this change by delivering a writing to the Secretary no later than two (2) business days after the occurrence of such change.</w:t>
      </w:r>
    </w:p>
    <w:p>
      <w:pPr>
        <w:spacing w:after="0" w:line="202" w:lineRule="exact"/>
        <w:rPr>
          <w:rFonts w:ascii="Times New Roman" w:cs="Times New Roman" w:eastAsia="Times New Roman" w:hAnsi="Times New Roman"/>
          <w:sz w:val="21"/>
          <w:szCs w:val="21"/>
          <w:color w:val="auto"/>
        </w:rPr>
      </w:pPr>
    </w:p>
    <w:p>
      <w:pPr>
        <w:jc w:val="both"/>
        <w:ind w:firstLine="1303"/>
        <w:spacing w:after="0" w:line="249" w:lineRule="auto"/>
        <w:tabs>
          <w:tab w:leader="none" w:pos="193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Times New Roman" w:cs="Times New Roman" w:eastAsia="Times New Roman" w:hAnsi="Times New Roman"/>
          <w:sz w:val="22"/>
          <w:szCs w:val="22"/>
          <w:b w:val="1"/>
          <w:bCs w:val="1"/>
          <w:i w:val="1"/>
          <w:iCs w:val="1"/>
          <w:color w:val="auto"/>
        </w:rPr>
        <w:t>Expiring Class</w:t>
      </w:r>
      <w:r>
        <w:rPr>
          <w:rFonts w:ascii="Times New Roman" w:cs="Times New Roman" w:eastAsia="Times New Roman" w:hAnsi="Times New Roman"/>
          <w:sz w:val="22"/>
          <w:szCs w:val="22"/>
          <w:color w:val="auto"/>
        </w:rPr>
        <w:t>” shall mean a class of directors whose term shall expire at the next annual meeting of stockholders.</w:t>
      </w:r>
    </w:p>
    <w:p>
      <w:pPr>
        <w:spacing w:after="0" w:line="210" w:lineRule="exact"/>
        <w:rPr>
          <w:rFonts w:ascii="Times New Roman" w:cs="Times New Roman" w:eastAsia="Times New Roman" w:hAnsi="Times New Roman"/>
          <w:sz w:val="22"/>
          <w:szCs w:val="22"/>
          <w:color w:val="auto"/>
        </w:rPr>
      </w:pPr>
    </w:p>
    <w:p>
      <w:pPr>
        <w:jc w:val="both"/>
        <w:ind w:firstLine="1303"/>
        <w:spacing w:after="0" w:line="248" w:lineRule="auto"/>
        <w:tabs>
          <w:tab w:leader="none" w:pos="19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not be eligible for election or re-election as a director unless the person is nominated in accordance with this Article II.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(i) any proposed nomination or business is not in compliance with these Bylaws, (ii) the Proponent does not act in accordance with the representations in Sections 5(b)(4)(D) and 5(b)(4)(E), or (iii) the stockholder does not appear in person at the annual or special meeting of the stockholders, as applicable, (or virtually, if no in person meeting in held) to present such proposed nomination or business, in each case,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225" w:lineRule="exact"/>
        <w:rPr>
          <w:rFonts w:ascii="Times New Roman" w:cs="Times New Roman" w:eastAsia="Times New Roman" w:hAnsi="Times New Roman"/>
          <w:sz w:val="22"/>
          <w:szCs w:val="22"/>
          <w:color w:val="auto"/>
        </w:rPr>
      </w:pPr>
    </w:p>
    <w:p>
      <w:pPr>
        <w:ind w:firstLine="1303"/>
        <w:spacing w:after="0" w:line="271" w:lineRule="auto"/>
        <w:tabs>
          <w:tab w:leader="none" w:pos="194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5, in order to include information with respect to a stockholder proposal in the proxy statement and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22"/>
          <w:szCs w:val="22"/>
          <w:color w:val="auto"/>
        </w:rPr>
        <w:t>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provided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206" w:lineRule="exact"/>
        <w:rPr>
          <w:sz w:val="20"/>
          <w:szCs w:val="20"/>
          <w:color w:val="auto"/>
        </w:rPr>
      </w:pPr>
    </w:p>
    <w:p>
      <w:pPr>
        <w:ind w:left="1940" w:hanging="637"/>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Sections 5 and 6,</w:t>
      </w:r>
    </w:p>
    <w:p>
      <w:pPr>
        <w:spacing w:after="0" w:line="240" w:lineRule="exact"/>
        <w:rPr>
          <w:rFonts w:ascii="Times New Roman" w:cs="Times New Roman" w:eastAsia="Times New Roman" w:hAnsi="Times New Roman"/>
          <w:sz w:val="22"/>
          <w:szCs w:val="22"/>
          <w:color w:val="auto"/>
        </w:rPr>
      </w:pPr>
    </w:p>
    <w:p>
      <w:pPr>
        <w:ind w:firstLine="1304"/>
        <w:spacing w:after="0" w:line="276"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associates</w:t>
      </w:r>
      <w:r>
        <w:rPr>
          <w:rFonts w:ascii="Times New Roman" w:cs="Times New Roman" w:eastAsia="Times New Roman" w:hAnsi="Times New Roman"/>
          <w:sz w:val="22"/>
          <w:szCs w:val="22"/>
          <w:color w:val="auto"/>
        </w:rPr>
        <w:t>” shall have the meanings set forth in Rule 405 under the Securities Act of 1933, as amended (the “</w:t>
      </w:r>
      <w:r>
        <w:rPr>
          <w:rFonts w:ascii="Times New Roman" w:cs="Times New Roman" w:eastAsia="Times New Roman" w:hAnsi="Times New Roman"/>
          <w:sz w:val="22"/>
          <w:szCs w:val="22"/>
          <w:b w:val="1"/>
          <w:bCs w:val="1"/>
          <w:i w:val="1"/>
          <w:iCs w:val="1"/>
          <w:color w:val="auto"/>
        </w:rPr>
        <w:t>1933 Act</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ind w:firstLine="1304"/>
        <w:spacing w:after="0" w:line="276"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Derivative Transaction</w:t>
      </w:r>
      <w:r>
        <w:rPr>
          <w:rFonts w:ascii="Times New Roman" w:cs="Times New Roman" w:eastAsia="Times New Roman" w:hAnsi="Times New Roman"/>
          <w:sz w:val="22"/>
          <w:szCs w:val="22"/>
          <w:color w:val="auto"/>
        </w:rPr>
        <w:t>” means any agreement, arrangement, interest or understanding entered into by, or on behalf or for the benefit of, any Proponent or any of its affiliates or associates, whether record or beneficial:</w:t>
      </w:r>
    </w:p>
    <w:p>
      <w:pPr>
        <w:spacing w:after="0" w:line="180"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which is derived in whole or in part from the value of any class or series of shares or other securities of the corporation,</w:t>
      </w:r>
    </w:p>
    <w:p>
      <w:pPr>
        <w:spacing w:after="0" w:line="184"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otherwise provides any direct or indirect opportunity to gain or share in any gain derived from a change in the value of securities of the corporation,</w:t>
      </w:r>
    </w:p>
    <w:p>
      <w:pPr>
        <w:spacing w:after="0" w:line="19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 or intent of which is to mitigate loss, manage risk or benefit of security value or price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or</w:t>
      </w:r>
    </w:p>
    <w:p>
      <w:pPr>
        <w:spacing w:after="0" w:line="222"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21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public announcement</w:t>
      </w:r>
      <w:r>
        <w:rPr>
          <w:rFonts w:ascii="Times New Roman" w:cs="Times New Roman" w:eastAsia="Times New Roman" w:hAnsi="Times New Roman"/>
          <w:sz w:val="22"/>
          <w:szCs w:val="22"/>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3"/>
        <w:spacing w:after="0" w:line="253" w:lineRule="auto"/>
        <w:tabs>
          <w:tab w:leader="none" w:pos="1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05" w:lineRule="exact"/>
        <w:rPr>
          <w:rFonts w:ascii="Times New Roman" w:cs="Times New Roman" w:eastAsia="Times New Roman" w:hAnsi="Times New Roman"/>
          <w:sz w:val="22"/>
          <w:szCs w:val="22"/>
          <w:color w:val="auto"/>
        </w:rPr>
      </w:pPr>
    </w:p>
    <w:p>
      <w:pPr>
        <w:jc w:val="both"/>
        <w:ind w:firstLine="1303"/>
        <w:spacing w:after="0" w:line="256" w:lineRule="auto"/>
        <w:tabs>
          <w:tab w:leader="none" w:pos="193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9 of these Bylaws. No business may be transacted at such special meeting otherwise than specified in the notice of meeting.</w:t>
      </w:r>
    </w:p>
    <w:p>
      <w:pPr>
        <w:spacing w:after="0" w:line="203" w:lineRule="exact"/>
        <w:rPr>
          <w:rFonts w:ascii="Times New Roman" w:cs="Times New Roman" w:eastAsia="Times New Roman" w:hAnsi="Times New Roman"/>
          <w:sz w:val="22"/>
          <w:szCs w:val="22"/>
          <w:color w:val="auto"/>
        </w:rPr>
      </w:pPr>
    </w:p>
    <w:p>
      <w:pPr>
        <w:jc w:val="both"/>
        <w:ind w:firstLine="1303"/>
        <w:spacing w:after="0" w:line="247" w:lineRule="auto"/>
        <w:tabs>
          <w:tab w:leader="none" w:pos="1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The number of nominees a stockholder may nominate for election at a special meeting of the stockholders (or in the case of a stockholder giving notice on behalf of a beneficial owner, the number of nominees a stockholder may nominate for election at a special meeting of the stockholders on behalf of such beneficial owner) shall not exceed the number of directors to be elected at such special meeting of the stockholders.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217" w:lineRule="exact"/>
        <w:rPr>
          <w:rFonts w:ascii="Times New Roman" w:cs="Times New Roman" w:eastAsia="Times New Roman" w:hAnsi="Times New Roman"/>
          <w:sz w:val="22"/>
          <w:szCs w:val="22"/>
          <w:color w:val="auto"/>
        </w:rPr>
      </w:pPr>
    </w:p>
    <w:p>
      <w:pPr>
        <w:jc w:val="both"/>
        <w:ind w:firstLine="1303"/>
        <w:spacing w:after="0" w:line="253" w:lineRule="auto"/>
        <w:tabs>
          <w:tab w:leader="none" w:pos="193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Article II, a stockholder must also comply with all applicable requirements of state law and the 1934 Act and the rules and regulations thereunder with respect to matters set forth in Sections 5 and 6. Nothing in these Bylaws shall be deemed to affect any rights of stockholders to request inclusion of proposals in the corporation’s proxy statement pursuant to Rule 14a-8 under the 1934 Act; provided that any references in these Bylaws to the 1934 Act or the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71" w:lineRule="auto"/>
        <w:rPr>
          <w:sz w:val="20"/>
          <w:szCs w:val="20"/>
          <w:color w:val="auto"/>
        </w:rPr>
      </w:pPr>
      <w:r>
        <w:rPr>
          <w:rFonts w:ascii="Times New Roman" w:cs="Times New Roman" w:eastAsia="Times New Roman" w:hAnsi="Times New Roman"/>
          <w:sz w:val="22"/>
          <w:szCs w:val="22"/>
          <w:color w:val="auto"/>
        </w:rPr>
        <w:t>thereunder are not intended to and shall not limit the requirements applicable to nominations for the election to the Board of Directors to be considered pursuant to Article II of these Bylaws.</w:t>
      </w:r>
    </w:p>
    <w:p>
      <w:pPr>
        <w:spacing w:after="0" w:line="18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Notice of Meetings</w:t>
      </w:r>
      <w:r>
        <w:rPr>
          <w:rFonts w:ascii="Times New Roman" w:cs="Times New Roman" w:eastAsia="Times New Roman" w:hAnsi="Times New Roman"/>
          <w:sz w:val="21"/>
          <w:szCs w:val="21"/>
          <w:color w:val="auto"/>
        </w:rPr>
        <w:t>. Except as otherwise provided by law, notice, given in writing or by electronic transmission, of each meeting of 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If sent via electronic transmission, notice is given as of the sending time recorded at the time of transmission.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20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all meetings of stockholders, except where otherwise provided by statute or by the Certificate of Incorporation, or by these Bylaws, the presence, in person, by remote communication, if applicable, or by proxy duly authorized, of the holders of a majority of the voting power of the outstanding shares of stock entitled to vote shall constitute a quorum for the transaction of business, provided, however, that where a separate vote by a class or classes or series is required, the holders of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pacing w:after="0" w:line="21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provided by statute or by applicable stock exchange rules, or by the Certificate of Incorporation or these Bylaws, as applicable, (a) for the purpose of determining those stockholders entitled to vote at any meeting of the stockholders, only persons in whose names shares stand on the stock records of the corporation on the record date, as provided in Section 13, shall be entitled to vote at any meeting of the stockholders, (b) the affirmative vote of the holders of a majority of the voting power of the shares present in person, by remote communication, if applicable, or represented by proxy at the meeting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78" w:name="page79"/>
    <w:bookmarkEnd w:id="7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entitled to vote generally on the subject matter shall be the act of the stockholders;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directors shall be elected by a plurality of the votes of the shares present in person, by remote communication, if applicable, or represented by proxy at the meeting and entitled to vote generally on the election of directors, and (c) the affirmative vote of a majority (plurality, in the case of the election of directors) of shares of such class or classes or series present in person, by remote communication, if applicable, or represented by proxy at the meeting shall be the act of such class or classes or series. For purposes of this Section 9, a vote of the holders of a majority of the voting power of the shares cast shall mean that the number of votes cast “for” a matter exceeds 50% of the number of votes cast with respect to that matter. Votes cast shall include votes against the matter and shall exclude abstentions and broker non- votes with respect to that matter, but abstentions and broker non-votes will be considered for purposes of establishing a quorum under Section 8.</w:t>
      </w:r>
    </w:p>
    <w:p>
      <w:pPr>
        <w:spacing w:after="0" w:line="21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Adjournment and Notice of Adjourned Meetings</w:t>
      </w:r>
      <w:r>
        <w:rPr>
          <w:rFonts w:ascii="Times New Roman" w:cs="Times New Roman" w:eastAsia="Times New Roman" w:hAnsi="Times New Roman"/>
          <w:sz w:val="21"/>
          <w:szCs w:val="21"/>
          <w:color w:val="auto"/>
        </w:rPr>
        <w:t>. Any meeting of stockholders, whether annual or special and whether or not there is a quorum, may be adjourned from time to time either by the chairperson of the meeting or by the vote of the holders of a majority of the voting power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20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Voting Rights; Proxies</w:t>
      </w:r>
      <w:r>
        <w:rPr>
          <w:rFonts w:ascii="Times New Roman" w:cs="Times New Roman" w:eastAsia="Times New Roman" w:hAnsi="Times New Roman"/>
          <w:sz w:val="21"/>
          <w:szCs w:val="21"/>
          <w:color w:val="auto"/>
        </w:rPr>
        <w:t>.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Subject to the limitation set forth in the preceding sentence, a duly executed proxy that does not state that it is irrevocable shall continue in full force and effect unless (a) revoked by the person executing it, before the vote pursuant to that proxy, by a writing delivered to the corporation stating that the proxy is revoked or by a subsequent proxy executed by, or attendance at the meeting and voting in person by, the person executing the proxy, or (b) written notice of the death or incapacity of the maker of that proxy is received by the corporation before the vote pursuant to that proxy is counted. Every proxy is revocable at the pleasure of the stockholder executing it unless the proxy states that it is irrevocable and applicable law makes it irrevocable. In the event the corporation receives proxies for disqualified or withdrawn nominees for the Board of Directors, such votes for disqualified or withdrawn nominees in the proxies will be treated as abstentions. To the extent any stockholder uses its own proxy card in connection with directly or indirectly soliciting proxies from other stockholders, such proxy card must use a proxy card color other than white, which shall be reserved for the exclusive use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8" w:right="339" w:bottom="1440" w:gutter="0" w:footer="0" w:header="0"/>
        </w:sectPr>
      </w:pPr>
    </w:p>
    <w:bookmarkStart w:id="79" w:name="page80"/>
    <w:bookmarkEnd w:id="79"/>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Joint Owners of Stock</w:t>
      </w:r>
      <w:r>
        <w:rPr>
          <w:rFonts w:ascii="Times New Roman" w:cs="Times New Roman" w:eastAsia="Times New Roman" w:hAnsi="Times New Roman"/>
          <w:sz w:val="21"/>
          <w:szCs w:val="21"/>
          <w:color w:val="auto"/>
        </w:rPr>
        <w:t>.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w:t>
      </w:r>
    </w:p>
    <w:p>
      <w:pPr>
        <w:spacing w:after="0" w:line="2"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votes, his or her act binds all; (b) if more than one (1) votes, the act of the majority so voting binds all; (c) if more than one</w:t>
      </w:r>
    </w:p>
    <w:p>
      <w:pPr>
        <w:spacing w:after="0" w:line="3" w:lineRule="exact"/>
        <w:rPr>
          <w:rFonts w:ascii="Times New Roman" w:cs="Times New Roman" w:eastAsia="Times New Roman" w:hAnsi="Times New Roman"/>
          <w:sz w:val="22"/>
          <w:szCs w:val="22"/>
          <w:color w:val="auto"/>
        </w:rPr>
      </w:pPr>
    </w:p>
    <w:p>
      <w:pPr>
        <w:jc w:val="both"/>
        <w:ind w:firstLine="8"/>
        <w:spacing w:after="0" w:line="249" w:lineRule="auto"/>
        <w:tabs>
          <w:tab w:leader="none" w:pos="3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20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u w:val="single" w:color="auto"/>
          <w:color w:val="auto"/>
        </w:rPr>
        <w:t>List of Stockholders</w:t>
      </w:r>
      <w:r>
        <w:rPr>
          <w:rFonts w:ascii="Times New Roman" w:cs="Times New Roman" w:eastAsia="Times New Roman" w:hAnsi="Times New Roman"/>
          <w:sz w:val="21"/>
          <w:szCs w:val="21"/>
          <w:color w:val="auto"/>
        </w:rPr>
        <w:t xml:space="preserve">. The Secretary shall prepare and make, no later than ten (10) days before every meeting of 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for a period of at least ten (10) days ending on the day before the meeting date (a) on a reasonably accessible electronic network,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20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No action shall be taken by the stockholders except at an annual or special meeting of stockholders called in accordance with these Bylaws, and no action shall be taken by the stockholders by written consent or by electronic transmission.</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3"/>
        <w:spacing w:after="0" w:line="256" w:lineRule="auto"/>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every meeting of stockholders, the Chairperson of the Board of Directors, or, if a Chairperson has not been appointed or is absent, the President, or, if the President is absent, a chairperson of the meeting chosen by a majority in interest of the stockholders entitled to vote, present in person or by proxy, shall act as chairperson. The Secretary, or, in his or her absence, an Assistant Secretary directed to do so by the President, shall act as secretary of the meeting.</w:t>
      </w:r>
    </w:p>
    <w:p>
      <w:pPr>
        <w:spacing w:after="0" w:line="20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50" w:lineRule="auto"/>
        <w:rPr>
          <w:sz w:val="20"/>
          <w:szCs w:val="20"/>
          <w:color w:val="auto"/>
        </w:rPr>
      </w:pPr>
      <w:r>
        <w:rPr>
          <w:rFonts w:ascii="Times New Roman" w:cs="Times New Roman" w:eastAsia="Times New Roman" w:hAnsi="Times New Roman"/>
          <w:sz w:val="22"/>
          <w:szCs w:val="22"/>
          <w:color w:val="auto"/>
        </w:rPr>
        <w:t>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20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IV</w:t>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223"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u w:val="single" w:color="auto"/>
          <w:color w:val="auto"/>
        </w:rPr>
        <w:t>Number and Term of Office</w:t>
      </w:r>
      <w:r>
        <w:rPr>
          <w:rFonts w:ascii="Times New Roman" w:cs="Times New Roman" w:eastAsia="Times New Roman" w:hAnsi="Times New Roman"/>
          <w:sz w:val="21"/>
          <w:szCs w:val="21"/>
          <w:color w:val="auto"/>
        </w:rPr>
        <w:t>.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8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business and affairs of the corporation shall be managed by or under the discretion of the Board of Directors, except as may be otherwise provided by statute or by the Certificate of Incorporation.</w:t>
      </w:r>
    </w:p>
    <w:p>
      <w:pPr>
        <w:spacing w:after="0" w:line="18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Classes of Directors</w:t>
      </w:r>
      <w:r>
        <w:rPr>
          <w:rFonts w:ascii="Times New Roman" w:cs="Times New Roman" w:eastAsia="Times New Roman" w:hAnsi="Times New Roman"/>
          <w:sz w:val="22"/>
          <w:szCs w:val="22"/>
          <w:color w:val="auto"/>
        </w:rPr>
        <w:t>. Subject to the rights of the holders of any series of Preferred Stock to elect additional directors under specified 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of the Board of Directors, the term of office of the Class II directors shall expire and Class II directors shall be elected for a full term of three years. At the third annual meeting of stockholders following such initial classification of the Board of Directors,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21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provisions of this Section 18, each director shall serve until his or her successor is duly elected and qualified or until his or her earlier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71" w:lineRule="auto"/>
        <w:rPr>
          <w:sz w:val="20"/>
          <w:szCs w:val="20"/>
          <w:color w:val="auto"/>
        </w:rPr>
      </w:pPr>
      <w:r>
        <w:rPr>
          <w:rFonts w:ascii="Times New Roman" w:cs="Times New Roman" w:eastAsia="Times New Roman" w:hAnsi="Times New Roman"/>
          <w:sz w:val="22"/>
          <w:szCs w:val="22"/>
          <w:color w:val="auto"/>
        </w:rPr>
        <w:t>resignation or removal. No decrease in the number of directors constituting the Board of Directors shall shorten the term of any incumbent director.</w:t>
      </w:r>
    </w:p>
    <w:p>
      <w:pPr>
        <w:spacing w:after="0" w:line="18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provided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21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director may resign at any time by delivering his or her notice in writing or by electronic transmission to the 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firstLine="1304"/>
        <w:spacing w:after="0" w:line="271"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holders of any series of Preferred Stock to elect additional directors under specified circumstances, neither the Board of Directors nor any individual director may be removed without cause.</w:t>
      </w:r>
    </w:p>
    <w:p>
      <w:pPr>
        <w:spacing w:after="0" w:line="184" w:lineRule="exact"/>
        <w:rPr>
          <w:rFonts w:ascii="Times New Roman" w:cs="Times New Roman" w:eastAsia="Times New Roman" w:hAnsi="Times New Roman"/>
          <w:sz w:val="22"/>
          <w:szCs w:val="22"/>
          <w:color w:val="auto"/>
        </w:rPr>
      </w:pPr>
    </w:p>
    <w:p>
      <w:pPr>
        <w:jc w:val="both"/>
        <w:ind w:firstLine="1303"/>
        <w:spacing w:after="0" w:line="257" w:lineRule="auto"/>
        <w:tabs>
          <w:tab w:leader="none" w:pos="193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limitation imposed by law, any individual director or directors may be removed with cause by the affirmative vote of the holders of at least two- thirds of the voting power of all then outstanding shares of capital stock of the corporation entitled to vote generally at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82" w:name="page83"/>
    <w:bookmarkEnd w:id="82"/>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64" w:lineRule="auto"/>
        <w:tabs>
          <w:tab w:leader="none" w:pos="194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Regular Meetings</w:t>
      </w:r>
      <w:r>
        <w:rPr>
          <w:rFonts w:ascii="Times New Roman" w:cs="Times New Roman" w:eastAsia="Times New Roman" w:hAnsi="Times New Roman"/>
          <w:sz w:val="21"/>
          <w:szCs w:val="21"/>
          <w:color w:val="auto"/>
        </w:rPr>
        <w:t>.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Notice of any regular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No further notice shall be required for regular meetings of the Board of Directors.</w:t>
      </w:r>
    </w:p>
    <w:p>
      <w:pPr>
        <w:spacing w:after="0" w:line="196"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Unless otherwise restricted by the Certificate of Incorporation, special meetings of the Board of Directors may be held at any time and place within or without the State of Delaware whenever called by the Chairperson of the Board, the Chief Executive Officer or a majority of the authorized number of directors.</w:t>
      </w:r>
    </w:p>
    <w:p>
      <w:pPr>
        <w:spacing w:after="0" w:line="19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 by Electronic Communications Equipment</w:t>
      </w:r>
      <w:r>
        <w:rPr>
          <w:rFonts w:ascii="Times New Roman" w:cs="Times New Roman" w:eastAsia="Times New Roman" w:hAnsi="Times New Roman"/>
          <w:sz w:val="22"/>
          <w:szCs w:val="22"/>
          <w:color w:val="auto"/>
        </w:rPr>
        <w:t>. Any member of the 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203" w:lineRule="exact"/>
        <w:rPr>
          <w:rFonts w:ascii="Times New Roman" w:cs="Times New Roman" w:eastAsia="Times New Roman" w:hAnsi="Times New Roman"/>
          <w:sz w:val="22"/>
          <w:szCs w:val="22"/>
          <w:color w:val="auto"/>
        </w:rPr>
      </w:pPr>
    </w:p>
    <w:p>
      <w:pPr>
        <w:jc w:val="both"/>
        <w:ind w:firstLine="1303"/>
        <w:spacing w:after="0" w:line="249" w:lineRule="auto"/>
        <w:tabs>
          <w:tab w:leader="none" w:pos="193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Special Meetings</w:t>
      </w:r>
      <w:r>
        <w:rPr>
          <w:rFonts w:ascii="Times New Roman" w:cs="Times New Roman" w:eastAsia="Times New Roman" w:hAnsi="Times New Roman"/>
          <w:sz w:val="22"/>
          <w:szCs w:val="22"/>
          <w:color w:val="auto"/>
        </w:rPr>
        <w:t>.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22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Quorum and Voting</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61" w:lineRule="auto"/>
        <w:tabs>
          <w:tab w:leader="none" w:pos="194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Certificate of Incorporation requires a greater number, and except with respect to questions related to indemnification arising under Section 45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provided that, at any meeting whether a quorum be present or otherwise, a majority of the directors present may adjourn from time to time until the time fixed for the next regular meeting of the Board of Directors, without notice other than by announcement at the meeting.</w:t>
      </w:r>
    </w:p>
    <w:p>
      <w:pPr>
        <w:jc w:val="both"/>
        <w:ind w:firstLine="1303"/>
        <w:spacing w:after="0" w:line="252" w:lineRule="auto"/>
        <w:tabs>
          <w:tab w:leader="none" w:pos="193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20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20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Fees and Compensation</w:t>
      </w:r>
      <w:r>
        <w:rPr>
          <w:rFonts w:ascii="Times New Roman" w:cs="Times New Roman" w:eastAsia="Times New Roman" w:hAnsi="Times New Roman"/>
          <w:sz w:val="22"/>
          <w:szCs w:val="22"/>
          <w:color w:val="auto"/>
        </w:rPr>
        <w:t>.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51" w:lineRule="auto"/>
        <w:tabs>
          <w:tab w:leader="none" w:pos="194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Committee</w:t>
      </w:r>
      <w:r>
        <w:rPr>
          <w:rFonts w:ascii="Times New Roman" w:cs="Times New Roman" w:eastAsia="Times New Roman" w:hAnsi="Times New Roman"/>
          <w:sz w:val="22"/>
          <w:szCs w:val="22"/>
          <w:color w:val="auto"/>
        </w:rPr>
        <w:t>.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271" w:lineRule="auto"/>
        <w:rPr>
          <w:sz w:val="20"/>
          <w:szCs w:val="20"/>
          <w:color w:val="auto"/>
        </w:rPr>
      </w:pPr>
      <w:r>
        <w:rPr>
          <w:rFonts w:ascii="Times New Roman" w:cs="Times New Roman" w:eastAsia="Times New Roman" w:hAnsi="Times New Roman"/>
          <w:sz w:val="22"/>
          <w:szCs w:val="22"/>
          <w:color w:val="auto"/>
        </w:rPr>
        <w:t>required by the DGCL to be submitted to stockholders for approval, or (ii) adopting, amending or repealing any Bylaw of the corporation.</w:t>
      </w:r>
    </w:p>
    <w:p>
      <w:pPr>
        <w:spacing w:after="0" w:line="185" w:lineRule="exact"/>
        <w:rPr>
          <w:sz w:val="20"/>
          <w:szCs w:val="20"/>
          <w:color w:val="auto"/>
        </w:rPr>
      </w:pPr>
    </w:p>
    <w:p>
      <w:pPr>
        <w:jc w:val="both"/>
        <w:ind w:firstLine="1304"/>
        <w:spacing w:after="0" w:line="253"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Committees</w:t>
      </w:r>
      <w:r>
        <w:rPr>
          <w:rFonts w:ascii="Times New Roman" w:cs="Times New Roman" w:eastAsia="Times New Roman" w:hAnsi="Times New Roman"/>
          <w:sz w:val="22"/>
          <w:szCs w:val="22"/>
          <w:color w:val="auto"/>
        </w:rPr>
        <w:t>.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205"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1"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Board of Directors, subject to any requirements of any outstanding series of Preferred Stock and the provisions of subsections (a) or (b) of this Section 26,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98"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Unless the Board of Directors shall otherwise provide, regular meetings of the Executive Committee or any other committee appointed pursuant to this Section 26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regular or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85" w:name="page86"/>
    <w:bookmarkEnd w:id="85"/>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Lead Independent Director</w:t>
      </w:r>
      <w:r>
        <w:rPr>
          <w:rFonts w:ascii="Times New Roman" w:cs="Times New Roman" w:eastAsia="Times New Roman" w:hAnsi="Times New Roman"/>
          <w:sz w:val="22"/>
          <w:szCs w:val="22"/>
          <w:color w:val="auto"/>
        </w:rPr>
        <w:t>. The Chairperson of the Board of Directors, or if the Chairperson is not an independent director, one of the independent directors, may be designated by the Board of Directors as lead independent director to serve until replaced by the Board of Directors (“</w:t>
      </w:r>
      <w:r>
        <w:rPr>
          <w:rFonts w:ascii="Times New Roman" w:cs="Times New Roman" w:eastAsia="Times New Roman" w:hAnsi="Times New Roman"/>
          <w:sz w:val="22"/>
          <w:szCs w:val="22"/>
          <w:b w:val="1"/>
          <w:bCs w:val="1"/>
          <w:i w:val="1"/>
          <w:iCs w:val="1"/>
          <w:color w:val="auto"/>
        </w:rPr>
        <w:t>Lead Independent Director</w:t>
      </w:r>
      <w:r>
        <w:rPr>
          <w:rFonts w:ascii="Times New Roman" w:cs="Times New Roman" w:eastAsia="Times New Roman" w:hAnsi="Times New Roman"/>
          <w:sz w:val="22"/>
          <w:szCs w:val="22"/>
          <w:color w:val="auto"/>
        </w:rPr>
        <w:t>”). The Lead Independent Director will:</w:t>
      </w:r>
    </w:p>
    <w:p>
      <w:pPr>
        <w:spacing w:after="0" w:line="2" w:lineRule="exact"/>
        <w:rPr>
          <w:sz w:val="20"/>
          <w:szCs w:val="20"/>
          <w:color w:val="auto"/>
        </w:rPr>
      </w:pPr>
    </w:p>
    <w:p>
      <w:pPr>
        <w:jc w:val="both"/>
        <w:ind w:firstLine="8"/>
        <w:spacing w:after="0" w:line="247" w:lineRule="auto"/>
        <w:tabs>
          <w:tab w:leader="none" w:pos="3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Chairperson of the Board of Directors, establish the agenda for regular Board meetings and serve as chairperson of Board of Directors meetings in the absence of the Chairperson of the Board of Directors; (2) establish the agenda for and preside over meetings of the independent directors; (3) coordinate with the committee chairs regarding meeting agendas and informational requirements; (4) preside over any portions of meetings of the Board of Directors at which the evaluation or compensation of the Chief Executive Officer is presented or discussed; (5) preside over any portions of meetings of the Board of Directors at which the independence of the directors or performance of the Board of Directors is presented or discussed; (6) serve as a liaison between the Chief Executive Officer or non-independent Chairperson and the independent directors; and (7) perform such other duties as may be established or delegated by the Chairperson of the Board of Directors.</w:t>
      </w:r>
    </w:p>
    <w:p>
      <w:pPr>
        <w:spacing w:after="0" w:line="21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every meeting of the directors and stockholders, the Chairperson of the Board of Directors, or, if a Chairperson has not been appointed or is absent, the Lead Independent Director, or if the Lead Independent Director has not been appointed or is absent, the Chief Executive Officer (if a director), or, if a Chief Executive Officer is absent, the President (if a director), or if the President is absent, the most senior Executive Vice President (if a director), or, in the absence of any such person, a chairperson of the meeting chosen by a majority of the directors present, shall preside over the meeting. The Secretary, or in his or her absence, any Assistant Secretary or other officer or director directed to do so by the President, shall act as secretary of the meeting. The Chairperson of the Board of Directors shall also perform such other duties and have such other powers, as the Board of Directors shall designate from time to time.</w:t>
      </w:r>
    </w:p>
    <w:p>
      <w:pPr>
        <w:spacing w:after="0" w:line="200" w:lineRule="exact"/>
        <w:rPr>
          <w:sz w:val="20"/>
          <w:szCs w:val="20"/>
          <w:color w:val="auto"/>
        </w:rPr>
      </w:pPr>
    </w:p>
    <w:p>
      <w:pPr>
        <w:spacing w:after="0" w:line="23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ARTICLE V</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29. </w:t>
      </w:r>
      <w:r>
        <w:rPr>
          <w:rFonts w:ascii="Times New Roman" w:cs="Times New Roman" w:eastAsia="Times New Roman" w:hAnsi="Times New Roman"/>
          <w:sz w:val="21"/>
          <w:szCs w:val="21"/>
          <w:u w:val="single" w:color="auto"/>
          <w:color w:val="auto"/>
        </w:rPr>
        <w:t>Officers Designated</w:t>
      </w:r>
      <w:r>
        <w:rPr>
          <w:rFonts w:ascii="Times New Roman" w:cs="Times New Roman" w:eastAsia="Times New Roman" w:hAnsi="Times New Roman"/>
          <w:sz w:val="21"/>
          <w:szCs w:val="21"/>
          <w:color w:val="auto"/>
        </w:rPr>
        <w:t>. The officers of the corporation shall include, if and when designated by the Board of Directors, the Chairperson of the Board of Directors (provided that notwithstanding anything to the contrary contained in these Bylaws, the Chairperson of the Board of Directors shall not be deemed an officer of the corporation unless so designated by the Board of Directors), the Chief Executive Officer, the President, one or more Executive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86" w:name="page87"/>
    <w:bookmarkEnd w:id="86"/>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30. </w:t>
      </w:r>
      <w:r>
        <w:rPr>
          <w:rFonts w:ascii="Times New Roman" w:cs="Times New Roman" w:eastAsia="Times New Roman" w:hAnsi="Times New Roman"/>
          <w:sz w:val="22"/>
          <w:szCs w:val="22"/>
          <w:u w:val="single" w:color="auto"/>
          <w:color w:val="auto"/>
        </w:rPr>
        <w:t>Tenure and Duties of Officers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56"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20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Chief Executive Officer</w:t>
      </w:r>
      <w:r>
        <w:rPr>
          <w:rFonts w:ascii="Times New Roman" w:cs="Times New Roman" w:eastAsia="Times New Roman" w:hAnsi="Times New Roman"/>
          <w:sz w:val="22"/>
          <w:szCs w:val="22"/>
          <w:color w:val="auto"/>
        </w:rPr>
        <w:t>. The Chief Executive Officer shall preside at all meetings of the stockholders and at all meetings of the Board of Directors,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22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President</w:t>
      </w:r>
      <w:r>
        <w:rPr>
          <w:rFonts w:ascii="Times New Roman" w:cs="Times New Roman" w:eastAsia="Times New Roman" w:hAnsi="Times New Roman"/>
          <w:sz w:val="22"/>
          <w:szCs w:val="22"/>
          <w:color w:val="auto"/>
        </w:rPr>
        <w:t>. The President shall preside at all meetings of the stockholders and at all meetings of the Board of Directors, 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20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Executive Vice Presidents</w:t>
      </w:r>
      <w:r>
        <w:rPr>
          <w:rFonts w:ascii="Times New Roman" w:cs="Times New Roman" w:eastAsia="Times New Roman" w:hAnsi="Times New Roman"/>
          <w:sz w:val="22"/>
          <w:szCs w:val="22"/>
          <w:color w:val="auto"/>
        </w:rPr>
        <w:t>. The Executive Vice Presidents may assume and perform the duties of the President in the absence or disability of the President or whenever the office of President is vacant. The Executive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205"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Secretary</w:t>
      </w:r>
      <w:r>
        <w:rPr>
          <w:rFonts w:ascii="Times New Roman" w:cs="Times New Roman" w:eastAsia="Times New Roman" w:hAnsi="Times New Roman"/>
          <w:sz w:val="22"/>
          <w:szCs w:val="22"/>
          <w:color w:val="auto"/>
        </w:rPr>
        <w:t>.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87" w:name="page88"/>
    <w:bookmarkEnd w:id="87"/>
    <w:p>
      <w:pPr>
        <w:jc w:val="both"/>
        <w:spacing w:after="0" w:line="252" w:lineRule="auto"/>
        <w:rPr>
          <w:sz w:val="20"/>
          <w:szCs w:val="20"/>
          <w:color w:val="auto"/>
        </w:rPr>
      </w:pPr>
      <w:r>
        <w:rPr>
          <w:rFonts w:ascii="Times New Roman" w:cs="Times New Roman" w:eastAsia="Times New Roman" w:hAnsi="Times New Roman"/>
          <w:sz w:val="22"/>
          <w:szCs w:val="22"/>
          <w:color w:val="auto"/>
        </w:rPr>
        <w:t>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 w:lineRule="exact"/>
        <w:rPr>
          <w:sz w:val="20"/>
          <w:szCs w:val="20"/>
          <w:color w:val="auto"/>
        </w:rPr>
      </w:pPr>
    </w:p>
    <w:p>
      <w:pPr>
        <w:jc w:val="both"/>
        <w:ind w:firstLine="1304"/>
        <w:spacing w:after="0" w:line="246" w:lineRule="auto"/>
        <w:tabs>
          <w:tab w:leader="none" w:pos="194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Chief Financial Officer</w:t>
      </w:r>
      <w:r>
        <w:rPr>
          <w:rFonts w:ascii="Times New Roman" w:cs="Times New Roman" w:eastAsia="Times New Roman" w:hAnsi="Times New Roman"/>
          <w:sz w:val="22"/>
          <w:szCs w:val="22"/>
          <w:color w:val="auto"/>
        </w:rPr>
        <w:t>.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21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Treasurer</w:t>
      </w:r>
      <w:r>
        <w:rPr>
          <w:rFonts w:ascii="Times New Roman" w:cs="Times New Roman" w:eastAsia="Times New Roman" w:hAnsi="Times New Roman"/>
          <w:sz w:val="22"/>
          <w:szCs w:val="22"/>
          <w:color w:val="auto"/>
        </w:rPr>
        <w:t>. Unless another officer has been appointed Chief 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207"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31.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The Board of Directors may from time to time delegate the powers or duties of any officer to any other officer or agent, notwithstanding any provision hereof.</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Any officer may resign at any time by giving notice in writing or by electronic transmission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88" w:name="page89"/>
    <w:bookmarkEnd w:id="88"/>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officer may be removed from office at any time, either with or without cause, by the affirmative vote of a majority of 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EXECUTION OF CORPORATE INSTRUMENTS AND VOTING OF SECURITIES OWNED BY THE CORPORATION</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Execution of Corporate Instruments</w:t>
      </w:r>
      <w:r>
        <w:rPr>
          <w:rFonts w:ascii="Times New Roman" w:cs="Times New Roman" w:eastAsia="Times New Roman" w:hAnsi="Times New Roman"/>
          <w:sz w:val="22"/>
          <w:szCs w:val="22"/>
          <w:color w:val="auto"/>
        </w:rPr>
        <w:t>.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206" w:lineRule="exact"/>
        <w:rPr>
          <w:sz w:val="20"/>
          <w:szCs w:val="20"/>
          <w:color w:val="auto"/>
        </w:rPr>
      </w:pPr>
    </w:p>
    <w:p>
      <w:pPr>
        <w:jc w:val="both"/>
        <w:ind w:firstLine="1385"/>
        <w:spacing w:after="0" w:line="271" w:lineRule="auto"/>
        <w:rPr>
          <w:sz w:val="20"/>
          <w:szCs w:val="20"/>
          <w:color w:val="auto"/>
        </w:rPr>
      </w:pPr>
      <w:r>
        <w:rPr>
          <w:rFonts w:ascii="Times New Roman" w:cs="Times New Roman" w:eastAsia="Times New Roman" w:hAnsi="Times New Roman"/>
          <w:sz w:val="22"/>
          <w:szCs w:val="22"/>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85" w:lineRule="exact"/>
        <w:rPr>
          <w:sz w:val="20"/>
          <w:szCs w:val="20"/>
          <w:color w:val="auto"/>
        </w:rPr>
      </w:pPr>
    </w:p>
    <w:p>
      <w:pPr>
        <w:jc w:val="both"/>
        <w:ind w:firstLine="1295"/>
        <w:spacing w:after="0" w:line="263" w:lineRule="auto"/>
        <w:rPr>
          <w:sz w:val="20"/>
          <w:szCs w:val="20"/>
          <w:color w:val="auto"/>
        </w:rPr>
      </w:pPr>
      <w:r>
        <w:rPr>
          <w:rFonts w:ascii="Times New Roman" w:cs="Times New Roman" w:eastAsia="Times New Roman" w:hAnsi="Times New Roman"/>
          <w:sz w:val="22"/>
          <w:szCs w:val="22"/>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Voting of Securities Owned by the Corporation</w:t>
      </w:r>
      <w:r>
        <w:rPr>
          <w:rFonts w:ascii="Times New Roman" w:cs="Times New Roman" w:eastAsia="Times New Roman" w:hAnsi="Times New Roman"/>
          <w:sz w:val="22"/>
          <w:szCs w:val="22"/>
          <w:color w:val="auto"/>
        </w:rPr>
        <w:t>.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Executive Vice President.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SHARES OF STOCK</w:t>
      </w:r>
    </w:p>
    <w:p>
      <w:pPr>
        <w:spacing w:after="0" w:line="22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Form and Execution of Certificates</w:t>
      </w:r>
      <w:r>
        <w:rPr>
          <w:rFonts w:ascii="Times New Roman" w:cs="Times New Roman" w:eastAsia="Times New Roman" w:hAnsi="Times New Roman"/>
          <w:sz w:val="22"/>
          <w:szCs w:val="22"/>
          <w:color w:val="auto"/>
        </w:rPr>
        <w:t>. The shares of the corporation shall be represented by certificates, or shall be uncertificated if so 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Chairperson of the Board of Directors, or the President or any Executive Vice President and by the Treasurer or Assistant Treasurer or the Secretary or Assistant Secretary, certifying the number of shares owned by him in the corporation. Any or all of the signatures on the certificate may be facsimiles. In case any officer, transfer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7" w:lineRule="auto"/>
        <w:rPr>
          <w:sz w:val="20"/>
          <w:szCs w:val="20"/>
          <w:color w:val="auto"/>
        </w:rPr>
      </w:pPr>
      <w:r>
        <w:rPr>
          <w:rFonts w:ascii="Times New Roman" w:cs="Times New Roman" w:eastAsia="Times New Roman" w:hAnsi="Times New Roman"/>
          <w:sz w:val="22"/>
          <w:szCs w:val="22"/>
          <w:color w:val="auto"/>
        </w:rPr>
        <w:t>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21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93"/>
        <w:spacing w:after="0" w:line="257" w:lineRule="auto"/>
        <w:tabs>
          <w:tab w:leader="none" w:pos="193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213" w:lineRule="exact"/>
        <w:rPr>
          <w:rFonts w:ascii="Times New Roman" w:cs="Times New Roman" w:eastAsia="Times New Roman" w:hAnsi="Times New Roman"/>
          <w:sz w:val="22"/>
          <w:szCs w:val="22"/>
          <w:color w:val="auto"/>
        </w:rPr>
      </w:pPr>
    </w:p>
    <w:p>
      <w:pPr>
        <w:jc w:val="both"/>
        <w:ind w:firstLine="1393"/>
        <w:spacing w:after="0" w:line="257" w:lineRule="auto"/>
        <w:tabs>
          <w:tab w:leader="none" w:pos="193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39. </w:t>
      </w:r>
      <w:r>
        <w:rPr>
          <w:rFonts w:ascii="Times New Roman" w:cs="Times New Roman" w:eastAsia="Times New Roman" w:hAnsi="Times New Roman"/>
          <w:sz w:val="22"/>
          <w:szCs w:val="22"/>
          <w:u w:val="single" w:color="auto"/>
          <w:color w:val="auto"/>
        </w:rPr>
        <w:t>Fixing Record Dates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50"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that the Board of Directors may fix a new record date for the adjourned meeting.</w:t>
      </w:r>
    </w:p>
    <w:p>
      <w:pPr>
        <w:spacing w:after="0" w:line="20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6" w:lineRule="auto"/>
        <w:rPr>
          <w:sz w:val="20"/>
          <w:szCs w:val="20"/>
          <w:color w:val="auto"/>
        </w:rPr>
      </w:pPr>
      <w:r>
        <w:rPr>
          <w:rFonts w:ascii="Times New Roman" w:cs="Times New Roman" w:eastAsia="Times New Roman" w:hAnsi="Times New Roman"/>
          <w:sz w:val="22"/>
          <w:szCs w:val="22"/>
          <w:color w:val="auto"/>
        </w:rPr>
        <w:t>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20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40.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OTHER SECURITIES OF THE CORPORATION</w:t>
      </w:r>
    </w:p>
    <w:p>
      <w:pPr>
        <w:spacing w:after="0" w:line="22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Execution of Other Securities</w:t>
      </w:r>
      <w:r>
        <w:rPr>
          <w:rFonts w:ascii="Times New Roman" w:cs="Times New Roman" w:eastAsia="Times New Roman" w:hAnsi="Times New Roman"/>
          <w:sz w:val="22"/>
          <w:szCs w:val="22"/>
          <w:color w:val="auto"/>
        </w:rPr>
        <w:t>. All bonds, debentures and other corporate securities of the corporation, other than stock certificates (covered in Section 36), may be signed by the Chairperson of the Board of Directors, the President or any Executive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ARTICLE IX</w:t>
      </w:r>
    </w:p>
    <w:p>
      <w:pPr>
        <w:spacing w:after="0" w:line="2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u w:val="single" w:color="auto"/>
          <w:color w:val="auto"/>
        </w:rPr>
        <w:t>DIVIDENDS</w:t>
      </w:r>
    </w:p>
    <w:p>
      <w:pPr>
        <w:spacing w:after="0" w:line="22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Declaration of Dividends</w:t>
      </w:r>
      <w:r>
        <w:rPr>
          <w:rFonts w:ascii="Times New Roman" w:cs="Times New Roman" w:eastAsia="Times New Roman" w:hAnsi="Times New Roman"/>
          <w:sz w:val="22"/>
          <w:szCs w:val="22"/>
          <w:color w:val="auto"/>
        </w:rPr>
        <w:t>. Dividends upon the capital stock of the corporation, subject to the provisions of the Certificate of Incorporation and applicable law, if any, may be declared by the Board of Directors pursuant to law at any regular or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91" w:name="page92"/>
    <w:bookmarkEnd w:id="9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Dividends may be paid in cash, in property, or in shares of the capital stock, subject to the provisions of the Certificate of Incorporation and applicable law.</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Dividend Reserve</w:t>
      </w:r>
      <w:r>
        <w:rPr>
          <w:rFonts w:ascii="Times New Roman" w:cs="Times New Roman" w:eastAsia="Times New Roman" w:hAnsi="Times New Roman"/>
          <w:sz w:val="21"/>
          <w:szCs w:val="21"/>
          <w:color w:val="auto"/>
        </w:rPr>
        <w:t>.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FISCAL YEAR</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 fixed by resolution of the Board of Directors.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Indemnification of Directors, Officers, Employees and Other Agents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50"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and Executive Officers</w:t>
      </w:r>
      <w:r>
        <w:rPr>
          <w:rFonts w:ascii="Times New Roman" w:cs="Times New Roman" w:eastAsia="Times New Roman" w:hAnsi="Times New Roman"/>
          <w:sz w:val="22"/>
          <w:szCs w:val="22"/>
          <w:color w:val="auto"/>
        </w:rPr>
        <w:t>. The corporation shall indemnify its directors and executive officers (for the purposes of this Article XI, “</w:t>
      </w:r>
      <w:r>
        <w:rPr>
          <w:rFonts w:ascii="Times New Roman" w:cs="Times New Roman" w:eastAsia="Times New Roman" w:hAnsi="Times New Roman"/>
          <w:sz w:val="22"/>
          <w:szCs w:val="22"/>
          <w:b w:val="1"/>
          <w:bCs w:val="1"/>
          <w:i w:val="1"/>
          <w:iCs w:val="1"/>
          <w:color w:val="auto"/>
        </w:rPr>
        <w:t>executive officers</w:t>
      </w:r>
      <w:r>
        <w:rPr>
          <w:rFonts w:ascii="Times New Roman" w:cs="Times New Roman" w:eastAsia="Times New Roman" w:hAnsi="Times New Roman"/>
          <w:sz w:val="22"/>
          <w:szCs w:val="22"/>
          <w:color w:val="auto"/>
        </w:rPr>
        <w:t>” shall have the meaning defined in Rule 3b-7 promulgated under the 1934 Act) to the to the fullest extent not prohibited by the DGCL or any other applicable law; provided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20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Employees and Agents</w:t>
      </w:r>
      <w:r>
        <w:rPr>
          <w:rFonts w:ascii="Times New Roman" w:cs="Times New Roman" w:eastAsia="Times New Roman" w:hAnsi="Times New Roman"/>
          <w:sz w:val="22"/>
          <w:szCs w:val="22"/>
          <w:color w:val="auto"/>
        </w:rPr>
        <w:t>. The corporation shall have power to indemnify its other employees and agents as set forth in the DGCL or any other applicable law. The Board of Directors shall have the power to delegate the determination of whether indemnification shall be given to any such person to such other employees or persons as the Board of Directors shall determine.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corporation shall advance to any person who was or is a party or is threatened to be made a party to any threatened, pending or completed action, suit or proceeding, whether civil, criminal, administrative or investigative, by reason of the fact that 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50" w:lineRule="auto"/>
        <w:rPr>
          <w:sz w:val="20"/>
          <w:szCs w:val="20"/>
          <w:color w:val="auto"/>
        </w:rPr>
      </w:pPr>
      <w:r>
        <w:rPr>
          <w:rFonts w:ascii="Times New Roman" w:cs="Times New Roman" w:eastAsia="Times New Roman" w:hAnsi="Times New Roman"/>
          <w:sz w:val="22"/>
          <w:szCs w:val="22"/>
          <w:color w:val="auto"/>
        </w:rPr>
        <w:t>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207" w:lineRule="exact"/>
        <w:rPr>
          <w:sz w:val="20"/>
          <w:szCs w:val="20"/>
          <w:color w:val="auto"/>
        </w:rPr>
      </w:pPr>
    </w:p>
    <w:p>
      <w:pPr>
        <w:jc w:val="both"/>
        <w:ind w:firstLine="1385"/>
        <w:spacing w:after="0" w:line="248" w:lineRule="auto"/>
        <w:rPr>
          <w:sz w:val="20"/>
          <w:szCs w:val="20"/>
          <w:color w:val="auto"/>
        </w:rPr>
      </w:pPr>
      <w:r>
        <w:rPr>
          <w:rFonts w:ascii="Times New Roman" w:cs="Times New Roman" w:eastAsia="Times New Roman" w:hAnsi="Times New Roman"/>
          <w:sz w:val="22"/>
          <w:szCs w:val="22"/>
          <w:color w:val="auto"/>
        </w:rPr>
        <w:t>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212" w:lineRule="exact"/>
        <w:rPr>
          <w:sz w:val="20"/>
          <w:szCs w:val="20"/>
          <w:color w:val="auto"/>
        </w:rPr>
      </w:pPr>
    </w:p>
    <w:p>
      <w:pPr>
        <w:jc w:val="both"/>
        <w:ind w:firstLine="1304"/>
        <w:spacing w:after="0" w:line="248"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50" w:lineRule="auto"/>
        <w:rPr>
          <w:sz w:val="20"/>
          <w:szCs w:val="20"/>
          <w:color w:val="auto"/>
        </w:rPr>
      </w:pPr>
      <w:r>
        <w:rPr>
          <w:rFonts w:ascii="Times New Roman" w:cs="Times New Roman" w:eastAsia="Times New Roman" w:hAnsi="Times New Roman"/>
          <w:sz w:val="22"/>
          <w:szCs w:val="22"/>
          <w:color w:val="auto"/>
        </w:rPr>
        <w:t>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or otherwise shall be on the corporation.</w:t>
      </w:r>
    </w:p>
    <w:p>
      <w:pPr>
        <w:spacing w:after="0" w:line="207" w:lineRule="exact"/>
        <w:rPr>
          <w:sz w:val="20"/>
          <w:szCs w:val="20"/>
          <w:color w:val="auto"/>
        </w:rPr>
      </w:pPr>
    </w:p>
    <w:p>
      <w:pPr>
        <w:jc w:val="both"/>
        <w:ind w:firstLine="1304"/>
        <w:spacing w:after="0" w:line="251" w:lineRule="auto"/>
        <w:tabs>
          <w:tab w:leader="none" w:pos="19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20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Rights</w:t>
      </w:r>
      <w:r>
        <w:rPr>
          <w:rFonts w:ascii="Times New Roman" w:cs="Times New Roman" w:eastAsia="Times New Roman" w:hAnsi="Times New Roman"/>
          <w:sz w:val="22"/>
          <w:szCs w:val="22"/>
          <w:color w:val="auto"/>
        </w:rPr>
        <w:t>. The rights conferred on any person by this Bylaw shall continue as to a person who has ceased to be a director, executive officer or other employee or agent and shall inure to the benefit of the heirs, executors and administrators of such a person.</w:t>
      </w:r>
    </w:p>
    <w:p>
      <w:pPr>
        <w:spacing w:after="0" w:line="199" w:lineRule="exact"/>
        <w:rPr>
          <w:rFonts w:ascii="Times New Roman" w:cs="Times New Roman" w:eastAsia="Times New Roman" w:hAnsi="Times New Roman"/>
          <w:sz w:val="22"/>
          <w:szCs w:val="22"/>
          <w:color w:val="auto"/>
        </w:rPr>
      </w:pPr>
    </w:p>
    <w:p>
      <w:pPr>
        <w:jc w:val="both"/>
        <w:ind w:firstLine="1304"/>
        <w:spacing w:after="0" w:line="255"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To the fullest extent permitted by the DGCL or any other applicable law, the corporation, upon approval by the Board of Directors, may purchase insurance on behalf of any person required or permitted to be indemnified pursuant to this section.</w:t>
      </w:r>
    </w:p>
    <w:p>
      <w:pPr>
        <w:jc w:val="both"/>
        <w:ind w:firstLine="1304"/>
        <w:spacing w:after="0" w:line="245"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Any repeal or modification of this section shall only be prospective and shall not affect the rights under this Bylaw in effect at the time of the alleged occurrence of any action or omission to act that is the cause of any proceeding against any agent of the corporation.</w:t>
      </w:r>
    </w:p>
    <w:p>
      <w:pPr>
        <w:spacing w:after="0" w:line="22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Savings Clause</w:t>
      </w:r>
      <w:r>
        <w:rPr>
          <w:rFonts w:ascii="Times New Roman" w:cs="Times New Roman" w:eastAsia="Times New Roman" w:hAnsi="Times New Roman"/>
          <w:sz w:val="22"/>
          <w:szCs w:val="22"/>
          <w:color w:val="auto"/>
        </w:rPr>
        <w:t>.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w:t>
      </w:r>
    </w:p>
    <w:p>
      <w:pPr>
        <w:spacing w:after="0" w:line="20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the purposes of this Bylaw, the following definitions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94" w:name="page95"/>
    <w:bookmarkEnd w:id="94"/>
    <w:p>
      <w:pPr>
        <w:spacing w:after="0" w:line="219" w:lineRule="exact"/>
        <w:rPr>
          <w:sz w:val="20"/>
          <w:szCs w:val="20"/>
          <w:color w:val="auto"/>
        </w:rPr>
      </w:pPr>
    </w:p>
    <w:p>
      <w:pPr>
        <w:jc w:val="both"/>
        <w:ind w:firstLine="1952"/>
        <w:spacing w:after="0" w:line="260" w:lineRule="auto"/>
        <w:tabs>
          <w:tab w:leader="none" w:pos="25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20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expenses</w:t>
      </w:r>
      <w:r>
        <w:rPr>
          <w:rFonts w:ascii="Times New Roman" w:cs="Times New Roman" w:eastAsia="Times New Roman" w:hAnsi="Times New Roman"/>
          <w:sz w:val="22"/>
          <w:szCs w:val="22"/>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 w:lineRule="exact"/>
        <w:rPr>
          <w:rFonts w:ascii="Times New Roman" w:cs="Times New Roman" w:eastAsia="Times New Roman" w:hAnsi="Times New Roman"/>
          <w:sz w:val="22"/>
          <w:szCs w:val="22"/>
          <w:color w:val="auto"/>
        </w:rPr>
      </w:pPr>
    </w:p>
    <w:p>
      <w:pPr>
        <w:jc w:val="both"/>
        <w:ind w:firstLine="1952"/>
        <w:spacing w:after="0" w:line="246" w:lineRule="auto"/>
        <w:tabs>
          <w:tab w:leader="none" w:pos="25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the “</w:t>
      </w:r>
      <w:r>
        <w:rPr>
          <w:rFonts w:ascii="Times New Roman" w:cs="Times New Roman" w:eastAsia="Times New Roman" w:hAnsi="Times New Roman"/>
          <w:sz w:val="22"/>
          <w:szCs w:val="22"/>
          <w:b w:val="1"/>
          <w:bCs w:val="1"/>
          <w:i w:val="1"/>
          <w:iCs w:val="1"/>
          <w:color w:val="auto"/>
        </w:rPr>
        <w:t>corporation</w:t>
      </w:r>
      <w:r>
        <w:rPr>
          <w:rFonts w:ascii="Times New Roman" w:cs="Times New Roman" w:eastAsia="Times New Roman" w:hAnsi="Times New Roman"/>
          <w:sz w:val="22"/>
          <w:szCs w:val="22"/>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206" w:lineRule="exact"/>
        <w:rPr>
          <w:rFonts w:ascii="Times New Roman" w:cs="Times New Roman" w:eastAsia="Times New Roman" w:hAnsi="Times New Roman"/>
          <w:sz w:val="22"/>
          <w:szCs w:val="22"/>
          <w:color w:val="auto"/>
        </w:rPr>
      </w:pPr>
    </w:p>
    <w:p>
      <w:pPr>
        <w:jc w:val="both"/>
        <w:ind w:firstLine="1952"/>
        <w:spacing w:after="0" w:line="258" w:lineRule="auto"/>
        <w:tabs>
          <w:tab w:leader="none" w:pos="25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 “</w:t>
      </w:r>
      <w:r>
        <w:rPr>
          <w:rFonts w:ascii="Times New Roman" w:cs="Times New Roman" w:eastAsia="Times New Roman" w:hAnsi="Times New Roman"/>
          <w:sz w:val="22"/>
          <w:szCs w:val="22"/>
          <w:b w:val="1"/>
          <w:bCs w:val="1"/>
          <w:i w:val="1"/>
          <w:iCs w:val="1"/>
          <w:color w:val="auto"/>
        </w:rPr>
        <w:t>director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agent</w:t>
      </w:r>
      <w:r>
        <w:rPr>
          <w:rFonts w:ascii="Times New Roman" w:cs="Times New Roman" w:eastAsia="Times New Roman" w:hAnsi="Times New Roman"/>
          <w:sz w:val="22"/>
          <w:szCs w:val="22"/>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94"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8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i w:val="1"/>
          <w:iCs w:val="1"/>
          <w:color w:val="auto"/>
        </w:rPr>
        <w:t>other enterprises</w:t>
      </w:r>
      <w:r>
        <w:rPr>
          <w:rFonts w:ascii="Times New Roman" w:cs="Times New Roman" w:eastAsia="Times New Roman" w:hAnsi="Times New Roman"/>
          <w:sz w:val="22"/>
          <w:szCs w:val="22"/>
          <w:color w:val="auto"/>
        </w:rPr>
        <w:t>” shall include employee benefit plans; references to “</w:t>
      </w:r>
      <w:r>
        <w:rPr>
          <w:rFonts w:ascii="Times New Roman" w:cs="Times New Roman" w:eastAsia="Times New Roman" w:hAnsi="Times New Roman"/>
          <w:sz w:val="22"/>
          <w:szCs w:val="22"/>
          <w:b w:val="1"/>
          <w:bCs w:val="1"/>
          <w:i w:val="1"/>
          <w:iCs w:val="1"/>
          <w:color w:val="auto"/>
        </w:rPr>
        <w:t>fines</w:t>
      </w:r>
      <w:r>
        <w:rPr>
          <w:rFonts w:ascii="Times New Roman" w:cs="Times New Roman" w:eastAsia="Times New Roman" w:hAnsi="Times New Roman"/>
          <w:sz w:val="22"/>
          <w:szCs w:val="22"/>
          <w:color w:val="auto"/>
        </w:rPr>
        <w:t>” shall include any excise taxes assessed on a person with respect to an employee benefit plan; and references to “</w:t>
      </w:r>
      <w:r>
        <w:rPr>
          <w:rFonts w:ascii="Times New Roman" w:cs="Times New Roman" w:eastAsia="Times New Roman" w:hAnsi="Times New Roman"/>
          <w:sz w:val="22"/>
          <w:szCs w:val="22"/>
          <w:b w:val="1"/>
          <w:bCs w:val="1"/>
          <w:i w:val="1"/>
          <w:iCs w:val="1"/>
          <w:color w:val="auto"/>
        </w:rPr>
        <w:t>serving at the request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 the corporation</w:t>
      </w:r>
      <w:r>
        <w:rPr>
          <w:rFonts w:ascii="Times New Roman" w:cs="Times New Roman" w:eastAsia="Times New Roman" w:hAnsi="Times New Roman"/>
          <w:sz w:val="22"/>
          <w:szCs w:val="22"/>
          <w:color w:val="auto"/>
        </w:rPr>
        <w:t>” shall include any service as a director, officer, employee or agent of the corporation which imposes duties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2"/>
          <w:szCs w:val="22"/>
          <w:b w:val="1"/>
          <w:bCs w:val="1"/>
          <w:i w:val="1"/>
          <w:iCs w:val="1"/>
          <w:color w:val="auto"/>
        </w:rPr>
        <w:t>not opposed to the best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interests of the corporation</w:t>
      </w:r>
      <w:r>
        <w:rPr>
          <w:rFonts w:ascii="Times New Roman" w:cs="Times New Roman" w:eastAsia="Times New Roman" w:hAnsi="Times New Roman"/>
          <w:sz w:val="22"/>
          <w:szCs w:val="22"/>
          <w:color w:val="auto"/>
        </w:rPr>
        <w:t>” as referred to in this section.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304"/>
        <w:spacing w:after="0" w:line="257" w:lineRule="auto"/>
        <w:tabs>
          <w:tab w:leader="none" w:pos="19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Stockholders</w:t>
      </w:r>
      <w:r>
        <w:rPr>
          <w:rFonts w:ascii="Times New Roman" w:cs="Times New Roman" w:eastAsia="Times New Roman" w:hAnsi="Times New Roman"/>
          <w:sz w:val="22"/>
          <w:szCs w:val="22"/>
          <w:color w:val="auto"/>
        </w:rPr>
        <w:t>. Written notice to stockholders of stockholder meetings shall be given as provided in Section 7 herein. Without limiting the manner by which notice may otherwise be given effectively to stockholders under any agreement or contract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57" w:lineRule="auto"/>
        <w:rPr>
          <w:sz w:val="20"/>
          <w:szCs w:val="20"/>
          <w:color w:val="auto"/>
        </w:rPr>
      </w:pPr>
      <w:r>
        <w:rPr>
          <w:rFonts w:ascii="Times New Roman" w:cs="Times New Roman" w:eastAsia="Times New Roman" w:hAnsi="Times New Roman"/>
          <w:sz w:val="22"/>
          <w:szCs w:val="22"/>
          <w:color w:val="auto"/>
        </w:rPr>
        <w:t>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213" w:lineRule="exact"/>
        <w:rPr>
          <w:sz w:val="20"/>
          <w:szCs w:val="20"/>
          <w:color w:val="auto"/>
        </w:rPr>
      </w:pPr>
    </w:p>
    <w:p>
      <w:pPr>
        <w:jc w:val="both"/>
        <w:ind w:firstLine="1303"/>
        <w:spacing w:after="0" w:line="252" w:lineRule="auto"/>
        <w:tabs>
          <w:tab w:leader="none" w:pos="193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Directors</w:t>
      </w:r>
      <w:r>
        <w:rPr>
          <w:rFonts w:ascii="Times New Roman" w:cs="Times New Roman" w:eastAsia="Times New Roman" w:hAnsi="Times New Roman"/>
          <w:sz w:val="22"/>
          <w:szCs w:val="22"/>
          <w:color w:val="auto"/>
        </w:rPr>
        <w:t>. Any notice required to be given to any director may be given by the method stated in 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206" w:lineRule="exact"/>
        <w:rPr>
          <w:rFonts w:ascii="Times New Roman" w:cs="Times New Roman" w:eastAsia="Times New Roman" w:hAnsi="Times New Roman"/>
          <w:sz w:val="22"/>
          <w:szCs w:val="22"/>
          <w:color w:val="auto"/>
        </w:rPr>
      </w:pPr>
    </w:p>
    <w:p>
      <w:pPr>
        <w:jc w:val="both"/>
        <w:ind w:firstLine="1303"/>
        <w:spacing w:after="0" w:line="253" w:lineRule="auto"/>
        <w:tabs>
          <w:tab w:leader="none" w:pos="194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Affidavit of Mailing</w:t>
      </w:r>
      <w:r>
        <w:rPr>
          <w:rFonts w:ascii="Times New Roman" w:cs="Times New Roman" w:eastAsia="Times New Roman" w:hAnsi="Times New Roman"/>
          <w:sz w:val="22"/>
          <w:szCs w:val="22"/>
          <w:color w:val="auto"/>
        </w:rPr>
        <w:t>.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20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Methods of Notice</w:t>
      </w:r>
      <w:r>
        <w:rPr>
          <w:rFonts w:ascii="Times New Roman" w:cs="Times New Roman" w:eastAsia="Times New Roman" w:hAnsi="Times New Roman"/>
          <w:sz w:val="22"/>
          <w:szCs w:val="22"/>
          <w:color w:val="auto"/>
        </w:rPr>
        <w:t>.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spacing w:after="0" w:line="194"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Person with Whom Communication Is Unlawful</w:t>
      </w:r>
      <w:r>
        <w:rPr>
          <w:rFonts w:ascii="Times New Roman" w:cs="Times New Roman" w:eastAsia="Times New Roman" w:hAnsi="Times New Roman"/>
          <w:sz w:val="22"/>
          <w:szCs w:val="22"/>
          <w:color w:val="auto"/>
        </w:rPr>
        <w:t>.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208" w:lineRule="exact"/>
        <w:rPr>
          <w:rFonts w:ascii="Times New Roman" w:cs="Times New Roman" w:eastAsia="Times New Roman" w:hAnsi="Times New Roman"/>
          <w:sz w:val="22"/>
          <w:szCs w:val="22"/>
          <w:color w:val="auto"/>
        </w:rPr>
      </w:pPr>
    </w:p>
    <w:p>
      <w:pPr>
        <w:jc w:val="both"/>
        <w:ind w:firstLine="1304"/>
        <w:spacing w:after="0" w:line="264" w:lineRule="auto"/>
        <w:tabs>
          <w:tab w:leader="none" w:pos="194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to Stockholders Sharing an Address</w:t>
      </w:r>
      <w:r>
        <w:rPr>
          <w:rFonts w:ascii="Times New Roman" w:cs="Times New Roman" w:eastAsia="Times New Roman" w:hAnsi="Times New Roman"/>
          <w:sz w:val="21"/>
          <w:szCs w:val="21"/>
          <w:color w:val="auto"/>
        </w:rPr>
        <w:t>. Except as otherwise prohibited under DGCL, any notice given under the provisions of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w:t>
      </w:r>
    </w:p>
    <w:p>
      <w:pPr>
        <w:ind w:firstLine="8"/>
        <w:spacing w:after="0" w:line="248" w:lineRule="auto"/>
        <w:tabs>
          <w:tab w:leader="none" w:pos="41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having been given notice by the corporation of its intention to send the single notice. Any consent shall be revocable by the stockholder by written notice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2"/>
          <w:szCs w:val="22"/>
          <w:color w:val="auto"/>
        </w:rPr>
        <w:t>ARTICLE XIII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2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Bylaw Amendments</w:t>
      </w:r>
      <w:r>
        <w:rPr>
          <w:rFonts w:ascii="Times New Roman" w:cs="Times New Roman" w:eastAsia="Times New Roman" w:hAnsi="Times New Roman"/>
          <w:sz w:val="22"/>
          <w:szCs w:val="22"/>
          <w:color w:val="auto"/>
        </w:rPr>
        <w:t xml:space="preserve">. Subject to the limitations set forth in Section 45(h) of these Bylaws or the provisions of the Certificate of 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two-thirds of the voting power of all of the then-outstanding shares of the capital stock of the corporation entitled to vote generally in the election of directors, voting together as a single class.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LOANS TO OFFICERS OR EMPLOYEES</w:t>
      </w:r>
    </w:p>
    <w:p>
      <w:pPr>
        <w:spacing w:after="0" w:line="22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Loans to Officers or Employees</w:t>
      </w:r>
      <w:r>
        <w:rPr>
          <w:rFonts w:ascii="Times New Roman" w:cs="Times New Roman" w:eastAsia="Times New Roman" w:hAnsi="Times New Roman"/>
          <w:sz w:val="22"/>
          <w:szCs w:val="22"/>
          <w:color w:val="auto"/>
        </w:rPr>
        <w:t>. Except as otherwise prohibited by applicable law, including the Sarbanes-Oxley Act of 2002,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XV</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PROVISIONS</w:t>
      </w:r>
    </w:p>
    <w:p>
      <w:pPr>
        <w:spacing w:after="0" w:line="223"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books and records of the corporation may be kept at such places within or without the State of Delaware as the Board of Directors may from time to time determine.</w:t>
      </w:r>
    </w:p>
    <w:p>
      <w:pPr>
        <w:spacing w:after="0" w:line="198"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50. </w:t>
      </w:r>
      <w:r>
        <w:rPr>
          <w:rFonts w:ascii="Times New Roman" w:cs="Times New Roman" w:eastAsia="Times New Roman" w:hAnsi="Times New Roman"/>
          <w:sz w:val="21"/>
          <w:szCs w:val="21"/>
          <w:u w:val="single" w:color="auto"/>
          <w:color w:val="auto"/>
        </w:rPr>
        <w:t>Savings Clause</w:t>
      </w:r>
      <w:r>
        <w:rPr>
          <w:rFonts w:ascii="Times New Roman" w:cs="Times New Roman" w:eastAsia="Times New Roman" w:hAnsi="Times New Roman"/>
          <w:sz w:val="21"/>
          <w:szCs w:val="21"/>
          <w:color w:val="auto"/>
        </w:rPr>
        <w:t>. These Bylaws are subject to applicable law and the provisions of the Certificate of Incorporation. If these Bylaws or any portion hereof are inconsistent with the Certificate of Incorporation, such provision shall be invalid only to the extent of such conflict, and such conflict shall not affect the validity of any other provision of these Bylaws.</w:t>
      </w:r>
    </w:p>
    <w:p>
      <w:pPr>
        <w:spacing w:after="0" w:line="18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these Bylaws shall be held to be invalid, illegal or unenforceable for any reason whatsoever: (a) the validity, 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51" w:lineRule="auto"/>
        <w:rPr>
          <w:sz w:val="20"/>
          <w:szCs w:val="20"/>
          <w:color w:val="auto"/>
        </w:rPr>
      </w:pPr>
      <w:r>
        <w:rPr>
          <w:rFonts w:ascii="Times New Roman" w:cs="Times New Roman" w:eastAsia="Times New Roman" w:hAnsi="Times New Roman"/>
          <w:sz w:val="22"/>
          <w:szCs w:val="22"/>
          <w:color w:val="auto"/>
        </w:rPr>
        <w:t>and enforceability of the remaining provisions of these Bylaws (including, without limitation, all portions of any such provision held to be invalid, illegal or unenforceable, that are not themselves invalid, illegal or unenforceable) shall not in any way be affected or impaired thereby, and (b) to the fullest extent possible, the provisions of these Bylaws (including, without limitation, all portions of any paragraph of these Bylaws containing any such provision held to be invalid, illegal or unenforceable, that are not themselves invalid, illegal or enforceable) shall be construed so as to give effect to the intent manifested by the provision held invalid, illegal or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2"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2024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3"/>
    </w:lvl>
  </w:abstractNum>
  <w:abstractNum w:abstractNumId="8">
    <w:nsid w:val="5E884ADC"/>
    <w:multiLevelType w:val="hybridMultilevel"/>
    <w:lvl w:ilvl="0">
      <w:lvlJc w:val="left"/>
      <w:lvlText w:val="%1."/>
      <w:numFmt w:val="decimal"/>
      <w:start w:val="4"/>
    </w:lvl>
  </w:abstractNum>
  <w:abstractNum w:abstractNumId="9">
    <w:nsid w:val="51EAD36B"/>
    <w:multiLevelType w:val="hybridMultilevel"/>
    <w:lvl w:ilvl="0">
      <w:lvlJc w:val="left"/>
      <w:lvlText w:val="%1."/>
      <w:numFmt w:val="decimal"/>
      <w:start w:val="5"/>
    </w:lvl>
  </w:abstractNum>
  <w:abstractNum w:abstractNumId="10">
    <w:nsid w:val="2D517796"/>
    <w:multiLevelType w:val="hybridMultilevel"/>
    <w:lvl w:ilvl="0">
      <w:lvlJc w:val="left"/>
      <w:lvlText w:val="%1."/>
      <w:numFmt w:val="decimal"/>
      <w:start w:val="6"/>
    </w:lvl>
  </w:abstractNum>
  <w:abstractNum w:abstractNumId="11">
    <w:nsid w:val="580BD78F"/>
    <w:multiLevelType w:val="hybridMultilevel"/>
    <w:lvl w:ilvl="0">
      <w:lvlJc w:val="left"/>
      <w:lvlText w:val="%1."/>
      <w:numFmt w:val="decimal"/>
      <w:start w:val="7"/>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8"/>
    </w:lvl>
  </w:abstractNum>
  <w:abstractNum w:abstractNumId="14">
    <w:nsid w:val="70A64E2A"/>
    <w:multiLevelType w:val="hybridMultilevel"/>
    <w:lvl w:ilvl="0">
      <w:lvlJc w:val="left"/>
      <w:lvlText w:val="%1."/>
      <w:numFmt w:val="decimal"/>
      <w:start w:val="9"/>
    </w:lvl>
  </w:abstractNum>
  <w:abstractNum w:abstractNumId="15">
    <w:nsid w:val="6A2342EC"/>
    <w:multiLevelType w:val="hybridMultilevel"/>
    <w:lvl w:ilvl="0">
      <w:lvlJc w:val="left"/>
      <w:lvlText w:val="%1."/>
      <w:numFmt w:val="decimal"/>
      <w:start w:val="10"/>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lowerLetter"/>
      <w:start w:val="1"/>
    </w:lvl>
    <w:lvl w:ilvl="1">
      <w:lvlJc w:val="left"/>
      <w:lvlText w:val="•"/>
      <w:numFmt w:val="bullet"/>
      <w:start w:val="1"/>
    </w:lvl>
  </w:abstractNum>
  <w:abstractNum w:abstractNumId="34">
    <w:nsid w:val="75C6C33A"/>
    <w:multiLevelType w:val="hybridMultilevel"/>
    <w:lvl w:ilvl="0">
      <w:lvlJc w:val="left"/>
      <w:lvlText w:val="%1."/>
      <w:numFmt w:val="lowerLetter"/>
      <w:start w:val="2"/>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2"/>
    </w:lvl>
  </w:abstractNum>
  <w:abstractNum w:abstractNumId="37">
    <w:nsid w:val="520EEDD1"/>
    <w:multiLevelType w:val="hybridMultilevel"/>
    <w:lvl w:ilvl="0">
      <w:lvlJc w:val="left"/>
      <w:lvlText w:val="%1"/>
      <w:numFmt w:val="upperLetter"/>
      <w:start w:val="1"/>
    </w:lvl>
    <w:lvl w:ilvl="1">
      <w:lvlJc w:val="left"/>
      <w:lvlText w:val="(%2)"/>
      <w:numFmt w:val="decimal"/>
      <w:start w:val="1"/>
    </w:lvl>
  </w:abstractNum>
  <w:abstractNum w:abstractNumId="38">
    <w:nsid w:val="374A3FE6"/>
    <w:multiLevelType w:val="hybridMultilevel"/>
    <w:lvl w:ilvl="0">
      <w:lvlJc w:val="left"/>
      <w:lvlText w:val="(%1)"/>
      <w:numFmt w:val="upperLetter"/>
      <w:start w:val="1"/>
    </w:lvl>
    <w:lvl w:ilvl="1">
      <w:lvlJc w:val="left"/>
      <w:lvlText w:val="%2"/>
      <w:numFmt w:val="decimal"/>
      <w:start w:val="1"/>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1"/>
      <w:numFmt w:val="lowerLetter"/>
      <w:start w:val="1"/>
    </w:lvl>
    <w:lvl w:ilvl="1">
      <w:lvlJc w:val="left"/>
      <w:lvlText w:val="(%2)"/>
      <w:numFmt w:val="decimal"/>
      <w:start w:val="4"/>
    </w:lvl>
  </w:abstractNum>
  <w:abstractNum w:abstractNumId="41">
    <w:nsid w:val="649BB77C"/>
    <w:multiLevelType w:val="hybridMultilevel"/>
    <w:lvl w:ilvl="0">
      <w:lvlJc w:val="left"/>
      <w:lvlText w:val="(%1)"/>
      <w:numFmt w:val="lowerLetter"/>
      <w:start w:val="3"/>
    </w:lvl>
    <w:lvl w:ilvl="1">
      <w:lvlJc w:val="left"/>
      <w:lvlText w:val="%2"/>
      <w:numFmt w:val="decimal"/>
      <w:start w:val="1"/>
    </w:lvl>
  </w:abstractNum>
  <w:abstractNum w:abstractNumId="42">
    <w:nsid w:val="275AC794"/>
    <w:multiLevelType w:val="hybridMultilevel"/>
    <w:lvl w:ilvl="0">
      <w:lvlJc w:val="left"/>
      <w:lvlText w:val="(%1)"/>
      <w:numFmt w:val="lowerLetter"/>
      <w:start w:val="9"/>
    </w:lvl>
    <w:lvl w:ilvl="1">
      <w:lvlJc w:val="left"/>
      <w:lvlText w:val="(%2)"/>
      <w:numFmt w:val="lowerLetter"/>
      <w:start w:val="4"/>
    </w:lvl>
  </w:abstractNum>
  <w:abstractNum w:abstractNumId="43">
    <w:nsid w:val="39386575"/>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2"/>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6"/>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4"/>
    </w:lvl>
  </w:abstractNum>
  <w:abstractNum w:abstractNumId="60">
    <w:nsid w:val="2F305DEF"/>
    <w:multiLevelType w:val="hybridMultilevel"/>
    <w:lvl w:ilvl="0">
      <w:lvlJc w:val="left"/>
      <w:lvlText w:val="(%1)"/>
      <w:numFmt w:val="lowerLetter"/>
      <w:start w:val="5"/>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lvl w:ilvl="1">
      <w:lvlJc w:val="left"/>
      <w:lvlText w:val="(%2)"/>
      <w:numFmt w:val="lowerLetter"/>
      <w:start w:val="2"/>
    </w:lvl>
  </w:abstractNum>
  <w:abstractNum w:abstractNumId="64">
    <w:nsid w:val="1F48EAA1"/>
    <w:multiLevelType w:val="hybridMultilevel"/>
    <w:lvl w:ilvl="0">
      <w:lvlJc w:val="left"/>
      <w:lvlText w:val="(%1)"/>
      <w:numFmt w:val="decimal"/>
      <w:start w:val="60"/>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2024-11-12T16:50:24Z</dcterms:created>
  <dcterms:modified xsi:type="dcterms:W3CDTF">2024-11-12T16:50:24Z</dcterms:modified>
</cp:coreProperties>
</file>