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97155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01" w:lineRule="exact"/>
        <w:rPr>
          <w:sz w:val="24"/>
          <w:szCs w:val="24"/>
          <w:color w:val="auto"/>
        </w:rPr>
      </w:pPr>
    </w:p>
    <w:p>
      <w:pPr>
        <w:ind w:left="3580"/>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26" w:lineRule="exact"/>
        <w:rPr>
          <w:sz w:val="24"/>
          <w:szCs w:val="24"/>
          <w:color w:val="auto"/>
        </w:rPr>
      </w:pPr>
    </w:p>
    <w:p>
      <w:pPr>
        <w:ind w:left="4880"/>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ind w:left="2240" w:right="1200" w:hanging="2232"/>
        <w:spacing w:after="0" w:line="382" w:lineRule="auto"/>
        <w:tabs>
          <w:tab w:leader="none" w:pos="484"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___________________ to ___________________</w:t>
      </w:r>
    </w:p>
    <w:p>
      <w:pPr>
        <w:ind w:left="36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88900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41"/>
          <w:szCs w:val="41"/>
          <w:b w:val="1"/>
          <w:bCs w:val="1"/>
          <w:color w:val="auto"/>
        </w:rPr>
        <w:t>Progyny, Inc.</w:t>
      </w:r>
    </w:p>
    <w:p>
      <w:pPr>
        <w:sectPr>
          <w:pgSz w:w="11900" w:h="16838" w:orient="portrait"/>
          <w:cols w:equalWidth="0" w:num="1">
            <w:col w:w="9940"/>
          </w:cols>
          <w:pgMar w:left="980" w:top="665" w:right="979" w:bottom="1440" w:gutter="0" w:footer="0" w:header="0"/>
        </w:sectPr>
      </w:pPr>
    </w:p>
    <w:p>
      <w:pPr>
        <w:spacing w:after="0" w:line="5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3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800"/>
        <w:spacing w:after="0"/>
        <w:rPr>
          <w:sz w:val="20"/>
          <w:szCs w:val="20"/>
          <w:color w:val="auto"/>
        </w:rPr>
      </w:pPr>
      <w:r>
        <w:rPr>
          <w:rFonts w:ascii="Arial" w:cs="Arial" w:eastAsia="Arial" w:hAnsi="Arial"/>
          <w:sz w:val="11"/>
          <w:szCs w:val="11"/>
          <w:b w:val="1"/>
          <w:bCs w:val="1"/>
          <w:color w:val="auto"/>
        </w:rPr>
        <w:t>(State or other jurisdiction of</w:t>
      </w:r>
    </w:p>
    <w:p>
      <w:pPr>
        <w:ind w:left="1780"/>
        <w:spacing w:after="0"/>
        <w:rPr>
          <w:sz w:val="20"/>
          <w:szCs w:val="20"/>
          <w:color w:val="auto"/>
        </w:rPr>
      </w:pPr>
      <w:r>
        <w:rPr>
          <w:rFonts w:ascii="Arial" w:cs="Arial" w:eastAsia="Arial" w:hAnsi="Arial"/>
          <w:sz w:val="11"/>
          <w:szCs w:val="11"/>
          <w:b w:val="1"/>
          <w:bCs w:val="1"/>
          <w:color w:val="auto"/>
        </w:rPr>
        <w:t>incorporation or organization)</w:t>
      </w:r>
    </w:p>
    <w:p>
      <w:pPr>
        <w:spacing w:after="0" w:line="2"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1359 Broadway</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4"/>
          <w:szCs w:val="14"/>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27-2220139</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0"/>
          <w:szCs w:val="10"/>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35"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10018</w:t>
      </w:r>
    </w:p>
    <w:p>
      <w:pPr>
        <w:spacing w:after="0" w:line="86" w:lineRule="exact"/>
        <w:rPr>
          <w:sz w:val="24"/>
          <w:szCs w:val="24"/>
          <w:color w:val="auto"/>
        </w:rPr>
      </w:pPr>
    </w:p>
    <w:p>
      <w:pPr>
        <w:sectPr>
          <w:pgSz w:w="11900" w:h="16838" w:orient="portrait"/>
          <w:cols w:equalWidth="0" w:num="2">
            <w:col w:w="6760" w:space="260"/>
            <w:col w:w="2920"/>
          </w:cols>
          <w:pgMar w:left="980" w:top="665" w:right="979" w:bottom="1440" w:gutter="0" w:footer="0" w:header="0"/>
          <w:type w:val="continuous"/>
        </w:sectPr>
      </w:pPr>
    </w:p>
    <w:p>
      <w:pPr>
        <w:ind w:left="1580"/>
        <w:spacing w:after="0"/>
        <w:tabs>
          <w:tab w:leader="none" w:pos="7160" w:val="left"/>
        </w:tabs>
        <w:rPr>
          <w:sz w:val="20"/>
          <w:szCs w:val="20"/>
          <w:color w:val="auto"/>
        </w:rPr>
      </w:pPr>
      <w:r>
        <w:rPr>
          <w:rFonts w:ascii="Arial" w:cs="Arial" w:eastAsia="Arial" w:hAnsi="Arial"/>
          <w:sz w:val="11"/>
          <w:szCs w:val="11"/>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(212) 888-3124</w:t>
      </w:r>
    </w:p>
    <w:p>
      <w:pPr>
        <w:spacing w:after="0" w:line="26"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6" w:lineRule="exact"/>
        <w:rPr>
          <w:sz w:val="24"/>
          <w:szCs w:val="24"/>
          <w:color w:val="auto"/>
        </w:rPr>
      </w:pPr>
    </w:p>
    <w:p>
      <w:pPr>
        <w:ind w:left="4840"/>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630110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1105" cy="386080"/>
                    </a:xfrm>
                    <a:prstGeom prst="rect">
                      <a:avLst/>
                    </a:prstGeom>
                    <a:noFill/>
                  </pic:spPr>
                </pic:pic>
              </a:graphicData>
            </a:graphic>
          </wp:anchor>
        </w:drawing>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Borders>
              <w:top w:val="single" w:sz="8" w:color="auto"/>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tcBorders>
              <w:top w:val="single" w:sz="8" w:color="auto"/>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Borders>
              <w:top w:val="single" w:sz="8" w:color="auto"/>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9"/>
        </w:trPr>
        <w:tc>
          <w:tcPr>
            <w:tcW w:w="3340" w:type="dxa"/>
            <w:vAlign w:val="bottom"/>
          </w:tcPr>
          <w:p>
            <w:pPr>
              <w:jc w:val="center"/>
              <w:ind w:left="88"/>
              <w:spacing w:after="0"/>
              <w:rPr>
                <w:sz w:val="20"/>
                <w:szCs w:val="20"/>
                <w:color w:val="auto"/>
              </w:rPr>
            </w:pPr>
            <w:r>
              <w:rPr>
                <w:rFonts w:ascii="Arial" w:cs="Arial" w:eastAsia="Arial" w:hAnsi="Arial"/>
                <w:sz w:val="14"/>
                <w:szCs w:val="14"/>
                <w:color w:val="auto"/>
                <w:w w:val="94"/>
              </w:rPr>
              <w:t>Common Stock,</w:t>
            </w:r>
          </w:p>
        </w:tc>
        <w:tc>
          <w:tcPr>
            <w:tcW w:w="2860" w:type="dxa"/>
            <w:vAlign w:val="bottom"/>
          </w:tcPr>
          <w:p>
            <w:pPr>
              <w:jc w:val="center"/>
              <w:ind w:left="348"/>
              <w:spacing w:after="0"/>
              <w:rPr>
                <w:sz w:val="20"/>
                <w:szCs w:val="20"/>
                <w:color w:val="auto"/>
              </w:rPr>
            </w:pPr>
            <w:r>
              <w:rPr>
                <w:rFonts w:ascii="Arial" w:cs="Arial" w:eastAsia="Arial" w:hAnsi="Arial"/>
                <w:sz w:val="14"/>
                <w:szCs w:val="14"/>
                <w:color w:val="auto"/>
              </w:rPr>
              <w:t>PGNY</w:t>
            </w:r>
          </w:p>
        </w:tc>
        <w:tc>
          <w:tcPr>
            <w:tcW w:w="3740" w:type="dxa"/>
            <w:vAlign w:val="bottom"/>
          </w:tcPr>
          <w:p>
            <w:pPr>
              <w:jc w:val="center"/>
              <w:ind w:left="188"/>
              <w:spacing w:after="0"/>
              <w:rPr>
                <w:sz w:val="20"/>
                <w:szCs w:val="20"/>
                <w:color w:val="auto"/>
              </w:rPr>
            </w:pPr>
            <w:r>
              <w:rPr>
                <w:rFonts w:ascii="Arial" w:cs="Arial" w:eastAsia="Arial" w:hAnsi="Arial"/>
                <w:sz w:val="14"/>
                <w:szCs w:val="14"/>
                <w:color w:val="auto"/>
                <w:w w:val="93"/>
              </w:rPr>
              <w:t>The Nasdaq Global Select Market</w:t>
            </w:r>
          </w:p>
        </w:tc>
      </w:tr>
    </w:tbl>
    <w:p>
      <w:pPr>
        <w:ind w:left="960"/>
        <w:spacing w:after="0"/>
        <w:rPr>
          <w:sz w:val="20"/>
          <w:szCs w:val="20"/>
          <w:color w:val="auto"/>
        </w:rPr>
      </w:pPr>
      <w:r>
        <w:rPr>
          <w:rFonts w:ascii="Arial" w:cs="Arial" w:eastAsia="Arial" w:hAnsi="Arial"/>
          <w:sz w:val="14"/>
          <w:szCs w:val="14"/>
          <w:color w:val="auto"/>
        </w:rPr>
        <w:t>$0.0001 par value per share</w:t>
      </w:r>
    </w:p>
    <w:p>
      <w:pPr>
        <w:spacing w:after="0" w:line="151" w:lineRule="exact"/>
        <w:rPr>
          <w:sz w:val="24"/>
          <w:szCs w:val="24"/>
          <w:color w:val="auto"/>
        </w:rPr>
      </w:pPr>
    </w:p>
    <w:p>
      <w:pPr>
        <w:jc w:val="both"/>
        <w:ind w:right="20" w:firstLine="51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60" w:val="left"/>
          <w:tab w:leader="none" w:pos="10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32" w:lineRule="exact"/>
        <w:rPr>
          <w:sz w:val="24"/>
          <w:szCs w:val="24"/>
          <w:color w:val="auto"/>
        </w:rPr>
      </w:pPr>
    </w:p>
    <w:p>
      <w:pPr>
        <w:jc w:val="both"/>
        <w:ind w:right="20" w:firstLine="51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ind w:right="20" w:firstLine="51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1000" w:type="dxa"/>
        <w:tblCellMar>
          <w:top w:w="0" w:type="dxa"/>
          <w:left w:w="0" w:type="dxa"/>
          <w:bottom w:w="0" w:type="dxa"/>
          <w:right w:w="0" w:type="dxa"/>
        </w:tblCellMar>
      </w:tblP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14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right="40" w:firstLine="51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1820" w:firstLine="518"/>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r>
        <w:rPr>
          <w:rFonts w:ascii="Arial" w:cs="Arial" w:eastAsia="Arial" w:hAnsi="Arial"/>
          <w:sz w:val="14"/>
          <w:szCs w:val="14"/>
          <w:color w:val="auto"/>
        </w:rPr>
        <w:t xml:space="preserve"> As of April 30, 2022, the registrant had 91,944,185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462280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33655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76835</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60" w:type="dxa"/>
            <w:vAlign w:val="bottom"/>
            <w:gridSpan w:val="29"/>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460" w:type="dxa"/>
            <w:vAlign w:val="bottom"/>
            <w:gridSpan w:val="29"/>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100" w:type="dxa"/>
            <w:vAlign w:val="bottom"/>
            <w:gridSpan w:val="3"/>
          </w:tcPr>
          <w:p>
            <w:pPr>
              <w:spacing w:after="0"/>
              <w:rPr>
                <w:sz w:val="24"/>
                <w:szCs w:val="24"/>
                <w:color w:val="auto"/>
              </w:rPr>
            </w:pPr>
          </w:p>
        </w:tc>
        <w:tc>
          <w:tcPr>
            <w:tcW w:w="774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Balance Sheets as of March 31, 2022 and December 31, 2021</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Operations for the Three Months Ended March 31, 2022 and 2021</w:t>
              </w:r>
            </w:hyperlink>
          </w:p>
        </w:tc>
        <w:tc>
          <w:tcPr>
            <w:tcW w:w="80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Consolidated Statements of Comprehensive Income (Loss) for the Three Months Ended March 31, 2022</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and 2021</w:t>
              </w:r>
            </w:hyperlink>
          </w:p>
        </w:tc>
        <w:tc>
          <w:tcPr>
            <w:tcW w:w="6840" w:type="dxa"/>
            <w:vAlign w:val="bottom"/>
            <w:tcBorders>
              <w:top w:val="single" w:sz="8" w:color="0000EE"/>
            </w:tcBorders>
            <w:gridSpan w:val="18"/>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Consolidated Statements of Changes in Stockholders’ Equity for the Three Months Ended March 31,</w:t>
              </w:r>
            </w:hyperlink>
          </w:p>
        </w:tc>
        <w:tc>
          <w:tcPr>
            <w:tcW w:w="3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2022 and 2021</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Consolidated Statements of Cash Flows for the Three Months Ended March 31, 2022 and 2021</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w:t>
              </w:r>
            </w:hyperlink>
          </w:p>
        </w:tc>
        <w:tc>
          <w:tcPr>
            <w:tcW w:w="76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200" w:type="dxa"/>
            <w:vAlign w:val="bottom"/>
            <w:gridSpan w:val="4"/>
          </w:tcPr>
          <w:p>
            <w:pPr>
              <w:spacing w:after="0"/>
              <w:rPr>
                <w:sz w:val="17"/>
                <w:szCs w:val="17"/>
                <w:color w:val="auto"/>
              </w:rPr>
            </w:pPr>
          </w:p>
        </w:tc>
        <w:tc>
          <w:tcPr>
            <w:tcW w:w="7740" w:type="dxa"/>
            <w:vAlign w:val="bottom"/>
            <w:gridSpan w:val="2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200" w:type="dxa"/>
            <w:vAlign w:val="bottom"/>
            <w:gridSpan w:val="4"/>
          </w:tcPr>
          <w:p>
            <w:pPr>
              <w:spacing w:after="0"/>
              <w:rPr>
                <w:sz w:val="17"/>
                <w:szCs w:val="17"/>
                <w:color w:val="auto"/>
              </w:rPr>
            </w:pPr>
          </w:p>
        </w:tc>
        <w:tc>
          <w:tcPr>
            <w:tcW w:w="43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128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720" w:type="dxa"/>
            <w:vAlign w:val="bottom"/>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774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60" w:type="dxa"/>
            <w:vAlign w:val="bottom"/>
            <w:gridSpan w:val="29"/>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1.</w:t>
              </w:r>
            </w:hyperlink>
          </w:p>
        </w:tc>
        <w:tc>
          <w:tcPr>
            <w:tcW w:w="180" w:type="dxa"/>
            <w:vAlign w:val="bottom"/>
            <w:tcBorders>
              <w:top w:val="single" w:sz="8" w:color="0000EE"/>
            </w:tcBorders>
            <w:gridSpan w:val="3"/>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572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1A.</w:t>
              </w:r>
            </w:hyperlink>
          </w:p>
        </w:tc>
        <w:tc>
          <w:tcPr>
            <w:tcW w:w="80" w:type="dxa"/>
            <w:vAlign w:val="bottom"/>
            <w:gridSpan w:val="2"/>
          </w:tcPr>
          <w:p>
            <w:pPr>
              <w:spacing w:after="0"/>
              <w:rPr>
                <w:sz w:val="17"/>
                <w:szCs w:val="17"/>
                <w:color w:val="auto"/>
              </w:rPr>
            </w:pPr>
          </w:p>
        </w:tc>
        <w:tc>
          <w:tcPr>
            <w:tcW w:w="774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2.</w:t>
              </w:r>
            </w:hyperlink>
          </w:p>
        </w:tc>
        <w:tc>
          <w:tcPr>
            <w:tcW w:w="12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Unregistered Sales of Equity Securities and Use of Proceeds</w:t>
              </w:r>
            </w:hyperlink>
          </w:p>
        </w:tc>
        <w:tc>
          <w:tcPr>
            <w:tcW w:w="338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3.</w:t>
              </w:r>
            </w:hyperlink>
          </w:p>
        </w:tc>
        <w:tc>
          <w:tcPr>
            <w:tcW w:w="200" w:type="dxa"/>
            <w:vAlign w:val="bottom"/>
            <w:gridSpan w:val="4"/>
          </w:tcPr>
          <w:p>
            <w:pPr>
              <w:spacing w:after="0"/>
              <w:rPr>
                <w:sz w:val="17"/>
                <w:szCs w:val="17"/>
                <w:color w:val="auto"/>
              </w:rPr>
            </w:pPr>
          </w:p>
        </w:tc>
        <w:tc>
          <w:tcPr>
            <w:tcW w:w="7740" w:type="dxa"/>
            <w:vAlign w:val="bottom"/>
            <w:gridSpan w:val="2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Defaults Upon Senior 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4.</w:t>
              </w:r>
            </w:hyperlink>
          </w:p>
        </w:tc>
        <w:tc>
          <w:tcPr>
            <w:tcW w:w="20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42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5.</w:t>
              </w:r>
            </w:hyperlink>
          </w:p>
        </w:tc>
        <w:tc>
          <w:tcPr>
            <w:tcW w:w="200" w:type="dxa"/>
            <w:vAlign w:val="bottom"/>
            <w:gridSpan w:val="4"/>
          </w:tcPr>
          <w:p>
            <w:pPr>
              <w:spacing w:after="0"/>
              <w:rPr>
                <w:sz w:val="17"/>
                <w:szCs w:val="17"/>
                <w:color w:val="auto"/>
              </w:rPr>
            </w:pPr>
          </w:p>
        </w:tc>
        <w:tc>
          <w:tcPr>
            <w:tcW w:w="13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Other Information</w:t>
              </w:r>
            </w:hyperlink>
          </w:p>
        </w:tc>
        <w:tc>
          <w:tcPr>
            <w:tcW w:w="642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720" w:type="dxa"/>
            <w:vAlign w:val="bottom"/>
            <w:gridSpan w:val="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6.</w:t>
              </w:r>
            </w:hyperlink>
          </w:p>
        </w:tc>
        <w:tc>
          <w:tcPr>
            <w:tcW w:w="7740" w:type="dxa"/>
            <w:vAlign w:val="bottom"/>
            <w:gridSpan w:val="2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8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2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Signatures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and compete effectively with existing competitors and new market entrants, impact of recently adopted accounting pronouncements; our ability to attract and retain qualified employees and key personnel; the plans and objectives of management for future operations and capital expenditures, and ongoing impacts of the COVID-19 pandemic, including variants, on our business, operations, and the markets and communities in which we and our clients, members and providers operate are forward-looking statements and the potential impact of evolving laws and regulations, including any laws and regulations restricting reproductive rights.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“seek,”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RISKS AFFECTING OUR BUSINESS</w:t>
      </w:r>
    </w:p>
    <w:p>
      <w:pPr>
        <w:spacing w:after="0" w:line="21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48" w:lineRule="exact"/>
        <w:rPr>
          <w:sz w:val="20"/>
          <w:szCs w:val="20"/>
          <w:color w:val="auto"/>
        </w:rPr>
      </w:pPr>
    </w:p>
    <w:p>
      <w:pPr>
        <w:jc w:val="both"/>
        <w:ind w:left="720" w:right="79" w:hanging="319"/>
        <w:spacing w:after="0" w:line="286"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ongoing COVID-19 pandemic, including variants, has had and is expected to continue to have, and similar health epidemics or pandemics could in the future have, an adverse impact on our business, operations, and the markets and communities in which we and our clients, members and providers operate.</w:t>
      </w:r>
    </w:p>
    <w:p>
      <w:pPr>
        <w:spacing w:after="0" w:line="124"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meet our publicly announced guidance or other expectations about our business and future operating results, which would cause our stock price to decline.</w:t>
      </w:r>
    </w:p>
    <w:p>
      <w:pPr>
        <w:spacing w:after="0" w:line="12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fertility market in which we participate is competitive, and if we do not continue to compete effectively, our results of operations could be harmed.</w:t>
      </w:r>
    </w:p>
    <w:p>
      <w:pPr>
        <w:spacing w:after="0" w:line="143"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83" w:lineRule="exact"/>
        <w:rPr>
          <w:rFonts w:ascii="Arial" w:cs="Arial" w:eastAsia="Arial" w:hAnsi="Arial"/>
          <w:sz w:val="16"/>
          <w:szCs w:val="16"/>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4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attract new clients, our business, financial condition and results of operations would be adversely affected.</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change in the level or the mix of the utilization of our solutions could have an adverse effect on our business, financial condition and results of operations.</w:t>
      </w:r>
    </w:p>
    <w:p>
      <w:pPr>
        <w:spacing w:after="0" w:line="12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with our current platform of solutions, which makes it difficult to predict our future results of operations.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sustain profitability in the future.</w:t>
      </w:r>
    </w:p>
    <w:p>
      <w:pPr>
        <w:spacing w:after="0" w:line="198"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or developments in the health insurance markets in the United States, including passage and implementation of a law to create a single-payer or government-run health insurance program, could materially and adversely harm our business and operating results.</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health benefits industry may be subject to negative publicity, which could adversely affect our business, financial condition and results of operations.</w:t>
      </w:r>
    </w:p>
    <w:p>
      <w:pPr>
        <w:spacing w:after="0" w:line="129"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information technology systems, or those of our provider clinics, specialty pharmacies or other downstream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59"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depends in part on the success of our strategic relationships with, and monitoring of, third parties, including channel partners, vendors and insurance carriers.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maintain an efficient pharmacy distribution network or if there is a disruption to our network of specialty pharmacies, our business, financial condition and results of operations could suffer.</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highly regulated industry and must comply with a significant number of complex and evolving legal and regulatory requirements.</w:t>
      </w:r>
    </w:p>
    <w:p>
      <w:pPr>
        <w:spacing w:after="0" w:line="129"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Unless the context otherwise indicates, references in this Quarterly Report on Form 10-Q to the terms “Progyny,” “the Company,” “we,” “our” and “us” refer to Progyny, Inc.</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We announce material information to the public through filings with the SEC, our investor relations website at </w:t>
      </w:r>
      <w:r>
        <w:rPr>
          <w:rFonts w:ascii="Arial" w:cs="Arial" w:eastAsia="Arial" w:hAnsi="Arial"/>
          <w:sz w:val="18"/>
          <w:szCs w:val="18"/>
          <w:i w:val="1"/>
          <w:iCs w:val="1"/>
          <w:color w:val="auto"/>
        </w:rPr>
        <w:t>investors.progyny.com</w:t>
      </w:r>
      <w:r>
        <w:rPr>
          <w:rFonts w:ascii="Arial" w:cs="Arial" w:eastAsia="Arial" w:hAnsi="Arial"/>
          <w:sz w:val="18"/>
          <w:szCs w:val="18"/>
          <w:color w:val="auto"/>
        </w:rPr>
        <w:t>, press releases, public conference calls, and webcasts to achieve broad, non-exclusionary</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PROGYNY, INC.</w:t>
      </w:r>
    </w:p>
    <w:p>
      <w:pPr>
        <w:spacing w:after="0" w:line="14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66,855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Accounts receivable, net of $19,660 and $17,379 of allowance at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March 31, 2022 and December 31, 2021, respectively</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198,120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76,429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49"/>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415,525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Operating lease noncurrent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ind w:left="80"/>
              <w:spacing w:after="0" w:line="201" w:lineRule="exact"/>
              <w:rPr>
                <w:sz w:val="20"/>
                <w:szCs w:val="20"/>
                <w:color w:val="auto"/>
              </w:rPr>
            </w:pPr>
            <w:r>
              <w:rPr>
                <w:rFonts w:ascii="Arial" w:cs="Arial" w:eastAsia="Arial" w:hAnsi="Arial"/>
                <w:sz w:val="18"/>
                <w:szCs w:val="18"/>
                <w:color w:val="auto"/>
                <w:w w:val="95"/>
              </w:rPr>
              <w:t>Common stock, $0.0001 par value; 1,000,000,000 shares authorized at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w w:val="98"/>
              </w:rPr>
              <w:t>March 31, 2022 and December 31, 2021; 91,741,481 and 91,088,781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w w:val="91"/>
              </w:rPr>
              <w:t>shares issued and outstanding at March 31, 2022 and December 31, 2021,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ind w:left="80"/>
              <w:spacing w:after="0" w:line="201" w:lineRule="exact"/>
              <w:rPr>
                <w:sz w:val="20"/>
                <w:szCs w:val="20"/>
                <w:color w:val="auto"/>
              </w:rPr>
            </w:pPr>
            <w:r>
              <w:rPr>
                <w:rFonts w:ascii="Arial" w:cs="Arial" w:eastAsia="Arial" w:hAnsi="Arial"/>
                <w:sz w:val="18"/>
                <w:szCs w:val="18"/>
                <w:color w:val="auto"/>
              </w:rPr>
              <w:t>Treasury stock, at cost, $0.0001 par value; 615,980 shares at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March 31, 2022 and December 31, 2021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earnings (deficit)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251,822</w:t>
            </w:r>
          </w:p>
        </w:tc>
        <w:tc>
          <w:tcPr>
            <w:tcW w:w="0" w:type="dxa"/>
            <w:vAlign w:val="bottom"/>
          </w:tcPr>
          <w:p>
            <w:pPr>
              <w:spacing w:after="0"/>
              <w:rPr>
                <w:sz w:val="1"/>
                <w:szCs w:val="1"/>
                <w:color w:val="auto"/>
              </w:rPr>
            </w:pPr>
          </w:p>
        </w:tc>
      </w:tr>
      <w:tr>
        <w:trPr>
          <w:trHeight w:val="210"/>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415,525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16" w:lineRule="exact"/>
        <w:rPr>
          <w:sz w:val="20"/>
          <w:szCs w:val="20"/>
          <w:color w:val="auto"/>
        </w:rPr>
      </w:pPr>
    </w:p>
    <w:p>
      <w:pPr>
        <w:ind w:left="6460"/>
        <w:spacing w:after="0"/>
        <w:rPr>
          <w:sz w:val="20"/>
          <w:szCs w:val="20"/>
          <w:color w:val="auto"/>
        </w:rPr>
      </w:pPr>
      <w:r>
        <w:rPr>
          <w:rFonts w:ascii="Arial" w:cs="Arial" w:eastAsia="Arial" w:hAnsi="Arial"/>
          <w:sz w:val="14"/>
          <w:szCs w:val="14"/>
          <w:b w:val="1"/>
          <w:bCs w:val="1"/>
          <w:color w:val="auto"/>
        </w:rPr>
        <w:t>Three Months Ended</w:t>
      </w:r>
    </w:p>
    <w:p>
      <w:pPr>
        <w:ind w:left="6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0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172,217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122,133</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139,268</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93,226</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22,992</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13,086</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33,007</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11,807</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0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(expense), net</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Benefit for income taxes</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56"/>
        </w:trPr>
        <w:tc>
          <w:tcPr>
            <w:tcW w:w="5000" w:type="dxa"/>
            <w:vAlign w:val="bottom"/>
          </w:tcPr>
          <w:p>
            <w:pPr>
              <w:ind w:left="100"/>
              <w:spacing w:after="0"/>
              <w:rPr>
                <w:sz w:val="20"/>
                <w:szCs w:val="20"/>
                <w:color w:val="auto"/>
              </w:rPr>
            </w:pPr>
            <w:r>
              <w:rPr>
                <w:rFonts w:ascii="Arial" w:cs="Arial" w:eastAsia="Arial" w:hAnsi="Arial"/>
                <w:sz w:val="18"/>
                <w:szCs w:val="18"/>
                <w:color w:val="auto"/>
              </w:rPr>
              <w:t>Diluted</w:t>
            </w:r>
          </w:p>
        </w:tc>
        <w:tc>
          <w:tcPr>
            <w:tcW w:w="64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0.05</w:t>
            </w:r>
          </w:p>
        </w:tc>
        <w:tc>
          <w:tcPr>
            <w:tcW w:w="6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2"/>
              </w:rPr>
              <w:t>Weighted-average shares used in computing net income per share:</w:t>
            </w: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91,410,368</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87,404,287</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99,935,735</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100,106,497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6"/>
              </w:rPr>
              <w:t>Three Months Ended</w:t>
            </w:r>
          </w:p>
        </w:tc>
        <w:tc>
          <w:tcPr>
            <w:tcW w:w="980" w:type="dxa"/>
            <w:vAlign w:val="bottom"/>
          </w:tcPr>
          <w:p>
            <w:pPr>
              <w:spacing w:after="0"/>
              <w:rPr>
                <w:sz w:val="14"/>
                <w:szCs w:val="14"/>
                <w:color w:val="auto"/>
              </w:rPr>
            </w:pPr>
          </w:p>
        </w:tc>
      </w:tr>
      <w:tr>
        <w:trPr>
          <w:trHeight w:val="171"/>
        </w:trPr>
        <w:tc>
          <w:tcPr>
            <w:tcW w:w="54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(loss) on marketable securities</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0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020" w:type="dxa"/>
            <w:vAlign w:val="bottom"/>
            <w:tcBorders>
              <w:bottom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15,115</w:t>
            </w:r>
          </w:p>
        </w:tc>
      </w:tr>
      <w:tr>
        <w:trPr>
          <w:trHeight w:val="20"/>
        </w:trPr>
        <w:tc>
          <w:tcPr>
            <w:tcW w:w="5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3"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PROGYNY, INC.</w:t>
      </w:r>
    </w:p>
    <w:p>
      <w:pPr>
        <w:spacing w:after="0" w:line="44" w:lineRule="exact"/>
        <w:rPr>
          <w:sz w:val="20"/>
          <w:szCs w:val="20"/>
          <w:color w:val="auto"/>
        </w:rPr>
      </w:pPr>
    </w:p>
    <w:p>
      <w:pPr>
        <w:ind w:left="3140"/>
        <w:spacing w:after="0"/>
        <w:rPr>
          <w:sz w:val="20"/>
          <w:szCs w:val="20"/>
          <w:color w:val="auto"/>
        </w:rPr>
      </w:pPr>
      <w:r>
        <w:rPr>
          <w:rFonts w:ascii="Arial" w:cs="Arial" w:eastAsia="Arial" w:hAnsi="Arial"/>
          <w:sz w:val="15"/>
          <w:szCs w:val="15"/>
          <w:b w:val="1"/>
          <w:bCs w:val="1"/>
          <w:color w:val="auto"/>
        </w:rPr>
        <w:t>Consolidated Statements of Changes in Stockholders’ Equity</w:t>
      </w:r>
    </w:p>
    <w:p>
      <w:pPr>
        <w:jc w:val="center"/>
        <w:spacing w:after="0" w:line="233" w:lineRule="auto"/>
        <w:rPr>
          <w:sz w:val="20"/>
          <w:szCs w:val="20"/>
          <w:color w:val="auto"/>
        </w:rPr>
      </w:pPr>
      <w:r>
        <w:rPr>
          <w:rFonts w:ascii="Arial" w:cs="Arial" w:eastAsia="Arial" w:hAnsi="Arial"/>
          <w:sz w:val="15"/>
          <w:szCs w:val="15"/>
          <w:b w:val="1"/>
          <w:bCs w:val="1"/>
          <w:i w:val="1"/>
          <w:iCs w:val="1"/>
          <w:color w:val="auto"/>
        </w:rPr>
        <w:t>(Unaudited)</w:t>
      </w:r>
    </w:p>
    <w:p>
      <w:pPr>
        <w:jc w:val="center"/>
        <w:spacing w:after="0"/>
        <w:rPr>
          <w:sz w:val="20"/>
          <w:szCs w:val="20"/>
          <w:color w:val="auto"/>
        </w:rPr>
      </w:pPr>
      <w:r>
        <w:rPr>
          <w:rFonts w:ascii="Arial" w:cs="Arial" w:eastAsia="Arial" w:hAnsi="Arial"/>
          <w:sz w:val="15"/>
          <w:szCs w:val="15"/>
          <w:b w:val="1"/>
          <w:bCs w:val="1"/>
          <w:i w:val="1"/>
          <w:iCs w:val="1"/>
          <w:color w:val="auto"/>
        </w:rPr>
        <w:t>(in thousands, except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0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Treasury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Paid in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Earnings</w:t>
            </w: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w w:val="95"/>
              </w:rPr>
              <w:t>Comprehensive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2"/>
                <w:szCs w:val="12"/>
                <w:color w:val="auto"/>
              </w:rPr>
            </w:pPr>
          </w:p>
        </w:tc>
        <w:tc>
          <w:tcPr>
            <w:tcW w:w="102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2"/>
                <w:szCs w:val="12"/>
                <w:color w:val="auto"/>
              </w:rPr>
            </w:pPr>
          </w:p>
        </w:tc>
        <w:tc>
          <w:tcPr>
            <w:tcW w:w="60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For the three months ended March 31, 2022:</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Balance at December 31, 2021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91,088,781</w:t>
            </w:r>
          </w:p>
        </w:tc>
        <w:tc>
          <w:tcPr>
            <w:tcW w:w="840" w:type="dxa"/>
            <w:vAlign w:val="bottom"/>
            <w:gridSpan w:val="2"/>
          </w:tcPr>
          <w:p>
            <w:pPr>
              <w:jc w:val="right"/>
              <w:ind w:right="58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255,339</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(2,424)</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$ 251,822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employee equity awards, net of shares</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withheld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652,700</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24,703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comprehensive income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4,971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2022</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91,741,481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278,083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2,547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$ 279,619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For the three months ended March 31, 2021:</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Balance at December 31, 2020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87,054,329</w:t>
            </w:r>
          </w:p>
        </w:tc>
        <w:tc>
          <w:tcPr>
            <w:tcW w:w="840" w:type="dxa"/>
            <w:vAlign w:val="bottom"/>
            <w:gridSpan w:val="2"/>
          </w:tcPr>
          <w:p>
            <w:pPr>
              <w:jc w:val="right"/>
              <w:ind w:right="58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236,139</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(68,193)</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$ 166,947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employee equity awards, net of shares</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withheld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677,973</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5,034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comprehensive loss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15,166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2021</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87,732,302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238,695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(53,027)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$ 184,618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ind w:left="2240"/>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357505</wp:posOffset>
            </wp:positionV>
            <wp:extent cx="64808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PROGYNY, INC.</w:t>
      </w:r>
    </w:p>
    <w:p>
      <w:pPr>
        <w:spacing w:after="0" w:line="30"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Consolidated Statements of Cash Flows</w:t>
      </w:r>
    </w:p>
    <w:p>
      <w:pPr>
        <w:jc w:val="center"/>
        <w:spacing w:after="0" w:line="233" w:lineRule="auto"/>
        <w:rPr>
          <w:sz w:val="20"/>
          <w:szCs w:val="20"/>
          <w:color w:val="auto"/>
        </w:rPr>
      </w:pPr>
      <w:r>
        <w:rPr>
          <w:rFonts w:ascii="Arial" w:cs="Arial" w:eastAsia="Arial" w:hAnsi="Arial"/>
          <w:sz w:val="15"/>
          <w:szCs w:val="15"/>
          <w:b w:val="1"/>
          <w:bCs w:val="1"/>
          <w:i w:val="1"/>
          <w:iCs w:val="1"/>
          <w:color w:val="auto"/>
        </w:rPr>
        <w:t>(Unaudited)</w:t>
      </w:r>
    </w:p>
    <w:p>
      <w:pPr>
        <w:jc w:val="center"/>
        <w:spacing w:after="0"/>
        <w:rPr>
          <w:sz w:val="20"/>
          <w:szCs w:val="20"/>
          <w:color w:val="auto"/>
        </w:rPr>
      </w:pPr>
      <w:r>
        <w:rPr>
          <w:rFonts w:ascii="Arial" w:cs="Arial" w:eastAsia="Arial" w:hAnsi="Arial"/>
          <w:sz w:val="15"/>
          <w:szCs w:val="15"/>
          <w:b w:val="1"/>
          <w:bCs w:val="1"/>
          <w:i w:val="1"/>
          <w:iCs w:val="1"/>
          <w:color w:val="auto"/>
        </w:rPr>
        <w:t>(in thousands)</w:t>
      </w:r>
    </w:p>
    <w:p>
      <w:pPr>
        <w:spacing w:after="0" w:line="149"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Three Months Ended</w:t>
      </w:r>
    </w:p>
    <w:p>
      <w:pPr>
        <w:ind w:left="7040"/>
        <w:spacing w:after="0" w:line="234" w:lineRule="auto"/>
        <w:rPr>
          <w:sz w:val="20"/>
          <w:szCs w:val="20"/>
          <w:color w:val="auto"/>
        </w:rPr>
      </w:pPr>
      <w:r>
        <w:rPr>
          <w:rFonts w:ascii="Arial" w:cs="Arial" w:eastAsia="Arial" w:hAnsi="Arial"/>
          <w:sz w:val="15"/>
          <w:szCs w:val="15"/>
          <w:b w:val="1"/>
          <w:bCs w:val="1"/>
          <w:color w:val="auto"/>
        </w:rPr>
        <w:t>March 31,</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2022</w:t>
            </w:r>
          </w:p>
        </w:tc>
        <w:tc>
          <w:tcPr>
            <w:tcW w:w="5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24"/>
              <w:spacing w:after="0" w:line="156" w:lineRule="exact"/>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OPERATING ACTIVITIES</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1000" w:type="dxa"/>
            <w:vAlign w:val="bottom"/>
            <w:gridSpan w:val="2"/>
          </w:tcPr>
          <w:p>
            <w:pPr>
              <w:jc w:val="right"/>
              <w:ind w:right="744"/>
              <w:spacing w:after="0" w:line="162"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4,971</w:t>
            </w:r>
          </w:p>
        </w:tc>
        <w:tc>
          <w:tcPr>
            <w:tcW w:w="520" w:type="dxa"/>
            <w:vAlign w:val="bottom"/>
            <w:gridSpan w:val="2"/>
          </w:tcPr>
          <w:p>
            <w:pPr>
              <w:jc w:val="right"/>
              <w:ind w:right="184"/>
              <w:spacing w:after="0" w:line="162"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15,166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4"/>
              </w:rPr>
              <w:t>Adjustments to reconcile net income to net cash (used in) provided by operating activities: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0"/>
              <w:spacing w:after="0" w:line="162" w:lineRule="exact"/>
              <w:rPr>
                <w:sz w:val="20"/>
                <w:szCs w:val="20"/>
                <w:color w:val="auto"/>
              </w:rPr>
            </w:pPr>
            <w:r>
              <w:rPr>
                <w:rFonts w:ascii="Arial" w:cs="Arial" w:eastAsia="Arial" w:hAnsi="Arial"/>
                <w:sz w:val="15"/>
                <w:szCs w:val="15"/>
                <w:color w:val="auto"/>
              </w:rPr>
              <w:t>Deferred tax benefit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(5,155)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(3,370)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Non-cash interest expense</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0"/>
              <w:spacing w:after="0" w:line="162" w:lineRule="exact"/>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364</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Stock-based compensation expense</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24,500</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0"/>
              <w:spacing w:after="0" w:line="162" w:lineRule="exact"/>
              <w:rPr>
                <w:sz w:val="20"/>
                <w:szCs w:val="20"/>
                <w:color w:val="auto"/>
              </w:rPr>
            </w:pPr>
            <w:r>
              <w:rPr>
                <w:rFonts w:ascii="Arial" w:cs="Arial" w:eastAsia="Arial" w:hAnsi="Arial"/>
                <w:sz w:val="15"/>
                <w:szCs w:val="15"/>
                <w:color w:val="auto"/>
              </w:rPr>
              <w:t>Bad debt expense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2,281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2,518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200"/>
              <w:spacing w:after="0" w:line="162" w:lineRule="exact"/>
              <w:rPr>
                <w:sz w:val="20"/>
                <w:szCs w:val="20"/>
                <w:color w:val="auto"/>
              </w:rPr>
            </w:pPr>
            <w:r>
              <w:rPr>
                <w:rFonts w:ascii="Arial" w:cs="Arial" w:eastAsia="Arial" w:hAnsi="Arial"/>
                <w:sz w:val="15"/>
                <w:szCs w:val="15"/>
                <w:color w:val="auto"/>
              </w:rPr>
              <w:t>Accounts receivable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w w:val="93"/>
              </w:rPr>
              <w:t>(65,845)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(43,520)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(664)</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200"/>
              <w:spacing w:after="0" w:line="162" w:lineRule="exact"/>
              <w:rPr>
                <w:sz w:val="20"/>
                <w:szCs w:val="20"/>
                <w:color w:val="auto"/>
              </w:rPr>
            </w:pPr>
            <w:r>
              <w:rPr>
                <w:rFonts w:ascii="Arial" w:cs="Arial" w:eastAsia="Arial" w:hAnsi="Arial"/>
                <w:sz w:val="15"/>
                <w:szCs w:val="15"/>
                <w:color w:val="auto"/>
              </w:rPr>
              <w:t>Accounts payable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23,171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13,797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Accrued expenses and other current liabilities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6,489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9,413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5"/>
                <w:szCs w:val="15"/>
                <w:color w:val="auto"/>
              </w:rPr>
              <w:t>Other noncurrent assets and liabilities</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(1,374)</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(used in) provided by operating activities</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(11,262)</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532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INVESTING ACTIVITIES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Purchase of property and equipment, net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(790)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marketable securities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3"/>
              </w:rPr>
              <w:t>(59,867)</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(62,146)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Sale of marketable securities</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21,099</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23,995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used in investing activities</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(39,558)</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(38,520)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FINANCING ACTIVITIES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Proceeds from exercise of stock options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830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539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 of employee taxes related to equity awards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(2,988)</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Proceeds from contributions to employee stock purchase plan</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386</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487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used in financing activities</w:t>
            </w: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(1,772)</w:t>
            </w:r>
          </w:p>
        </w:tc>
        <w:tc>
          <w:tcPr>
            <w:tcW w:w="1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(2,497)</w:t>
            </w:r>
          </w:p>
        </w:tc>
        <w:tc>
          <w:tcPr>
            <w:tcW w:w="0" w:type="dxa"/>
            <w:vAlign w:val="bottom"/>
          </w:tcPr>
          <w:p>
            <w:pPr>
              <w:spacing w:after="0"/>
              <w:rPr>
                <w:sz w:val="1"/>
                <w:szCs w:val="1"/>
                <w:color w:val="auto"/>
              </w:rPr>
            </w:pPr>
          </w:p>
        </w:tc>
      </w:tr>
      <w:tr>
        <w:trPr>
          <w:trHeight w:val="156"/>
        </w:trPr>
        <w:tc>
          <w:tcPr>
            <w:tcW w:w="5660" w:type="dxa"/>
            <w:vAlign w:val="bottom"/>
            <w:gridSpan w:val="2"/>
          </w:tcPr>
          <w:p>
            <w:pPr>
              <w:spacing w:after="0" w:line="156" w:lineRule="exact"/>
              <w:rPr>
                <w:sz w:val="20"/>
                <w:szCs w:val="20"/>
                <w:color w:val="auto"/>
              </w:rPr>
            </w:pPr>
            <w:r>
              <w:rPr>
                <w:rFonts w:ascii="Arial" w:cs="Arial" w:eastAsia="Arial" w:hAnsi="Arial"/>
                <w:sz w:val="15"/>
                <w:szCs w:val="15"/>
                <w:color w:val="auto"/>
              </w:rPr>
              <w:t>Net decrease in cash and cash equivalents</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5"/>
                <w:szCs w:val="15"/>
                <w:color w:val="auto"/>
                <w:w w:val="93"/>
              </w:rPr>
              <w:t>(52,592)</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5"/>
                <w:szCs w:val="15"/>
                <w:color w:val="auto"/>
              </w:rPr>
              <w:t>(40,485)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beginning of period</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91,413</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70,305</w:t>
            </w:r>
          </w:p>
        </w:tc>
        <w:tc>
          <w:tcPr>
            <w:tcW w:w="0" w:type="dxa"/>
            <w:vAlign w:val="bottom"/>
          </w:tcPr>
          <w:p>
            <w:pPr>
              <w:spacing w:after="0"/>
              <w:rPr>
                <w:sz w:val="1"/>
                <w:szCs w:val="1"/>
                <w:color w:val="auto"/>
              </w:rPr>
            </w:pPr>
          </w:p>
        </w:tc>
      </w:tr>
      <w:tr>
        <w:trPr>
          <w:trHeight w:val="196"/>
        </w:trPr>
        <w:tc>
          <w:tcPr>
            <w:tcW w:w="5660" w:type="dxa"/>
            <w:vAlign w:val="bottom"/>
            <w:gridSpan w:val="2"/>
          </w:tcPr>
          <w:p>
            <w:pPr>
              <w:spacing w:after="0" w:line="156" w:lineRule="exact"/>
              <w:rPr>
                <w:sz w:val="20"/>
                <w:szCs w:val="20"/>
                <w:color w:val="auto"/>
              </w:rPr>
            </w:pPr>
            <w:r>
              <w:rPr>
                <w:rFonts w:ascii="Arial" w:cs="Arial" w:eastAsia="Arial" w:hAnsi="Arial"/>
                <w:sz w:val="15"/>
                <w:szCs w:val="15"/>
                <w:color w:val="auto"/>
              </w:rPr>
              <w:t>Cash and cash equivalents, end of period</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44"/>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38,821</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line="156"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29,820</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paid for income taxes, net of refunds received</w:t>
            </w:r>
          </w:p>
        </w:tc>
        <w:tc>
          <w:tcPr>
            <w:tcW w:w="1000" w:type="dxa"/>
            <w:vAlign w:val="bottom"/>
            <w:gridSpan w:val="2"/>
            <w:shd w:val="clear" w:color="auto" w:fill="CCEEFF"/>
          </w:tcPr>
          <w:p>
            <w:pPr>
              <w:jc w:val="right"/>
              <w:ind w:right="744"/>
              <w:spacing w:after="0" w:line="162"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w:t>
            </w:r>
          </w:p>
        </w:tc>
        <w:tc>
          <w:tcPr>
            <w:tcW w:w="520" w:type="dxa"/>
            <w:vAlign w:val="bottom"/>
            <w:gridSpan w:val="2"/>
            <w:shd w:val="clear" w:color="auto" w:fill="CCEEFF"/>
          </w:tcPr>
          <w:p>
            <w:pPr>
              <w:jc w:val="right"/>
              <w:ind w:right="184"/>
              <w:spacing w:after="0" w:line="162" w:lineRule="exact"/>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640" w:type="dxa"/>
            <w:vAlign w:val="bottom"/>
          </w:tcPr>
          <w:p>
            <w:pPr>
              <w:spacing w:after="0" w:line="145" w:lineRule="exact"/>
              <w:rPr>
                <w:sz w:val="20"/>
                <w:szCs w:val="20"/>
                <w:color w:val="auto"/>
              </w:rPr>
            </w:pPr>
            <w:r>
              <w:rPr>
                <w:rFonts w:ascii="Arial" w:cs="Arial" w:eastAsia="Arial" w:hAnsi="Arial"/>
                <w:sz w:val="15"/>
                <w:szCs w:val="15"/>
                <w:b w:val="1"/>
                <w:bCs w:val="1"/>
                <w:color w:val="auto"/>
              </w:rPr>
              <w:t>SUPPLEMENTAL DISCLOSURE OF NON-CASH INVESTING AND FINANCING</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660" w:type="dxa"/>
            <w:vAlign w:val="bottom"/>
            <w:gridSpan w:val="2"/>
          </w:tcPr>
          <w:p>
            <w:pPr>
              <w:spacing w:after="0"/>
              <w:rPr>
                <w:sz w:val="20"/>
                <w:szCs w:val="20"/>
                <w:color w:val="auto"/>
              </w:rPr>
            </w:pPr>
            <w:r>
              <w:rPr>
                <w:rFonts w:ascii="Arial" w:cs="Arial" w:eastAsia="Arial" w:hAnsi="Arial"/>
                <w:sz w:val="15"/>
                <w:szCs w:val="15"/>
                <w:b w:val="1"/>
                <w:bCs w:val="1"/>
                <w:color w:val="auto"/>
              </w:rPr>
              <w:t>ACTIVITIES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Additions of property and equipment, net included in accounts payable and accrued</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expenses</w:t>
            </w:r>
          </w:p>
        </w:tc>
        <w:tc>
          <w:tcPr>
            <w:tcW w:w="1000" w:type="dxa"/>
            <w:vAlign w:val="bottom"/>
            <w:gridSpan w:val="2"/>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w:t>
            </w:r>
          </w:p>
        </w:tc>
        <w:tc>
          <w:tcPr>
            <w:tcW w:w="52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ind w:left="720" w:hanging="670"/>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Basis of Presentation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Progyny, Inc. (together with its subsidiaries referred to as “Progyny” or the “Company”) was incorporated in the state of Delaware on April 3, 2008, and maintains its corporate headquarters in New York, NY.</w:t>
      </w:r>
    </w:p>
    <w:p>
      <w:pPr>
        <w:spacing w:after="0" w:line="14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our financial position as of March 31, 2022, the results of our operations for the three months ended March 31, 2022 and 2021 and the results of our cash flows for the three months ended March 31, 2022 and 2021. Therefore, these unaudited consolidated financial statements should be read in conjunction with the audited consolidated financial statements and related footnotes included in the Company’s Annual Report on Form 10-K for the year ended December 31, 2021, filed with the SEC on March 1, 2022 (the “Annual Report on Form 10-K”).</w:t>
      </w:r>
    </w:p>
    <w:p>
      <w:pPr>
        <w:spacing w:after="0" w:line="18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results for the three months ended March 31, 2022 are not necessarily indicative of the operating results expected for the year ending December 31, 2022 or any other future period. Additionally, there are many uncertainties regarding the ongoing coronavirus (“COVID-19”) pandemic, including variants, and the Company is closely monitoring the impact of the pandemic on all aspects of its business, including how it has impacted and may continue to impact its customers and members, its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and variants, the actions taken to contain it or treat its impact, vaccine roll-out efforts and impact, including vaccine hesitancy, break-through cases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continue to assess the evolving impact of the COVID-19 pandemic and will make adjustments to its operations as necessary.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left="680" w:hanging="630"/>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60" w:right="699" w:firstLine="648"/>
        <w:spacing w:after="0" w:line="308" w:lineRule="auto"/>
        <w:rPr>
          <w:sz w:val="20"/>
          <w:szCs w:val="20"/>
          <w:color w:val="auto"/>
        </w:rPr>
      </w:pPr>
      <w:r>
        <w:rPr>
          <w:rFonts w:ascii="Arial" w:cs="Arial" w:eastAsia="Arial" w:hAnsi="Arial"/>
          <w:sz w:val="17"/>
          <w:szCs w:val="17"/>
          <w:color w:val="auto"/>
        </w:rPr>
        <w:t>There have been no material changes in the Company’s significant accounting policies as compared to the significant accounting policies described in Note 2 of the Company’s Annual Report on Form 10-K.</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applies the following five-step model to recognize revenue from contracts with clients:</w:t>
      </w:r>
    </w:p>
    <w:p>
      <w:pPr>
        <w:spacing w:after="0" w:line="225"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Recognition of revenue when, or as, a performance obligation is satisfied.</w:t>
      </w:r>
    </w:p>
    <w:p>
      <w:pPr>
        <w:spacing w:after="0" w:line="225" w:lineRule="exact"/>
        <w:rPr>
          <w:sz w:val="20"/>
          <w:szCs w:val="20"/>
          <w:color w:val="auto"/>
        </w:rPr>
      </w:pPr>
    </w:p>
    <w:p>
      <w:pPr>
        <w:jc w:val="both"/>
        <w:ind w:left="60" w:right="79" w:firstLine="729"/>
        <w:spacing w:after="0" w:line="277" w:lineRule="auto"/>
        <w:rPr>
          <w:sz w:val="20"/>
          <w:szCs w:val="20"/>
          <w:color w:val="auto"/>
        </w:rPr>
      </w:pPr>
      <w:r>
        <w:rPr>
          <w:rFonts w:ascii="Arial" w:cs="Arial" w:eastAsia="Arial" w:hAnsi="Arial"/>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68"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 promises within Progyny’s fertility benefits contract with a client represent a single performance obligation because Progyny provides a significant service of integrating the Progyny designed Smart Cycles and access to the fertility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benefits services provided. As a result, the fixed rate per Smart Cycle is included in the transaction price and recognized in the period in which the Smart Cycle is provided to the member.</w:t>
      </w:r>
    </w:p>
    <w:p>
      <w:pPr>
        <w:spacing w:after="0" w:line="19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87"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7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8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There were no material contract asset or contract liability balances as of March 31, 2022 or December 31, 2021.</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Accrued Receivables and Accrued Claims Payable</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78"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As of March 31, 2022 and December 31, 2021, accrued receivables were $54.0 million and $30.2 million, respectively. Accrued receivables are included within accounts receivable in the consolidated balance sheet.</w:t>
      </w:r>
    </w:p>
    <w:p>
      <w:pPr>
        <w:spacing w:after="0" w:line="14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Accrued claims payable of $34.0 million and $20.0 million as of March 31, 2022 and December 31, 2021, respectively, are included within accrued expenses and other current liabilities in the consolidated balance sheet. Claims payable are generally paid within 30 days based on contractual terms.</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As of March 31, 2022 and December 31, 2021, unbilled receivables, which represent claims received and approved but unbilled at the end of the reporting period, were $31.3 million and $23.7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consolidated statements of operations. The following table provides a summary of the activity in this allowance (in thousands):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Charged</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2022</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 Costs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Write-offs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and Expenses</w:t>
            </w: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Fertility Benefits Services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Fertility benefits services costs include: (1) fees paid to provider clinics within the Company’s network, labs and anesthesiologists; (2) costs incurred (including salaries, bonuses, benefits, stock-based compensation expense, other related costs, and an allocation of our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Pharmacy Benefits Services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our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partners (such as through a specialty pharmacy). These rebates are recognized as a reduction of cost of services when prescriptions are dispensed and are generally estimated and billed to manufacturers within 20 days after the end of each month. The effect of adjustments resulting from the reconciliation of rebates recognized to the amounts billed and collected has not been material to the Company’s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The standard is intended to simplify the accounting for income taxes by removing certain exceptions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principles in Topic 740, as well as improve consistent application of and simplify GAAP for other areas of Topic</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740 by clarifying and amending existing guidance. The Company adopted this standard as of January 1, 2021. The adoption of this standard did not have a material impact on the Company’s consolidated financial statements.</w:t>
      </w:r>
    </w:p>
    <w:p>
      <w:pPr>
        <w:spacing w:after="0" w:line="14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May 2021, the FASB issued ASU No. 2021-04 (“ASU 2021-04”) “</w:t>
      </w:r>
      <w:r>
        <w:rPr>
          <w:rFonts w:ascii="Arial" w:cs="Arial" w:eastAsia="Arial" w:hAnsi="Arial"/>
          <w:sz w:val="18"/>
          <w:szCs w:val="18"/>
          <w:i w:val="1"/>
          <w:iCs w:val="1"/>
          <w:color w:val="auto"/>
        </w:rPr>
        <w:t>Earnings Per Share (Topic 260), Debt-Modifications and Extinguishments (Subtopic 470-50), Compensation- Stock Compensation (Topic 718), and Derivatives and Hedging-Contracts in Entity’s Own Equity (Subtopic 815- 40)</w:t>
      </w:r>
      <w:r>
        <w:rPr>
          <w:rFonts w:ascii="Arial" w:cs="Arial" w:eastAsia="Arial" w:hAnsi="Arial"/>
          <w:sz w:val="18"/>
          <w:szCs w:val="18"/>
          <w:color w:val="auto"/>
        </w:rPr>
        <w:t>” which provides guidance on modifications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of a freestanding equity-classified written call options that are not within the scope of another Topic, such as warrants. The Company adopted this standard as of January 1, 2022 on a prospective basis to modifications or exchanges occurring on or after this date. The adoption of this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80" w:hanging="630"/>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disaggregates revenue by service (in thousands):</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Three Months Ended</w:t>
      </w:r>
    </w:p>
    <w:p>
      <w:pPr>
        <w:ind w:left="71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Fertility benefit services revenue</w:t>
            </w:r>
          </w:p>
        </w:tc>
        <w:tc>
          <w:tcPr>
            <w:tcW w:w="2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110,918</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Pharmacy benefit services revenue</w:t>
            </w:r>
          </w:p>
        </w:tc>
        <w:tc>
          <w:tcPr>
            <w:tcW w:w="1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61,299</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revenue</w:t>
            </w:r>
          </w:p>
        </w:tc>
        <w:tc>
          <w:tcPr>
            <w:tcW w:w="1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172,217</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80" w:hanging="630"/>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Level 1 — Unadjusted quoted prices in active markets that are accessible at the measurement date for identical assets or liabilities.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Level 2 — Inputs, other than quoted prices in active markets, that are observable either directly or indirectly.</w:t>
      </w:r>
    </w:p>
    <w:p>
      <w:pPr>
        <w:spacing w:after="0" w:line="23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Level 3 — Prices or valuation techniques that require inputs that are both significant to the fair value of the asset or liability and supported by little or no market activity.</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uses observable market data when available, and minimizes the use of unobservable inputs when determining fair value.</w:t>
      </w:r>
    </w:p>
    <w:p>
      <w:pPr>
        <w:spacing w:after="0" w:line="17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As of March 31, 2022 and December 31, 2021, the Company had $41.5 million and $93.7 million, respectively, in financial assets held in money market accounts and $66.9 million and $28.0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March 31, 2022 and December 31, 2021, the Company did not have any assets or liabilities classified as Level 2 or Level 3 in the fair value hierarchy.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80" w:hanging="630"/>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September 2019, the Company’s lease agreement for its corporate headquarters commenced and is scheduled to expire in May 2029. Pursuant to the lease, the Company is obligated to pay the base rent of approximately $1.3 million per annum through the end of the fifth lease year and approximately $1.4 million per annum thereafter through the expiration date.</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recognizes lease expense on a straight-line basis over the lease term. Lease expense for each of the three months ended March 31, 2022 and 2021 was $0.3 million.</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Cash outflows from operating activities attributable to the operating lease for each of the three months ended March 31, 2022 and 2021 was $0.3 million.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related to our leases is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3760" w:type="dxa"/>
            <w:vAlign w:val="bottom"/>
            <w:gridSpan w:val="2"/>
          </w:tcPr>
          <w:p>
            <w:pPr>
              <w:ind w:left="10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2022</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6"/>
        </w:trPr>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Leases</w:t>
            </w:r>
          </w:p>
        </w:tc>
        <w:tc>
          <w:tcPr>
            <w:tcW w:w="3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360" w:type="dxa"/>
            <w:vAlign w:val="bottom"/>
            <w:vMerge w:val="continue"/>
          </w:tcPr>
          <w:p>
            <w:pPr>
              <w:spacing w:after="0"/>
              <w:rPr>
                <w:sz w:val="16"/>
                <w:szCs w:val="16"/>
                <w:color w:val="auto"/>
              </w:rPr>
            </w:pPr>
          </w:p>
        </w:tc>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Arial" w:cs="Arial" w:eastAsia="Arial" w:hAnsi="Arial"/>
                <w:sz w:val="18"/>
                <w:szCs w:val="18"/>
                <w:color w:val="auto"/>
              </w:rPr>
              <w:t>Short-term lease liabilities</w:t>
            </w:r>
          </w:p>
        </w:tc>
        <w:tc>
          <w:tcPr>
            <w:tcW w:w="376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noncurrent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information</w:t>
            </w:r>
          </w:p>
        </w:tc>
        <w:tc>
          <w:tcPr>
            <w:tcW w:w="35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Weighted average remaining lease term, operating lease</w:t>
            </w:r>
          </w:p>
        </w:tc>
        <w:tc>
          <w:tcPr>
            <w:tcW w:w="120" w:type="dxa"/>
            <w:vAlign w:val="bottom"/>
          </w:tcPr>
          <w:p>
            <w:pPr>
              <w:spacing w:after="0"/>
              <w:rPr>
                <w:sz w:val="19"/>
                <w:szCs w:val="19"/>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7.2 years</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 years</w:t>
            </w:r>
          </w:p>
        </w:tc>
        <w:tc>
          <w:tcPr>
            <w:tcW w:w="0" w:type="dxa"/>
            <w:vAlign w:val="bottom"/>
          </w:tcPr>
          <w:p>
            <w:pPr>
              <w:spacing w:after="0"/>
              <w:rPr>
                <w:sz w:val="1"/>
                <w:szCs w:val="1"/>
                <w:color w:val="auto"/>
              </w:rPr>
            </w:pPr>
          </w:p>
        </w:tc>
      </w:tr>
      <w:tr>
        <w:trPr>
          <w:trHeight w:val="230"/>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operating lease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minimum facility lease payments as of March 31, 2022,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80" w:type="dxa"/>
            <w:vAlign w:val="bottom"/>
          </w:tcPr>
          <w:p>
            <w:pPr>
              <w:spacing w:after="0"/>
              <w:rPr>
                <w:sz w:val="14"/>
                <w:szCs w:val="14"/>
                <w:color w:val="auto"/>
              </w:rPr>
            </w:pPr>
          </w:p>
        </w:tc>
        <w:tc>
          <w:tcPr>
            <w:tcW w:w="4220" w:type="dxa"/>
            <w:vAlign w:val="bottom"/>
          </w:tcPr>
          <w:p>
            <w:pPr>
              <w:jc w:val="right"/>
              <w:ind w:right="772"/>
              <w:spacing w:after="0"/>
              <w:rPr>
                <w:sz w:val="20"/>
                <w:szCs w:val="20"/>
                <w:color w:val="auto"/>
              </w:rPr>
            </w:pPr>
            <w:r>
              <w:rPr>
                <w:rFonts w:ascii="Arial" w:cs="Arial" w:eastAsia="Arial" w:hAnsi="Arial"/>
                <w:sz w:val="14"/>
                <w:szCs w:val="14"/>
                <w:b w:val="1"/>
                <w:bCs w:val="1"/>
                <w:color w:val="auto"/>
              </w:rPr>
              <w:t>Operating Lease Payments as of March 31, 2022</w:t>
            </w:r>
          </w:p>
        </w:tc>
      </w:tr>
      <w:tr>
        <w:trPr>
          <w:trHeight w:val="210"/>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4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color w:val="auto"/>
              </w:rPr>
              <w:t>1,286</w:t>
            </w: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color w:val="auto"/>
              </w:rPr>
              <w:t>1,407</w:t>
            </w: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16"/>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r>
      <w:tr>
        <w:trPr>
          <w:trHeight w:val="20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w:t>
            </w:r>
          </w:p>
        </w:tc>
      </w:tr>
      <w:tr>
        <w:trPr>
          <w:trHeight w:val="230"/>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48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r>
      <w:tr>
        <w:trPr>
          <w:trHeight w:val="21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r>
      <w:tr>
        <w:trPr>
          <w:trHeight w:val="230"/>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48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r>
      <w:tr>
        <w:trPr>
          <w:trHeight w:val="20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noncurrent liabilities</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February 2022 Lease Agreement</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February 2022, the Company entered into a lease agreement for additional space in its corporate offices in New York, New York, consisting of a 24,099 square foot office and a 21,262 square foot office, and also for continued occupancy of the 25,212 square foot office after the expiration of the current sublease. For the 24,099 square foot office, the lease commencement date, which is when the premises will become available to the Company for use, is expected to be in the third quarter of 2022. The Company is obligated to pay the base rent of approximately $1.4 million per year starting in the fourth quarter of 2023 for five years and approximately $1.5 million per year thereafter through the first quarter of 2035, the expiration date. For the 21,262 square foot office, the lease commencement date, which is when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premises will become available to the Company for use, is expected to be in the fourth quarter of 2024. The Company is obligated to pay the base rent of approximately $1.3 million starting in the first quarter of 2025 for five years and approximately $1.4 million per year thereafter through the first quarter of 2035, the expiration date. For the current 25,212 square foot office, the Company is obligated to pay the base rent of approximately $1.6 million per year beginning in June 2029, which is the lease commencement, through the first quarter of 2035, the expiration date.</w:t>
      </w:r>
    </w:p>
    <w:p>
      <w:pPr>
        <w:spacing w:after="0" w:line="186" w:lineRule="exact"/>
        <w:rPr>
          <w:sz w:val="20"/>
          <w:szCs w:val="20"/>
          <w:color w:val="auto"/>
        </w:rPr>
      </w:pPr>
    </w:p>
    <w:p>
      <w:pPr>
        <w:ind w:left="680" w:hanging="630"/>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which was amended in April 2019, January 2020, June 2020, and February 2021 (as amended, the “SVB Line of Credit”). Eligible accounts receivable was defined in the loan agreement as accounts billed with aging 90 days or less and excluded accounts receivable due for member copayments, coinsurance, and deductibles. The SVB Line of Credit matured in June 2021.</w:t>
      </w:r>
    </w:p>
    <w:p>
      <w:pPr>
        <w:spacing w:after="0" w:line="19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Company was required to pay a revolving line commitment fee of $225,000 in three equal annual installments of $75,000 starting on the one-year anniversary of the revolving line. The Company made the first installment payment of $75,000 in June 2019 and accrued this cost monthly. When the Company held unrestricted cash balances greater than $5.0 million, interest accrued at a floating rate per annum equal to the greater of prime rate or 4.75%. If the unrestricted cash balance was less than $5.0 million, interest accrued at a floating rate per annum equal to the greater of prime rate plus 0.5% or 4.75%, with interest payable monthly. Interest was paid based upon the borrowed funds.</w:t>
      </w:r>
    </w:p>
    <w:p>
      <w:pPr>
        <w:spacing w:after="0" w:line="16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SVB Line of Credit contained customary affirmative covenants, financial covenants, as well as negative covenants that, among other things, restricted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required the Company to achieve a specified minimum quarterly revenue as defined by the SVB Line of Credit.</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During the three months ended March 31, 2021, the Company recorded interest expense on the SVB Line of Credit of $18,750.</w:t>
      </w:r>
    </w:p>
    <w:p>
      <w:pPr>
        <w:spacing w:after="0" w:line="166" w:lineRule="exact"/>
        <w:rPr>
          <w:sz w:val="20"/>
          <w:szCs w:val="20"/>
          <w:color w:val="auto"/>
        </w:rPr>
      </w:pPr>
    </w:p>
    <w:p>
      <w:pPr>
        <w:ind w:left="600" w:hanging="550"/>
        <w:spacing w:after="0"/>
        <w:tabs>
          <w:tab w:leader="none" w:pos="6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87"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80" w:hanging="630"/>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which was included in the statements of operations as follows (in thousands):</w:t>
      </w:r>
    </w:p>
    <w:p>
      <w:pPr>
        <w:spacing w:after="0" w:line="175"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Three Months Ended</w:t>
      </w:r>
    </w:p>
    <w:p>
      <w:pPr>
        <w:ind w:left="71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59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13,572</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r>
      <w:tr>
        <w:trPr>
          <w:trHeight w:val="224"/>
        </w:trPr>
        <w:tc>
          <w:tcPr>
            <w:tcW w:w="592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24,500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5,034</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January 2022 Executive Equity Grants</w:t>
      </w:r>
    </w:p>
    <w:p>
      <w:pPr>
        <w:spacing w:after="0" w:line="225"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On November 4, 2021, the Company announced that David Schlanger will transition to the role of Executive Chairman, effective as of January 1, 2022, and will continue to serve as a director. In connection with this transition, the Company entered into an amended and restated employment agreement with Mr. Schlanger, effective as of January 1, 2022. Pursuant to this agreement, Mr. Schlanger received an equity award for fiscal year 2022 comprised of 333,000 non-qualified stock options and 84,000 restricted stock units, in each case vesting as to 25% on the first anniversary of the vesting commencement date with the remaining 75% of such award vesting in equal quarterly installments thereafter over the next three years, as well as a performance stock unit award with respect to a maximum number of 83,000 shares that are eligible to be earned based on the achievement of specified revenue targets.</w:t>
      </w:r>
    </w:p>
    <w:p>
      <w:pPr>
        <w:spacing w:after="0" w:line="16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Peter Anevski, who served as President and Chief Operating Officer, succeeded Mr. Schlanger as Chief Executive Officer, effective as of January 1, 2022. In connection with this transition, the Company entered into an amended and restated employment agreement with Mr. Anevski, effective as of January 1, 2022. Pursuant to this agreement, Mr. Anevski received an equity award for fiscal year 2022 comprised of 1,000,000 non-qualified stock options and 250,000 restricted stock units, in each case vesting as to 25% on the first anniversary of the vesting commencement date with the remaining 75% of such award vesting in equal quarterly installments thereafter over the next three years, as well as a performance stock unit award with respect to a maximum number of 250,000 shares that are eligible to be earned based on the achievement of specified revenue targets.</w:t>
      </w:r>
    </w:p>
    <w:p>
      <w:pPr>
        <w:spacing w:after="0" w:line="200" w:lineRule="exact"/>
        <w:rPr>
          <w:sz w:val="20"/>
          <w:szCs w:val="20"/>
          <w:color w:val="auto"/>
        </w:rPr>
      </w:pPr>
    </w:p>
    <w:p>
      <w:pPr>
        <w:spacing w:after="0" w:line="244" w:lineRule="exact"/>
        <w:rPr>
          <w:sz w:val="20"/>
          <w:szCs w:val="20"/>
          <w:color w:val="auto"/>
        </w:rPr>
      </w:pPr>
    </w:p>
    <w:p>
      <w:pPr>
        <w:ind w:left="680" w:hanging="630"/>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For the three months ended March 31, 2022 and 2021,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three months ended March 31, 2022 and 2021, the Company recorded a benefit for taxes of $5.1 million and $3.4 million, respectively, primarily due to equity compensation activity that occurred during the period.</w:t>
      </w:r>
    </w:p>
    <w:p>
      <w:pPr>
        <w:spacing w:after="0" w:line="173" w:lineRule="exact"/>
        <w:rPr>
          <w:sz w:val="20"/>
          <w:szCs w:val="20"/>
          <w:color w:val="auto"/>
        </w:rPr>
      </w:pPr>
    </w:p>
    <w:p>
      <w:pPr>
        <w:ind w:left="720" w:hanging="670"/>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Basic net income per share is calculated by dividing the net income by the weighted-average number of shares of common stock outstanding for the period.</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Diluted net income per share is computed by dividing the diluted net income by the weighted average number of common shares outstanding for the period, including potential dilutive common shares assuming dilutive effect of outstanding common stock options, restricted stock units, and common stock warrants. In periods when the Company has incurred a net loss, diluted net loss per share is the same as basic net loss per share because dilutive common shares are not assumed to have been issued if their effect is anti-dilutive.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 reconciliation of net income and the number of shares in the calculation of basic and diluted net income per share is as follows (in thousands, except share and per share amounts):</w:t>
      </w:r>
    </w:p>
    <w:p>
      <w:pPr>
        <w:spacing w:after="0" w:line="175"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jc w:val="center"/>
        <w:ind w:left="6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7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Basic net income per common share:</w:t>
            </w:r>
          </w:p>
        </w:tc>
        <w:tc>
          <w:tcPr>
            <w:tcW w:w="8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57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4,971</w:t>
            </w:r>
          </w:p>
        </w:tc>
        <w:tc>
          <w:tcPr>
            <w:tcW w:w="20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15,166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Denominator:</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Weighted-average shares used in computing basic net income per share</w:t>
            </w:r>
          </w:p>
        </w:tc>
        <w:tc>
          <w:tcPr>
            <w:tcW w:w="8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91,410,368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87,404,287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Basic net income per share</w:t>
            </w:r>
          </w:p>
        </w:tc>
        <w:tc>
          <w:tcPr>
            <w:tcW w:w="8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7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tcPr>
          <w:p>
            <w:pPr>
              <w:spacing w:after="0"/>
              <w:rPr>
                <w:sz w:val="20"/>
                <w:szCs w:val="20"/>
                <w:color w:val="auto"/>
              </w:rPr>
            </w:pPr>
            <w:r>
              <w:rPr>
                <w:rFonts w:ascii="Arial" w:cs="Arial" w:eastAsia="Arial" w:hAnsi="Arial"/>
                <w:sz w:val="16"/>
                <w:szCs w:val="16"/>
                <w:b w:val="1"/>
                <w:bCs w:val="1"/>
                <w:color w:val="auto"/>
              </w:rPr>
              <w:t>Diluted net income per common share: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4,971</w:t>
            </w:r>
          </w:p>
        </w:tc>
        <w:tc>
          <w:tcPr>
            <w:tcW w:w="20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15,166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Denominator:</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Weighted-average shares used in computing basic net income per share</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91,410,368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87,404,287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Effect of dilutive securities</w:t>
            </w:r>
          </w:p>
        </w:tc>
        <w:tc>
          <w:tcPr>
            <w:tcW w:w="8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8,525,367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12,702,210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Weighted-average shares used in computing diluted net income per share</w:t>
            </w:r>
          </w:p>
        </w:tc>
        <w:tc>
          <w:tcPr>
            <w:tcW w:w="8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99,935,735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100,106,497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Pr>
          <w:p>
            <w:pPr>
              <w:ind w:left="200"/>
              <w:spacing w:after="0"/>
              <w:rPr>
                <w:sz w:val="20"/>
                <w:szCs w:val="20"/>
                <w:color w:val="auto"/>
              </w:rPr>
            </w:pPr>
            <w:r>
              <w:rPr>
                <w:rFonts w:ascii="Arial" w:cs="Arial" w:eastAsia="Arial" w:hAnsi="Arial"/>
                <w:sz w:val="16"/>
                <w:szCs w:val="16"/>
                <w:color w:val="auto"/>
              </w:rPr>
              <w:t>Diluted net income per share</w:t>
            </w:r>
          </w:p>
        </w:tc>
        <w:tc>
          <w:tcPr>
            <w:tcW w:w="8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The following weighted-average outstanding shares of potentially dilutive securities were excluded from the computation of diluted income per share for the period presented because including them would have been antidilutive:</w:t>
      </w:r>
    </w:p>
    <w:p>
      <w:pPr>
        <w:spacing w:after="0" w:line="129"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w:t>
      </w:r>
    </w:p>
    <w:p>
      <w:pPr>
        <w:ind w:left="69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520" w:type="dxa"/>
            <w:vAlign w:val="bottom"/>
            <w:tcBorders>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6,844,585</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389,514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Shares issuable under ESPP</w:t>
            </w:r>
          </w:p>
        </w:tc>
        <w:tc>
          <w:tcPr>
            <w:tcW w:w="1600" w:type="dxa"/>
            <w:vAlign w:val="bottom"/>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1,814,719</w:t>
            </w:r>
          </w:p>
        </w:tc>
        <w:tc>
          <w:tcPr>
            <w:tcW w:w="16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r>
      <w:tr>
        <w:trPr>
          <w:trHeight w:val="210"/>
        </w:trPr>
        <w:tc>
          <w:tcPr>
            <w:tcW w:w="5520" w:type="dxa"/>
            <w:vAlign w:val="bottom"/>
          </w:tcPr>
          <w:p>
            <w:pPr>
              <w:ind w:left="3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8,659,987</w:t>
            </w:r>
          </w:p>
        </w:tc>
        <w:tc>
          <w:tcPr>
            <w:tcW w:w="1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395,669</w:t>
            </w:r>
          </w:p>
        </w:tc>
      </w:tr>
      <w:tr>
        <w:trPr>
          <w:trHeight w:val="20"/>
        </w:trPr>
        <w:tc>
          <w:tcPr>
            <w:tcW w:w="55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year ended December 31, 2021, filed with the Securities and Exchange Commission, or the SEC, on March 1, 2022.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265 with at least 1,000 covered lives. We currently provide coverage to approximately 4.0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period is evidenced by our industry-leading Net Promoter Score, or NPS, of +81 for our fertility benefits solution and +79 for our integrated pharmacy benefits solution, Progyny Rx as of December 31, 2021. Our members experience healthier pregnancies and superior rates of pregnancy and live births, as well as reduced rates of miscarriages and multiple births, saving valuable time and money and limiting personal and professional disruption.</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right="210"/>
              <w:spacing w:after="0" w:line="161" w:lineRule="exact"/>
              <w:rPr>
                <w:sz w:val="20"/>
                <w:szCs w:val="20"/>
                <w:color w:val="auto"/>
              </w:rPr>
            </w:pPr>
            <w:r>
              <w:rPr>
                <w:rFonts w:ascii="Arial" w:cs="Arial" w:eastAsia="Arial" w:hAnsi="Arial"/>
                <w:sz w:val="14"/>
                <w:szCs w:val="14"/>
                <w:b w:val="1"/>
                <w:bCs w:val="1"/>
                <w:color w:val="auto"/>
                <w:w w:val="95"/>
              </w:rPr>
              <w:t>Progyny In</w:t>
            </w:r>
            <w:r>
              <w:rPr>
                <w:rFonts w:ascii="MS PGothic" w:cs="MS PGothic" w:eastAsia="MS PGothic" w:hAnsi="MS PGothic"/>
                <w:sz w:val="14"/>
                <w:szCs w:val="14"/>
                <w:b w:val="1"/>
                <w:bCs w:val="1"/>
                <w:color w:val="auto"/>
                <w:w w:val="95"/>
              </w:rPr>
              <w:t>‑</w:t>
            </w:r>
            <w:r>
              <w:rPr>
                <w:rFonts w:ascii="Arial" w:cs="Arial" w:eastAsia="Arial" w:hAnsi="Arial"/>
                <w:sz w:val="14"/>
                <w:szCs w:val="14"/>
                <w:b w:val="1"/>
                <w:bCs w:val="1"/>
                <w:color w:val="auto"/>
                <w:w w:val="95"/>
              </w:rPr>
              <w:t>Network</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2"/>
            <w:vMerge w:val="restart"/>
          </w:tcPr>
          <w:p>
            <w:pPr>
              <w:jc w:val="center"/>
              <w:ind w:right="190"/>
              <w:spacing w:after="0"/>
              <w:rPr>
                <w:sz w:val="20"/>
                <w:szCs w:val="20"/>
                <w:color w:val="auto"/>
              </w:rPr>
            </w:pPr>
            <w:r>
              <w:rPr>
                <w:rFonts w:ascii="Arial" w:cs="Arial" w:eastAsia="Arial" w:hAnsi="Arial"/>
                <w:sz w:val="14"/>
                <w:szCs w:val="14"/>
                <w:b w:val="1"/>
                <w:bCs w:val="1"/>
                <w:color w:val="auto"/>
                <w:w w:val="91"/>
              </w:rPr>
              <w:t>National Averages</w:t>
            </w:r>
          </w:p>
        </w:tc>
        <w:tc>
          <w:tcPr>
            <w:tcW w:w="18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7"/>
              </w:rPr>
              <w:t>Progyny In</w:t>
            </w:r>
            <w:r>
              <w:rPr>
                <w:rFonts w:ascii="MS PGothic" w:cs="MS PGothic" w:eastAsia="MS PGothic" w:hAnsi="MS PGothic"/>
                <w:sz w:val="14"/>
                <w:szCs w:val="14"/>
                <w:b w:val="1"/>
                <w:bCs w:val="1"/>
                <w:color w:val="auto"/>
                <w:w w:val="97"/>
              </w:rPr>
              <w:t>‑</w:t>
            </w:r>
            <w:r>
              <w:rPr>
                <w:rFonts w:ascii="Arial" w:cs="Arial" w:eastAsia="Arial" w:hAnsi="Arial"/>
                <w:sz w:val="14"/>
                <w:szCs w:val="14"/>
                <w:b w:val="1"/>
                <w:bCs w:val="1"/>
                <w:color w:val="auto"/>
                <w:w w:val="97"/>
              </w:rPr>
              <w:t>Network</w:t>
            </w:r>
          </w:p>
        </w:tc>
        <w:tc>
          <w:tcPr>
            <w:tcW w:w="184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5"/>
              </w:rPr>
              <w:t>Provider Clinic</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5"/>
              </w:rPr>
              <w:t>Provider Clinic</w:t>
            </w:r>
          </w:p>
        </w:tc>
        <w:tc>
          <w:tcPr>
            <w:tcW w:w="18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8"/>
              </w:rPr>
              <w:t>Averages</w:t>
            </w:r>
          </w:p>
        </w:tc>
        <w:tc>
          <w:tcPr>
            <w:tcW w:w="0" w:type="dxa"/>
            <w:vAlign w:val="bottom"/>
          </w:tcPr>
          <w:p>
            <w:pPr>
              <w:spacing w:after="0"/>
              <w:rPr>
                <w:sz w:val="1"/>
                <w:szCs w:val="1"/>
                <w:color w:val="auto"/>
              </w:rPr>
            </w:pPr>
          </w:p>
        </w:tc>
      </w:tr>
      <w:tr>
        <w:trPr>
          <w:trHeight w:val="144"/>
        </w:trPr>
        <w:tc>
          <w:tcPr>
            <w:tcW w:w="3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Outcome</w:t>
            </w:r>
          </w:p>
        </w:tc>
        <w:tc>
          <w:tcPr>
            <w:tcW w:w="1840" w:type="dxa"/>
            <w:vAlign w:val="bottom"/>
            <w:gridSpan w:val="2"/>
          </w:tcPr>
          <w:p>
            <w:pPr>
              <w:jc w:val="center"/>
              <w:ind w:right="190"/>
              <w:spacing w:after="0" w:line="145" w:lineRule="exact"/>
              <w:rPr>
                <w:sz w:val="20"/>
                <w:szCs w:val="20"/>
                <w:color w:val="auto"/>
              </w:rPr>
            </w:pPr>
            <w:r>
              <w:rPr>
                <w:rFonts w:ascii="Arial" w:cs="Arial" w:eastAsia="Arial" w:hAnsi="Arial"/>
                <w:sz w:val="14"/>
                <w:szCs w:val="14"/>
                <w:b w:val="1"/>
                <w:bCs w:val="1"/>
                <w:color w:val="auto"/>
                <w:w w:val="94"/>
              </w:rPr>
              <w:t>for All Provider</w:t>
            </w:r>
          </w:p>
        </w:tc>
        <w:tc>
          <w:tcPr>
            <w:tcW w:w="1860" w:type="dxa"/>
            <w:vAlign w:val="bottom"/>
            <w:gridSpan w:val="2"/>
          </w:tcPr>
          <w:p>
            <w:pPr>
              <w:jc w:val="center"/>
              <w:ind w:right="210"/>
              <w:spacing w:after="0" w:line="145" w:lineRule="exact"/>
              <w:rPr>
                <w:sz w:val="20"/>
                <w:szCs w:val="20"/>
                <w:color w:val="auto"/>
              </w:rPr>
            </w:pPr>
            <w:r>
              <w:rPr>
                <w:rFonts w:ascii="Arial" w:cs="Arial" w:eastAsia="Arial" w:hAnsi="Arial"/>
                <w:sz w:val="14"/>
                <w:szCs w:val="14"/>
                <w:b w:val="1"/>
                <w:bCs w:val="1"/>
                <w:color w:val="auto"/>
                <w:w w:val="88"/>
              </w:rPr>
              <w:t>Averages</w:t>
            </w:r>
          </w:p>
        </w:tc>
        <w:tc>
          <w:tcPr>
            <w:tcW w:w="1840" w:type="dxa"/>
            <w:vAlign w:val="bottom"/>
            <w:gridSpan w:val="2"/>
          </w:tcPr>
          <w:p>
            <w:pPr>
              <w:jc w:val="center"/>
              <w:ind w:right="210"/>
              <w:spacing w:after="0" w:line="145" w:lineRule="exact"/>
              <w:rPr>
                <w:sz w:val="20"/>
                <w:szCs w:val="20"/>
                <w:color w:val="auto"/>
              </w:rPr>
            </w:pPr>
            <w:r>
              <w:rPr>
                <w:rFonts w:ascii="Arial" w:cs="Arial" w:eastAsia="Arial" w:hAnsi="Arial"/>
                <w:sz w:val="14"/>
                <w:szCs w:val="14"/>
                <w:b w:val="1"/>
                <w:bCs w:val="1"/>
                <w:color w:val="auto"/>
                <w:w w:val="94"/>
              </w:rPr>
              <w:t>for Progyny</w:t>
            </w:r>
          </w:p>
        </w:tc>
        <w:tc>
          <w:tcPr>
            <w:tcW w:w="0" w:type="dxa"/>
            <w:vAlign w:val="bottom"/>
          </w:tcPr>
          <w:p>
            <w:pPr>
              <w:spacing w:after="0"/>
              <w:rPr>
                <w:sz w:val="1"/>
                <w:szCs w:val="1"/>
                <w:color w:val="auto"/>
              </w:rPr>
            </w:pPr>
          </w:p>
        </w:tc>
      </w:tr>
      <w:tr>
        <w:trPr>
          <w:trHeight w:val="175"/>
        </w:trPr>
        <w:tc>
          <w:tcPr>
            <w:tcW w:w="3360" w:type="dxa"/>
            <w:vAlign w:val="bottom"/>
            <w:gridSpan w:val="3"/>
            <w:vMerge w:val="continue"/>
          </w:tcPr>
          <w:p>
            <w:pPr>
              <w:spacing w:after="0"/>
              <w:rPr>
                <w:sz w:val="15"/>
                <w:szCs w:val="15"/>
                <w:color w:val="auto"/>
              </w:rPr>
            </w:pPr>
          </w:p>
        </w:tc>
        <w:tc>
          <w:tcPr>
            <w:tcW w:w="184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1"/>
              </w:rPr>
              <w:t>Clinics</w:t>
            </w:r>
          </w:p>
        </w:tc>
        <w:tc>
          <w:tcPr>
            <w:tcW w:w="18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for All Patients</w:t>
            </w:r>
          </w:p>
        </w:tc>
        <w:tc>
          <w:tcPr>
            <w:tcW w:w="1840" w:type="dxa"/>
            <w:vAlign w:val="bottom"/>
            <w:gridSpan w:val="2"/>
          </w:tcPr>
          <w:p>
            <w:pPr>
              <w:jc w:val="center"/>
              <w:ind w:right="210"/>
              <w:spacing w:after="0" w:line="176" w:lineRule="exact"/>
              <w:rPr>
                <w:sz w:val="20"/>
                <w:szCs w:val="20"/>
                <w:color w:val="auto"/>
              </w:rPr>
            </w:pPr>
            <w:r>
              <w:rPr>
                <w:rFonts w:ascii="Arial" w:cs="Arial" w:eastAsia="Arial" w:hAnsi="Arial"/>
                <w:sz w:val="14"/>
                <w:szCs w:val="14"/>
                <w:b w:val="1"/>
                <w:bCs w:val="1"/>
                <w:color w:val="auto"/>
                <w:w w:val="93"/>
              </w:rPr>
              <w:t>Members Only</w:t>
            </w:r>
            <w:r>
              <w:rPr>
                <w:rFonts w:ascii="Arial" w:cs="Arial" w:eastAsia="Arial" w:hAnsi="Arial"/>
                <w:sz w:val="20"/>
                <w:szCs w:val="20"/>
                <w:b w:val="1"/>
                <w:bCs w:val="1"/>
                <w:color w:val="auto"/>
                <w:w w:val="93"/>
                <w:vertAlign w:val="superscript"/>
              </w:rPr>
              <w:t>(3)</w:t>
            </w:r>
          </w:p>
        </w:tc>
        <w:tc>
          <w:tcPr>
            <w:tcW w:w="0" w:type="dxa"/>
            <w:vAlign w:val="bottom"/>
          </w:tcPr>
          <w:p>
            <w:pPr>
              <w:spacing w:after="0"/>
              <w:rPr>
                <w:sz w:val="1"/>
                <w:szCs w:val="1"/>
                <w:color w:val="auto"/>
              </w:rPr>
            </w:pPr>
          </w:p>
        </w:tc>
      </w:tr>
      <w:tr>
        <w:trPr>
          <w:trHeight w:val="210"/>
        </w:trPr>
        <w:tc>
          <w:tcPr>
            <w:tcW w:w="306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Single embryo transfer rate</w:t>
            </w:r>
            <w:r>
              <w:rPr>
                <w:rFonts w:ascii="Arial" w:cs="Arial" w:eastAsia="Arial" w:hAnsi="Arial"/>
                <w:sz w:val="24"/>
                <w:szCs w:val="24"/>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Pregnancy rate per IVF transfer</w:t>
            </w:r>
            <w:r>
              <w:rPr>
                <w:rFonts w:ascii="Arial" w:cs="Arial" w:eastAsia="Arial" w:hAnsi="Arial"/>
                <w:sz w:val="25"/>
                <w:szCs w:val="25"/>
                <w:color w:val="auto"/>
                <w:vertAlign w:val="superscript"/>
              </w:rPr>
              <w:t>(1)</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54.1 %</w:t>
            </w: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rPr>
              <w:t>55.5 %</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63.0 %</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Miscarriage rate</w:t>
            </w:r>
            <w:r>
              <w:rPr>
                <w:rFonts w:ascii="Arial" w:cs="Arial" w:eastAsia="Arial" w:hAnsi="Arial"/>
                <w:sz w:val="25"/>
                <w:szCs w:val="25"/>
                <w:color w:val="auto"/>
                <w:vertAlign w:val="superscript"/>
              </w:rPr>
              <w:t>(1)</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18.6 %</w:t>
            </w:r>
          </w:p>
        </w:tc>
        <w:tc>
          <w:tcPr>
            <w:tcW w:w="1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18.3 %</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Live birth rate</w:t>
            </w:r>
            <w:r>
              <w:rPr>
                <w:rFonts w:ascii="Arial" w:cs="Arial" w:eastAsia="Arial" w:hAnsi="Arial"/>
                <w:sz w:val="25"/>
                <w:szCs w:val="25"/>
                <w:color w:val="auto"/>
                <w:vertAlign w:val="superscript"/>
              </w:rPr>
              <w:t>(2)</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42.7 %</w:t>
            </w: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rPr>
              <w:t>44.1 %</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54.3 %</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IVF multiples rate</w:t>
            </w:r>
            <w:r>
              <w:rPr>
                <w:rFonts w:ascii="Arial" w:cs="Arial" w:eastAsia="Arial" w:hAnsi="Arial"/>
                <w:sz w:val="25"/>
                <w:szCs w:val="25"/>
                <w:color w:val="auto"/>
                <w:vertAlign w:val="superscript"/>
              </w:rPr>
              <w:t>(2)</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7.4 %</w:t>
            </w:r>
          </w:p>
        </w:tc>
        <w:tc>
          <w:tcPr>
            <w:tcW w:w="1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6.5 %</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40" w:right="2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based on the Society for Assisted Reproductive Technology, or SART, 2019 National Summary Report, finalized in 2022.</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based on CDC, 2020 National Summary and Clinic Data Sets, published in 2022.</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based on the 12-month period ended December 31, 2021.</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b w:val="1"/>
          <w:bCs w:val="1"/>
          <w:i w:val="1"/>
          <w:iCs w:val="1"/>
          <w:color w:val="auto"/>
        </w:rPr>
        <w:t>Fertility Benefits Solution</w:t>
      </w:r>
      <w:r>
        <w:rPr>
          <w:rFonts w:ascii="Arial" w:cs="Arial" w:eastAsia="Arial" w:hAnsi="Arial"/>
          <w:sz w:val="16"/>
          <w:szCs w:val="16"/>
          <w:color w:val="auto"/>
        </w:rPr>
        <w:t>. Our fertility benefits solution includes providing members with access to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cost-efficient fertility treatments through our Smart Cycle plan design. Smart Cycles are proprietary treatment bundles designed by us to include those medical services available to our members through our selective network of high-quality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19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9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b w:val="1"/>
          <w:bCs w:val="1"/>
          <w:i w:val="1"/>
          <w:iCs w:val="1"/>
          <w:color w:val="auto"/>
        </w:rPr>
        <w:t xml:space="preserve">Pharmacy Benefits Solution. </w:t>
      </w:r>
      <w:r>
        <w:rPr>
          <w:rFonts w:ascii="Arial" w:cs="Arial" w:eastAsia="Arial" w:hAnsi="Arial"/>
          <w:sz w:val="17"/>
          <w:szCs w:val="17"/>
          <w:color w:val="auto"/>
        </w:rPr>
        <w:t>We went live with our integrated pharmacy benefits solution in 2018. Progyny Rx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 only be 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78"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b w:val="1"/>
          <w:bCs w:val="1"/>
          <w:i w:val="1"/>
          <w:iCs w:val="1"/>
          <w:color w:val="auto"/>
        </w:rPr>
        <w:t xml:space="preserve">Our Clients. </w:t>
      </w:r>
      <w:r>
        <w:rPr>
          <w:rFonts w:ascii="Arial" w:cs="Arial" w:eastAsia="Arial" w:hAnsi="Arial"/>
          <w:sz w:val="16"/>
          <w:szCs w:val="16"/>
          <w:color w:val="auto"/>
        </w:rPr>
        <w:t>We currently serve over 265 employers with at least 1,000 covered lives in the United States across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than 30 industries. Our current clients, who are industry leaders across both high-growth and mature industries and who range in size from approximately 1,000 to 500,000 employees, represent approximately 4.0 million covered lives.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84" w:lineRule="exact"/>
        <w:rPr>
          <w:sz w:val="20"/>
          <w:szCs w:val="20"/>
          <w:color w:val="auto"/>
        </w:rPr>
      </w:pPr>
    </w:p>
    <w:p>
      <w:pPr>
        <w:jc w:val="both"/>
        <w:ind w:left="720" w:right="79" w:hanging="319"/>
        <w:spacing w:after="0" w:line="291"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Utilization Component. </w:t>
      </w:r>
      <w:r>
        <w:rPr>
          <w:rFonts w:ascii="Arial" w:cs="Arial" w:eastAsia="Arial" w:hAnsi="Arial"/>
          <w:sz w:val="16"/>
          <w:szCs w:val="16"/>
          <w:color w:val="auto"/>
        </w:rPr>
        <w:t>Clients pay us for the fertility benefits and Progyny Rx solutions utilized by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With respect to the 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66" w:lineRule="exact"/>
        <w:rPr>
          <w:rFonts w:ascii="Arial" w:cs="Arial" w:eastAsia="Arial" w:hAnsi="Arial"/>
          <w:sz w:val="16"/>
          <w:szCs w:val="16"/>
          <w:color w:val="auto"/>
        </w:rPr>
      </w:pPr>
    </w:p>
    <w:p>
      <w:pPr>
        <w:jc w:val="both"/>
        <w:ind w:left="720" w:right="79" w:hanging="319"/>
        <w:spacing w:after="0" w:line="25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Population-Based Component. </w:t>
      </w:r>
      <w:r>
        <w:rPr>
          <w:rFonts w:ascii="Arial" w:cs="Arial" w:eastAsia="Arial" w:hAnsi="Arial"/>
          <w:sz w:val="18"/>
          <w:szCs w:val="18"/>
          <w:color w:val="auto"/>
        </w:rPr>
        <w:t>Clients who purchase our fertility benefits solution also typically pay us a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per month fee, or PEPM fee, 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three months ended March 31, 2022 and 2021.</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color w:val="auto"/>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340" w:lineRule="auto"/>
        <w:rPr>
          <w:sz w:val="20"/>
          <w:szCs w:val="20"/>
          <w:color w:val="auto"/>
        </w:rPr>
      </w:pPr>
      <w:r>
        <w:rPr>
          <w:rFonts w:ascii="Arial" w:cs="Arial" w:eastAsia="Arial" w:hAnsi="Arial"/>
          <w:sz w:val="16"/>
          <w:szCs w:val="16"/>
          <w:color w:val="auto"/>
        </w:rPr>
        <w:t>Similarly, for existing clients, any changes in plan designs are typically elected by the end of October so that clients can inform their employees of the benefits during the open enrollment period ahead of a January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plan year start.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b w:val="1"/>
          <w:bCs w:val="1"/>
          <w:i w:val="1"/>
          <w:iCs w:val="1"/>
          <w:color w:val="auto"/>
        </w:rPr>
        <w:t xml:space="preserve">Member and Client Base. </w:t>
      </w:r>
      <w:r>
        <w:rPr>
          <w:rFonts w:ascii="Arial" w:cs="Arial" w:eastAsia="Arial" w:hAnsi="Arial"/>
          <w:sz w:val="17"/>
          <w:szCs w:val="17"/>
          <w:color w:val="auto"/>
        </w:rPr>
        <w:t>Our addressable market is primarily large self-insured employers. There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8,000 employers in the United States (excluding quasi-governmental entities, such as universities, school systems, and labor unions) who have a minimum of 1,000 employees, representing approximately 75 million potential covered lives in total. Our current member base of approximately 4.0 million covered lives represents a low 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March 31, 2022 and December 31, 2021, we served 264 and 191 clients, respectively, representing 3,957,000 and 2,935,000 members, respectively.</w:t>
      </w:r>
    </w:p>
    <w:p>
      <w:pPr>
        <w:spacing w:after="0" w:line="18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Importantly, as we have continued to grow, we have meaningfully diversified our client base across more than 30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March 31,</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42"/>
        </w:trPr>
        <w:tc>
          <w:tcPr>
            <w:tcW w:w="3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Client Tier (Members)</w:t>
            </w:r>
          </w:p>
        </w:tc>
        <w:tc>
          <w:tcPr>
            <w:tcW w:w="1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2021</w:t>
            </w:r>
          </w:p>
        </w:tc>
        <w:tc>
          <w:tcPr>
            <w:tcW w:w="12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gridSpan w:val="2"/>
            <w:vMerge w:val="continue"/>
          </w:tcPr>
          <w:p>
            <w:pPr>
              <w:spacing w:after="0"/>
              <w:rPr>
                <w:sz w:val="12"/>
                <w:szCs w:val="12"/>
                <w:color w:val="auto"/>
              </w:rPr>
            </w:pPr>
          </w:p>
        </w:tc>
        <w:tc>
          <w:tcPr>
            <w:tcW w:w="1880" w:type="dxa"/>
            <w:vAlign w:val="bottom"/>
            <w:gridSpan w:val="3"/>
          </w:tcPr>
          <w:p>
            <w:pPr>
              <w:jc w:val="right"/>
              <w:ind w:right="1040"/>
              <w:spacing w:after="0" w:line="142" w:lineRule="exact"/>
              <w:rPr>
                <w:sz w:val="20"/>
                <w:szCs w:val="20"/>
                <w:color w:val="auto"/>
              </w:rPr>
            </w:pPr>
            <w:r>
              <w:rPr>
                <w:rFonts w:ascii="Arial" w:cs="Arial" w:eastAsia="Arial" w:hAnsi="Arial"/>
                <w:sz w:val="14"/>
                <w:szCs w:val="14"/>
                <w:b w:val="1"/>
                <w:bCs w:val="1"/>
                <w:color w:val="auto"/>
              </w:rPr>
              <w:t>Clients</w:t>
            </w:r>
          </w:p>
        </w:tc>
        <w:tc>
          <w:tcPr>
            <w:tcW w:w="92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w w:val="91"/>
              </w:rPr>
              <w:t>Members</w:t>
            </w:r>
          </w:p>
        </w:tc>
        <w:tc>
          <w:tcPr>
            <w:tcW w:w="300" w:type="dxa"/>
            <w:vAlign w:val="bottom"/>
          </w:tcPr>
          <w:p>
            <w:pPr>
              <w:spacing w:after="0"/>
              <w:rPr>
                <w:sz w:val="12"/>
                <w:szCs w:val="12"/>
                <w:color w:val="auto"/>
              </w:rPr>
            </w:pPr>
          </w:p>
        </w:tc>
        <w:tc>
          <w:tcPr>
            <w:tcW w:w="126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Clients</w:t>
            </w:r>
          </w:p>
        </w:tc>
        <w:tc>
          <w:tcPr>
            <w:tcW w:w="280" w:type="dxa"/>
            <w:vAlign w:val="bottom"/>
          </w:tcPr>
          <w:p>
            <w:pPr>
              <w:spacing w:after="0"/>
              <w:rPr>
                <w:sz w:val="12"/>
                <w:szCs w:val="12"/>
                <w:color w:val="auto"/>
              </w:rPr>
            </w:pPr>
          </w:p>
        </w:tc>
        <w:tc>
          <w:tcPr>
            <w:tcW w:w="126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Members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Up to 2,500</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114,000</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2,501 - 10,000</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603,000</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473,000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10,001 - 50,000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1,272,000</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Greater than 50,000</w:t>
            </w: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1,968,000</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1,426,000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3,957,000</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3"/>
          </w:tcPr>
          <w:p>
            <w:pPr>
              <w:jc w:val="right"/>
              <w:ind w:right="320"/>
              <w:spacing w:after="0"/>
              <w:rPr>
                <w:sz w:val="20"/>
                <w:szCs w:val="20"/>
                <w:color w:val="auto"/>
              </w:rPr>
            </w:pPr>
            <w:r>
              <w:rPr>
                <w:rFonts w:ascii="Arial" w:cs="Arial" w:eastAsia="Arial" w:hAnsi="Arial"/>
                <w:sz w:val="18"/>
                <w:szCs w:val="18"/>
                <w:color w:val="auto"/>
              </w:rPr>
              <w:t>23</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b w:val="1"/>
          <w:bCs w:val="1"/>
          <w:i w:val="1"/>
          <w:iCs w:val="1"/>
          <w:color w:val="auto"/>
        </w:rPr>
        <w:t>Benefits Utilization</w:t>
      </w:r>
      <w:r>
        <w:rPr>
          <w:rFonts w:ascii="Arial" w:cs="Arial" w:eastAsia="Arial" w:hAnsi="Arial"/>
          <w:sz w:val="18"/>
          <w:szCs w:val="18"/>
          <w:color w:val="auto"/>
        </w:rPr>
        <w:t>. A key driver of our revenue is the number of members we serve and the rate at which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 their fertility benefits. As our client base has grown, our membership has grown from approximately 110,000 members in 2016 when we launched our fertility benefits solution to approximately 4.0 million members as of March 31, 2022.</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highlights the number of assisted reproductive treatment, or ART, cycles performed for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Progyny members and the member utilization rates for each of the periods presented:</w:t>
      </w:r>
    </w:p>
    <w:p>
      <w:pPr>
        <w:spacing w:after="0" w:line="216"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Three Months Ended</w:t>
      </w:r>
    </w:p>
    <w:p>
      <w:pPr>
        <w:ind w:left="69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62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620" w:type="dxa"/>
            <w:vAlign w:val="bottom"/>
            <w:shd w:val="clear" w:color="auto" w:fill="CCEEFF"/>
          </w:tcPr>
          <w:p>
            <w:pPr>
              <w:ind w:left="20"/>
              <w:spacing w:after="0" w:line="210" w:lineRule="exact"/>
              <w:rPr>
                <w:sz w:val="20"/>
                <w:szCs w:val="20"/>
                <w:color w:val="auto"/>
              </w:rPr>
            </w:pPr>
            <w:r>
              <w:rPr>
                <w:rFonts w:ascii="Arial" w:cs="Arial" w:eastAsia="Arial" w:hAnsi="Arial"/>
                <w:sz w:val="17"/>
                <w:szCs w:val="17"/>
                <w:color w:val="auto"/>
              </w:rPr>
              <w:t>Assisted Reproductive Treatment (ART) Cycles</w:t>
            </w:r>
            <w:r>
              <w:rPr>
                <w:rFonts w:ascii="Arial" w:cs="Arial" w:eastAsia="Arial" w:hAnsi="Arial"/>
                <w:sz w:val="24"/>
                <w:szCs w:val="24"/>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r>
      <w:tr>
        <w:trPr>
          <w:trHeight w:val="216"/>
        </w:trPr>
        <w:tc>
          <w:tcPr>
            <w:tcW w:w="5620" w:type="dxa"/>
            <w:vAlign w:val="bottom"/>
          </w:tcPr>
          <w:p>
            <w:pPr>
              <w:ind w:left="20"/>
              <w:spacing w:after="0" w:line="216" w:lineRule="exact"/>
              <w:rPr>
                <w:sz w:val="20"/>
                <w:szCs w:val="20"/>
                <w:color w:val="auto"/>
              </w:rPr>
            </w:pPr>
            <w:r>
              <w:rPr>
                <w:rFonts w:ascii="Arial" w:cs="Arial" w:eastAsia="Arial" w:hAnsi="Arial"/>
                <w:sz w:val="17"/>
                <w:szCs w:val="17"/>
                <w:color w:val="auto"/>
              </w:rPr>
              <w:t>Utilization - All Members</w:t>
            </w:r>
            <w:r>
              <w:rPr>
                <w:rFonts w:ascii="Arial" w:cs="Arial" w:eastAsia="Arial" w:hAnsi="Arial"/>
                <w:sz w:val="25"/>
                <w:szCs w:val="25"/>
                <w:color w:val="auto"/>
                <w:vertAlign w:val="superscript"/>
              </w:rPr>
              <w:t>(2)</w:t>
            </w:r>
          </w:p>
        </w:tc>
        <w:tc>
          <w:tcPr>
            <w:tcW w:w="1440" w:type="dxa"/>
            <w:vAlign w:val="bottom"/>
          </w:tcPr>
          <w:p>
            <w:pPr>
              <w:jc w:val="right"/>
              <w:spacing w:after="0"/>
              <w:rPr>
                <w:sz w:val="20"/>
                <w:szCs w:val="20"/>
                <w:color w:val="auto"/>
              </w:rPr>
            </w:pPr>
            <w:r>
              <w:rPr>
                <w:rFonts w:ascii="Arial" w:cs="Arial" w:eastAsia="Arial" w:hAnsi="Arial"/>
                <w:sz w:val="18"/>
                <w:szCs w:val="18"/>
                <w:color w:val="auto"/>
              </w:rPr>
              <w:t>0.51%</w:t>
            </w: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16"/>
        </w:trPr>
        <w:tc>
          <w:tcPr>
            <w:tcW w:w="56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Utilization - Female Only</w:t>
            </w:r>
            <w:r>
              <w:rPr>
                <w:rFonts w:ascii="Arial" w:cs="Arial" w:eastAsia="Arial" w:hAnsi="Arial"/>
                <w:sz w:val="25"/>
                <w:szCs w:val="25"/>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Average Members</w:t>
            </w:r>
          </w:p>
        </w:tc>
        <w:tc>
          <w:tcPr>
            <w:tcW w:w="1440" w:type="dxa"/>
            <w:vAlign w:val="bottom"/>
          </w:tcPr>
          <w:p>
            <w:pPr>
              <w:jc w:val="right"/>
              <w:spacing w:after="0"/>
              <w:rPr>
                <w:sz w:val="20"/>
                <w:szCs w:val="20"/>
                <w:color w:val="auto"/>
              </w:rPr>
            </w:pPr>
            <w:r>
              <w:rPr>
                <w:rFonts w:ascii="Arial" w:cs="Arial" w:eastAsia="Arial" w:hAnsi="Arial"/>
                <w:sz w:val="18"/>
                <w:szCs w:val="18"/>
                <w:color w:val="auto"/>
              </w:rPr>
              <w:t>3,927,000</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2,657,000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8" w:lineRule="exact"/>
        <w:rPr>
          <w:sz w:val="20"/>
          <w:szCs w:val="20"/>
          <w:color w:val="auto"/>
        </w:rPr>
      </w:pPr>
    </w:p>
    <w:p>
      <w:pPr>
        <w:ind w:left="380" w:right="79" w:hanging="330"/>
        <w:spacing w:after="0" w:line="277" w:lineRule="auto"/>
        <w:tabs>
          <w:tab w:leader="none" w:pos="38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Represents the number of ART cycles performed, including IVF with a fresh embryo transfer, IVF freeze all cycles/embryo banking, frozen embryo transfers and egg freezing.</w:t>
      </w:r>
    </w:p>
    <w:p>
      <w:pPr>
        <w:spacing w:after="0" w:line="21" w:lineRule="exact"/>
        <w:rPr>
          <w:rFonts w:ascii="Arial" w:cs="Arial" w:eastAsia="Arial" w:hAnsi="Arial"/>
          <w:sz w:val="18"/>
          <w:szCs w:val="18"/>
          <w:color w:val="231F20"/>
        </w:rPr>
      </w:pPr>
    </w:p>
    <w:p>
      <w:pPr>
        <w:jc w:val="both"/>
        <w:ind w:left="380" w:right="79" w:hanging="330"/>
        <w:spacing w:after="0" w:line="255" w:lineRule="auto"/>
        <w:tabs>
          <w:tab w:leader="none" w:pos="38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COVID-19 pandemic has significantly impacted various markets around the world, including the United States. Restrictions related to COVID-19, including variants, and our responses to them have significantly impacted and may continue to impact how our members use our services, access our providers, and how our employees work and provide services to our clients and members, resulting in an impact on our revenue. We believe we have sufficient liquidity to satisfy our cash needs, however, we continue to monitor liquidity, as necessary, and ensure that our business can continue to operate during these uncertain times. COVID-19, including variants, and related restrictions continued to have a negative impact on our revenue growth for the three months ended March 31, 2022. To the extent that the markets we serve experience increased cases of COVID-19, state or local governments may reinstitute measures to control its spread, which could again negatively impact our members’ access to care. We will continue to evaluate the nature and extent of these potential impacts to our business, results of operations and liquidity.</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additional information on the various risks posed by the COVID-19 pandemic, please read Part II, Item 1A.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Risk Factors included in this Quarterly Report on Form 10-Q.</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Revenue includes fertility benefits solution revenue, pharmacy benefits solution revenue and PEPM fees.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Per employee per month (PEPM) fee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Our cost of services has three primary components: (1) fertility benefits services; (2) pharmacy benefits services; and (3) vendor rebates.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Services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operating expenses consist of sales and marketing and general and administrative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general and administrative expenses on an ongoing basis as a public company and to support growth in the business.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expense, net primarily includes investment income and losses as well as interest income and expense.</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Benefit for Income Taxes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the net deferred tax assets were realizable.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revenue for those periods:</w:t>
      </w:r>
    </w:p>
    <w:p>
      <w:pPr>
        <w:spacing w:after="0" w:line="175"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Three Months Ended</w:t>
      </w:r>
    </w:p>
    <w:p>
      <w:pPr>
        <w:ind w:left="74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7"/>
          </w:tcPr>
          <w:p>
            <w:pPr>
              <w:jc w:val="center"/>
              <w:ind w:right="9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65"/>
        </w:trPr>
        <w:tc>
          <w:tcPr>
            <w:tcW w:w="63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Cost of services</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139,268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93,226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ind w:left="100"/>
              <w:spacing w:after="0" w:line="21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09"/>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gridSpan w:val="2"/>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(1) Includes stock-based compensation expense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7"/>
          </w:tcPr>
          <w:p>
            <w:pPr>
              <w:jc w:val="center"/>
              <w:ind w:right="9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gridSpan w:val="3"/>
            <w:vMerge w:val="restart"/>
          </w:tcPr>
          <w:p>
            <w:pPr>
              <w:ind w:left="20"/>
              <w:spacing w:after="0"/>
              <w:rPr>
                <w:sz w:val="20"/>
                <w:szCs w:val="20"/>
                <w:color w:val="auto"/>
              </w:rPr>
            </w:pPr>
            <w:r>
              <w:rPr>
                <w:rFonts w:ascii="Arial" w:cs="Arial" w:eastAsia="Arial" w:hAnsi="Arial"/>
                <w:sz w:val="18"/>
                <w:szCs w:val="18"/>
                <w:color w:val="auto"/>
              </w:rPr>
              <w:t>Cost of services</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13,572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gridSpan w:val="2"/>
            <w:shd w:val="clear" w:color="auto" w:fill="CCEEFF"/>
          </w:tcPr>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7"/>
          </w:tcPr>
          <w:p>
            <w:pPr>
              <w:jc w:val="center"/>
              <w:ind w:right="43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left="454"/>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Consolidated Statements of Operations Data, as a percentage of revenue:</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services</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 – Adjusted EBITDA</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other (income) expense, net and interest (income) expense,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from continuing operations and other U.S. GAAP results.</w:t>
      </w:r>
    </w:p>
    <w:p>
      <w:pPr>
        <w:spacing w:after="0" w:line="17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calculate Adjusted EBITDA as net income, adjusted to exclude depreciation and amortization, stock-based compensation expense, other (income) expense, net, interest (income) expense, net, and benefit for income taxes. The following table presents a reconciliation of Adjusted EBITDA to net income for each of the periods indicated:</w:t>
      </w:r>
    </w:p>
    <w:p>
      <w:pPr>
        <w:spacing w:after="0" w:line="154"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Three Months Ended</w:t>
      </w:r>
    </w:p>
    <w:p>
      <w:pPr>
        <w:ind w:left="73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5"/>
          </w:tcPr>
          <w:p>
            <w:pPr>
              <w:ind w:left="12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24,500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Arial" w:cs="Arial" w:eastAsia="Arial" w:hAnsi="Arial"/>
                <w:sz w:val="18"/>
                <w:szCs w:val="18"/>
                <w:color w:val="auto"/>
              </w:rPr>
              <w:t>Interest (income) expense, net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 for income taxes</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18"/>
                <w:szCs w:val="18"/>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24,806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17,263</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Three Months Ended March 31, 2022 and 2021</w:t>
            </w: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620" w:type="dxa"/>
            <w:vAlign w:val="bottom"/>
            <w:gridSpan w:val="5"/>
          </w:tcPr>
          <w:p>
            <w:pPr>
              <w:ind w:left="26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2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6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0" w:type="dxa"/>
            <w:vAlign w:val="bottom"/>
            <w:gridSpan w:val="3"/>
          </w:tcPr>
          <w:p>
            <w:pPr>
              <w:ind w:left="240"/>
              <w:spacing w:after="0"/>
              <w:rPr>
                <w:sz w:val="20"/>
                <w:szCs w:val="20"/>
                <w:color w:val="auto"/>
              </w:rPr>
            </w:pPr>
            <w:r>
              <w:rPr>
                <w:rFonts w:ascii="Arial" w:cs="Arial" w:eastAsia="Arial" w:hAnsi="Arial"/>
                <w:sz w:val="14"/>
                <w:szCs w:val="14"/>
                <w:b w:val="1"/>
                <w:bCs w:val="1"/>
                <w:color w:val="auto"/>
              </w:rPr>
              <w:t>(dollars in</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4"/>
              </w:rPr>
              <w:t>thousands)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4"/>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$172,217</w:t>
            </w:r>
          </w:p>
        </w:tc>
        <w:tc>
          <w:tcPr>
            <w:tcW w:w="1020" w:type="dxa"/>
            <w:vAlign w:val="bottom"/>
            <w:gridSpan w:val="5"/>
            <w:shd w:val="clear" w:color="auto" w:fill="CCEEFF"/>
          </w:tcPr>
          <w:p>
            <w:pPr>
              <w:jc w:val="right"/>
              <w:ind w:right="7"/>
              <w:spacing w:after="0"/>
              <w:rPr>
                <w:sz w:val="20"/>
                <w:szCs w:val="20"/>
                <w:color w:val="auto"/>
              </w:rPr>
            </w:pPr>
            <w:r>
              <w:rPr>
                <w:rFonts w:ascii="Arial" w:cs="Arial" w:eastAsia="Arial" w:hAnsi="Arial"/>
                <w:sz w:val="18"/>
                <w:szCs w:val="18"/>
                <w:color w:val="auto"/>
              </w:rPr>
              <w:t>$122,133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Revenue increased by $50.1 million, or 41%, for the three months ended March 31, 2022 compared to the three months ended March 31, 2021. This increase is primarily due to a $22.1 million, or 25%, increase in revenue from our fertility benefits solution and a $28.0 million, or 84%,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the Progyny Rx benefit. Progyny Rx went live with only a select number of clients on January 1, 2018 and has continued to add both new and existing fertility benefits solution clients since its initial launch. Our revenue growth for the three months ended March 31, 2022 and March 31, 2021 was negatively impacted by COVID-19.</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2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20" w:type="dxa"/>
            <w:vAlign w:val="bottom"/>
            <w:gridSpan w:val="4"/>
          </w:tcPr>
          <w:p>
            <w:pPr>
              <w:ind w:left="580"/>
              <w:spacing w:after="0"/>
              <w:rPr>
                <w:sz w:val="20"/>
                <w:szCs w:val="20"/>
                <w:color w:val="auto"/>
              </w:rPr>
            </w:pPr>
            <w:r>
              <w:rPr>
                <w:rFonts w:ascii="Arial" w:cs="Arial" w:eastAsia="Arial" w:hAnsi="Arial"/>
                <w:sz w:val="14"/>
                <w:szCs w:val="14"/>
                <w:b w:val="1"/>
                <w:bCs w:val="1"/>
                <w:color w:val="auto"/>
              </w:rPr>
              <w:t>March 31,</w:t>
            </w:r>
          </w:p>
        </w:tc>
        <w:tc>
          <w:tcPr>
            <w:tcW w:w="8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(dollars in</w:t>
            </w:r>
          </w:p>
        </w:tc>
        <w:tc>
          <w:tcPr>
            <w:tcW w:w="840" w:type="dxa"/>
            <w:vAlign w:val="bottom"/>
          </w:tcPr>
          <w:p>
            <w:pPr>
              <w:jc w:val="right"/>
              <w:ind w:right="182"/>
              <w:spacing w:after="0"/>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$139,268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$93,226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Cost of services increased by $46.0 million, or 49%, for the three months ended March 31, 2022 compared to the three months ended March 31, 2021 primarily due to an increase in medical treatment and pharmacy prescription costs associated with fertility treatments delivered as well as an increase in personnel-related costs primarily due to incremental headcount as well as a $4.9 million increase in stock-based compensation expense.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2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20" w:type="dxa"/>
            <w:vAlign w:val="bottom"/>
            <w:gridSpan w:val="4"/>
          </w:tcPr>
          <w:p>
            <w:pPr>
              <w:ind w:left="580"/>
              <w:spacing w:after="0"/>
              <w:rPr>
                <w:sz w:val="20"/>
                <w:szCs w:val="20"/>
                <w:color w:val="auto"/>
              </w:rPr>
            </w:pPr>
            <w:r>
              <w:rPr>
                <w:rFonts w:ascii="Arial" w:cs="Arial" w:eastAsia="Arial" w:hAnsi="Arial"/>
                <w:sz w:val="14"/>
                <w:szCs w:val="14"/>
                <w:b w:val="1"/>
                <w:bCs w:val="1"/>
                <w:color w:val="auto"/>
              </w:rPr>
              <w:t>March 31,</w:t>
            </w:r>
          </w:p>
        </w:tc>
        <w:tc>
          <w:tcPr>
            <w:tcW w:w="8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(dollars in</w:t>
            </w:r>
          </w:p>
        </w:tc>
        <w:tc>
          <w:tcPr>
            <w:tcW w:w="840" w:type="dxa"/>
            <w:vAlign w:val="bottom"/>
          </w:tcPr>
          <w:p>
            <w:pPr>
              <w:jc w:val="right"/>
              <w:ind w:right="179"/>
              <w:spacing w:after="0"/>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Gross margin</w:t>
            </w: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Gross profit increased by $4.0 million for the three months ended March 31, 2022 compared to the three months ended March 31, 2021.</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Gross margin decreased 460 basis points for the three months ended March 31, 2022 compared to the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three months ended March 31, 2021, primarily due to an increase in personnel-related costs related to onboarding care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management resources in advance of client launches subsequent to the first quarter and an increase in stock-based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compensation expense as well as temporary inefficiencies experienced during the initial ramp up period of a new pharmacy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(dollars in</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$4,014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Sales and marketing expense increased by $6.0 million for the three months ended March 31, 2022 compared to the three months ended March 31, 2021. This increase was primarily due to a $5.6 million increase in personnel-related costs relating to incremental headcount, an increase in sales commissions and an increase in stock-based compensation expense of $4.1 million, and a $0.4 million increase in other related sales and marketing expenses.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2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20" w:type="dxa"/>
            <w:vAlign w:val="bottom"/>
            <w:gridSpan w:val="4"/>
          </w:tcPr>
          <w:p>
            <w:pPr>
              <w:ind w:left="580"/>
              <w:spacing w:after="0"/>
              <w:rPr>
                <w:sz w:val="20"/>
                <w:szCs w:val="20"/>
                <w:color w:val="auto"/>
              </w:rPr>
            </w:pPr>
            <w:r>
              <w:rPr>
                <w:rFonts w:ascii="Arial" w:cs="Arial" w:eastAsia="Arial" w:hAnsi="Arial"/>
                <w:sz w:val="14"/>
                <w:szCs w:val="14"/>
                <w:b w:val="1"/>
                <w:bCs w:val="1"/>
                <w:color w:val="auto"/>
              </w:rPr>
              <w:t>March 31,</w:t>
            </w:r>
          </w:p>
        </w:tc>
        <w:tc>
          <w:tcPr>
            <w:tcW w:w="8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(dollars in</w:t>
            </w:r>
          </w:p>
        </w:tc>
        <w:tc>
          <w:tcPr>
            <w:tcW w:w="840" w:type="dxa"/>
            <w:vAlign w:val="bottom"/>
          </w:tcPr>
          <w:p>
            <w:pPr>
              <w:jc w:val="right"/>
              <w:ind w:right="182"/>
              <w:spacing w:after="0"/>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$13,086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General and administrative expense increased by $9.9 million, or 76%, for the three months ended March 31, 2022 compared to the three months ended March 31, 2021. This increase was primarily due to an $11.0 million increase in personnel-related costs relating to incremental headcount and an increase in stock-based compensation expense of $10.5 million. This increase was partially offset by a $0.9 million decrease in other related general and administrative expenses and a $0.2 million decrease in bad debt expense.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(dollars in</w:t>
            </w:r>
          </w:p>
        </w:tc>
        <w:tc>
          <w:tcPr>
            <w:tcW w:w="8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Other expense, net decreased for the three months ended March 31, 2022 compared to the three months ended March 31, 2021, primarily due to a decrease in investment income.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for Income Taxes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(dollars in</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$5,113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$3,370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the three months ended March 31, 2022, we recorded a benefit for income taxes of $5.1 million primarily due to equity compensation activity that occurred during the period.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As of March 31, 2022, we had $38.8 million of cash and cash equivalents and $66.9 million of marketable securities. Since inception, we have financed our operations primarily through sales of our solutions and the net proceeds we have received from sales of equity securities as further detailed below. Our cash and cash equivalents and working capital are affected by the timing of payments to third-party providers and collections from clients and have increased as our revenue has increased. In particular, during the ramp up and onboarding of new clients who typically begin their benefits plan year as of January 1</w:t>
      </w:r>
      <w:r>
        <w:rPr>
          <w:rFonts w:ascii="Arial" w:cs="Arial" w:eastAsia="Arial" w:hAnsi="Arial"/>
          <w:sz w:val="25"/>
          <w:szCs w:val="25"/>
          <w:color w:val="auto"/>
          <w:vertAlign w:val="superscript"/>
        </w:rPr>
        <w:t>st</w:t>
      </w:r>
      <w:r>
        <w:rPr>
          <w:rFonts w:ascii="Arial" w:cs="Arial" w:eastAsia="Arial" w:hAnsi="Arial"/>
          <w:sz w:val="17"/>
          <w:szCs w:val="17"/>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3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On October 29, 2019, we completed our initial public offering, or IPO in which we issued and sold 6,700,000 shares of our common stock at a public offering price of $13.00 per share. We received net proceeds of approximately $77.6 million from the IPO, after deducting underwriters’ discounts and commissions of $5.9 million and offering costs of $3.6 million. We believe that our existing cash and cash equivalents, including the proceeds from our IPO and cash flow from operations, will be sufficient to support working capital and capital expenditure requirements for at least the next 12 months. Our future capital requirements will depend on many factors, including sales of our solutions and client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renewals, the timing and the amount of cash received from clients, the expansion of our sales and marketing activities and the continuing market adoption of our solutions.</w:t>
      </w:r>
    </w:p>
    <w:p>
      <w:pPr>
        <w:spacing w:after="0" w:line="11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Other than the impact on our revenue growth and the related cash flows resulting from the various restrictions on activities due to the COVID-19 pandemic, our sources and uses of cash were not otherwise materially impacted by the COVID-19 pandemic in the three months ended March 31, 2022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including variants, may have on our business and financial results. 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could reduce our ability to access capital and could negatively affect our liquidity in the future. If the disruption persists and deepens, we could experience an inability to access additional capital, which could in the future negatively affect our operations. For additional information on the various risks posed by the COVID-19 pandemic, please read Part II, Item 1A. Risk Factors included in this Quarterly Report on Form 10-Q.</w:t>
      </w:r>
    </w:p>
    <w:p>
      <w:pPr>
        <w:spacing w:after="0" w:line="16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June 2018, we entered into an agreement with Silicon Valley Bank to replace our then-outstanding term loan with a revolving line of credit of up to $15.0 million, which was amended in April 2019, January 2020, June 2020, and February 2021. The line of credit matured on June 8, 2021.</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from operations for the periods presented:</w:t>
      </w:r>
    </w:p>
    <w:p>
      <w:pPr>
        <w:spacing w:after="0" w:line="176"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Three Months Ended</w:t>
      </w:r>
    </w:p>
    <w:p>
      <w:pPr>
        <w:ind w:left="74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4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96"/>
              </w:rPr>
              <w:t>2021</w:t>
            </w:r>
          </w:p>
        </w:tc>
      </w:tr>
      <w:tr>
        <w:trPr>
          <w:trHeight w:val="129"/>
        </w:trPr>
        <w:tc>
          <w:tcPr>
            <w:tcW w:w="49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1"/>
                <w:szCs w:val="1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operating activities</w:t>
            </w:r>
          </w:p>
        </w:tc>
        <w:tc>
          <w:tcPr>
            <w:tcW w:w="1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(39,558)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(38,520)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r>
      <w:tr>
        <w:trPr>
          <w:trHeight w:val="210"/>
        </w:trPr>
        <w:tc>
          <w:tcPr>
            <w:tcW w:w="4960" w:type="dxa"/>
            <w:vAlign w:val="bottom"/>
          </w:tcPr>
          <w:p>
            <w:pPr>
              <w:ind w:left="100"/>
              <w:spacing w:after="0"/>
              <w:rPr>
                <w:sz w:val="20"/>
                <w:szCs w:val="20"/>
                <w:color w:val="auto"/>
              </w:rPr>
            </w:pPr>
            <w:r>
              <w:rPr>
                <w:rFonts w:ascii="Arial" w:cs="Arial" w:eastAsia="Arial" w:hAnsi="Arial"/>
                <w:sz w:val="18"/>
                <w:szCs w:val="18"/>
                <w:color w:val="auto"/>
              </w:rPr>
              <w:t>Net decrease in cash and cash equivalents</w:t>
            </w:r>
          </w:p>
        </w:tc>
        <w:tc>
          <w:tcPr>
            <w:tcW w:w="15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(52,592)</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(40,485)</w:t>
            </w:r>
          </w:p>
        </w:tc>
      </w:tr>
      <w:tr>
        <w:trPr>
          <w:trHeight w:val="20"/>
        </w:trPr>
        <w:tc>
          <w:tcPr>
            <w:tcW w:w="4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used in operating activities was $11.3 million for the three months ended March 31, 2022, primarily consisting of net income of $5.0 million adjusted for certain non-cash items, which include $24.5 million of stock-based compensation expense, $5.2 million of deferred tax benefit, $2.3 million of bad debt expense, and $0.4 million of depreciation and amortization. Changes in operating assets and liabilities resulted in cash used in operating activities from an increase in accounts receivable of $65.8 million, other noncurrent assets and liabilities of $1.4 million and prepaid expenses and other current assets of $0.7 million, partially offset by cash provided by operating activities from increases in accounts payable of $23.2 million and accrued expenses and other current liabilities of $6.5 million. These changes were a result of the impact of revenue growth and our operating results as well as the timing of cash collections and payments to third parties.</w:t>
      </w:r>
    </w:p>
    <w:p>
      <w:pPr>
        <w:spacing w:after="0" w:line="14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Net cash provided by operating activities was $0.5 million for the three months ended March 31, 2021, primarily consisting of net income of $15.2 million adjusted for certain non-cash items, which include $5.0 million of stock-based compensation expense, $3.4 million of deferred tax benefit, $2.5 million of bad debt expense, and $0.4 million of depreciation and amortization. Changes in operating assets and liabilities resulted in cash used in operating activities from an increase in accounts receivable of $43.5 million, partially offset by cash provided by operating activities from increases in accounts payable of $13.8 million and accrued expenses and other current liabilities of $9.4 million, and decreases in prepaid expenses and other current assets of $1.0 million. These changes were a result of the impact of revenue growth and our operating results as well as the timing of payments to third-party providers and collections from customers. Net cash provided by operating activities for the three months ended March 31, 2021 was affected by a change in the payment timing for our pharmaceutical partner arrangements.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Net cash used in investing activities was $39.6 million and $38.5 million for the three months ended March 31, 2022 and March 31, 2021, respectively, which primarily consisted of net investments in marketable securities of $38.8 million and $38.2 million, respectively. The remainder of the activity for each of the three months ended March 31, 2022 and March 31, 2021 consisted of purchases of computers, software, including capitalized software development costs, and leasehold improvements, including leasehold improvements associated with the buildout of our new corporate office which we occupied in February 2020.</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Net cash used in financing activities was $1.8 million for the three months ended March 31, 2022, consisting of payments of $3.0 million for employee taxes related to equity awards, partially offset by $0.8 million in proceeds from stock option exercises and $0.4 million in proceeds from contributions to our employee stock purchase plan.</w:t>
      </w:r>
    </w:p>
    <w:p>
      <w:pPr>
        <w:spacing w:after="0" w:line="111"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Net cash used in financing activities was $2.5 million for the three months ended March 31, 2021, consisting of payments of $3.5 million for employee taxes related to equity awards, partially offset by $0.5 million in proceeds from stock option exercises and $0.5 million in proceeds from contributions to our employee stock purchase plan.</w:t>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22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33"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February 2022, we entered into a lease agreement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will pay the base rent of approximately $1.4 million per year starting in the fourth quarter of 2023 for five years and approximately $1.5 million per year thereafter through the first quarter of 2035, the expiration date. For the 21,262 square foot office, we will pay the base rent of approximately $1.3 million starting in the first quarter of 2025 for five years and approximately $1.4 million per year thereafter through the first quarter of 2035, the expiration date. For our current 25,212 square foot office, we will pay the base rent of approximately $1.6 million per year beginning in June 2029 through the first quarter of 2035, the expiration date.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U.S. GAAP. The preparation of these condensed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23"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For additional information about our critical accounting policies and estimates, see the disclosure included in our Annual Report on Form 10-K as well as Note 1 – Business and Basis of Presentation and Note 2 – Significant Accounting Policies in the notes to the consolidated financial statements included in Part I, Item 1, of this Quarterly Report on Form 10-Q. There have been no material changes to the Company’s critical accounting policies and estimates since our Annual Report on Form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For a full discussion of recently adopted accounting pronouncements, see Note 2 – Significant Accounting Policies, to the consolidated financial statements included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March 31, 2022, we had cash and cash equivalents of $38.8 million and marketable securities of $66.9</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Rate Risk</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92" w:lineRule="auto"/>
        <w:rPr>
          <w:sz w:val="20"/>
          <w:szCs w:val="20"/>
          <w:color w:val="auto"/>
        </w:rPr>
      </w:pPr>
      <w:r>
        <w:rPr>
          <w:rFonts w:ascii="Arial" w:cs="Arial" w:eastAsia="Arial" w:hAnsi="Arial"/>
          <w:sz w:val="16"/>
          <w:szCs w:val="16"/>
          <w:color w:val="auto"/>
        </w:rPr>
        <w:t>The Company maintains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March 31, 2022.</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that occurred during the quarter ended March 31,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Part I, Item 1 “Financial Statements (Unaudited) — Note 7 — Commitments and Contingencies.”</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all of the information in this Quarterly Report on Form 10-Q, including the sections titled “Cautionary Note Regarding Forward-Looking Statements” and Part I, Item 2. “Management’s Discussion and Analysis of Financial Condition and Results of Operation” and our consolidated financial statements and the accompanying notes included elsewhere in this Quarterly Report on Form 10-Q. The risks described below are not the only ones we face.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The ongoing COVID-19 pandemic, including variants, has had and is expected to continue to have, and similar health epidemics or pandemics could in the future have, an adverse impact on our business, operations, and the markets and communities in which we and our clients, members and providers operate.</w:t>
      </w:r>
    </w:p>
    <w:p>
      <w:pPr>
        <w:spacing w:after="0" w:line="16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ongoing COVID-19 pandemic, including variants, has adversely impacted, and may continue to adversely impact, many aspects of our business. Our revenue growth for the three months ended March 31, 2022 and 2021 were negatively impacted by COVID-19, including variants, and our revenue growth in future periods may continue to be adversely impacted by COVID-19. Our providers have and may in the future delay new fertility cycles because they operate in areas acutely affected by the COVID-19 pandemic, on account of executive orders to postpone non-emergent surgeries or other medical treatments, or in order to conserve medical resources for non-fertility related medical treatments. Many of our members live in communities that have been acutely affected by the COVID-19 pandemic and have delayed and may not want to continue or begin new fertility cycles during the pandemic. Emerging research and the lack of consumer information on the impact of COVID-19 vaccines on pregnancy may also affect member behavior and utilization. Furthermore, as certain of our potential clients experience downturns or uncertainty in their own business operations and revenue because of the economic effects resulting from the spread of COVID-19, they have and may continue to decrease their spending on health benefits, which may disproportionately impact fertility benefits, and delay or cancel implementation of fertility benefits. Each of these factors could affect member behavior, our utilization rates and the number of members enrolled in our clients’ benefit plans.</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addition to the potential direct impacts to our business, the economy may continue to be impacted as a result of the actions taken in response to COVID-19. To the extent a weakened economy impacts clients’ or members’ ability or willingness to pay for our benefit, or our vendors’, including any pharmacy program partners’, ability to provide services to us, we could see our business and results of operations negatively impacted.</w:t>
      </w:r>
    </w:p>
    <w:p>
      <w:pPr>
        <w:spacing w:after="0" w:line="17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implemented a work-from-home policy for all of our employees in March 2020 and have re-opened our corporate offices to employees on a hybrid basis, while implementing additional safety measures and protocols. We may take further actions that alter our operations as may be required by federal, state, or local authorities, or which we determine are in the best interests of our business, our employees and the communities we serve. While most of our operations can be performed remotely, there is no guarantee that we will be as effective while working partially remotely because our team is dispersed, many employees may have additional personal needs to attend to (such as looking after children as a result of school closures or family who become sick), and employees may become sick themselves and be unable to work. Decreased effectiveness of our team could adversely affect our results due to our inability to meet in person with potential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clients, and in some cases, relative to our previous expectations, delays in onboarding new clients, responding to members, data collection and review, and a corresponding reduction in growth, or other decreases in productivity that could seriously harm our business. In addition, working remotely could increase our cybersecurity risk and make us more susceptible to communication disruptions, which could adversely impact our business operations or delay necessary interactions with our clients, member, providers and other third parties. Furthermore, we may decide to postpone or cancel planned investments in our business in response to changes in our business as a result of the spread of COVID-19, which may impact our member utilization and rate of growth, either of which could seriously harm our business.</w:t>
      </w:r>
    </w:p>
    <w:p>
      <w:pPr>
        <w:spacing w:after="0" w:line="16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could reduce our ability to access capital and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w:t>
      </w:r>
    </w:p>
    <w:p>
      <w:pPr>
        <w:spacing w:after="0" w:line="17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global impact of COVID-19 continues to rapidly evolve, and we will continue to monitor the situation closely. We do not yet know the full extent of potential delays or impacts on our business, operations, or the global economy as a whole. The ultimate impact of the COVID-19 pandemic or a similar health epidemic or pandemic is highly uncertain and subject to change; and will depend on numerous evolving factors that we may not be able to accurately predict, including without limitation: the trajectory, duration, scope, severity, and any resurgences of the COVID-19 pandemic; the effectiveness of vaccine rollout plans, including any mandates; the public’s perception of the safety of the vaccines and other treatments and their willingness to take the vaccines or other treatments; the existence and prevalence of new variants of the virus; the continued impact on worldwide macroeconomic conditions, including interest rates, employment rates and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controls, including our internal control over financial reporting, as a result of changes in working environments for our employees and business partners. While the spread of COVID-19 may eventually be contained or mitigated, there is no guarantee that a future outbreak of this or any other widespread epidemics or pandemics will not occur, or that the global economy will recover, either of which could seriously harm our business.</w:t>
      </w:r>
    </w:p>
    <w:p>
      <w:pPr>
        <w:spacing w:after="0" w:line="18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have provided and may continue to provide guidance about our business and future operating results. On May 5, 2022, we issued guidance for the second quarter of 2022 and full year 2022. In developing this guidance, our management must make certain assumptions and judgments about its future performance. Some of those key assumptions relate to the impact of the COVID-19 pandemic and the associated economic uncertainty on our business and the timing and scope of economic recovery globally and how long it will take both clinics and members to return to normal practice volumes and behavior, which are inherently difficult to predict. This guidance, which consists of forward-looking statements, is qualified by, and subject to, such assumptions, estimates and expectations as of the date such guidance is given and may be revised at a later time, solely in our discretion, as we learn more information. While presented with numerical specificity, this guidance is necessarily speculative in nature, and is inherently subject to significant business, economic and competitive uncertainties and contingencies, many of which are beyond our control and are based upon specific assumptions with respect to future business decisions, economic conditions or member behavior, some of which may change.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financial market conditions and member behavior caused by the COVID-19 pandemic, and which could adversely affect our business and future operating results. There are no comparable recent events that provide insights as to the probable effect of the COVID-19 pandemic, and, as a result, the ultimate impact of the COVID-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19 outbreak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or if our publicly announced guidance of future operating results fails to meet expectations of securities analysts, investors or other interested parties, the price of our common stock would decline.</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fertility market in which we participate is competitive, and if we do not continue to compete effectively, our results of operations could be harmed.</w:t>
      </w:r>
    </w:p>
    <w:p>
      <w:pPr>
        <w:spacing w:after="0" w:line="1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16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Many healthcare industry participants are consolidating to create larger and more integrated healthcare delivery systems with greater market power and we expect regulatory and economic conditions to result in additional consolidation in the healthcare industry. Additionally, financial investors are acquiring fertility practices and this may accelerate consolidation within the industry. Although comprehensive, our solution is a standalone fertility benefit. Clients may prefer a single healthcare solution, which could adversely affect our ability to retain existing clients or grow our client base. In addition, we work with partner organizations to market our benefit to potential clients. As consolidation accelerates, the economies of scale of our partners’ organizations may grow. If a partner experiences sizable growth following consolidation, it may determine that it no longer needs to rely on us and may reduce its demand for our services. In addition, as healthcare providers consolidate to create larger and more integrated healthcare delivery systems with greater market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have a material adverse effect on our business, financial condition and results of operations.</w:t>
      </w:r>
    </w:p>
    <w:p>
      <w:pPr>
        <w:spacing w:after="0" w:line="17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2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83% of our clients have now launched this solution, including approximately 93% of the clients we signed in 2021.</w:t>
      </w:r>
    </w:p>
    <w:p>
      <w:pPr>
        <w:spacing w:after="0" w:line="192"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Factors that may affect our ability to retain our existing clients and sell additional solutions to them include, but are not limited to, the following:</w:t>
      </w:r>
    </w:p>
    <w:p>
      <w:pPr>
        <w:spacing w:after="0" w:line="170"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timeliness and outcomes of our solutions;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price, timeliness, outcome, performance and functionality of competing solutions;</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and appropriately expand our Center of Excellence network of high-quality fertility specialists;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offer complementary solutions and services that will enhance our comprehensive fertility offering;</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healthcare laws, regulations or the enforcement of such laws and regulations, or trends;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increase in unemployment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business environment of our clients and, in particular, reduction in our clients’ headcount;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consolidation of our clients, resulting in a change to their benefits program or a shift to one of our competitors.</w:t>
      </w:r>
    </w:p>
    <w:p>
      <w:pPr>
        <w:spacing w:after="0" w:line="237"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24"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3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currently serve over 265 employers with at least 1,000 covered lives in the United States across more than 30 industries. For the three months ended March 31, 2022, two of our clients accounted for 17% and 12%, or a combined 29%, of our total revenue. No other clients accounted for more than 10% for the three months ended March 31, 2022. For the three months ended March 31, 2021, two clients accounted for 17% and 15% of revenue respectively, or a combined 32% of our total revenue. Engagement with these clients is generally covered through contracts that are multi-year in duration. One or both of these clients may terminate early or decline to renew their existing contracts with us upon expiration and any such termination or failure to renew could have a negative impact on our revenue and compromise our growth strategy. Clients, including our two largest clients, could also renegotiate pricing terms at the time of renewal, which could have a negative impact on our revenue.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clients, our business, financial condition and results of operations would be adversely affected.</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due to general economic conditions, outbreaks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8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 significant change in the level or the mix of the utilization of our solutions could have an adverse effect on our business, financial condition and results of operations.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do not control nor can we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outbreaks of contagious diseases or the worsening thereof, including the COVID-19 pandemic; employers no longer offering comprehensive health coverage or offering alternative solutions such as coverage on a voluntary, employee-funded basis; labor shortages at our clinics; federal and state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spacing w:after="0" w:line="18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It is also difficult for us to predict the level or mix of utilization of our services at the member level nor do we have any control over the level or mix of utilization of our services.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with our current platform of solutions, which makes it difficult to predict our future results of operations.</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successfully, our operating and financial results could differ materially from our expectations, and our business could suffer.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a history of operating losses and may not sustain profitability in the future.</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experienced net losses from 2015 to 2019. Our net loss from continuing operations was $8.6 million for the year ended December 31, 2019. While we have experienced significant revenue growth since 2016, achieved profitability starting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materially and adversely harm our business and operating results.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healthcare system at the state level are regularly introduced, such as in New York and California. At the federal level, President Biden and Congress may consider other legislation and/or executive orders to change elements of the ACA. In June 2021, the U.S. Supreme Court dismissed the most recent judicial challenge to the ACA brought by several states and ruled that the plaintiffs lacked standing to challenge the individual mandate provision, thus leaving the ACA in effect without ruling on the constitutionality of the individual mandate.</w:t>
      </w:r>
    </w:p>
    <w:p>
      <w:pPr>
        <w:spacing w:after="0" w:line="18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On January 28, 2021, President Biden issued an Executive Order that iterates the policy of the Administration to protect and strengthen the ACA, making high-quality healthcare accessible and affordable to all Americans. The Executive Order directed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has on our business.</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recently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If our information technology systems, or those of our provider clinics, specialty pharmacies or other downstream vendors lag, fail or suffer security breaches, we may incur a material disruption of our services or suffer a loss or inappropriate disclosure of confidential information, which could materially impact our business and the results of operations</w:t>
      </w:r>
      <w:r>
        <w:rPr>
          <w:rFonts w:ascii="Arial" w:cs="Arial" w:eastAsia="Arial" w:hAnsi="Arial"/>
          <w:sz w:val="18"/>
          <w:szCs w:val="18"/>
          <w:i w:val="1"/>
          <w:iCs w:val="1"/>
          <w:color w:val="auto"/>
        </w:rPr>
        <w:t>.</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 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9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There is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especially due to the ongoing COVID-19 pandemic. As a result of such shift, there have been and may continue to be more targeted cybersecurity attacks and threats on us, our vendors, provider clinics and specialty pharmacies. Despite the implementation of security measures, including steps designed to secure our technology infrastructure and sensitive data, we can provide no assurance that our current technology system or any updates or upgrades thereto, the current or future technology systems of our provider clinics, specialty pharmacies or other downstream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7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have experienced in the past and expect to continue to experience actual and attempted cyber-attacks of our IT networks,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Regulation—We operate in a highly regulated industry and must comply with a significant number of complex and evolving legal and regulatory requirements—Data Protection and Breaches.”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marketing efforts depend significantly on our ability to receive positive references from our existing clients, channel partners and benefit consultants.</w:t>
      </w:r>
    </w:p>
    <w:p>
      <w:pPr>
        <w:spacing w:after="0" w:line="170"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Our marketing efforts depend significantly on our ability to call on our current clients, channel partners and benefit consultants to provide positive references to new, potential clients. Given our limited number of long-term clients, the loss or dissatisfaction of any client, channel partnership or benefit consulting relationship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future revenue may not grow at the rates they historically have, or at all.</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84" w:lineRule="exact"/>
        <w:rPr>
          <w:sz w:val="20"/>
          <w:szCs w:val="20"/>
          <w:color w:val="auto"/>
        </w:rPr>
      </w:pPr>
    </w:p>
    <w:p>
      <w:pPr>
        <w:ind w:left="4420" w:right="3979" w:hanging="4019"/>
        <w:spacing w:after="0" w:line="905" w:lineRule="auto"/>
        <w:tabs>
          <w:tab w:leader="none" w:pos="731"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continue to attract new clients and maintain existing clients;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7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our solutions and services effectively so that we are able to attract new clients, expand sales to our existing clients and maintain profitability;</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our clients and members with client support that meets their needs, including through dedicated PCAs;</w:t>
      </w:r>
    </w:p>
    <w:p>
      <w:pPr>
        <w:spacing w:after="0" w:line="248"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successful collection of member cost shares and other applicable receivable balances directly from members;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and maintain relationships with high-quality and respected fertility specialists;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highly qualified personnel to support all clients and members;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satisfactory relationships with insurance carriers;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225"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225"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98"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 and</w:t>
      </w:r>
    </w:p>
    <w:p>
      <w:pPr>
        <w:spacing w:after="0" w:line="12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3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If our revenue growth does not meet our expectations in future periods, we may not maintain profitability in the future, our business, financial position and results of operations may be harmed.</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Market opportunity estimates and growth forecasts are subject to significant uncertainty and are based on assumptions and estimates that may not prove to be accurate. Furthermore, the healthcare industry is rapidly evolving and 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9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Our estimates of the market opportunity for our services are based on the assumption that the purpose-built, data-driven and disruptive fertility benefits platform with the Smart Cycle plan design we offer will be attractive to employers.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88"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Additionally, certain states have recently enacted restrictive abortion laws that may also implicate fertility procedures, which may decrease the demand for, or availability of, certain fertility services.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Reductions in employee benefits spending or price pressures due to unfavorable conditions in our industry or the United States economy could limit our ability to grow our business and negatively affect our results of operations.</w:t>
      </w:r>
    </w:p>
    <w:p>
      <w:pPr>
        <w:spacing w:after="0" w:line="12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including conditions resulting from changes in gross domestic product growth, financial and credit market fluctuations, international trade relations, political turmoil, natural catastrophes, outbreaks of contagious diseases or the worsening thereof, including the ongoing COVID-19 pandemic, warfare and terrorist attacks on the United States, could cause a decrease in business investments, including spending on employee benefits, and negatively affect the growth of our business. Economic conditions including inflation, interest rate fluctuations, changes in capital market conditions and regulatory changes, such as the taxability of medical benefits like ours, may affect our ability to obtain necessary financing on acceptable terms.</w:t>
      </w:r>
    </w:p>
    <w:p>
      <w:pPr>
        <w:spacing w:after="0" w:line="181"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Unfavorable changes in our industry, including reductions in general healthcare spending, or in the United States economy could have a negative effect on our and our clients’ and potential clients’ results of operations. This could result in the delay or cancellation by certain clients, especially if purchases of our solution are perceived by clients and potential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clients to be discretionary, or if they experience a reduction in their employee headcounts or are unable to grow employee headcounts or there are material defaults by members on past amounts due. An increase in the cost of obtaining fertility medication or general medical cost inflation could also negatively impact our results of operation.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business experiences seasonality, which may cause fluctuations in our sales and results of operations.</w:t>
      </w:r>
    </w:p>
    <w:p>
      <w:pPr>
        <w:spacing w:after="0" w:line="23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Arial" w:cs="Arial" w:eastAsia="Arial" w:hAnsi="Arial"/>
          <w:sz w:val="13"/>
          <w:szCs w:val="13"/>
          <w:color w:val="auto"/>
          <w:vertAlign w:val="superscript"/>
        </w:rPr>
        <w:t>st</w:t>
      </w:r>
      <w:r>
        <w:rPr>
          <w:rFonts w:ascii="Arial" w:cs="Arial" w:eastAsia="Arial" w:hAnsi="Arial"/>
          <w:sz w:val="17"/>
          <w:szCs w:val="17"/>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7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5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2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To date, we have derived a substantial majority of our revenue from sales of our fertility benefits and Progyny Rx solutions. As we operate in an evolving industry and new markets,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6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0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w:t>
      </w:r>
    </w:p>
    <w:p>
      <w:pPr>
        <w:spacing w:after="0" w:line="19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16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success is dependent upon our continued ability to maintain a selective Center of Excellence, our proprietary, credentialed network of high-quality fertility specialists. Fertility specialists and our other network providers could refuse to contract,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68"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7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From time to time, our network providers may assert, or threaten to assert, claims seeking to terminate our contractual arrangements. If enough provider agreements were terminated, such termination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6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it could give rise to litigation against us. Any such issue with one of our providers may expose us to public scrutiny, adversely affect our brand and reputation, expose us to litigation and/or regulatory action, and otherwise make our operations vulnerable. Further, if a fertility specialist provides services that result in less than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and monitoring of, third parties, including channel partners, vendors, as well as insurance carriers.</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order to grow our business, we anticipate that we will continue to depend on our relationships with third parties, including channel partners, vendors and insurance carriers among others.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95" w:lineRule="exact"/>
        <w:rPr>
          <w:sz w:val="20"/>
          <w:szCs w:val="20"/>
          <w:color w:val="auto"/>
        </w:rPr>
      </w:pPr>
    </w:p>
    <w:p>
      <w:pPr>
        <w:jc w:val="both"/>
        <w:ind w:left="60" w:right="119" w:firstLine="648"/>
        <w:spacing w:after="0" w:line="259" w:lineRule="auto"/>
        <w:rPr>
          <w:sz w:val="20"/>
          <w:szCs w:val="20"/>
          <w:color w:val="auto"/>
        </w:rPr>
      </w:pPr>
      <w:r>
        <w:rPr>
          <w:rFonts w:ascii="Arial" w:cs="Arial" w:eastAsia="Arial" w:hAnsi="Arial"/>
          <w:sz w:val="18"/>
          <w:szCs w:val="18"/>
          <w:color w:val="auto"/>
        </w:rPr>
        <w:t>In addition, our arrangements with these third parties may expose us to public scrutiny, adversely affect our brand and reputation, expose us to litigation and/or regulatory action, and otherwise make our operations vulnerable if we fail to adequately monitor their performance or if they fail to meet their contractual obligations to us or to comply with applicable laws or regulations.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fail to maintain an efficient pharmacy distribution network or if there is a disruption to our network of specialty pharmacies, our business, financial condition and results of operations could suffer.</w:t>
      </w:r>
    </w:p>
    <w:p>
      <w:pPr>
        <w:spacing w:after="0" w:line="10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timely delivery of fertility prescriptions is essential for fertility treatments. If prescriptions are delivered late, the delay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demand higher drug pricing or take other actions that could result in higher medical costs or less attractive services for our members. Specialty pharmacies could face supply chain issues that could result in higher medical costs or negatively impact our rebates and results of operations. We do not control the pricing strategies of our specialty pharmacy partners, each of whom may be motivated by general economic considerations including inflation and other independent considerations and drivers that are outside our control and has the ability to set or impact market price for different prescription medications. We also cannot provide any assurance that we will be able to continue to renew our existing contracts,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the use of Progyny Rx may decline due to the inability to timely deliver prescription or offer competitive drug pricing to members, which could cause our business, financial condition and results of operations to suffer.</w:t>
      </w:r>
    </w:p>
    <w:p>
      <w:pPr>
        <w:spacing w:after="0" w:line="11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7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and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alternative treatment options, and negotiated rates among industry participants —impact the list prices for medications. Our ability to obtain and maintain specialty pharmaceutical rebates, our relative bargaining power, the value of any such rebates and our ability to generate revenue are directly affected by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marketing efforts depend on our ability to maintain our relationship with benefits consultants.</w:t>
      </w:r>
    </w:p>
    <w:p>
      <w:pPr>
        <w:spacing w:after="0" w:line="15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exposed to credit risk from our members</w:t>
      </w:r>
      <w:r>
        <w:rPr>
          <w:rFonts w:ascii="Arial" w:cs="Arial" w:eastAsia="Arial" w:hAnsi="Arial"/>
          <w:sz w:val="18"/>
          <w:szCs w:val="18"/>
          <w:i w:val="1"/>
          <w:iCs w:val="1"/>
          <w:color w:val="auto"/>
        </w:rPr>
        <w:t>.</w:t>
      </w:r>
    </w:p>
    <w:p>
      <w:pPr>
        <w:spacing w:after="0" w:line="15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must comply with a significant number of complex and evolving legal and regulatory requirements.</w:t>
      </w:r>
    </w:p>
    <w:p>
      <w:pPr>
        <w:spacing w:after="0" w:line="103"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311" w:lineRule="exact"/>
        <w:rPr>
          <w:sz w:val="20"/>
          <w:szCs w:val="20"/>
          <w:color w:val="auto"/>
        </w:rPr>
      </w:pPr>
    </w:p>
    <w:p>
      <w:pPr>
        <w:jc w:val="both"/>
        <w:ind w:left="720" w:right="79" w:hanging="319"/>
        <w:spacing w:after="0" w:line="287"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Licensing and Licensed Personnel</w:t>
      </w:r>
      <w:r>
        <w:rPr>
          <w:rFonts w:ascii="Arial" w:cs="Arial" w:eastAsia="Arial" w:hAnsi="Arial"/>
          <w:sz w:val="16"/>
          <w:szCs w:val="16"/>
          <w:color w:val="auto"/>
        </w:rPr>
        <w:t>. Many states have licensure or registration requirements for entities acting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third-party administrator, or 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20" w:right="79"/>
        <w:spacing w:after="0" w:line="263" w:lineRule="auto"/>
        <w:rPr>
          <w:sz w:val="20"/>
          <w:szCs w:val="20"/>
          <w:color w:val="auto"/>
        </w:rPr>
      </w:pPr>
      <w:r>
        <w:rPr>
          <w:rFonts w:ascii="Arial" w:cs="Arial" w:eastAsia="Arial" w:hAnsi="Arial"/>
          <w:sz w:val="18"/>
          <w:szCs w:val="18"/>
          <w:color w:val="auto"/>
        </w:rPr>
        <w:t>clients. While the validity of such laws is questionable and we do not believe any such laws are currently in effect, we cannot predict what effect, if any, such statutes, if enacted, may have on our business and financial results.</w:t>
      </w:r>
    </w:p>
    <w:p>
      <w:pPr>
        <w:spacing w:after="0" w:line="103" w:lineRule="exact"/>
        <w:rPr>
          <w:sz w:val="20"/>
          <w:szCs w:val="20"/>
          <w:color w:val="auto"/>
        </w:rPr>
      </w:pPr>
    </w:p>
    <w:p>
      <w:pPr>
        <w:jc w:val="both"/>
        <w:ind w:left="700" w:right="59" w:firstLine="4"/>
        <w:spacing w:after="0" w:line="288" w:lineRule="auto"/>
        <w:rPr>
          <w:sz w:val="20"/>
          <w:szCs w:val="20"/>
          <w:color w:val="auto"/>
        </w:rPr>
      </w:pPr>
      <w:r>
        <w:rPr>
          <w:rFonts w:ascii="Arial" w:cs="Arial" w:eastAsia="Arial" w:hAnsi="Arial"/>
          <w:sz w:val="16"/>
          <w:szCs w:val="16"/>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68" w:lineRule="exact"/>
        <w:rPr>
          <w:sz w:val="20"/>
          <w:szCs w:val="20"/>
          <w:color w:val="auto"/>
        </w:rPr>
      </w:pPr>
    </w:p>
    <w:p>
      <w:pPr>
        <w:jc w:val="both"/>
        <w:ind w:left="700" w:right="59" w:firstLine="126"/>
        <w:spacing w:after="0" w:line="253" w:lineRule="auto"/>
        <w:rPr>
          <w:sz w:val="20"/>
          <w:szCs w:val="20"/>
          <w:color w:val="auto"/>
        </w:rPr>
      </w:pPr>
      <w:r>
        <w:rPr>
          <w:rFonts w:ascii="Arial" w:cs="Arial" w:eastAsia="Arial" w:hAnsi="Arial"/>
          <w:sz w:val="18"/>
          <w:szCs w:val="18"/>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 the necessary licensure, which may adversely affect our relationships with our clients and members and cause us to be in breach of our contracts.</w:t>
      </w:r>
    </w:p>
    <w:p>
      <w:pPr>
        <w:spacing w:after="0" w:line="115" w:lineRule="exact"/>
        <w:rPr>
          <w:sz w:val="20"/>
          <w:szCs w:val="20"/>
          <w:color w:val="auto"/>
        </w:rPr>
      </w:pPr>
    </w:p>
    <w:p>
      <w:pPr>
        <w:jc w:val="both"/>
        <w:ind w:left="720" w:right="79" w:hanging="319"/>
        <w:spacing w:after="0" w:line="268"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HIPAA Privacy and Security Requirements</w:t>
      </w:r>
      <w:r>
        <w:rPr>
          <w:rFonts w:ascii="Arial" w:cs="Arial" w:eastAsia="Arial" w:hAnsi="Arial"/>
          <w:sz w:val="17"/>
          <w:szCs w:val="17"/>
          <w:color w:val="auto"/>
        </w:rPr>
        <w:t>. Regulations promulgated pursuant to HIPAA establish privacy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security standards that limit the 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03" w:lineRule="exact"/>
        <w:rPr>
          <w:sz w:val="20"/>
          <w:szCs w:val="20"/>
          <w:color w:val="auto"/>
        </w:rPr>
      </w:pPr>
    </w:p>
    <w:p>
      <w:pPr>
        <w:jc w:val="both"/>
        <w:ind w:left="700" w:right="59" w:firstLine="58"/>
        <w:spacing w:after="0" w:line="285" w:lineRule="auto"/>
        <w:rPr>
          <w:sz w:val="20"/>
          <w:szCs w:val="20"/>
          <w:color w:val="auto"/>
        </w:rPr>
      </w:pPr>
      <w:r>
        <w:rPr>
          <w:rFonts w:ascii="Arial" w:cs="Arial" w:eastAsia="Arial" w:hAnsi="Arial"/>
          <w:sz w:val="16"/>
          <w:szCs w:val="16"/>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7"/>
          <w:szCs w:val="17"/>
          <w:color w:val="auto"/>
        </w:rPr>
        <w:t>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71" w:lineRule="exact"/>
        <w:rPr>
          <w:sz w:val="20"/>
          <w:szCs w:val="20"/>
          <w:color w:val="auto"/>
        </w:rPr>
      </w:pPr>
    </w:p>
    <w:p>
      <w:pPr>
        <w:jc w:val="both"/>
        <w:ind w:left="720" w:right="79" w:hanging="319"/>
        <w:spacing w:after="0" w:line="284"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Other Privacy and Security Requirements</w:t>
      </w:r>
      <w:r>
        <w:rPr>
          <w:rFonts w:ascii="Arial" w:cs="Arial" w:eastAsia="Arial" w:hAnsi="Arial"/>
          <w:sz w:val="16"/>
          <w:szCs w:val="16"/>
          <w:color w:val="auto"/>
        </w:rPr>
        <w:t>. In addition to HIPAA, numerous other federal and state laws govern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the CCPA, went into effect on January 1, 2020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California Privacy Rights Act, or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Colorado and Utah, and have been proposed in other states and at the federal level, reflecting a trend toward more stringent privacy legislation in the United States. The enactment of such laws could have potentially conflicting requirements that would make compliance challenging.</w:t>
      </w:r>
    </w:p>
    <w:p>
      <w:pPr>
        <w:spacing w:after="0" w:line="85" w:lineRule="exact"/>
        <w:rPr>
          <w:sz w:val="20"/>
          <w:szCs w:val="20"/>
          <w:color w:val="auto"/>
        </w:rPr>
      </w:pPr>
    </w:p>
    <w:p>
      <w:pPr>
        <w:jc w:val="both"/>
        <w:ind w:left="700" w:right="59" w:firstLine="72"/>
        <w:spacing w:after="0" w:line="285" w:lineRule="auto"/>
        <w:rPr>
          <w:sz w:val="20"/>
          <w:szCs w:val="20"/>
          <w:color w:val="auto"/>
        </w:rPr>
      </w:pPr>
      <w:r>
        <w:rPr>
          <w:rFonts w:ascii="Arial" w:cs="Arial" w:eastAsia="Arial" w:hAnsi="Arial"/>
          <w:sz w:val="16"/>
          <w:szCs w:val="16"/>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88" w:lineRule="exact"/>
        <w:rPr>
          <w:sz w:val="20"/>
          <w:szCs w:val="20"/>
          <w:color w:val="auto"/>
        </w:rPr>
      </w:pPr>
    </w:p>
    <w:p>
      <w:pPr>
        <w:jc w:val="both"/>
        <w:ind w:left="720" w:right="79" w:hanging="319"/>
        <w:spacing w:after="0" w:line="289"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Data Protection and Breaches</w:t>
      </w:r>
      <w:r>
        <w:rPr>
          <w:rFonts w:ascii="Arial" w:cs="Arial" w:eastAsia="Arial" w:hAnsi="Arial"/>
          <w:sz w:val="16"/>
          <w:szCs w:val="16"/>
          <w:color w:val="auto"/>
        </w:rPr>
        <w:t>. In recent years, there have been a number of well-publicized data breaches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involving the improper dissemination 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81" w:lineRule="exact"/>
        <w:rPr>
          <w:sz w:val="20"/>
          <w:szCs w:val="20"/>
          <w:color w:val="auto"/>
        </w:rPr>
      </w:pPr>
    </w:p>
    <w:p>
      <w:pPr>
        <w:jc w:val="both"/>
        <w:ind w:left="700" w:right="59"/>
        <w:spacing w:after="0" w:line="285" w:lineRule="auto"/>
        <w:rPr>
          <w:sz w:val="20"/>
          <w:szCs w:val="20"/>
          <w:color w:val="auto"/>
        </w:rPr>
      </w:pPr>
      <w:r>
        <w:rPr>
          <w:rFonts w:ascii="Arial" w:cs="Arial" w:eastAsia="Arial" w:hAnsi="Arial"/>
          <w:sz w:val="16"/>
          <w:szCs w:val="16"/>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74" w:lineRule="exact"/>
        <w:rPr>
          <w:sz w:val="20"/>
          <w:szCs w:val="20"/>
          <w:color w:val="auto"/>
        </w:rPr>
      </w:pPr>
    </w:p>
    <w:p>
      <w:pPr>
        <w:jc w:val="both"/>
        <w:ind w:left="700" w:right="59"/>
        <w:spacing w:after="0" w:line="285" w:lineRule="auto"/>
        <w:rPr>
          <w:sz w:val="20"/>
          <w:szCs w:val="20"/>
          <w:color w:val="auto"/>
        </w:rPr>
      </w:pPr>
      <w:r>
        <w:rPr>
          <w:rFonts w:ascii="Arial" w:cs="Arial" w:eastAsia="Arial" w:hAnsi="Arial"/>
          <w:sz w:val="16"/>
          <w:szCs w:val="16"/>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95" w:lineRule="exact"/>
        <w:rPr>
          <w:sz w:val="20"/>
          <w:szCs w:val="20"/>
          <w:color w:val="auto"/>
        </w:rPr>
      </w:pPr>
    </w:p>
    <w:p>
      <w:pPr>
        <w:jc w:val="both"/>
        <w:ind w:left="720" w:right="79" w:hanging="319"/>
        <w:spacing w:after="0" w:line="289"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HIPAA Transaction and Identifier Standards</w:t>
      </w:r>
      <w:r>
        <w:rPr>
          <w:rFonts w:ascii="Arial" w:cs="Arial" w:eastAsia="Arial" w:hAnsi="Arial"/>
          <w:sz w:val="16"/>
          <w:szCs w:val="16"/>
          <w:color w:val="auto"/>
        </w:rPr>
        <w:t>. HIPAA and its implementing regulations mandate format and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content standards and provider 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79"/>
        <w:spacing w:after="0" w:line="277" w:lineRule="auto"/>
        <w:rPr>
          <w:sz w:val="20"/>
          <w:szCs w:val="20"/>
          <w:color w:val="auto"/>
        </w:rPr>
      </w:pPr>
      <w:r>
        <w:rPr>
          <w:rFonts w:ascii="Arial" w:cs="Arial" w:eastAsia="Arial" w:hAnsi="Arial"/>
          <w:sz w:val="18"/>
          <w:szCs w:val="18"/>
          <w:color w:val="auto"/>
        </w:rPr>
        <w:t>procedures known as the ICD-10 code sets. Enforcement of compliance with these standards falls under HHS and is carried out by CMS.</w:t>
      </w:r>
    </w:p>
    <w:p>
      <w:pPr>
        <w:spacing w:after="0" w:line="170"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95" w:lineRule="exact"/>
        <w:rPr>
          <w:sz w:val="20"/>
          <w:szCs w:val="20"/>
          <w:color w:val="auto"/>
        </w:rPr>
      </w:pPr>
    </w:p>
    <w:p>
      <w:pPr>
        <w:jc w:val="both"/>
        <w:ind w:left="720" w:right="79" w:hanging="319"/>
        <w:spacing w:after="0" w:line="271"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Fraud and Abuse Laws</w:t>
      </w:r>
      <w:r>
        <w:rPr>
          <w:rFonts w:ascii="Arial" w:cs="Arial" w:eastAsia="Arial" w:hAnsi="Arial"/>
          <w:sz w:val="17"/>
          <w:szCs w:val="17"/>
          <w:color w:val="auto"/>
        </w:rPr>
        <w:t>. Many of our clients, insurance carriers, and network healthcare providers are impacted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directly and indirectly by certain 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78" w:lineRule="exact"/>
        <w:rPr>
          <w:sz w:val="20"/>
          <w:szCs w:val="20"/>
          <w:color w:val="auto"/>
        </w:rPr>
      </w:pPr>
    </w:p>
    <w:p>
      <w:pPr>
        <w:jc w:val="both"/>
        <w:ind w:left="700" w:right="59"/>
        <w:spacing w:after="0" w:line="287" w:lineRule="auto"/>
        <w:rPr>
          <w:sz w:val="20"/>
          <w:szCs w:val="20"/>
          <w:color w:val="auto"/>
        </w:rPr>
      </w:pPr>
      <w:r>
        <w:rPr>
          <w:rFonts w:ascii="Arial" w:cs="Arial" w:eastAsia="Arial" w:hAnsi="Arial"/>
          <w:sz w:val="16"/>
          <w:szCs w:val="16"/>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68" w:lineRule="exact"/>
        <w:rPr>
          <w:sz w:val="20"/>
          <w:szCs w:val="20"/>
          <w:color w:val="auto"/>
        </w:rPr>
      </w:pPr>
    </w:p>
    <w:p>
      <w:pPr>
        <w:jc w:val="both"/>
        <w:ind w:left="720" w:right="79" w:hanging="319"/>
        <w:spacing w:after="0" w:line="267"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State Corporate Practice and Fee-Splitting Prohibitions. </w:t>
      </w:r>
      <w:r>
        <w:rPr>
          <w:rFonts w:ascii="Arial" w:cs="Arial" w:eastAsia="Arial" w:hAnsi="Arial"/>
          <w:sz w:val="17"/>
          <w:szCs w:val="17"/>
          <w:color w:val="auto"/>
        </w:rPr>
        <w:t>There is a risk that regulatory authorities in some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may find that our 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Although we believe all of our arrangements with our network providers are in compliance with such laws, where applicable,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89" w:lineRule="exact"/>
        <w:rPr>
          <w:rFonts w:ascii="Arial" w:cs="Arial" w:eastAsia="Arial" w:hAnsi="Arial"/>
          <w:sz w:val="17"/>
          <w:szCs w:val="17"/>
          <w:color w:val="auto"/>
        </w:rPr>
      </w:pPr>
    </w:p>
    <w:p>
      <w:pPr>
        <w:ind w:left="720" w:right="79" w:hanging="319"/>
        <w:spacing w:after="0" w:line="308"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ERISA Regulation</w:t>
      </w:r>
      <w:r>
        <w:rPr>
          <w:rFonts w:ascii="Arial" w:cs="Arial" w:eastAsia="Arial" w:hAnsi="Arial"/>
          <w:sz w:val="17"/>
          <w:szCs w:val="17"/>
          <w:color w:val="auto"/>
        </w:rPr>
        <w:t>. The Employee Retirement Income Security Act of 1974, or ERISA, regulates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aspects of employee health plans, including both insured and self-funded health plans sponsored by our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20" w:right="79"/>
        <w:spacing w:after="0" w:line="285" w:lineRule="auto"/>
        <w:rPr>
          <w:sz w:val="20"/>
          <w:szCs w:val="20"/>
          <w:color w:val="auto"/>
        </w:rPr>
      </w:pPr>
      <w:r>
        <w:rPr>
          <w:rFonts w:ascii="Arial" w:cs="Arial" w:eastAsia="Arial" w:hAnsi="Arial"/>
          <w:sz w:val="16"/>
          <w:szCs w:val="16"/>
          <w:color w:val="auto"/>
        </w:rPr>
        <w:t xml:space="preserve">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Arial" w:cs="Arial" w:eastAsia="Arial" w:hAnsi="Arial"/>
          <w:sz w:val="16"/>
          <w:szCs w:val="16"/>
          <w:i w:val="1"/>
          <w:iCs w:val="1"/>
          <w:color w:val="auto"/>
        </w:rPr>
        <w:t>Rutledge v. Pharm. Care Mgmt. Ass’n</w:t>
      </w:r>
      <w:r>
        <w:rPr>
          <w:rFonts w:ascii="Arial" w:cs="Arial" w:eastAsia="Arial" w:hAnsi="Arial"/>
          <w:sz w:val="16"/>
          <w:szCs w:val="16"/>
          <w:color w:val="auto"/>
        </w:rPr>
        <w:t xml:space="preserve"> established that ERISA does not preempt all state laws imposing transparency or other requirements on PBMs.</w:t>
      </w:r>
    </w:p>
    <w:p>
      <w:pPr>
        <w:spacing w:after="0" w:line="176" w:lineRule="exact"/>
        <w:rPr>
          <w:sz w:val="20"/>
          <w:szCs w:val="20"/>
          <w:color w:val="auto"/>
        </w:rPr>
      </w:pPr>
    </w:p>
    <w:p>
      <w:pPr>
        <w:jc w:val="both"/>
        <w:ind w:left="720" w:right="79" w:hanging="319"/>
        <w:spacing w:after="0" w:line="269"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Prompt Pay Laws</w:t>
      </w:r>
      <w:r>
        <w:rPr>
          <w:rFonts w:ascii="Arial" w:cs="Arial" w:eastAsia="Arial" w:hAnsi="Arial"/>
          <w:sz w:val="17"/>
          <w:szCs w:val="17"/>
          <w:color w:val="auto"/>
        </w:rPr>
        <w:t>. Certain states have laws regulating the amount of time that may elapse from when a third-party payor receives a claim for services rendered to when those services are paid. These “prompt pay” laws may 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78" w:lineRule="exact"/>
        <w:rPr>
          <w:rFonts w:ascii="Arial" w:cs="Arial" w:eastAsia="Arial" w:hAnsi="Arial"/>
          <w:sz w:val="17"/>
          <w:szCs w:val="17"/>
          <w:color w:val="auto"/>
        </w:rPr>
      </w:pPr>
    </w:p>
    <w:p>
      <w:pPr>
        <w:jc w:val="both"/>
        <w:ind w:left="720" w:right="79" w:hanging="319"/>
        <w:spacing w:after="0" w:line="267"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Network Adequacy and Access Requirements</w:t>
      </w:r>
      <w:r>
        <w:rPr>
          <w:rFonts w:ascii="Arial" w:cs="Arial" w:eastAsia="Arial" w:hAnsi="Arial"/>
          <w:sz w:val="17"/>
          <w:szCs w:val="17"/>
          <w:color w:val="auto"/>
        </w:rPr>
        <w:t>. Network adequacy and access laws require health plans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maintain a network of healthcare 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88" w:lineRule="exact"/>
        <w:rPr>
          <w:rFonts w:ascii="Arial" w:cs="Arial" w:eastAsia="Arial" w:hAnsi="Arial"/>
          <w:sz w:val="17"/>
          <w:szCs w:val="17"/>
          <w:color w:val="auto"/>
        </w:rPr>
      </w:pPr>
    </w:p>
    <w:p>
      <w:pPr>
        <w:jc w:val="both"/>
        <w:ind w:left="720" w:right="79" w:hanging="319"/>
        <w:spacing w:after="0" w:line="301"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Consumer Protection Laws</w:t>
      </w:r>
      <w:r>
        <w:rPr>
          <w:rFonts w:ascii="Arial" w:cs="Arial" w:eastAsia="Arial" w:hAnsi="Arial"/>
          <w:sz w:val="16"/>
          <w:szCs w:val="16"/>
          <w:color w:val="auto"/>
        </w:rPr>
        <w:t>. Federal and state consumer protection laws are being applied increasingly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20" w:right="79"/>
        <w:spacing w:after="0" w:line="293" w:lineRule="auto"/>
        <w:rPr>
          <w:sz w:val="20"/>
          <w:szCs w:val="20"/>
          <w:color w:val="auto"/>
        </w:rPr>
      </w:pPr>
      <w:r>
        <w:rPr>
          <w:rFonts w:ascii="Arial" w:cs="Arial" w:eastAsia="Arial" w:hAnsi="Arial"/>
          <w:sz w:val="16"/>
          <w:szCs w:val="16"/>
          <w:color w:val="auto"/>
        </w:rPr>
        <w:t>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64" w:lineRule="exact"/>
        <w:rPr>
          <w:sz w:val="20"/>
          <w:szCs w:val="20"/>
          <w:color w:val="auto"/>
        </w:rPr>
      </w:pPr>
    </w:p>
    <w:p>
      <w:pPr>
        <w:jc w:val="both"/>
        <w:ind w:left="700" w:right="59" w:hanging="326"/>
        <w:spacing w:after="0" w:line="272" w:lineRule="auto"/>
        <w:tabs>
          <w:tab w:leader="none" w:pos="902"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Restrictions on Communication</w:t>
      </w:r>
      <w:r>
        <w:rPr>
          <w:rFonts w:ascii="Arial" w:cs="Arial" w:eastAsia="Arial" w:hAnsi="Arial"/>
          <w:sz w:val="17"/>
          <w:szCs w:val="17"/>
          <w:color w:val="auto"/>
        </w:rPr>
        <w:t>. Communications with our members increasingly may be subject to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24"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as well as efforts to repeal or replace certain aspects of the ACA, which may continue in the future. For example, on June 17, 2021, the U.S. Supreme Court dismissed the most recent judicial challenge to the ACA brought by several states without specifically ruling on the constitutionality of the ACA. 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As another example of recent healthcare legislative changes, the Consolidated Appropriations Act, or CAA, effective December 27, 2021, contains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 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unable to predict how these changes to the ACA and other healthcare reform initiatives from new legislation, regulation, judicial action and/or executive action, including the CAA and No Surprises Act and state laws, will ultimately impact the healthcare industry and what the potential impact may be on our business or on our business and on our relationships with future clients, insurance carriers, and healthcare providers. If we are unable to comply with these laws or regulations or provide adequate assistance to our clients subject to these laws or regulations, it is reasonably possible that our business operations and operating results could be materially adversely affected.</w:t>
      </w:r>
    </w:p>
    <w:p>
      <w:pPr>
        <w:spacing w:after="0" w:line="178"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We are subject to potential changes in laws, regulations, government enforcement priorities, public policy, industry standards and other requirements, including with respect to Progyny Rx’s PBM practices, which create risks and challenges with respect to our compliance efforts and our business strategies, and may adversely affect our business.</w:t>
      </w:r>
    </w:p>
    <w:p>
      <w:pPr>
        <w:spacing w:after="0" w:line="13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74"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 xml:space="preserve">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including, among other things, disclosure, receipt and retention of rebates and other payments received from pharmaceutical manufacturers or pharmacy program partners,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Further, the U.S. Supreme Court’s decision in </w:t>
      </w:r>
      <w:r>
        <w:rPr>
          <w:rFonts w:ascii="Arial" w:cs="Arial" w:eastAsia="Arial" w:hAnsi="Arial"/>
          <w:sz w:val="16"/>
          <w:szCs w:val="16"/>
          <w:i w:val="1"/>
          <w:iCs w:val="1"/>
          <w:color w:val="auto"/>
        </w:rPr>
        <w:t>Rutledge v. Pharm. Care Mgmt. Ass’n</w:t>
      </w:r>
      <w:r>
        <w:rPr>
          <w:rFonts w:ascii="Arial" w:cs="Arial" w:eastAsia="Arial" w:hAnsi="Arial"/>
          <w:sz w:val="16"/>
          <w:szCs w:val="16"/>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In the wake of the </w:t>
      </w:r>
      <w:r>
        <w:rPr>
          <w:rFonts w:ascii="Arial" w:cs="Arial" w:eastAsia="Arial" w:hAnsi="Arial"/>
          <w:sz w:val="16"/>
          <w:szCs w:val="16"/>
          <w:i w:val="1"/>
          <w:iCs w:val="1"/>
          <w:color w:val="auto"/>
        </w:rPr>
        <w:t>Rutledge</w:t>
      </w:r>
      <w:r>
        <w:rPr>
          <w:rFonts w:ascii="Arial" w:cs="Arial" w:eastAsia="Arial" w:hAnsi="Arial"/>
          <w:sz w:val="16"/>
          <w:szCs w:val="16"/>
          <w:color w:val="auto"/>
        </w:rPr>
        <w:t xml:space="preserve"> ruling, for example, New York reintroduced previously vetoed PBM legislation and former Governor Andrew Cuomo issued an Executive Budget for 2022 that highlights the need for PBM accountability.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or allow regulators to conduct audits of PBM operations. 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We do not believe our operations are directly subject to such laws (including regulations under the federal anti-kickback statute directly applicable to PBMs) as the PBM solutions and services we provide are not reimbursed by government healthcare payors. Some states’ anti-kickback and false claims laws may be broader in scope than analogous federal laws and may apply to</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items and services reimbursed by any third-party payor, including private insurers, self-insured employers and on a cash basis by patients, and may be applicable to us.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Accordingly, it is reasonably possible that our business operations and operating results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the Company’s ability to standardize its Progyny Rx PBM products and services across state lines. Further, failure by the Company to comply with these laws or regulations could result in material fines and/or sanctions and could have a material adverse effect on the Company’s operating results and/or cash flows.</w:t>
      </w:r>
    </w:p>
    <w:p>
      <w:pPr>
        <w:spacing w:after="0" w:line="185"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0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Any potential sales to government entities are subject to a number of challenges and risks.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92"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Further, governmental and highly regulated entities may demand contract terms that differ from our standard arrangements. Such entities may have statutory, contractual, or other legal rights to terminate contracts with us or our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partners due to a default or for other reasons. Any such termination may adversely affect our reputation, business, financial condition and results of operations.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7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8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Any litigation against us could be costly and time-consuming to defend and could harm our business, financial condition and results of operations.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Changes in our effective tax rate or tax liabilities may have an adverse effect on our results of operations.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effective tax rate could be impacted due to several factors, including, but not limited to:</w:t>
      </w:r>
    </w:p>
    <w:p>
      <w:pPr>
        <w:spacing w:after="0" w:line="225" w:lineRule="exact"/>
        <w:rPr>
          <w:sz w:val="20"/>
          <w:szCs w:val="20"/>
          <w:color w:val="auto"/>
        </w:rPr>
      </w:pPr>
    </w:p>
    <w:p>
      <w:pPr>
        <w:ind w:left="720" w:right="79" w:hanging="319"/>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225"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 and</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discrete impact tax items, including such items resulting from the amount and timing of equity exercises and our share price.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of these developments could have an adverse effect on our results of operations.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70"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6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 xml:space="preserve">Accounting principles generally accepted in the United States are subject to interpretation by the Financial Accounting Standards Board, or FASB, the SEC and various bodies formed to promulgate and interpret appropriate accounting principles. We adopted ASC No. 2021-04, </w:t>
      </w:r>
      <w:r>
        <w:rPr>
          <w:rFonts w:ascii="Arial" w:cs="Arial" w:eastAsia="Arial" w:hAnsi="Arial"/>
          <w:sz w:val="17"/>
          <w:szCs w:val="17"/>
          <w:i w:val="1"/>
          <w:iCs w:val="1"/>
          <w:color w:val="auto"/>
        </w:rPr>
        <w:t>Earnings Per Share (Topic 260), Debt-Modifications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Extinguishments (Subtopic 470-50), Compensation- Stock Compensation (Topic 718), and Derivatives and Hedging-Contracts in Entity’s Own Equity (Subtopic 815- 40) </w:t>
      </w:r>
      <w:r>
        <w:rPr>
          <w:rFonts w:ascii="Arial" w:cs="Arial" w:eastAsia="Arial" w:hAnsi="Arial"/>
          <w:sz w:val="17"/>
          <w:szCs w:val="17"/>
          <w:color w:val="auto"/>
        </w:rPr>
        <w:t>and ASC No. 2019-12,</w:t>
      </w:r>
      <w:r>
        <w:rPr>
          <w:rFonts w:ascii="Arial" w:cs="Arial" w:eastAsia="Arial" w:hAnsi="Arial"/>
          <w:sz w:val="17"/>
          <w:szCs w:val="17"/>
          <w:i w:val="1"/>
          <w:iCs w:val="1"/>
          <w:color w:val="auto"/>
        </w:rPr>
        <w:t xml:space="preserve"> Income Taxes (Topic 740): Simplifying the Accounting for Income </w:t>
      </w:r>
      <w:r>
        <w:rPr>
          <w:rFonts w:ascii="Arial" w:cs="Arial" w:eastAsia="Arial" w:hAnsi="Arial"/>
          <w:sz w:val="17"/>
          <w:szCs w:val="17"/>
          <w:color w:val="auto"/>
        </w:rPr>
        <w:t>Taxes as of January 1, 2022 and January 1, 2021, respectively. Neither accounting pronouncement</w:t>
      </w:r>
      <w:r>
        <w:rPr>
          <w:rFonts w:ascii="Arial" w:cs="Arial" w:eastAsia="Arial" w:hAnsi="Arial"/>
          <w:sz w:val="17"/>
          <w:szCs w:val="17"/>
          <w:i w:val="1"/>
          <w:iCs w:val="1"/>
          <w:color w:val="auto"/>
        </w:rPr>
        <w:t xml:space="preserve"> </w:t>
      </w:r>
      <w:r>
        <w:rPr>
          <w:rFonts w:ascii="Arial" w:cs="Arial" w:eastAsia="Arial" w:hAnsi="Arial"/>
          <w:sz w:val="17"/>
          <w:szCs w:val="17"/>
          <w:color w:val="auto"/>
        </w:rPr>
        <w:t>had a material impact on our consolidated financial statements. See Note 2 – Significant Accounting Policies included in Part I, Item I of this Quarterly Report on Form 10-Q for additional information on recently adopted accounting standards.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49"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 volume of direct sales into the market by large investors;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pricing of our solutions and services;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and solutions;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data breaches of our company, providers, vendors or pharmacies;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sales of our common stock by us or our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including those related to the ongoing COVID-19 pandemic, may also negatively impact the market price of our common stock. Fluctuations in our quarterly operating results and the price of our common stock may be particularly pronounced in the current economic environment due to the uncertainty caused by and the unprecedented nature of the current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capital to continue to fund operations by selling shares and may impair our ability to acquire other companies or technologies by using our shares as consideration.</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84"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and mix of utilization of our solutions by members;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new clients;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retain our existing clients;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client expansion rates;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clients’ budgets and in the timing of their budget cycles and purchasing decisions;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healthcare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sales and marketing expenses;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expense, goodwill impairments and other non-cash charges;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specifically affecting industries in which our clients participate, including those related to the ongoing COVID-19 pandemic;</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clients; and</w:t>
      </w:r>
    </w:p>
    <w:p>
      <w:pPr>
        <w:spacing w:after="0" w:line="23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solutions and services.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political, social and economic impacts spread.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As a result of being a public company, we are obligated to develop and maintain proper and effective internal control over financial reporting, and any failure to maintain the adequacy of these internal control may adversely affect investor confidence in our company and, as a result, the value of our common stock.</w:t>
      </w:r>
    </w:p>
    <w:p>
      <w:pPr>
        <w:spacing w:after="0" w:line="16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required, pursuant to Section 404 of the Sarbanes-Oxley Act, or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of SOX.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6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During the evaluation and testing process of our internal control,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the market price of our common stock to decline.</w:t>
      </w:r>
    </w:p>
    <w:p>
      <w:pPr>
        <w:spacing w:after="0" w:line="26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 holders of a substantial number of shares of our common stock have rights, subject to certain conditions, to require us to file registration statements covering the sale of their shares or to include their shares in registration statements that we may file for ourselves or other stockholders.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or investment. Any such issuances of additional capital stock may cause stockholders to experience significant dilution of their ownership interests and the per share value of our common stock to decline.</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19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8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2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will incur as a public company or the specific timing of such costs.</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84" w:lineRule="exact"/>
        <w:rPr>
          <w:sz w:val="20"/>
          <w:szCs w:val="20"/>
          <w:color w:val="auto"/>
        </w:rPr>
      </w:pPr>
    </w:p>
    <w:p>
      <w:pPr>
        <w:jc w:val="both"/>
        <w:ind w:left="720" w:right="79" w:hanging="319"/>
        <w:spacing w:after="0" w:line="263"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at least 66 and 2/3% of our outstanding shares of voting stock;</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and 2/3% of our outstanding shares of voting stock to amend our bylaws and certain provisions of our certificate of incorporation.</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8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Settlement of Equity Awards</w:t>
      </w:r>
    </w:p>
    <w:p>
      <w:pPr>
        <w:spacing w:after="0" w:line="229"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Our restricted stock units are subject to vesting and the underlying shares of common stock are issued when the restricted stock units vest.</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the first quarter of 2022, we withheld shares through net settlements (where the award holder receives the net of the shares vested, after surrendering a portion of the shares back to the Company for tax withholding) for certain restricted stock units that vested.</w:t>
      </w:r>
    </w:p>
    <w:p>
      <w:pPr>
        <w:spacing w:after="0" w:line="184" w:lineRule="exact"/>
        <w:rPr>
          <w:sz w:val="20"/>
          <w:szCs w:val="20"/>
          <w:color w:val="auto"/>
        </w:rPr>
      </w:pPr>
    </w:p>
    <w:p>
      <w:pPr>
        <w:ind w:left="60" w:right="579" w:firstLine="648"/>
        <w:spacing w:after="0" w:line="342" w:lineRule="auto"/>
        <w:rPr>
          <w:sz w:val="20"/>
          <w:szCs w:val="20"/>
          <w:color w:val="auto"/>
        </w:rPr>
      </w:pPr>
      <w:r>
        <w:rPr>
          <w:rFonts w:ascii="Arial" w:cs="Arial" w:eastAsia="Arial" w:hAnsi="Arial"/>
          <w:sz w:val="16"/>
          <w:szCs w:val="16"/>
          <w:color w:val="auto"/>
        </w:rPr>
        <w:t>The following table provides a summary of shares surrendered back to the Company for tax withholding on restricted stock units that vested under our equity incentive plans in the three months ended March 31, 2022:</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Dollar Amount</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9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Average Price</w:t>
            </w: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9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4"/>
        </w:trPr>
        <w:tc>
          <w:tcPr>
            <w:tcW w:w="4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Plans or</w:t>
            </w:r>
          </w:p>
        </w:tc>
        <w:tc>
          <w:tcPr>
            <w:tcW w:w="120" w:type="dxa"/>
            <w:vAlign w:val="bottom"/>
          </w:tcPr>
          <w:p>
            <w:pPr>
              <w:spacing w:after="0"/>
              <w:rPr>
                <w:sz w:val="12"/>
                <w:szCs w:val="12"/>
                <w:color w:val="auto"/>
              </w:rPr>
            </w:pPr>
          </w:p>
        </w:tc>
        <w:tc>
          <w:tcPr>
            <w:tcW w:w="920" w:type="dxa"/>
            <w:vAlign w:val="bottom"/>
          </w:tcPr>
          <w:p>
            <w:pPr>
              <w:jc w:val="center"/>
              <w:ind w:right="20"/>
              <w:spacing w:after="0" w:line="145"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5"/>
        </w:trPr>
        <w:tc>
          <w:tcPr>
            <w:tcW w:w="4020" w:type="dxa"/>
            <w:vAlign w:val="bottom"/>
            <w:gridSpan w:val="2"/>
            <w:vMerge w:val="continue"/>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9"/>
              </w:rPr>
              <w:t xml:space="preserve">Repurchased </w:t>
            </w:r>
            <w:r>
              <w:rPr>
                <w:rFonts w:ascii="Arial" w:cs="Arial" w:eastAsia="Arial" w:hAnsi="Arial"/>
                <w:sz w:val="20"/>
                <w:szCs w:val="20"/>
                <w:b w:val="1"/>
                <w:bCs w:val="1"/>
                <w:color w:val="auto"/>
                <w:w w:val="89"/>
                <w:vertAlign w:val="superscript"/>
              </w:rPr>
              <w:t>(1)</w:t>
            </w:r>
          </w:p>
        </w:tc>
        <w:tc>
          <w:tcPr>
            <w:tcW w:w="160" w:type="dxa"/>
            <w:vAlign w:val="bottom"/>
          </w:tcPr>
          <w:p>
            <w:pPr>
              <w:spacing w:after="0"/>
              <w:rPr>
                <w:sz w:val="15"/>
                <w:szCs w:val="15"/>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Paid per Share</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Programs</w:t>
            </w:r>
          </w:p>
        </w:tc>
        <w:tc>
          <w:tcPr>
            <w:tcW w:w="120" w:type="dxa"/>
            <w:vAlign w:val="bottom"/>
          </w:tcPr>
          <w:p>
            <w:pPr>
              <w:spacing w:after="0"/>
              <w:rPr>
                <w:sz w:val="15"/>
                <w:szCs w:val="15"/>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142"/>
        </w:trPr>
        <w:tc>
          <w:tcPr>
            <w:tcW w:w="38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2022 through January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February 1, 2022 through February 28, 2022</w:t>
            </w:r>
          </w:p>
        </w:tc>
        <w:tc>
          <w:tcPr>
            <w:tcW w:w="1180" w:type="dxa"/>
            <w:vAlign w:val="bottom"/>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44.13</w:t>
            </w:r>
          </w:p>
        </w:tc>
        <w:tc>
          <w:tcPr>
            <w:tcW w:w="18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2022 through March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gridSpan w:val="2"/>
          </w:tcPr>
          <w:p>
            <w:pPr>
              <w:ind w:left="120"/>
              <w:spacing w:after="0"/>
              <w:rPr>
                <w:sz w:val="20"/>
                <w:szCs w:val="20"/>
                <w:color w:val="auto"/>
              </w:rPr>
            </w:pPr>
            <w:r>
              <w:rPr>
                <w:rFonts w:ascii="Arial" w:cs="Arial" w:eastAsia="Arial" w:hAnsi="Arial"/>
                <w:sz w:val="18"/>
                <w:szCs w:val="18"/>
                <w:color w:val="auto"/>
              </w:rPr>
              <w:t>Total shares repurchased</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38.99</w:t>
            </w:r>
          </w:p>
        </w:tc>
        <w:tc>
          <w:tcPr>
            <w:tcW w:w="180" w:type="dxa"/>
            <w:vAlign w:val="bottom"/>
          </w:tcPr>
          <w:p>
            <w:pPr>
              <w:spacing w:after="0"/>
              <w:rPr>
                <w:sz w:val="18"/>
                <w:szCs w:val="18"/>
                <w:color w:val="auto"/>
              </w:rPr>
            </w:pP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260" w:hanging="210"/>
        <w:spacing w:after="0"/>
        <w:tabs>
          <w:tab w:leader="none" w:pos="260" w:val="left"/>
        </w:tabs>
        <w:numPr>
          <w:ilvl w:val="0"/>
          <w:numId w:val="37"/>
        </w:numPr>
        <w:rPr>
          <w:rFonts w:ascii="Arial" w:cs="Arial" w:eastAsia="Arial" w:hAnsi="Arial"/>
          <w:sz w:val="25"/>
          <w:szCs w:val="25"/>
          <w:color w:val="auto"/>
          <w:vertAlign w:val="superscript"/>
        </w:rPr>
      </w:pPr>
      <w:r>
        <w:rPr>
          <w:rFonts w:ascii="Arial" w:cs="Arial" w:eastAsia="Arial" w:hAnsi="Arial"/>
          <w:sz w:val="17"/>
          <w:szCs w:val="17"/>
          <w:color w:val="auto"/>
        </w:rPr>
        <w:t>Represents shares withheld on net settlements of restricted stock units that vested under our equity incentive plans.</w:t>
      </w: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225" w:lineRule="exact"/>
        <w:rPr>
          <w:rFonts w:ascii="Arial" w:cs="Arial" w:eastAsia="Arial" w:hAnsi="Arial"/>
          <w:sz w:val="25"/>
          <w:szCs w:val="25"/>
          <w:color w:val="auto"/>
          <w:vertAlign w:val="superscript"/>
        </w:rPr>
      </w:pPr>
    </w:p>
    <w:p>
      <w:pPr>
        <w:ind w:left="4420"/>
        <w:spacing w:after="0"/>
        <w:rPr>
          <w:rFonts w:ascii="Arial" w:cs="Arial" w:eastAsia="Arial" w:hAnsi="Arial"/>
          <w:sz w:val="25"/>
          <w:szCs w:val="25"/>
          <w:color w:val="auto"/>
          <w:vertAlign w:val="superscript"/>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1180" w:type="dxa"/>
            <w:vAlign w:val="bottom"/>
            <w:gridSpan w:val="2"/>
            <w:vMerge w:val="restart"/>
          </w:tcPr>
          <w:p>
            <w:pPr>
              <w:jc w:val="center"/>
              <w:ind w:left="11"/>
              <w:spacing w:after="0"/>
              <w:rPr>
                <w:sz w:val="20"/>
                <w:szCs w:val="20"/>
                <w:color w:val="auto"/>
              </w:rPr>
            </w:pPr>
            <w:r>
              <w:rPr>
                <w:rFonts w:ascii="Arial" w:cs="Arial" w:eastAsia="Arial" w:hAnsi="Arial"/>
                <w:sz w:val="14"/>
                <w:szCs w:val="14"/>
                <w:b w:val="1"/>
                <w:bCs w:val="1"/>
                <w:color w:val="auto"/>
                <w:w w:val="95"/>
              </w:rPr>
              <w:t>Filed/Furnished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40" w:type="dxa"/>
            <w:vAlign w:val="bottom"/>
            <w:gridSpan w:val="19"/>
            <w:vMerge w:val="restart"/>
          </w:tcPr>
          <w:p>
            <w:pPr>
              <w:jc w:val="right"/>
              <w:ind w:right="1500"/>
              <w:spacing w:after="0"/>
              <w:rPr>
                <w:sz w:val="20"/>
                <w:szCs w:val="20"/>
                <w:color w:val="auto"/>
              </w:rPr>
            </w:pPr>
            <w:r>
              <w:rPr>
                <w:rFonts w:ascii="Arial" w:cs="Arial" w:eastAsia="Arial" w:hAnsi="Arial"/>
                <w:sz w:val="14"/>
                <w:szCs w:val="14"/>
                <w:b w:val="1"/>
                <w:bCs w:val="1"/>
                <w:color w:val="auto"/>
                <w:w w:val="93"/>
              </w:rPr>
              <w:t>Description</w:t>
            </w:r>
          </w:p>
        </w:tc>
        <w:tc>
          <w:tcPr>
            <w:tcW w:w="1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0"/>
                <w:szCs w:val="10"/>
                <w:color w:val="auto"/>
              </w:rPr>
            </w:pPr>
          </w:p>
        </w:tc>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gridSpan w:val="19"/>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tcBorders>
              <w:top w:val="single" w:sz="8" w:color="auto"/>
            </w:tcBorders>
            <w:gridSpan w:val="22"/>
          </w:tcPr>
          <w:p>
            <w:pPr>
              <w:spacing w:after="0" w:line="169"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Amended and Restated Certificate of Incorporation</w:t>
              </w:r>
            </w:hyperlink>
          </w:p>
        </w:tc>
        <w:tc>
          <w:tcPr>
            <w:tcW w:w="140" w:type="dxa"/>
            <w:vAlign w:val="bottom"/>
          </w:tcPr>
          <w:p>
            <w:pPr>
              <w:spacing w:after="0"/>
              <w:rPr>
                <w:sz w:val="14"/>
                <w:szCs w:val="14"/>
                <w:color w:val="auto"/>
              </w:rPr>
            </w:pPr>
          </w:p>
        </w:tc>
        <w:tc>
          <w:tcPr>
            <w:tcW w:w="4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8-K</w:t>
            </w:r>
          </w:p>
        </w:tc>
        <w:tc>
          <w:tcPr>
            <w:tcW w:w="14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w w:val="99"/>
              </w:rPr>
              <w:t>001-39100</w:t>
            </w: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w w:val="79"/>
              </w:rPr>
              <w:t>3.1</w:t>
            </w:r>
          </w:p>
        </w:tc>
        <w:tc>
          <w:tcPr>
            <w:tcW w:w="14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w w:val="88"/>
              </w:rPr>
              <w:t>10/31/2019</w:t>
            </w:r>
          </w:p>
        </w:tc>
        <w:tc>
          <w:tcPr>
            <w:tcW w:w="1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of Progyny, Inc.</w:t>
              </w:r>
            </w:hyperlink>
          </w:p>
        </w:tc>
        <w:tc>
          <w:tcPr>
            <w:tcW w:w="2520" w:type="dxa"/>
            <w:vAlign w:val="bottom"/>
            <w:tcBorders>
              <w:top w:val="single" w:sz="8" w:color="0000EE"/>
            </w:tcBorders>
            <w:gridSpan w:val="20"/>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35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Amended and Restated By-laws of Progyny, Inc.</w:t>
              </w:r>
            </w:hyperlink>
          </w:p>
        </w:tc>
        <w:tc>
          <w:tcPr>
            <w:tcW w:w="180" w:type="dxa"/>
            <w:vAlign w:val="bottom"/>
            <w:gridSpan w:val="7"/>
          </w:tcPr>
          <w:p>
            <w:pPr>
              <w:spacing w:after="0"/>
              <w:rPr>
                <w:sz w:val="17"/>
                <w:szCs w:val="17"/>
                <w:color w:val="auto"/>
              </w:rPr>
            </w:pPr>
          </w:p>
        </w:tc>
        <w:tc>
          <w:tcPr>
            <w:tcW w:w="58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S-1</w:t>
            </w:r>
          </w:p>
        </w:tc>
        <w:tc>
          <w:tcPr>
            <w:tcW w:w="10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9"/>
              </w:rPr>
              <w:t>333-233965</w:t>
            </w:r>
          </w:p>
        </w:tc>
        <w:tc>
          <w:tcPr>
            <w:tcW w:w="62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3.4</w:t>
            </w:r>
          </w:p>
        </w:tc>
        <w:tc>
          <w:tcPr>
            <w:tcW w:w="96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9"/>
              </w:rPr>
              <w:t>9/27/2019</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3700" w:type="dxa"/>
            <w:vAlign w:val="bottom"/>
            <w:gridSpan w:val="23"/>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Form of common stock certificate</w:t>
              </w:r>
            </w:hyperlink>
          </w:p>
        </w:tc>
        <w:tc>
          <w:tcPr>
            <w:tcW w:w="58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3"/>
              </w:rPr>
              <w:t>S-1/A</w:t>
            </w:r>
          </w:p>
        </w:tc>
        <w:tc>
          <w:tcPr>
            <w:tcW w:w="10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9"/>
              </w:rPr>
              <w:t>333-233965</w:t>
            </w:r>
          </w:p>
        </w:tc>
        <w:tc>
          <w:tcPr>
            <w:tcW w:w="62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4.1</w:t>
            </w:r>
          </w:p>
        </w:tc>
        <w:tc>
          <w:tcPr>
            <w:tcW w:w="96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8"/>
              </w:rPr>
              <w:t>10/15/2019</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Form of 2013 Preferred Stock Warrant.</w:t>
              </w:r>
            </w:hyperlink>
          </w:p>
        </w:tc>
        <w:tc>
          <w:tcPr>
            <w:tcW w:w="880" w:type="dxa"/>
            <w:vAlign w:val="bottom"/>
            <w:gridSpan w:val="12"/>
          </w:tcPr>
          <w:p>
            <w:pPr>
              <w:spacing w:after="0"/>
              <w:rPr>
                <w:sz w:val="17"/>
                <w:szCs w:val="17"/>
                <w:color w:val="auto"/>
              </w:rPr>
            </w:pPr>
          </w:p>
        </w:tc>
        <w:tc>
          <w:tcPr>
            <w:tcW w:w="58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3"/>
              </w:rPr>
              <w:t>S-1/A</w:t>
            </w:r>
          </w:p>
        </w:tc>
        <w:tc>
          <w:tcPr>
            <w:tcW w:w="10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9"/>
              </w:rPr>
              <w:t>333-233965</w:t>
            </w:r>
          </w:p>
        </w:tc>
        <w:tc>
          <w:tcPr>
            <w:tcW w:w="62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4.2</w:t>
            </w:r>
          </w:p>
        </w:tc>
        <w:tc>
          <w:tcPr>
            <w:tcW w:w="96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8"/>
              </w:rPr>
              <w:t>10/15/2019</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Form of 2014 Preferred Stock Warrant.</w:t>
              </w:r>
            </w:hyperlink>
          </w:p>
        </w:tc>
        <w:tc>
          <w:tcPr>
            <w:tcW w:w="880" w:type="dxa"/>
            <w:vAlign w:val="bottom"/>
            <w:gridSpan w:val="12"/>
          </w:tcPr>
          <w:p>
            <w:pPr>
              <w:spacing w:after="0"/>
              <w:rPr>
                <w:sz w:val="17"/>
                <w:szCs w:val="17"/>
                <w:color w:val="auto"/>
              </w:rPr>
            </w:pPr>
          </w:p>
        </w:tc>
        <w:tc>
          <w:tcPr>
            <w:tcW w:w="58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3"/>
              </w:rPr>
              <w:t>S-1/A</w:t>
            </w:r>
          </w:p>
        </w:tc>
        <w:tc>
          <w:tcPr>
            <w:tcW w:w="10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9"/>
              </w:rPr>
              <w:t>333-233965</w:t>
            </w:r>
          </w:p>
        </w:tc>
        <w:tc>
          <w:tcPr>
            <w:tcW w:w="62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4.3</w:t>
            </w:r>
          </w:p>
        </w:tc>
        <w:tc>
          <w:tcPr>
            <w:tcW w:w="96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8"/>
              </w:rPr>
              <w:t>10/15/2019</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7"/>
                <w:szCs w:val="17"/>
                <w:color w:val="auto"/>
              </w:rPr>
            </w:pPr>
          </w:p>
        </w:tc>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Form of 2015 Preferred Stock Warrant.</w:t>
              </w:r>
            </w:hyperlink>
          </w:p>
        </w:tc>
        <w:tc>
          <w:tcPr>
            <w:tcW w:w="880" w:type="dxa"/>
            <w:vAlign w:val="bottom"/>
            <w:gridSpan w:val="12"/>
          </w:tcPr>
          <w:p>
            <w:pPr>
              <w:spacing w:after="0"/>
              <w:rPr>
                <w:sz w:val="17"/>
                <w:szCs w:val="17"/>
                <w:color w:val="auto"/>
              </w:rPr>
            </w:pPr>
          </w:p>
        </w:tc>
        <w:tc>
          <w:tcPr>
            <w:tcW w:w="58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3"/>
              </w:rPr>
              <w:t>S-1/A</w:t>
            </w:r>
          </w:p>
        </w:tc>
        <w:tc>
          <w:tcPr>
            <w:tcW w:w="10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9"/>
              </w:rPr>
              <w:t>333-233965</w:t>
            </w:r>
          </w:p>
        </w:tc>
        <w:tc>
          <w:tcPr>
            <w:tcW w:w="62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4.4</w:t>
            </w:r>
          </w:p>
        </w:tc>
        <w:tc>
          <w:tcPr>
            <w:tcW w:w="96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8"/>
              </w:rPr>
              <w:t>10/15/2019</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3700" w:type="dxa"/>
            <w:vAlign w:val="bottom"/>
            <w:gridSpan w:val="23"/>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Warrant to Purchase Stock issued to Silicon Valley</w:t>
              </w:r>
            </w:hyperlink>
          </w:p>
        </w:tc>
        <w:tc>
          <w:tcPr>
            <w:tcW w:w="58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3"/>
              </w:rPr>
              <w:t>S-1/A</w:t>
            </w:r>
          </w:p>
        </w:tc>
        <w:tc>
          <w:tcPr>
            <w:tcW w:w="10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9"/>
              </w:rPr>
              <w:t>333-233965</w:t>
            </w:r>
          </w:p>
        </w:tc>
        <w:tc>
          <w:tcPr>
            <w:tcW w:w="62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4.5</w:t>
            </w:r>
          </w:p>
        </w:tc>
        <w:tc>
          <w:tcPr>
            <w:tcW w:w="96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88"/>
              </w:rPr>
              <w:t>10/15/2019</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Bank dated October 9, 2013.</w:t>
              </w:r>
            </w:hyperlink>
          </w:p>
        </w:tc>
        <w:tc>
          <w:tcPr>
            <w:tcW w:w="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35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Amended and Restated Employment Agreement</w:t>
              </w:r>
            </w:hyperlink>
          </w:p>
        </w:tc>
        <w:tc>
          <w:tcPr>
            <w:tcW w:w="20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gridSpan w:val="2"/>
          </w:tcPr>
          <w:p>
            <w:pPr>
              <w:jc w:val="center"/>
              <w:ind w:left="5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gridSpan w:val="23"/>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between Progyny, Inc. and David Schlanger dated</w:t>
              </w:r>
            </w:hyperlink>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December 23, 2021</w:t>
              </w:r>
              <w:r>
                <w:rPr>
                  <w:rFonts w:ascii="Arial" w:cs="Arial" w:eastAsia="Arial" w:hAnsi="Arial"/>
                  <w:sz w:val="18"/>
                  <w:szCs w:val="18"/>
                  <w:color w:val="000000"/>
                </w:rPr>
                <w:t>.</w:t>
              </w:r>
            </w:hyperlink>
          </w:p>
        </w:tc>
        <w:tc>
          <w:tcPr>
            <w:tcW w:w="12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3700" w:type="dxa"/>
            <w:vAlign w:val="bottom"/>
            <w:gridSpan w:val="23"/>
          </w:tcPr>
          <w:p>
            <w:pPr>
              <w:spacing w:after="0" w:line="196" w:lineRule="exact"/>
              <w:rPr>
                <w:rFonts w:ascii="Arial" w:cs="Arial" w:eastAsia="Arial" w:hAnsi="Arial"/>
                <w:sz w:val="18"/>
                <w:szCs w:val="18"/>
                <w:color w:val="0000EE"/>
                <w:w w:val="95"/>
              </w:rPr>
            </w:pPr>
            <w:hyperlink w:anchor="page79">
              <w:r>
                <w:rPr>
                  <w:rFonts w:ascii="Arial" w:cs="Arial" w:eastAsia="Arial" w:hAnsi="Arial"/>
                  <w:sz w:val="18"/>
                  <w:szCs w:val="18"/>
                  <w:color w:val="0000EE"/>
                  <w:w w:val="95"/>
                </w:rPr>
                <w:t>Amended and Restated Employment Agreement</w:t>
              </w:r>
            </w:hyperlink>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gridSpan w:val="2"/>
          </w:tcPr>
          <w:p>
            <w:pPr>
              <w:jc w:val="center"/>
              <w:ind w:left="5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between Progyny, Inc. and Peter Anevski dated</w:t>
              </w:r>
            </w:hyperlink>
          </w:p>
        </w:tc>
        <w:tc>
          <w:tcPr>
            <w:tcW w:w="80" w:type="dxa"/>
            <w:vAlign w:val="bottom"/>
            <w:tcBorders>
              <w:top w:val="single" w:sz="8" w:color="0000EE"/>
            </w:tcBorders>
          </w:tcPr>
          <w:p>
            <w:pPr>
              <w:spacing w:after="0"/>
              <w:rPr>
                <w:sz w:val="17"/>
                <w:szCs w:val="17"/>
                <w:color w:val="auto"/>
              </w:rPr>
            </w:pPr>
          </w:p>
        </w:tc>
        <w:tc>
          <w:tcPr>
            <w:tcW w:w="22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December 23, 2021.</w:t>
              </w:r>
            </w:hyperlink>
          </w:p>
        </w:tc>
        <w:tc>
          <w:tcPr>
            <w:tcW w:w="2240" w:type="dxa"/>
            <w:vAlign w:val="bottom"/>
            <w:gridSpan w:val="19"/>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35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Amended and Restated Employment Agreement</w:t>
              </w:r>
            </w:hyperlink>
          </w:p>
        </w:tc>
        <w:tc>
          <w:tcPr>
            <w:tcW w:w="20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gridSpan w:val="2"/>
          </w:tcPr>
          <w:p>
            <w:pPr>
              <w:jc w:val="center"/>
              <w:ind w:left="5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between Progyny, Inc. and Michael Sturmer dated</w:t>
              </w:r>
            </w:hyperlink>
          </w:p>
        </w:tc>
        <w:tc>
          <w:tcPr>
            <w:tcW w:w="10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December 23, 2021.</w:t>
              </w:r>
            </w:hyperlink>
          </w:p>
        </w:tc>
        <w:tc>
          <w:tcPr>
            <w:tcW w:w="2240" w:type="dxa"/>
            <w:vAlign w:val="bottom"/>
            <w:gridSpan w:val="19"/>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35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Certification of Chief Executive Officer pursuant</w:t>
              </w:r>
            </w:hyperlink>
          </w:p>
        </w:tc>
        <w:tc>
          <w:tcPr>
            <w:tcW w:w="16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gridSpan w:val="2"/>
          </w:tcPr>
          <w:p>
            <w:pPr>
              <w:jc w:val="center"/>
              <w:ind w:left="5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gridSpan w:val="23"/>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to Exchange Act Rule 13a-14(a).</w:t>
              </w:r>
            </w:hyperlink>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3700" w:type="dxa"/>
            <w:vAlign w:val="bottom"/>
            <w:gridSpan w:val="23"/>
          </w:tcPr>
          <w:p>
            <w:pPr>
              <w:spacing w:after="0" w:line="196" w:lineRule="exact"/>
              <w:rPr>
                <w:rFonts w:ascii="Arial" w:cs="Arial" w:eastAsia="Arial" w:hAnsi="Arial"/>
                <w:sz w:val="18"/>
                <w:szCs w:val="18"/>
                <w:color w:val="0000EE"/>
                <w:w w:val="93"/>
              </w:rPr>
            </w:pPr>
            <w:hyperlink w:anchor="page95">
              <w:r>
                <w:rPr>
                  <w:rFonts w:ascii="Arial" w:cs="Arial" w:eastAsia="Arial" w:hAnsi="Arial"/>
                  <w:sz w:val="18"/>
                  <w:szCs w:val="18"/>
                  <w:color w:val="0000EE"/>
                  <w:w w:val="93"/>
                </w:rPr>
                <w:t>Certification of Chief Financial Officer pursuant to</w:t>
              </w:r>
            </w:hyperlink>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gridSpan w:val="2"/>
          </w:tcPr>
          <w:p>
            <w:pPr>
              <w:jc w:val="center"/>
              <w:ind w:left="5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Exchange Act Rule 13a-14(a).</w:t>
              </w:r>
            </w:hyperlink>
          </w:p>
        </w:tc>
        <w:tc>
          <w:tcPr>
            <w:tcW w:w="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312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Certification of Principal Executive Officer</w:t>
              </w:r>
            </w:hyperlink>
          </w:p>
        </w:tc>
        <w:tc>
          <w:tcPr>
            <w:tcW w:w="58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gridSpan w:val="2"/>
          </w:tcPr>
          <w:p>
            <w:pPr>
              <w:jc w:val="center"/>
              <w:ind w:left="3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gridSpan w:val="23"/>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pursuant to 18 U.S.C. Section 1350.</w:t>
              </w:r>
            </w:hyperlink>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1120" w:type="dxa"/>
            <w:vAlign w:val="bottom"/>
            <w:gridSpan w:val="1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7"/>
                <w:szCs w:val="17"/>
                <w:color w:val="auto"/>
              </w:rPr>
            </w:pPr>
          </w:p>
        </w:tc>
        <w:tc>
          <w:tcPr>
            <w:tcW w:w="3700" w:type="dxa"/>
            <w:vAlign w:val="bottom"/>
            <w:gridSpan w:val="23"/>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Certification of Chief Financial Officer pursuant to</w:t>
              </w:r>
            </w:hyperlink>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gridSpan w:val="2"/>
          </w:tcPr>
          <w:p>
            <w:pPr>
              <w:jc w:val="center"/>
              <w:ind w:left="3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18 U.S.C. Section 1350.</w:t>
              </w:r>
            </w:hyperlink>
          </w:p>
        </w:tc>
        <w:tc>
          <w:tcPr>
            <w:tcW w:w="1920" w:type="dxa"/>
            <w:vAlign w:val="bottom"/>
            <w:tcBorders>
              <w:top w:val="single" w:sz="8" w:color="0000EE"/>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9"/>
                <w:szCs w:val="19"/>
                <w:color w:val="auto"/>
              </w:rPr>
            </w:pPr>
          </w:p>
        </w:tc>
        <w:tc>
          <w:tcPr>
            <w:tcW w:w="3700" w:type="dxa"/>
            <w:vAlign w:val="bottom"/>
            <w:gridSpan w:val="23"/>
          </w:tcPr>
          <w:p>
            <w:pPr>
              <w:spacing w:after="0"/>
              <w:rPr>
                <w:sz w:val="20"/>
                <w:szCs w:val="20"/>
                <w:color w:val="auto"/>
              </w:rPr>
            </w:pPr>
            <w:r>
              <w:rPr>
                <w:rFonts w:ascii="Arial" w:cs="Arial" w:eastAsia="Arial" w:hAnsi="Arial"/>
                <w:sz w:val="18"/>
                <w:szCs w:val="18"/>
                <w:color w:val="auto"/>
              </w:rPr>
              <w:t>Inline XBRL Instance Document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gridSpan w:val="2"/>
          </w:tcPr>
          <w:p>
            <w:pPr>
              <w:jc w:val="center"/>
              <w:ind w:lef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140" w:type="dxa"/>
            <w:vAlign w:val="bottom"/>
          </w:tcPr>
          <w:p>
            <w:pPr>
              <w:spacing w:after="0"/>
              <w:rPr>
                <w:sz w:val="18"/>
                <w:szCs w:val="18"/>
                <w:color w:val="auto"/>
              </w:rPr>
            </w:pPr>
          </w:p>
        </w:tc>
        <w:tc>
          <w:tcPr>
            <w:tcW w:w="370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gridSpan w:val="2"/>
          </w:tcPr>
          <w:p>
            <w:pPr>
              <w:jc w:val="center"/>
              <w:ind w:lef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140" w:type="dxa"/>
            <w:vAlign w:val="bottom"/>
          </w:tcPr>
          <w:p>
            <w:pPr>
              <w:spacing w:after="0"/>
              <w:rPr>
                <w:sz w:val="18"/>
                <w:szCs w:val="18"/>
                <w:color w:val="auto"/>
              </w:rPr>
            </w:pPr>
          </w:p>
        </w:tc>
        <w:tc>
          <w:tcPr>
            <w:tcW w:w="370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gridSpan w:val="2"/>
          </w:tcPr>
          <w:p>
            <w:pPr>
              <w:jc w:val="center"/>
              <w:ind w:lef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gridSpan w:val="23"/>
          </w:tcPr>
          <w:p>
            <w:pPr>
              <w:spacing w:after="0"/>
              <w:rPr>
                <w:sz w:val="20"/>
                <w:szCs w:val="20"/>
                <w:color w:val="auto"/>
              </w:rPr>
            </w:pPr>
            <w:r>
              <w:rPr>
                <w:rFonts w:ascii="Arial" w:cs="Arial" w:eastAsia="Arial" w:hAnsi="Arial"/>
                <w:sz w:val="18"/>
                <w:szCs w:val="18"/>
                <w:color w:val="auto"/>
              </w:rPr>
              <w:t>Linkbase Document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140" w:type="dxa"/>
            <w:vAlign w:val="bottom"/>
          </w:tcPr>
          <w:p>
            <w:pPr>
              <w:spacing w:after="0"/>
              <w:rPr>
                <w:sz w:val="18"/>
                <w:szCs w:val="18"/>
                <w:color w:val="auto"/>
              </w:rPr>
            </w:pPr>
          </w:p>
        </w:tc>
        <w:tc>
          <w:tcPr>
            <w:tcW w:w="370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gridSpan w:val="2"/>
          </w:tcPr>
          <w:p>
            <w:pPr>
              <w:jc w:val="center"/>
              <w:ind w:lef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gridSpan w:val="23"/>
          </w:tcPr>
          <w:p>
            <w:pPr>
              <w:spacing w:after="0"/>
              <w:rPr>
                <w:sz w:val="20"/>
                <w:szCs w:val="20"/>
                <w:color w:val="auto"/>
              </w:rPr>
            </w:pPr>
            <w:r>
              <w:rPr>
                <w:rFonts w:ascii="Arial" w:cs="Arial" w:eastAsia="Arial" w:hAnsi="Arial"/>
                <w:sz w:val="18"/>
                <w:szCs w:val="18"/>
                <w:color w:val="auto"/>
              </w:rPr>
              <w:t>Linkbase Document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18"/>
                <w:szCs w:val="18"/>
                <w:color w:val="auto"/>
              </w:rPr>
            </w:pPr>
          </w:p>
        </w:tc>
        <w:tc>
          <w:tcPr>
            <w:tcW w:w="3700" w:type="dxa"/>
            <w:vAlign w:val="bottom"/>
            <w:gridSpan w:val="23"/>
          </w:tcPr>
          <w:p>
            <w:pPr>
              <w:spacing w:after="0"/>
              <w:rPr>
                <w:sz w:val="20"/>
                <w:szCs w:val="20"/>
                <w:color w:val="auto"/>
              </w:rPr>
            </w:pPr>
            <w:r>
              <w:rPr>
                <w:rFonts w:ascii="Arial" w:cs="Arial" w:eastAsia="Arial" w:hAnsi="Arial"/>
                <w:sz w:val="18"/>
                <w:szCs w:val="18"/>
                <w:color w:val="auto"/>
                <w:w w:val="93"/>
              </w:rPr>
              <w:t>Inline XBRL Taxonomy Extension Label Linkbase</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gridSpan w:val="2"/>
          </w:tcPr>
          <w:p>
            <w:pPr>
              <w:jc w:val="center"/>
              <w:ind w:lef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gridSpan w:val="24"/>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8" w:name="page69"/>
    <w:bookmarkEnd w:id="68"/>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120" w:type="dxa"/>
            <w:vAlign w:val="bottom"/>
          </w:tcPr>
          <w:p>
            <w:pPr>
              <w:spacing w:after="0"/>
              <w:rPr>
                <w:sz w:val="17"/>
                <w:szCs w:val="17"/>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965"/>
        </w:trPr>
        <w:tc>
          <w:tcPr>
            <w:tcW w:w="6300" w:type="dxa"/>
            <w:vAlign w:val="bottom"/>
            <w:gridSpan w:val="2"/>
          </w:tcPr>
          <w:p>
            <w:pPr>
              <w:spacing w:after="0"/>
              <w:rPr>
                <w:sz w:val="20"/>
                <w:szCs w:val="20"/>
                <w:color w:val="auto"/>
              </w:rPr>
            </w:pPr>
            <w:r>
              <w:rPr>
                <w:rFonts w:ascii="Arial" w:cs="Arial" w:eastAsia="Arial" w:hAnsi="Arial"/>
                <w:sz w:val="18"/>
                <w:szCs w:val="18"/>
                <w:color w:val="auto"/>
              </w:rPr>
              <w:t>101.PRE  Inline XBRL Taxonomy Extension Presentation</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gridSpan w:val="2"/>
          </w:tcPr>
          <w:p>
            <w:pPr>
              <w:ind w:left="820"/>
              <w:spacing w:after="0"/>
              <w:rPr>
                <w:sz w:val="20"/>
                <w:szCs w:val="20"/>
                <w:color w:val="auto"/>
              </w:rPr>
            </w:pPr>
            <w:r>
              <w:rPr>
                <w:rFonts w:ascii="Arial" w:cs="Arial" w:eastAsia="Arial" w:hAnsi="Arial"/>
                <w:sz w:val="18"/>
                <w:szCs w:val="18"/>
                <w:color w:val="auto"/>
              </w:rPr>
              <w:t>Linkbase Document</w:t>
            </w:r>
          </w:p>
        </w:tc>
        <w:tc>
          <w:tcPr>
            <w:tcW w:w="2120" w:type="dxa"/>
            <w:vAlign w:val="bottom"/>
          </w:tcPr>
          <w:p>
            <w:pPr>
              <w:spacing w:after="0"/>
              <w:rPr>
                <w:sz w:val="20"/>
                <w:szCs w:val="20"/>
                <w:color w:val="auto"/>
              </w:rPr>
            </w:pPr>
          </w:p>
        </w:tc>
      </w:tr>
    </w:tbl>
    <w:p>
      <w:pPr>
        <w:ind w:left="880" w:right="4779" w:hanging="824"/>
        <w:spacing w:after="0" w:line="323" w:lineRule="auto"/>
        <w:tabs>
          <w:tab w:leader="none" w:pos="8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138"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6"/>
          <w:szCs w:val="16"/>
          <w:color w:val="auto"/>
        </w:rPr>
      </w:pPr>
    </w:p>
    <w:p>
      <w:pPr>
        <w:ind w:left="480" w:hanging="430"/>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2700" w:type="dxa"/>
            <w:vAlign w:val="bottom"/>
            <w:gridSpan w:val="2"/>
          </w:tcPr>
          <w:p>
            <w:pPr>
              <w:ind w:left="1560"/>
              <w:spacing w:after="0"/>
              <w:rPr>
                <w:sz w:val="20"/>
                <w:szCs w:val="20"/>
                <w:color w:val="auto"/>
              </w:rPr>
            </w:pPr>
            <w:r>
              <w:rPr>
                <w:rFonts w:ascii="Arial" w:cs="Arial" w:eastAsia="Arial" w:hAnsi="Arial"/>
                <w:sz w:val="18"/>
                <w:szCs w:val="18"/>
                <w:color w:val="auto"/>
              </w:rPr>
              <w:t>Progyny, Inc.</w:t>
            </w:r>
          </w:p>
        </w:tc>
        <w:tc>
          <w:tcPr>
            <w:tcW w:w="330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2700" w:type="dxa"/>
            <w:vAlign w:val="bottom"/>
            <w:gridSpan w:val="2"/>
          </w:tcPr>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w:t>
            </w:r>
          </w:p>
        </w:tc>
        <w:tc>
          <w:tcPr>
            <w:tcW w:w="3300" w:type="dxa"/>
            <w:vAlign w:val="bottom"/>
          </w:tcPr>
          <w:p>
            <w:pPr>
              <w:spacing w:after="0"/>
              <w:rPr>
                <w:sz w:val="20"/>
                <w:szCs w:val="20"/>
                <w:color w:val="auto"/>
              </w:rPr>
            </w:pP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Date: May 6, 2022</w:t>
            </w:r>
          </w:p>
        </w:tc>
        <w:tc>
          <w:tcPr>
            <w:tcW w:w="2700" w:type="dxa"/>
            <w:vAlign w:val="bottom"/>
            <w:gridSpan w:val="2"/>
          </w:tcPr>
          <w:p>
            <w:pPr>
              <w:ind w:left="156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0"/>
              </w:rPr>
              <w:t>/s/ Peter Anevski</w:t>
            </w:r>
          </w:p>
        </w:tc>
      </w:tr>
      <w:tr>
        <w:trPr>
          <w:trHeight w:val="222"/>
        </w:trPr>
        <w:tc>
          <w:tcPr>
            <w:tcW w:w="29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1"/>
              </w:rPr>
              <w:t>Peter Anevski</w:t>
            </w:r>
          </w:p>
        </w:tc>
      </w:tr>
      <w:tr>
        <w:trPr>
          <w:trHeight w:val="216"/>
        </w:trPr>
        <w:tc>
          <w:tcPr>
            <w:tcW w:w="2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00" w:type="dxa"/>
            <w:vAlign w:val="bottom"/>
          </w:tcPr>
          <w:p>
            <w:pPr>
              <w:jc w:val="center"/>
              <w:ind w:right="77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29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Date: May 6, 2022</w:t>
            </w:r>
          </w:p>
        </w:tc>
        <w:tc>
          <w:tcPr>
            <w:tcW w:w="2700" w:type="dxa"/>
            <w:vAlign w:val="bottom"/>
            <w:gridSpan w:val="2"/>
          </w:tcPr>
          <w:p>
            <w:pPr>
              <w:ind w:left="156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4"/>
              </w:rPr>
              <w:t>/s/ Mark Livingston</w:t>
            </w:r>
          </w:p>
        </w:tc>
      </w:tr>
      <w:tr>
        <w:trPr>
          <w:trHeight w:val="224"/>
        </w:trPr>
        <w:tc>
          <w:tcPr>
            <w:tcW w:w="29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6"/>
              </w:rPr>
              <w:t>Mark Livingston</w:t>
            </w:r>
          </w:p>
        </w:tc>
      </w:tr>
    </w:tbl>
    <w:p>
      <w:pPr>
        <w:jc w:val="center"/>
        <w:ind w:left="47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159385</wp:posOffset>
            </wp:positionV>
            <wp:extent cx="1817370" cy="5657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18173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December 17,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David Schlanger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 Progyny, Inc.</w:t>
      </w:r>
    </w:p>
    <w:p>
      <w:pPr>
        <w:spacing w:after="0"/>
        <w:rPr>
          <w:sz w:val="20"/>
          <w:szCs w:val="20"/>
          <w:color w:val="auto"/>
        </w:rPr>
      </w:pPr>
      <w:r>
        <w:rPr>
          <w:rFonts w:ascii="Arial" w:cs="Arial" w:eastAsia="Arial" w:hAnsi="Arial"/>
          <w:sz w:val="20"/>
          <w:szCs w:val="20"/>
          <w:color w:val="auto"/>
        </w:rPr>
        <w:t>1359 Broadway, 2nd Fl</w:t>
      </w:r>
    </w:p>
    <w:p>
      <w:pPr>
        <w:spacing w:after="0"/>
        <w:rPr>
          <w:sz w:val="20"/>
          <w:szCs w:val="20"/>
          <w:color w:val="auto"/>
        </w:rPr>
      </w:pPr>
      <w:r>
        <w:rPr>
          <w:rFonts w:ascii="Arial" w:cs="Arial" w:eastAsia="Arial" w:hAnsi="Arial"/>
          <w:sz w:val="20"/>
          <w:szCs w:val="20"/>
          <w:color w:val="auto"/>
        </w:rPr>
        <w:t>New York, NY 10018</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6"/>
          <w:szCs w:val="16"/>
          <w:b w:val="1"/>
          <w:bCs w:val="1"/>
          <w:u w:val="single" w:color="auto"/>
          <w:color w:val="auto"/>
        </w:rPr>
        <w:t>Amended and Restated Employment Agreement with Progyny, Inc.</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Dear David:</w:t>
      </w:r>
    </w:p>
    <w:p>
      <w:pPr>
        <w:spacing w:after="0" w:line="3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letter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confirms the terms and conditions of your ongoing employment with Progyny, Inc. (“</w:t>
      </w:r>
      <w:r>
        <w:rPr>
          <w:rFonts w:ascii="Arial" w:cs="Arial" w:eastAsia="Arial" w:hAnsi="Arial"/>
          <w:sz w:val="20"/>
          <w:szCs w:val="20"/>
          <w:b w:val="1"/>
          <w:bCs w:val="1"/>
          <w:i w:val="1"/>
          <w:iCs w:val="1"/>
          <w:color w:val="auto"/>
        </w:rPr>
        <w:t>Progyny</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replaces your previous employment letter dated December 14, 2016, as previously amended on August 18, 2018 and July 1, 2019 (the “</w:t>
      </w:r>
      <w:r>
        <w:rPr>
          <w:rFonts w:ascii="Arial" w:cs="Arial" w:eastAsia="Arial" w:hAnsi="Arial"/>
          <w:sz w:val="20"/>
          <w:szCs w:val="20"/>
          <w:b w:val="1"/>
          <w:bCs w:val="1"/>
          <w:i w:val="1"/>
          <w:iCs w:val="1"/>
          <w:color w:val="auto"/>
        </w:rPr>
        <w:t>Prior Agreement</w:t>
      </w:r>
      <w:r>
        <w:rPr>
          <w:rFonts w:ascii="Arial" w:cs="Arial" w:eastAsia="Arial" w:hAnsi="Arial"/>
          <w:sz w:val="20"/>
          <w:szCs w:val="20"/>
          <w:color w:val="auto"/>
        </w:rPr>
        <w:t>”). This Agreement will be effective as of January 1, 2022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w:t>
      </w:r>
    </w:p>
    <w:p>
      <w:pPr>
        <w:spacing w:after="0" w:line="199" w:lineRule="exact"/>
        <w:rPr>
          <w:sz w:val="20"/>
          <w:szCs w:val="20"/>
          <w:color w:val="auto"/>
        </w:rPr>
      </w:pPr>
    </w:p>
    <w:p>
      <w:pPr>
        <w:jc w:val="both"/>
        <w:ind w:firstLine="656"/>
        <w:spacing w:after="0" w:line="270" w:lineRule="auto"/>
        <w:tabs>
          <w:tab w:leader="none" w:pos="129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Your Position; Salary; Bonus 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the Effective Date, you will be employed on a</w:t>
      </w:r>
      <w:r>
        <w:rPr>
          <w:rFonts w:ascii="Arial" w:cs="Arial" w:eastAsia="Arial" w:hAnsi="Arial"/>
          <w:sz w:val="18"/>
          <w:szCs w:val="18"/>
          <w:b w:val="1"/>
          <w:bCs w:val="1"/>
          <w:color w:val="auto"/>
        </w:rPr>
        <w:t xml:space="preserve"> </w:t>
      </w:r>
      <w:r>
        <w:rPr>
          <w:rFonts w:ascii="Arial" w:cs="Arial" w:eastAsia="Arial" w:hAnsi="Arial"/>
          <w:sz w:val="18"/>
          <w:szCs w:val="18"/>
          <w:color w:val="auto"/>
        </w:rPr>
        <w:t>part-time basis as Executive Chairman. In connection with the change in your position, your base salary will be decreased to $20,833.33 per month ($250,000.00 per year), subject to payroll deductions and applicable withholdings, paid on the Company’s regular payroll pay dates. Your key responsibilities as Executive Chairman will be strategy and corporate development, messaging and communication to the investment community and healthcare industry and consulting and advising with the Chief Executive Officer on key business issues and decisions. The Company may modify your compensation, position, duties and work location from time to time in its discretion, subject to your rights, if applicable, to severance as set forth herein. As Executive Chairman, you will continue to serve as a member of the Board, subject to any required Board and/or stockholder approval. In the event of the termination of your employment for any reason (whether at your request or the Company’s request), or your removal from the position of Executive Chairman, you agree to promptly resign as a member of the Board, and all positions you hold with the Company or any of its subsidiaries, effective no later than such termination or removal date. Throughout this letter, references to approval or determination by the Board (or similar phrasing) shall mean approval by the Board with you recusing yourself from any such determination.</w:t>
      </w:r>
    </w:p>
    <w:p>
      <w:pPr>
        <w:spacing w:after="0" w:line="19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You will be expected to work a sufficient number of hours as required by the nature of your work assignments to perform your duties. You will have discretion as to when to come into the facility and as to which facility you report to.</w:t>
      </w:r>
    </w:p>
    <w:p>
      <w:pPr>
        <w:spacing w:after="0" w:line="1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Throughout your employment with the Company, you shall continue to devote your best efforts to the business and affairs of the Company, and you agree that you shall not have any other employment or consulting arrangements that will interfere with your ability to perform your duties, pose a conflict of interest, violate the Noncompete Agreement or as the Company may expressly agree in writing. If such activities do interfere with the performance of your duties hereunder or present a conflict of interest with the Company, you must receive Board approval in order to continue participating in those activities.</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202"/>
        </w:rPr>
        <w:t>Commencing with the fiscal year ending on December 31, 2022 and thereafter, you will be eligible to receive an annual discretionary performance of up to a maximum of 100% of your annual salary, subject to payroll deductions and applicable withholdings, and, if the Board adopts a bonus plan applicable to Company executives, subject to the terms and conditions of such plan. Whether you receive a bonus for any given year, and the amount of any such bonus, will be determined by the Board in its good faith discretion based upon the Company’s and your achievement of objectives and milestones to be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486410</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1" w:name="page72"/>
    <w:bookmarkEnd w:id="71"/>
    <w:p>
      <w:pPr>
        <w:jc w:val="both"/>
        <w:spacing w:after="0" w:line="246" w:lineRule="auto"/>
        <w:rPr>
          <w:sz w:val="20"/>
          <w:szCs w:val="20"/>
          <w:color w:val="auto"/>
        </w:rPr>
      </w:pPr>
      <w:r>
        <w:rPr>
          <w:rFonts w:ascii="Arial" w:cs="Arial" w:eastAsia="Arial" w:hAnsi="Arial"/>
          <w:sz w:val="20"/>
          <w:szCs w:val="20"/>
          <w:color w:val="010202"/>
        </w:rPr>
        <w:t>on an annual basis by the Board. Except as otherwise specified in Section 5 of this Agreement, (i) you must remain an active employee through the date of payment of any such bonus in order to earn and receive that bonus and (ii) you will not be eligible for, and will not earn, any bonus (including a prorated bonus) if your employment terminates for any reason before the applicable bonus payment date.</w:t>
      </w:r>
    </w:p>
    <w:p>
      <w:pPr>
        <w:spacing w:after="0" w:line="199" w:lineRule="exact"/>
        <w:rPr>
          <w:sz w:val="20"/>
          <w:szCs w:val="20"/>
          <w:color w:val="auto"/>
        </w:rPr>
      </w:pPr>
    </w:p>
    <w:p>
      <w:pPr>
        <w:jc w:val="both"/>
        <w:ind w:firstLine="656"/>
        <w:spacing w:after="0" w:line="270" w:lineRule="auto"/>
        <w:tabs>
          <w:tab w:leader="none" w:pos="1296"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010202"/>
        </w:rPr>
        <w:t>Stock Options; RSUs and PRSUs.</w:t>
      </w:r>
      <w:r>
        <w:rPr>
          <w:rFonts w:ascii="Arial" w:cs="Arial" w:eastAsia="Arial" w:hAnsi="Arial"/>
          <w:sz w:val="18"/>
          <w:szCs w:val="18"/>
          <w:b w:val="1"/>
          <w:bCs w:val="1"/>
          <w:color w:val="010202"/>
        </w:rPr>
        <w:t xml:space="preserve"> </w:t>
      </w:r>
      <w:r>
        <w:rPr>
          <w:rFonts w:ascii="Arial" w:cs="Arial" w:eastAsia="Arial" w:hAnsi="Arial"/>
          <w:sz w:val="18"/>
          <w:szCs w:val="18"/>
          <w:color w:val="010202"/>
        </w:rPr>
        <w:t>(a) You have previously been granted options to purchase shares of the</w:t>
      </w:r>
      <w:r>
        <w:rPr>
          <w:rFonts w:ascii="Arial" w:cs="Arial" w:eastAsia="Arial" w:hAnsi="Arial"/>
          <w:sz w:val="18"/>
          <w:szCs w:val="18"/>
          <w:b w:val="1"/>
          <w:bCs w:val="1"/>
          <w:color w:val="010202"/>
        </w:rPr>
        <w:t xml:space="preserve"> </w:t>
      </w:r>
      <w:r>
        <w:rPr>
          <w:rFonts w:ascii="Arial" w:cs="Arial" w:eastAsia="Arial" w:hAnsi="Arial"/>
          <w:sz w:val="18"/>
          <w:szCs w:val="18"/>
          <w:color w:val="010202"/>
        </w:rPr>
        <w:t>Company’s common stock (such options together with any other options that may be granted to you in the future, shall collectively be referred to in this Agreement as “</w:t>
      </w:r>
      <w:r>
        <w:rPr>
          <w:rFonts w:ascii="Arial" w:cs="Arial" w:eastAsia="Arial" w:hAnsi="Arial"/>
          <w:sz w:val="18"/>
          <w:szCs w:val="18"/>
          <w:b w:val="1"/>
          <w:bCs w:val="1"/>
          <w:i w:val="1"/>
          <w:iCs w:val="1"/>
          <w:color w:val="010202"/>
        </w:rPr>
        <w:t>Options</w:t>
      </w:r>
      <w:r>
        <w:rPr>
          <w:rFonts w:ascii="Arial" w:cs="Arial" w:eastAsia="Arial" w:hAnsi="Arial"/>
          <w:sz w:val="18"/>
          <w:szCs w:val="18"/>
          <w:color w:val="010202"/>
        </w:rPr>
        <w:t>”) and shall remain outstanding and continue in full force and effect in accordance with their respective terms (including, without limitation, the terms in Sections 5(b) and 5(c) below). (b) In addition, you will be granted on the Effective Date, (i) a nonqualified option to purchase 333,000 shares of the Company’s common stock (the “</w:t>
      </w:r>
      <w:r>
        <w:rPr>
          <w:rFonts w:ascii="Arial" w:cs="Arial" w:eastAsia="Arial" w:hAnsi="Arial"/>
          <w:sz w:val="18"/>
          <w:szCs w:val="18"/>
          <w:b w:val="1"/>
          <w:bCs w:val="1"/>
          <w:i w:val="1"/>
          <w:iCs w:val="1"/>
          <w:color w:val="010202"/>
        </w:rPr>
        <w:t>New Options</w:t>
      </w:r>
      <w:r>
        <w:rPr>
          <w:rFonts w:ascii="Arial" w:cs="Arial" w:eastAsia="Arial" w:hAnsi="Arial"/>
          <w:sz w:val="18"/>
          <w:szCs w:val="18"/>
          <w:color w:val="010202"/>
        </w:rPr>
        <w:t>”), (ii) 84,000 restricted stock units (the “</w:t>
      </w:r>
      <w:r>
        <w:rPr>
          <w:rFonts w:ascii="Arial" w:cs="Arial" w:eastAsia="Arial" w:hAnsi="Arial"/>
          <w:sz w:val="18"/>
          <w:szCs w:val="18"/>
          <w:b w:val="1"/>
          <w:bCs w:val="1"/>
          <w:i w:val="1"/>
          <w:iCs w:val="1"/>
          <w:color w:val="010202"/>
        </w:rPr>
        <w:t>New RSUs</w:t>
      </w:r>
      <w:r>
        <w:rPr>
          <w:rFonts w:ascii="Arial" w:cs="Arial" w:eastAsia="Arial" w:hAnsi="Arial"/>
          <w:sz w:val="18"/>
          <w:szCs w:val="18"/>
          <w:color w:val="010202"/>
        </w:rPr>
        <w:t>”) and (iii) 83,000 performance-based restricted stock units, which will vest upon the attainment of specified performance goals over a five (5) year period (the “</w:t>
      </w:r>
      <w:r>
        <w:rPr>
          <w:rFonts w:ascii="Arial" w:cs="Arial" w:eastAsia="Arial" w:hAnsi="Arial"/>
          <w:sz w:val="18"/>
          <w:szCs w:val="18"/>
          <w:b w:val="1"/>
          <w:bCs w:val="1"/>
          <w:i w:val="1"/>
          <w:iCs w:val="1"/>
          <w:color w:val="010202"/>
        </w:rPr>
        <w:t>New PRSUs</w:t>
      </w:r>
      <w:r>
        <w:rPr>
          <w:rFonts w:ascii="Arial" w:cs="Arial" w:eastAsia="Arial" w:hAnsi="Arial"/>
          <w:sz w:val="18"/>
          <w:szCs w:val="18"/>
          <w:color w:val="010202"/>
        </w:rPr>
        <w:t>”, and together with the New Options and the New RSUs, the “</w:t>
      </w:r>
      <w:r>
        <w:rPr>
          <w:rFonts w:ascii="Arial" w:cs="Arial" w:eastAsia="Arial" w:hAnsi="Arial"/>
          <w:sz w:val="18"/>
          <w:szCs w:val="18"/>
          <w:b w:val="1"/>
          <w:bCs w:val="1"/>
          <w:i w:val="1"/>
          <w:iCs w:val="1"/>
          <w:color w:val="010202"/>
        </w:rPr>
        <w:t>New Grants</w:t>
      </w:r>
      <w:r>
        <w:rPr>
          <w:rFonts w:ascii="Arial" w:cs="Arial" w:eastAsia="Arial" w:hAnsi="Arial"/>
          <w:sz w:val="18"/>
          <w:szCs w:val="18"/>
          <w:color w:val="010202"/>
        </w:rPr>
        <w:t>”), in each case subject to the terms of the 2019 Equity Incentive Plan and the standard award agreement thereunder, subject to sections 5(b) and 5(c) below. Subject to your continued employment on the applicable vesting dates (except as set forth below in Sections 5(b) and 5(c)), the New Options and New RSUs will vest over the four-year period following the Effective Date, with 25% vesting on the one-year anniversary of the Effective Date and the remaining 75% vesting in equal quarterly installments over the following 36 months (with full vesting on the fourth anniversary of the Effective Date).</w:t>
      </w:r>
    </w:p>
    <w:p>
      <w:pPr>
        <w:spacing w:after="0" w:line="185" w:lineRule="exact"/>
        <w:rPr>
          <w:rFonts w:ascii="Arial" w:cs="Arial" w:eastAsia="Arial" w:hAnsi="Arial"/>
          <w:sz w:val="18"/>
          <w:szCs w:val="18"/>
          <w:b w:val="1"/>
          <w:bCs w:val="1"/>
          <w:color w:val="auto"/>
        </w:rPr>
      </w:pPr>
    </w:p>
    <w:p>
      <w:pPr>
        <w:jc w:val="both"/>
        <w:ind w:firstLine="656"/>
        <w:spacing w:after="0" w:line="285" w:lineRule="auto"/>
        <w:tabs>
          <w:tab w:leader="none" w:pos="1296"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continue to be eligible to participate in the Company’s employee benefit plans and paid</w:t>
      </w:r>
      <w:r>
        <w:rPr>
          <w:rFonts w:ascii="Arial" w:cs="Arial" w:eastAsia="Arial" w:hAnsi="Arial"/>
          <w:sz w:val="18"/>
          <w:szCs w:val="18"/>
          <w:b w:val="1"/>
          <w:bCs w:val="1"/>
          <w:color w:val="auto"/>
        </w:rPr>
        <w:t xml:space="preserve"> </w:t>
      </w:r>
      <w:r>
        <w:rPr>
          <w:rFonts w:ascii="Arial" w:cs="Arial" w:eastAsia="Arial" w:hAnsi="Arial"/>
          <w:sz w:val="18"/>
          <w:szCs w:val="18"/>
          <w:color w:val="auto"/>
        </w:rPr>
        <w:t>time off policies of general application as they may exist from time to time, subject to any eligibility requirements imposed by such plans. The Company reserves the right to change or otherwise modify, in its sole discretion, the benefits offered to employees to conform to the Company’s general policies as they may be changed from time to time.</w:t>
      </w:r>
    </w:p>
    <w:p>
      <w:pPr>
        <w:spacing w:after="0" w:line="164" w:lineRule="exact"/>
        <w:rPr>
          <w:rFonts w:ascii="Arial" w:cs="Arial" w:eastAsia="Arial" w:hAnsi="Arial"/>
          <w:sz w:val="18"/>
          <w:szCs w:val="18"/>
          <w:b w:val="1"/>
          <w:bCs w:val="1"/>
          <w:color w:val="auto"/>
        </w:rPr>
      </w:pPr>
    </w:p>
    <w:p>
      <w:pPr>
        <w:jc w:val="both"/>
        <w:ind w:firstLine="656"/>
        <w:spacing w:after="0" w:line="243" w:lineRule="auto"/>
        <w:tabs>
          <w:tab w:leader="none" w:pos="1296"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r>
        <w:rPr>
          <w:rFonts w:ascii="Arial" w:cs="Arial" w:eastAsia="Arial" w:hAnsi="Arial"/>
          <w:sz w:val="20"/>
          <w:szCs w:val="20"/>
          <w:b w:val="1"/>
          <w:bCs w:val="1"/>
          <w:color w:val="auto"/>
        </w:rPr>
        <w:t xml:space="preserve">. </w:t>
      </w:r>
      <w:r>
        <w:rPr>
          <w:rFonts w:ascii="Arial" w:cs="Arial" w:eastAsia="Arial" w:hAnsi="Arial"/>
          <w:sz w:val="20"/>
          <w:szCs w:val="20"/>
          <w:color w:val="auto"/>
        </w:rPr>
        <w:t>As an employee of the Company, you will continue to have access to certain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of the Company and you may, during the course of your employment, develop certain information or inventions that will be the property of the Company. To protect the interests of the Company, you hereby ratify the “Proprietary Information, Inventions and Non-Solicitation/Non-Competition Agreement” you previously signed. You agree that you have not, and during the period that you render services to the Company, will not (i) engage in any employment, business or activity that is in any way competitive with the business or proposed business of the Company, or (ii) assist any other person or organization in competing with the Company or in preparing to engage in competition with the business or proposed business of the Company.</w:t>
      </w:r>
    </w:p>
    <w:p>
      <w:pPr>
        <w:spacing w:after="0" w:line="202" w:lineRule="exact"/>
        <w:rPr>
          <w:rFonts w:ascii="Arial" w:cs="Arial" w:eastAsia="Arial" w:hAnsi="Arial"/>
          <w:sz w:val="20"/>
          <w:szCs w:val="20"/>
          <w:b w:val="1"/>
          <w:bCs w:val="1"/>
          <w:color w:val="auto"/>
        </w:rPr>
      </w:pPr>
    </w:p>
    <w:p>
      <w:pPr>
        <w:ind w:left="1300" w:hanging="644"/>
        <w:spacing w:after="0"/>
        <w:tabs>
          <w:tab w:leader="none" w:pos="1300" w:val="left"/>
        </w:tabs>
        <w:numPr>
          <w:ilvl w:val="0"/>
          <w:numId w:val="41"/>
        </w:numPr>
        <w:rPr>
          <w:rFonts w:ascii="Arial" w:cs="Arial" w:eastAsia="Arial" w:hAnsi="Arial"/>
          <w:sz w:val="20"/>
          <w:szCs w:val="20"/>
          <w:b w:val="1"/>
          <w:bCs w:val="1"/>
          <w:color w:val="010202"/>
        </w:rPr>
      </w:pPr>
      <w:r>
        <w:rPr>
          <w:rFonts w:ascii="Arial" w:cs="Arial" w:eastAsia="Arial" w:hAnsi="Arial"/>
          <w:sz w:val="20"/>
          <w:szCs w:val="20"/>
          <w:b w:val="1"/>
          <w:bCs w:val="1"/>
          <w:u w:val="single" w:color="auto"/>
          <w:color w:val="010202"/>
        </w:rPr>
        <w:t>At-Will Employment; Termination of Employment; Severance.</w:t>
      </w:r>
    </w:p>
    <w:p>
      <w:pPr>
        <w:spacing w:after="0" w:line="229" w:lineRule="exact"/>
        <w:rPr>
          <w:rFonts w:ascii="Arial" w:cs="Arial" w:eastAsia="Arial" w:hAnsi="Arial"/>
          <w:sz w:val="20"/>
          <w:szCs w:val="20"/>
          <w:b w:val="1"/>
          <w:bCs w:val="1"/>
          <w:color w:val="010202"/>
        </w:rPr>
      </w:pPr>
    </w:p>
    <w:p>
      <w:pPr>
        <w:jc w:val="both"/>
        <w:ind w:firstLine="1304"/>
        <w:spacing w:after="0" w:line="242" w:lineRule="auto"/>
        <w:tabs>
          <w:tab w:leader="none" w:pos="1944" w:val="left"/>
        </w:tabs>
        <w:numPr>
          <w:ilvl w:val="1"/>
          <w:numId w:val="41"/>
        </w:numPr>
        <w:rPr>
          <w:rFonts w:ascii="Arial" w:cs="Arial" w:eastAsia="Arial" w:hAnsi="Arial"/>
          <w:sz w:val="20"/>
          <w:szCs w:val="20"/>
          <w:b w:val="1"/>
          <w:bCs w:val="1"/>
          <w:color w:val="010202"/>
        </w:rPr>
      </w:pPr>
      <w:r>
        <w:rPr>
          <w:rFonts w:ascii="Arial" w:cs="Arial" w:eastAsia="Arial" w:hAnsi="Arial"/>
          <w:sz w:val="20"/>
          <w:szCs w:val="20"/>
          <w:b w:val="1"/>
          <w:bCs w:val="1"/>
          <w:color w:val="010202"/>
        </w:rPr>
        <w:t xml:space="preserve">At-Will Employment. </w:t>
      </w:r>
      <w:r>
        <w:rPr>
          <w:rFonts w:ascii="Arial" w:cs="Arial" w:eastAsia="Arial" w:hAnsi="Arial"/>
          <w:sz w:val="20"/>
          <w:szCs w:val="20"/>
          <w:color w:val="010202"/>
        </w:rPr>
        <w:t>Your employment with the Company will be “at will.” You may terminate</w:t>
      </w:r>
      <w:r>
        <w:rPr>
          <w:rFonts w:ascii="Arial" w:cs="Arial" w:eastAsia="Arial" w:hAnsi="Arial"/>
          <w:sz w:val="20"/>
          <w:szCs w:val="20"/>
          <w:b w:val="1"/>
          <w:bCs w:val="1"/>
          <w:color w:val="010202"/>
        </w:rPr>
        <w:t xml:space="preserve"> </w:t>
      </w:r>
      <w:r>
        <w:rPr>
          <w:rFonts w:ascii="Arial" w:cs="Arial" w:eastAsia="Arial" w:hAnsi="Arial"/>
          <w:sz w:val="20"/>
          <w:szCs w:val="20"/>
          <w:color w:val="010202"/>
        </w:rPr>
        <w:t>your employment with Company at any time and for any reason whatsoever (or no reason) simply by notifying the Company. Likewise, the Company may terminate your employment at any time, with or without Cause (as defined below) or advance notice. Your employment with the Company may also be terminated due to your death or disability. Neither the vesting of any option described in this Agreement (nor any other provision of this Agreement or any other agreement between you and the Company), nor your participation in any stock option, incentive bonus, or other equity or benefit program in the future, is to be regarded as assuring you of continuing employment for any particular period of time. Your employment at-will status can only be modified in a written agreement signed by you and by a duly authorized officer of the Company (other than you).</w:t>
      </w:r>
    </w:p>
    <w:p>
      <w:pPr>
        <w:spacing w:after="0" w:line="207" w:lineRule="exact"/>
        <w:rPr>
          <w:rFonts w:ascii="Arial" w:cs="Arial" w:eastAsia="Arial" w:hAnsi="Arial"/>
          <w:sz w:val="20"/>
          <w:szCs w:val="20"/>
          <w:b w:val="1"/>
          <w:bCs w:val="1"/>
          <w:color w:val="010202"/>
        </w:rPr>
      </w:pPr>
    </w:p>
    <w:p>
      <w:pPr>
        <w:jc w:val="both"/>
        <w:ind w:firstLine="1304"/>
        <w:spacing w:after="0" w:line="253" w:lineRule="auto"/>
        <w:tabs>
          <w:tab w:leader="none" w:pos="1944" w:val="left"/>
        </w:tabs>
        <w:numPr>
          <w:ilvl w:val="1"/>
          <w:numId w:val="41"/>
        </w:numPr>
        <w:rPr>
          <w:rFonts w:ascii="Arial" w:cs="Arial" w:eastAsia="Arial" w:hAnsi="Arial"/>
          <w:sz w:val="20"/>
          <w:szCs w:val="20"/>
          <w:b w:val="1"/>
          <w:bCs w:val="1"/>
          <w:color w:val="010202"/>
        </w:rPr>
      </w:pPr>
      <w:r>
        <w:rPr>
          <w:rFonts w:ascii="Arial" w:cs="Arial" w:eastAsia="Arial" w:hAnsi="Arial"/>
          <w:sz w:val="20"/>
          <w:szCs w:val="20"/>
          <w:b w:val="1"/>
          <w:bCs w:val="1"/>
          <w:color w:val="010202"/>
        </w:rPr>
        <w:t xml:space="preserve">Termination Without Cause </w:t>
      </w:r>
      <w:r>
        <w:rPr>
          <w:rFonts w:ascii="Arial" w:cs="Arial" w:eastAsia="Arial" w:hAnsi="Arial"/>
          <w:sz w:val="20"/>
          <w:szCs w:val="20"/>
          <w:b w:val="1"/>
          <w:bCs w:val="1"/>
          <w:color w:val="000000"/>
        </w:rPr>
        <w:t>or Resignation for Good Reason</w:t>
      </w:r>
      <w:r>
        <w:rPr>
          <w:rFonts w:ascii="Arial" w:cs="Arial" w:eastAsia="Arial" w:hAnsi="Arial"/>
          <w:sz w:val="20"/>
          <w:szCs w:val="20"/>
          <w:b w:val="1"/>
          <w:bCs w:val="1"/>
          <w:color w:val="010202"/>
        </w:rPr>
        <w:t xml:space="preserve"> Not in Connection with an Acquisition. </w:t>
      </w:r>
      <w:r>
        <w:rPr>
          <w:rFonts w:ascii="Arial" w:cs="Arial" w:eastAsia="Arial" w:hAnsi="Arial"/>
          <w:sz w:val="20"/>
          <w:szCs w:val="20"/>
          <w:color w:val="010202"/>
        </w:rPr>
        <w:t>In the event your employment with the Company (or its subsidiaries) is terminated by the Company (or its</w:t>
      </w:r>
      <w:r>
        <w:rPr>
          <w:rFonts w:ascii="Arial" w:cs="Arial" w:eastAsia="Arial" w:hAnsi="Arial"/>
          <w:sz w:val="20"/>
          <w:szCs w:val="20"/>
          <w:b w:val="1"/>
          <w:bCs w:val="1"/>
          <w:color w:val="010202"/>
        </w:rPr>
        <w:t xml:space="preserve"> </w:t>
      </w:r>
      <w:r>
        <w:rPr>
          <w:rFonts w:ascii="Arial" w:cs="Arial" w:eastAsia="Arial" w:hAnsi="Arial"/>
          <w:sz w:val="20"/>
          <w:szCs w:val="20"/>
          <w:color w:val="010202"/>
        </w:rPr>
        <w:t>subsidiaries) without Cause or you resign for Good Reason (as defined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72" w:name="page73"/>
    <w:bookmarkEnd w:id="72"/>
    <w:p>
      <w:pPr>
        <w:jc w:val="both"/>
        <w:spacing w:after="0" w:line="263" w:lineRule="auto"/>
        <w:rPr>
          <w:sz w:val="20"/>
          <w:szCs w:val="20"/>
          <w:color w:val="auto"/>
        </w:rPr>
      </w:pPr>
      <w:r>
        <w:rPr>
          <w:rFonts w:ascii="Arial" w:cs="Arial" w:eastAsia="Arial" w:hAnsi="Arial"/>
          <w:sz w:val="19"/>
          <w:szCs w:val="19"/>
          <w:color w:val="010202"/>
        </w:rPr>
        <w:t>below), in each case other than during the Change of Control Severance Period (as defined below), then provided such termination constitutes a “separation from service” (as defined under Treasury Regulation Section 1.409A-1(h), without regard to any alternative definition thereunder, a “</w:t>
      </w:r>
      <w:r>
        <w:rPr>
          <w:rFonts w:ascii="Arial" w:cs="Arial" w:eastAsia="Arial" w:hAnsi="Arial"/>
          <w:sz w:val="19"/>
          <w:szCs w:val="19"/>
          <w:b w:val="1"/>
          <w:bCs w:val="1"/>
          <w:i w:val="1"/>
          <w:iCs w:val="1"/>
          <w:color w:val="010202"/>
        </w:rPr>
        <w:t>Separation from Service</w:t>
      </w:r>
      <w:r>
        <w:rPr>
          <w:rFonts w:ascii="Arial" w:cs="Arial" w:eastAsia="Arial" w:hAnsi="Arial"/>
          <w:sz w:val="19"/>
          <w:szCs w:val="19"/>
          <w:color w:val="010202"/>
        </w:rPr>
        <w:t>”), and provided that you remain in compliance with the terms of this Agreement, the Company shall provide you with the following severance benefits:</w:t>
      </w:r>
    </w:p>
    <w:p>
      <w:pPr>
        <w:spacing w:after="0" w:line="211" w:lineRule="exact"/>
        <w:rPr>
          <w:sz w:val="20"/>
          <w:szCs w:val="20"/>
          <w:color w:val="auto"/>
        </w:rPr>
      </w:pPr>
    </w:p>
    <w:p>
      <w:pPr>
        <w:jc w:val="both"/>
        <w:ind w:firstLine="1952"/>
        <w:spacing w:after="0" w:line="253" w:lineRule="auto"/>
        <w:tabs>
          <w:tab w:leader="none" w:pos="2605" w:val="left"/>
        </w:tabs>
        <w:numPr>
          <w:ilvl w:val="1"/>
          <w:numId w:val="42"/>
        </w:numPr>
        <w:rPr>
          <w:rFonts w:ascii="Arial" w:cs="Arial" w:eastAsia="Arial" w:hAnsi="Arial"/>
          <w:sz w:val="20"/>
          <w:szCs w:val="20"/>
          <w:b w:val="1"/>
          <w:bCs w:val="1"/>
          <w:color w:val="010202"/>
        </w:rPr>
      </w:pPr>
      <w:r>
        <w:rPr>
          <w:rFonts w:ascii="Arial" w:cs="Arial" w:eastAsia="Arial" w:hAnsi="Arial"/>
          <w:sz w:val="18"/>
          <w:szCs w:val="18"/>
          <w:b w:val="1"/>
          <w:bCs w:val="1"/>
          <w:color w:val="010202"/>
        </w:rPr>
        <w:t xml:space="preserve">Severance Pay. </w:t>
      </w:r>
      <w:r>
        <w:rPr>
          <w:rFonts w:ascii="Arial" w:cs="Arial" w:eastAsia="Arial" w:hAnsi="Arial"/>
          <w:sz w:val="18"/>
          <w:szCs w:val="18"/>
          <w:color w:val="010202"/>
        </w:rPr>
        <w:t>The Company shall pay you, as severance, the equivalent of twelve (12)</w:t>
      </w:r>
      <w:r>
        <w:rPr>
          <w:rFonts w:ascii="Arial" w:cs="Arial" w:eastAsia="Arial" w:hAnsi="Arial"/>
          <w:sz w:val="18"/>
          <w:szCs w:val="18"/>
          <w:b w:val="1"/>
          <w:bCs w:val="1"/>
          <w:color w:val="010202"/>
        </w:rPr>
        <w:t xml:space="preserve"> </w:t>
      </w:r>
      <w:r>
        <w:rPr>
          <w:rFonts w:ascii="Arial" w:cs="Arial" w:eastAsia="Arial" w:hAnsi="Arial"/>
          <w:sz w:val="18"/>
          <w:szCs w:val="18"/>
          <w:color w:val="010202"/>
        </w:rPr>
        <w:t>months of your base salary in effect as of your employment termination date, subject to standard payroll deductions and withholdings. Subject to Section 7(a), this severance amount will be paid in installments in the form of continuation of your base salary payments, paid on the Company’s ordinary payroll dates, commencing on the Company’s first regular payroll date that is more than 60 days following such termination of your employment (the “Starting Date”), and shall be for any accrued base salary for the 60-day period plus the period from the 60</w:t>
      </w:r>
      <w:r>
        <w:rPr>
          <w:rFonts w:ascii="Arial" w:cs="Arial" w:eastAsia="Arial" w:hAnsi="Arial"/>
          <w:sz w:val="26"/>
          <w:szCs w:val="26"/>
          <w:color w:val="010202"/>
          <w:vertAlign w:val="superscript"/>
        </w:rPr>
        <w:t>th</w:t>
      </w:r>
      <w:r>
        <w:rPr>
          <w:rFonts w:ascii="Arial" w:cs="Arial" w:eastAsia="Arial" w:hAnsi="Arial"/>
          <w:sz w:val="18"/>
          <w:szCs w:val="18"/>
          <w:color w:val="010202"/>
        </w:rPr>
        <w:t xml:space="preserve"> day until the regular payroll pay date, if applicable, and all salary continuation payments thereafter, if any, shall be made on the Company’s regular payroll dates.</w:t>
      </w:r>
    </w:p>
    <w:p>
      <w:pPr>
        <w:spacing w:after="0" w:line="187" w:lineRule="exact"/>
        <w:rPr>
          <w:rFonts w:ascii="Arial" w:cs="Arial" w:eastAsia="Arial" w:hAnsi="Arial"/>
          <w:sz w:val="20"/>
          <w:szCs w:val="20"/>
          <w:b w:val="1"/>
          <w:bCs w:val="1"/>
          <w:color w:val="010202"/>
        </w:rPr>
      </w:pPr>
    </w:p>
    <w:p>
      <w:pPr>
        <w:jc w:val="both"/>
        <w:ind w:firstLine="1952"/>
        <w:spacing w:after="0" w:line="246" w:lineRule="auto"/>
        <w:tabs>
          <w:tab w:leader="none" w:pos="2592" w:val="left"/>
        </w:tabs>
        <w:numPr>
          <w:ilvl w:val="1"/>
          <w:numId w:val="42"/>
        </w:numPr>
        <w:rPr>
          <w:rFonts w:ascii="Arial" w:cs="Arial" w:eastAsia="Arial" w:hAnsi="Arial"/>
          <w:sz w:val="20"/>
          <w:szCs w:val="20"/>
          <w:b w:val="1"/>
          <w:bCs w:val="1"/>
          <w:color w:val="010202"/>
        </w:rPr>
      </w:pPr>
      <w:r>
        <w:rPr>
          <w:rFonts w:ascii="Arial" w:cs="Arial" w:eastAsia="Arial" w:hAnsi="Arial"/>
          <w:sz w:val="20"/>
          <w:szCs w:val="20"/>
          <w:b w:val="1"/>
          <w:bCs w:val="1"/>
          <w:color w:val="010202"/>
        </w:rPr>
        <w:t xml:space="preserve">Bonus. </w:t>
      </w:r>
      <w:r>
        <w:rPr>
          <w:rFonts w:ascii="Arial" w:cs="Arial" w:eastAsia="Arial" w:hAnsi="Arial"/>
          <w:sz w:val="20"/>
          <w:szCs w:val="20"/>
          <w:color w:val="010202"/>
        </w:rPr>
        <w:t>The Company shall pay you your current year target bonus in effect at the time of</w:t>
      </w:r>
      <w:r>
        <w:rPr>
          <w:rFonts w:ascii="Arial" w:cs="Arial" w:eastAsia="Arial" w:hAnsi="Arial"/>
          <w:sz w:val="20"/>
          <w:szCs w:val="20"/>
          <w:b w:val="1"/>
          <w:bCs w:val="1"/>
          <w:color w:val="010202"/>
        </w:rPr>
        <w:t xml:space="preserve"> </w:t>
      </w:r>
      <w:r>
        <w:rPr>
          <w:rFonts w:ascii="Arial" w:cs="Arial" w:eastAsia="Arial" w:hAnsi="Arial"/>
          <w:sz w:val="20"/>
          <w:szCs w:val="20"/>
          <w:color w:val="010202"/>
        </w:rPr>
        <w:t>termination, prorated (based on completed months of service) to the date of termination. Such amount will be paid on the Starting Date. For any bonus amounts relating to the prior year, you will be eligible to receive such bonus to the extent earned as determined by the Board or Company in its sole discretion, payable on the Starting Date, or if not yet determined, then within 60 days following such board of Company determination.</w:t>
      </w:r>
    </w:p>
    <w:p>
      <w:pPr>
        <w:spacing w:after="0" w:line="211" w:lineRule="exact"/>
        <w:rPr>
          <w:rFonts w:ascii="Arial" w:cs="Arial" w:eastAsia="Arial" w:hAnsi="Arial"/>
          <w:sz w:val="20"/>
          <w:szCs w:val="20"/>
          <w:b w:val="1"/>
          <w:bCs w:val="1"/>
          <w:color w:val="010202"/>
        </w:rPr>
      </w:pPr>
    </w:p>
    <w:p>
      <w:pPr>
        <w:jc w:val="both"/>
        <w:ind w:firstLine="1952"/>
        <w:spacing w:after="0" w:line="268" w:lineRule="auto"/>
        <w:tabs>
          <w:tab w:leader="none" w:pos="2605" w:val="left"/>
        </w:tabs>
        <w:numPr>
          <w:ilvl w:val="1"/>
          <w:numId w:val="42"/>
        </w:numPr>
        <w:rPr>
          <w:rFonts w:ascii="Arial" w:cs="Arial" w:eastAsia="Arial" w:hAnsi="Arial"/>
          <w:sz w:val="19"/>
          <w:szCs w:val="19"/>
          <w:b w:val="1"/>
          <w:bCs w:val="1"/>
          <w:color w:val="010202"/>
        </w:rPr>
      </w:pPr>
      <w:r>
        <w:rPr>
          <w:rFonts w:ascii="Arial" w:cs="Arial" w:eastAsia="Arial" w:hAnsi="Arial"/>
          <w:sz w:val="18"/>
          <w:szCs w:val="18"/>
          <w:b w:val="1"/>
          <w:bCs w:val="1"/>
          <w:color w:val="010202"/>
        </w:rPr>
        <w:t xml:space="preserve">Health Insurance. </w:t>
      </w:r>
      <w:r>
        <w:rPr>
          <w:rFonts w:ascii="Arial" w:cs="Arial" w:eastAsia="Arial" w:hAnsi="Arial"/>
          <w:sz w:val="18"/>
          <w:szCs w:val="18"/>
          <w:color w:val="010202"/>
        </w:rPr>
        <w:t>Provided that you timely elect continued coverage under COBRA, the</w:t>
      </w:r>
      <w:r>
        <w:rPr>
          <w:rFonts w:ascii="Arial" w:cs="Arial" w:eastAsia="Arial" w:hAnsi="Arial"/>
          <w:sz w:val="18"/>
          <w:szCs w:val="18"/>
          <w:b w:val="1"/>
          <w:bCs w:val="1"/>
          <w:color w:val="010202"/>
        </w:rPr>
        <w:t xml:space="preserve"> </w:t>
      </w:r>
      <w:r>
        <w:rPr>
          <w:rFonts w:ascii="Arial" w:cs="Arial" w:eastAsia="Arial" w:hAnsi="Arial"/>
          <w:sz w:val="18"/>
          <w:szCs w:val="18"/>
          <w:color w:val="010202"/>
        </w:rPr>
        <w:t>Company shall pay your COBRA premiums to continue your coverage (including coverage for eligible dependents, if applicable) (“</w:t>
      </w:r>
      <w:r>
        <w:rPr>
          <w:rFonts w:ascii="Arial" w:cs="Arial" w:eastAsia="Arial" w:hAnsi="Arial"/>
          <w:sz w:val="18"/>
          <w:szCs w:val="18"/>
          <w:b w:val="1"/>
          <w:bCs w:val="1"/>
          <w:i w:val="1"/>
          <w:iCs w:val="1"/>
          <w:color w:val="010202"/>
        </w:rPr>
        <w:t>COBRA Premiums</w:t>
      </w:r>
      <w:r>
        <w:rPr>
          <w:rFonts w:ascii="Arial" w:cs="Arial" w:eastAsia="Arial" w:hAnsi="Arial"/>
          <w:sz w:val="18"/>
          <w:szCs w:val="18"/>
          <w:color w:val="010202"/>
        </w:rPr>
        <w:t>”) through the period (the “</w:t>
      </w:r>
      <w:r>
        <w:rPr>
          <w:rFonts w:ascii="Arial" w:cs="Arial" w:eastAsia="Arial" w:hAnsi="Arial"/>
          <w:sz w:val="18"/>
          <w:szCs w:val="18"/>
          <w:b w:val="1"/>
          <w:bCs w:val="1"/>
          <w:i w:val="1"/>
          <w:iCs w:val="1"/>
          <w:color w:val="010202"/>
        </w:rPr>
        <w:t>COBRA Premium Period</w:t>
      </w:r>
      <w:r>
        <w:rPr>
          <w:rFonts w:ascii="Arial" w:cs="Arial" w:eastAsia="Arial" w:hAnsi="Arial"/>
          <w:sz w:val="18"/>
          <w:szCs w:val="18"/>
          <w:color w:val="010202"/>
        </w:rPr>
        <w:t>”) starting on the date of your Separation from Service and ending on the earliest to occur of: (i) the duration of the salary continuation period set forth in Section 5(b)(i) above; (ii) the date you become eligible for group health insurance coverage through a new employer; and</w:t>
      </w:r>
    </w:p>
    <w:p>
      <w:pPr>
        <w:jc w:val="both"/>
        <w:ind w:firstLine="8"/>
        <w:spacing w:after="0" w:line="268" w:lineRule="auto"/>
        <w:tabs>
          <w:tab w:leader="none" w:pos="356" w:val="left"/>
        </w:tabs>
        <w:numPr>
          <w:ilvl w:val="0"/>
          <w:numId w:val="43"/>
        </w:numPr>
        <w:rPr>
          <w:rFonts w:ascii="Arial" w:cs="Arial" w:eastAsia="Arial" w:hAnsi="Arial"/>
          <w:sz w:val="18"/>
          <w:szCs w:val="18"/>
          <w:color w:val="010202"/>
        </w:rPr>
      </w:pPr>
      <w:r>
        <w:rPr>
          <w:rFonts w:ascii="Arial" w:cs="Arial" w:eastAsia="Arial" w:hAnsi="Arial"/>
          <w:sz w:val="18"/>
          <w:szCs w:val="18"/>
          <w:color w:val="010202"/>
        </w:rPr>
        <w:t>the date you cease to be eligible for COBRA continuation coverage for any reason, including plan termination, subject to Section 7(a). In the event you become covered under another employer’s group health plan or otherwise cease to be eligible for COBRA during the COBRA Premium Period, you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 premiums for that month (including premiums for you and your eligible dependents who have elected and remain enrolled in such COBRA coverage), subject to applicable tax withholdings (such amount, the “</w:t>
      </w:r>
      <w:r>
        <w:rPr>
          <w:rFonts w:ascii="Arial" w:cs="Arial" w:eastAsia="Arial" w:hAnsi="Arial"/>
          <w:sz w:val="18"/>
          <w:szCs w:val="18"/>
          <w:b w:val="1"/>
          <w:bCs w:val="1"/>
          <w:i w:val="1"/>
          <w:iCs w:val="1"/>
          <w:color w:val="010202"/>
        </w:rPr>
        <w:t>Special Cash Payment</w:t>
      </w:r>
      <w:r>
        <w:rPr>
          <w:rFonts w:ascii="Arial" w:cs="Arial" w:eastAsia="Arial" w:hAnsi="Arial"/>
          <w:sz w:val="18"/>
          <w:szCs w:val="18"/>
          <w:color w:val="010202"/>
        </w:rPr>
        <w:t>”), for the remainder of the COBRA Premium Period. You may, but are not obligated to, use such Special Cash Payments toward the cost of COBRA premiums. In the event the Company opts for the Special Cash Payments, then on the thirtieth (30</w:t>
      </w:r>
      <w:r>
        <w:rPr>
          <w:rFonts w:ascii="Arial" w:cs="Arial" w:eastAsia="Arial" w:hAnsi="Arial"/>
          <w:sz w:val="11"/>
          <w:szCs w:val="11"/>
          <w:color w:val="010202"/>
        </w:rPr>
        <w:t>th</w:t>
      </w:r>
      <w:r>
        <w:rPr>
          <w:rFonts w:ascii="Arial" w:cs="Arial" w:eastAsia="Arial" w:hAnsi="Arial"/>
          <w:sz w:val="18"/>
          <w:szCs w:val="18"/>
          <w:color w:val="010202"/>
        </w:rPr>
        <w:t>) day following your Separation from Service, the Company will make the first payment to you under this paragraph, in a lump sum, equal to the aggregate Special Cash Payments that the Company would have paid to you through such date had the Special Cash Payments commenced on the first day of the first month following the Separation from Service through such thirtieth (30</w:t>
      </w:r>
      <w:r>
        <w:rPr>
          <w:rFonts w:ascii="Arial" w:cs="Arial" w:eastAsia="Arial" w:hAnsi="Arial"/>
          <w:sz w:val="11"/>
          <w:szCs w:val="11"/>
          <w:color w:val="010202"/>
        </w:rPr>
        <w:t>th</w:t>
      </w:r>
      <w:r>
        <w:rPr>
          <w:rFonts w:ascii="Arial" w:cs="Arial" w:eastAsia="Arial" w:hAnsi="Arial"/>
          <w:sz w:val="18"/>
          <w:szCs w:val="18"/>
          <w:color w:val="010202"/>
        </w:rPr>
        <w:t>) day, with the balance of the Special Cash Payments paid thereafter on the schedule described above, subject to Section 7(a).</w:t>
      </w:r>
    </w:p>
    <w:p>
      <w:pPr>
        <w:spacing w:after="0" w:line="183" w:lineRule="exact"/>
        <w:rPr>
          <w:rFonts w:ascii="Arial" w:cs="Arial" w:eastAsia="Arial" w:hAnsi="Arial"/>
          <w:sz w:val="18"/>
          <w:szCs w:val="18"/>
          <w:color w:val="010202"/>
        </w:rPr>
      </w:pPr>
    </w:p>
    <w:p>
      <w:pPr>
        <w:jc w:val="both"/>
        <w:ind w:firstLine="1952"/>
        <w:spacing w:after="0" w:line="244" w:lineRule="auto"/>
        <w:tabs>
          <w:tab w:leader="none" w:pos="2592" w:val="left"/>
        </w:tabs>
        <w:numPr>
          <w:ilvl w:val="1"/>
          <w:numId w:val="43"/>
        </w:numPr>
        <w:rPr>
          <w:rFonts w:ascii="Arial" w:cs="Arial" w:eastAsia="Arial" w:hAnsi="Arial"/>
          <w:sz w:val="20"/>
          <w:szCs w:val="20"/>
          <w:b w:val="1"/>
          <w:bCs w:val="1"/>
          <w:color w:val="010202"/>
        </w:rPr>
      </w:pPr>
      <w:r>
        <w:rPr>
          <w:rFonts w:ascii="Arial" w:cs="Arial" w:eastAsia="Arial" w:hAnsi="Arial"/>
          <w:sz w:val="20"/>
          <w:szCs w:val="20"/>
          <w:b w:val="1"/>
          <w:bCs w:val="1"/>
          <w:color w:val="010202"/>
        </w:rPr>
        <w:t xml:space="preserve">Vesting Acceleration; Extension of time to Exercise. </w:t>
      </w:r>
      <w:r>
        <w:rPr>
          <w:rFonts w:ascii="Arial" w:cs="Arial" w:eastAsia="Arial" w:hAnsi="Arial"/>
          <w:sz w:val="20"/>
          <w:szCs w:val="20"/>
          <w:color w:val="000000"/>
        </w:rPr>
        <w:t>The vesting of any then-unvested</w:t>
      </w:r>
      <w:r>
        <w:rPr>
          <w:rFonts w:ascii="Arial" w:cs="Arial" w:eastAsia="Arial" w:hAnsi="Arial"/>
          <w:sz w:val="20"/>
          <w:szCs w:val="20"/>
          <w:b w:val="1"/>
          <w:bCs w:val="1"/>
          <w:color w:val="010202"/>
        </w:rPr>
        <w:t xml:space="preserve"> </w:t>
      </w:r>
      <w:r>
        <w:rPr>
          <w:rFonts w:ascii="Arial" w:cs="Arial" w:eastAsia="Arial" w:hAnsi="Arial"/>
          <w:sz w:val="20"/>
          <w:szCs w:val="20"/>
          <w:color w:val="000000"/>
        </w:rPr>
        <w:t xml:space="preserve">shares subject </w:t>
      </w:r>
      <w:r>
        <w:rPr>
          <w:rFonts w:ascii="Arial" w:cs="Arial" w:eastAsia="Arial" w:hAnsi="Arial"/>
          <w:sz w:val="20"/>
          <w:szCs w:val="20"/>
          <w:color w:val="010202"/>
        </w:rPr>
        <w:t>to the Options shall be accelerated in an amount equal to twelve (12) months of vesting, up to the full vesting</w:t>
      </w:r>
      <w:r>
        <w:rPr>
          <w:rFonts w:ascii="Arial" w:cs="Arial" w:eastAsia="Arial" w:hAnsi="Arial"/>
          <w:sz w:val="20"/>
          <w:szCs w:val="20"/>
          <w:color w:val="000000"/>
        </w:rPr>
        <w:t xml:space="preserve"> </w:t>
      </w:r>
      <w:r>
        <w:rPr>
          <w:rFonts w:ascii="Arial" w:cs="Arial" w:eastAsia="Arial" w:hAnsi="Arial"/>
          <w:sz w:val="20"/>
          <w:szCs w:val="20"/>
          <w:color w:val="010202"/>
        </w:rPr>
        <w:t xml:space="preserve">of the grant, such that the accelerated vesting shares subject to the Options shall be deemed immediately vested and exercisable as of your last day of employment. Additionally the Options shall be exercisable for twelve (12) months following your last day of employment </w:t>
      </w:r>
      <w:r>
        <w:rPr>
          <w:rFonts w:ascii="Arial" w:cs="Arial" w:eastAsia="Arial" w:hAnsi="Arial"/>
          <w:sz w:val="20"/>
          <w:szCs w:val="20"/>
          <w:color w:val="000000"/>
        </w:rPr>
        <w:t>(but no later than the expiration of the original term)</w:t>
      </w:r>
      <w:r>
        <w:rPr>
          <w:rFonts w:ascii="Arial" w:cs="Arial" w:eastAsia="Arial" w:hAnsi="Arial"/>
          <w:sz w:val="20"/>
          <w:szCs w:val="20"/>
          <w:color w:val="010202"/>
        </w:rPr>
        <w:t>. In addition, if any other form of equity compensation is awarded to you during your employment, including without limitation the New Grants (the “</w:t>
      </w:r>
      <w:r>
        <w:rPr>
          <w:rFonts w:ascii="Arial" w:cs="Arial" w:eastAsia="Arial" w:hAnsi="Arial"/>
          <w:sz w:val="20"/>
          <w:szCs w:val="20"/>
          <w:b w:val="1"/>
          <w:bCs w:val="1"/>
          <w:i w:val="1"/>
          <w:iCs w:val="1"/>
          <w:color w:val="010202"/>
        </w:rPr>
        <w:t>Other</w:t>
      </w:r>
      <w:r>
        <w:rPr>
          <w:rFonts w:ascii="Arial" w:cs="Arial" w:eastAsia="Arial" w:hAnsi="Arial"/>
          <w:sz w:val="20"/>
          <w:szCs w:val="20"/>
          <w:color w:val="010202"/>
        </w:rPr>
        <w:t xml:space="preserve"> </w:t>
      </w:r>
      <w:r>
        <w:rPr>
          <w:rFonts w:ascii="Arial" w:cs="Arial" w:eastAsia="Arial" w:hAnsi="Arial"/>
          <w:sz w:val="20"/>
          <w:szCs w:val="20"/>
          <w:b w:val="1"/>
          <w:bCs w:val="1"/>
          <w:i w:val="1"/>
          <w:iCs w:val="1"/>
          <w:color w:val="010202"/>
        </w:rPr>
        <w:t>Equity</w:t>
      </w:r>
      <w:r>
        <w:rPr>
          <w:rFonts w:ascii="Arial" w:cs="Arial" w:eastAsia="Arial" w:hAnsi="Arial"/>
          <w:sz w:val="20"/>
          <w:szCs w:val="20"/>
          <w:color w:val="010202"/>
        </w:rPr>
        <w:t>”),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73" w:name="page74"/>
    <w:bookmarkEnd w:id="73"/>
    <w:p>
      <w:pPr>
        <w:jc w:val="both"/>
        <w:spacing w:after="0" w:line="244" w:lineRule="auto"/>
        <w:rPr>
          <w:sz w:val="20"/>
          <w:szCs w:val="20"/>
          <w:color w:val="auto"/>
        </w:rPr>
      </w:pPr>
      <w:r>
        <w:rPr>
          <w:rFonts w:ascii="Arial" w:cs="Arial" w:eastAsia="Arial" w:hAnsi="Arial"/>
          <w:sz w:val="20"/>
          <w:szCs w:val="20"/>
          <w:color w:val="010202"/>
        </w:rPr>
        <w:t>vesting of any of the then-unvested equity that would have vested over the following twelve months shall be accelerated and deemed vested on the date of termination and paid or delivered in accordance with the award agreement, but no later than March 15 of the year following the year in which the termination occurs and subject to Section 7(a). Notwithstanding the foregoing, with respect to the New PRSUs,100% of such grant will vest in the event of such a termination whether or not the performance goals have been attained.</w:t>
      </w:r>
    </w:p>
    <w:p>
      <w:pPr>
        <w:spacing w:after="0" w:line="202" w:lineRule="exact"/>
        <w:rPr>
          <w:sz w:val="20"/>
          <w:szCs w:val="20"/>
          <w:color w:val="auto"/>
        </w:rPr>
      </w:pPr>
    </w:p>
    <w:p>
      <w:pPr>
        <w:jc w:val="both"/>
        <w:ind w:firstLine="1304"/>
        <w:spacing w:after="0" w:line="258" w:lineRule="auto"/>
        <w:tabs>
          <w:tab w:leader="none" w:pos="1944" w:val="left"/>
        </w:tabs>
        <w:numPr>
          <w:ilvl w:val="0"/>
          <w:numId w:val="44"/>
        </w:numPr>
        <w:rPr>
          <w:rFonts w:ascii="Arial" w:cs="Arial" w:eastAsia="Arial" w:hAnsi="Arial"/>
          <w:sz w:val="19"/>
          <w:szCs w:val="19"/>
          <w:b w:val="1"/>
          <w:bCs w:val="1"/>
          <w:color w:val="010202"/>
        </w:rPr>
      </w:pPr>
      <w:r>
        <w:rPr>
          <w:rFonts w:ascii="Arial" w:cs="Arial" w:eastAsia="Arial" w:hAnsi="Arial"/>
          <w:sz w:val="19"/>
          <w:szCs w:val="19"/>
          <w:b w:val="1"/>
          <w:bCs w:val="1"/>
          <w:color w:val="auto"/>
        </w:rPr>
        <w:t xml:space="preserve">Termination Without Cause or Resignation for Good Reason in Connection </w:t>
      </w:r>
      <w:r>
        <w:rPr>
          <w:rFonts w:ascii="Arial" w:cs="Arial" w:eastAsia="Arial" w:hAnsi="Arial"/>
          <w:sz w:val="19"/>
          <w:szCs w:val="19"/>
          <w:b w:val="1"/>
          <w:bCs w:val="1"/>
          <w:color w:val="010202"/>
        </w:rPr>
        <w:t>with an</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10202"/>
        </w:rPr>
        <w:t xml:space="preserve">Acquisition. </w:t>
      </w:r>
      <w:r>
        <w:rPr>
          <w:rFonts w:ascii="Arial" w:cs="Arial" w:eastAsia="Arial" w:hAnsi="Arial"/>
          <w:sz w:val="19"/>
          <w:szCs w:val="19"/>
          <w:color w:val="010202"/>
        </w:rPr>
        <w:t>In the event your employment with the Company (or its subsidiaries) is terminated by the Company (or its</w:t>
      </w:r>
      <w:r>
        <w:rPr>
          <w:rFonts w:ascii="Arial" w:cs="Arial" w:eastAsia="Arial" w:hAnsi="Arial"/>
          <w:sz w:val="19"/>
          <w:szCs w:val="19"/>
          <w:b w:val="1"/>
          <w:bCs w:val="1"/>
          <w:color w:val="010202"/>
        </w:rPr>
        <w:t xml:space="preserve"> </w:t>
      </w:r>
      <w:r>
        <w:rPr>
          <w:rFonts w:ascii="Arial" w:cs="Arial" w:eastAsia="Arial" w:hAnsi="Arial"/>
          <w:sz w:val="19"/>
          <w:szCs w:val="19"/>
          <w:color w:val="010202"/>
        </w:rPr>
        <w:t>subsidiaries) without Cause, or you resign for Good Reason, in either case (x) during the period (the “</w:t>
      </w:r>
      <w:r>
        <w:rPr>
          <w:rFonts w:ascii="Arial" w:cs="Arial" w:eastAsia="Arial" w:hAnsi="Arial"/>
          <w:sz w:val="19"/>
          <w:szCs w:val="19"/>
          <w:b w:val="1"/>
          <w:bCs w:val="1"/>
          <w:i w:val="1"/>
          <w:iCs w:val="1"/>
          <w:color w:val="010202"/>
        </w:rPr>
        <w:t>Change of Control</w:t>
      </w:r>
      <w:r>
        <w:rPr>
          <w:rFonts w:ascii="Arial" w:cs="Arial" w:eastAsia="Arial" w:hAnsi="Arial"/>
          <w:sz w:val="19"/>
          <w:szCs w:val="19"/>
          <w:color w:val="010202"/>
        </w:rPr>
        <w:t xml:space="preserve"> </w:t>
      </w:r>
      <w:r>
        <w:rPr>
          <w:rFonts w:ascii="Arial" w:cs="Arial" w:eastAsia="Arial" w:hAnsi="Arial"/>
          <w:sz w:val="19"/>
          <w:szCs w:val="19"/>
          <w:b w:val="1"/>
          <w:bCs w:val="1"/>
          <w:i w:val="1"/>
          <w:iCs w:val="1"/>
          <w:color w:val="010202"/>
        </w:rPr>
        <w:t>Severance Period</w:t>
      </w:r>
      <w:r>
        <w:rPr>
          <w:rFonts w:ascii="Arial" w:cs="Arial" w:eastAsia="Arial" w:hAnsi="Arial"/>
          <w:sz w:val="19"/>
          <w:szCs w:val="19"/>
          <w:color w:val="010202"/>
        </w:rPr>
        <w:t>”) commencing with the date that is one (1) month prior to the execution of a definitive agreement</w:t>
      </w:r>
      <w:r>
        <w:rPr>
          <w:rFonts w:ascii="Arial" w:cs="Arial" w:eastAsia="Arial" w:hAnsi="Arial"/>
          <w:sz w:val="19"/>
          <w:szCs w:val="19"/>
          <w:b w:val="1"/>
          <w:bCs w:val="1"/>
          <w:i w:val="1"/>
          <w:iCs w:val="1"/>
          <w:color w:val="010202"/>
        </w:rPr>
        <w:t xml:space="preserve"> </w:t>
      </w:r>
      <w:r>
        <w:rPr>
          <w:rFonts w:ascii="Arial" w:cs="Arial" w:eastAsia="Arial" w:hAnsi="Arial"/>
          <w:sz w:val="19"/>
          <w:szCs w:val="19"/>
          <w:color w:val="010202"/>
        </w:rPr>
        <w:t>governing an Acquisition (as defined below) and ending on the two (2) year anniversary of the closing of the same Acquisition, or (y) within two (2) years after the closing of any other Acquisition, then provided such termination constitutes a Separation from Service, and provided that you remain in compliance with the terms of this Agreement, the Company shall provide you with the following severance benefits:</w:t>
      </w:r>
    </w:p>
    <w:p>
      <w:pPr>
        <w:spacing w:after="0" w:line="173" w:lineRule="exact"/>
        <w:rPr>
          <w:rFonts w:ascii="Arial" w:cs="Arial" w:eastAsia="Arial" w:hAnsi="Arial"/>
          <w:sz w:val="19"/>
          <w:szCs w:val="19"/>
          <w:b w:val="1"/>
          <w:bCs w:val="1"/>
          <w:color w:val="010202"/>
        </w:rPr>
      </w:pPr>
    </w:p>
    <w:p>
      <w:pPr>
        <w:ind w:firstLine="1952"/>
        <w:spacing w:after="0" w:line="267" w:lineRule="auto"/>
        <w:tabs>
          <w:tab w:leader="none" w:pos="2592" w:val="left"/>
        </w:tabs>
        <w:numPr>
          <w:ilvl w:val="1"/>
          <w:numId w:val="44"/>
        </w:numPr>
        <w:rPr>
          <w:rFonts w:ascii="Arial" w:cs="Arial" w:eastAsia="Arial" w:hAnsi="Arial"/>
          <w:sz w:val="20"/>
          <w:szCs w:val="20"/>
          <w:b w:val="1"/>
          <w:bCs w:val="1"/>
          <w:color w:val="010202"/>
        </w:rPr>
      </w:pPr>
      <w:r>
        <w:rPr>
          <w:rFonts w:ascii="Arial" w:cs="Arial" w:eastAsia="Arial" w:hAnsi="Arial"/>
          <w:sz w:val="20"/>
          <w:szCs w:val="20"/>
          <w:b w:val="1"/>
          <w:bCs w:val="1"/>
          <w:color w:val="auto"/>
        </w:rPr>
        <w:t>Severance Pay</w:t>
      </w:r>
      <w:r>
        <w:rPr>
          <w:rFonts w:ascii="Arial" w:cs="Arial" w:eastAsia="Arial" w:hAnsi="Arial"/>
          <w:sz w:val="20"/>
          <w:szCs w:val="20"/>
          <w:color w:val="auto"/>
        </w:rPr>
        <w:t>. The Company shall pay you, as severance, the Severance Payments,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conditions set forth in Section 5(b)(i) above.</w:t>
      </w:r>
    </w:p>
    <w:p>
      <w:pPr>
        <w:spacing w:after="0" w:line="163" w:lineRule="exact"/>
        <w:rPr>
          <w:rFonts w:ascii="Arial" w:cs="Arial" w:eastAsia="Arial" w:hAnsi="Arial"/>
          <w:sz w:val="20"/>
          <w:szCs w:val="20"/>
          <w:b w:val="1"/>
          <w:bCs w:val="1"/>
          <w:color w:val="010202"/>
        </w:rPr>
      </w:pPr>
    </w:p>
    <w:p>
      <w:pPr>
        <w:jc w:val="both"/>
        <w:ind w:firstLine="1952"/>
        <w:spacing w:after="0" w:line="246" w:lineRule="auto"/>
        <w:tabs>
          <w:tab w:leader="none" w:pos="2592" w:val="left"/>
        </w:tabs>
        <w:numPr>
          <w:ilvl w:val="1"/>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Bonus</w:t>
      </w:r>
      <w:r>
        <w:rPr>
          <w:rFonts w:ascii="Arial" w:cs="Arial" w:eastAsia="Arial" w:hAnsi="Arial"/>
          <w:sz w:val="20"/>
          <w:szCs w:val="20"/>
          <w:color w:val="auto"/>
        </w:rPr>
        <w:t>. The Company shall pay you (A) your bonus for the year prior to the year of</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to the extent not previously paid, calculated under the terms and conditions set forth in Section 5(b)(ii) above and (B) a pro rata portion of the bonus for the year in which the termination occurs calculated under the terms and conditions set forth in Section 5(b)(ii) above based on the number of days worked in such year. Such payments to be made within sixty days of the date of termination, subject to Section 7(a).</w:t>
      </w:r>
    </w:p>
    <w:p>
      <w:pPr>
        <w:spacing w:after="0" w:line="184" w:lineRule="exact"/>
        <w:rPr>
          <w:rFonts w:ascii="Arial" w:cs="Arial" w:eastAsia="Arial" w:hAnsi="Arial"/>
          <w:sz w:val="20"/>
          <w:szCs w:val="20"/>
          <w:b w:val="1"/>
          <w:bCs w:val="1"/>
          <w:color w:val="auto"/>
        </w:rPr>
      </w:pPr>
    </w:p>
    <w:p>
      <w:pPr>
        <w:jc w:val="both"/>
        <w:ind w:firstLine="1952"/>
        <w:spacing w:after="0" w:line="253" w:lineRule="auto"/>
        <w:tabs>
          <w:tab w:leader="none" w:pos="2592" w:val="left"/>
        </w:tabs>
        <w:numPr>
          <w:ilvl w:val="1"/>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Health Insurance</w:t>
      </w:r>
      <w:r>
        <w:rPr>
          <w:rFonts w:ascii="Arial" w:cs="Arial" w:eastAsia="Arial" w:hAnsi="Arial"/>
          <w:sz w:val="20"/>
          <w:szCs w:val="20"/>
          <w:color w:val="auto"/>
        </w:rPr>
        <w:t>. The Company shall pay your COBRA Premiums or Special Cash</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as applicable, through the COBRA Premium Period, under the terms and conditions set forth in Section 5(b)(iii) above.</w:t>
      </w:r>
    </w:p>
    <w:p>
      <w:pPr>
        <w:spacing w:after="0" w:line="177" w:lineRule="exact"/>
        <w:rPr>
          <w:rFonts w:ascii="Arial" w:cs="Arial" w:eastAsia="Arial" w:hAnsi="Arial"/>
          <w:sz w:val="20"/>
          <w:szCs w:val="20"/>
          <w:b w:val="1"/>
          <w:bCs w:val="1"/>
          <w:color w:val="auto"/>
        </w:rPr>
      </w:pPr>
    </w:p>
    <w:p>
      <w:pPr>
        <w:jc w:val="both"/>
        <w:ind w:firstLine="1952"/>
        <w:spacing w:after="0" w:line="275" w:lineRule="auto"/>
        <w:tabs>
          <w:tab w:leader="none" w:pos="2592"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Acceleration; Extension of time to Exercise. </w:t>
      </w:r>
      <w:r>
        <w:rPr>
          <w:rFonts w:ascii="Arial" w:cs="Arial" w:eastAsia="Arial" w:hAnsi="Arial"/>
          <w:sz w:val="18"/>
          <w:szCs w:val="18"/>
          <w:color w:val="auto"/>
        </w:rPr>
        <w:t>The vesting of any then-unvested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subject to the Options shall be accelerated such that 100% of the shares subject to the Options shall be deemed immediately vested and exercisable as of your last day of employment. Additionally the Options shall be exercisable for twelve (12) months following your last day of employment (but no later than the expiration of the original term). In addition, any Other Equity shall be deemed 100% vested (including with respect to the PRSUs whether or not the performance goals have been attained) and paid or delivered in accordance with the applicable award agreement, </w:t>
      </w:r>
      <w:r>
        <w:rPr>
          <w:rFonts w:ascii="Arial" w:cs="Arial" w:eastAsia="Arial" w:hAnsi="Arial"/>
          <w:sz w:val="18"/>
          <w:szCs w:val="18"/>
          <w:color w:val="010202"/>
        </w:rPr>
        <w:t>but no later than March 15 of</w:t>
      </w:r>
      <w:r>
        <w:rPr>
          <w:rFonts w:ascii="Arial" w:cs="Arial" w:eastAsia="Arial" w:hAnsi="Arial"/>
          <w:sz w:val="18"/>
          <w:szCs w:val="18"/>
          <w:color w:val="auto"/>
        </w:rPr>
        <w:t xml:space="preserve"> </w:t>
      </w:r>
      <w:r>
        <w:rPr>
          <w:rFonts w:ascii="Arial" w:cs="Arial" w:eastAsia="Arial" w:hAnsi="Arial"/>
          <w:sz w:val="18"/>
          <w:szCs w:val="18"/>
          <w:color w:val="010202"/>
        </w:rPr>
        <w:t xml:space="preserve">the year following the year in which the termination occurs and </w:t>
      </w:r>
      <w:r>
        <w:rPr>
          <w:rFonts w:ascii="Arial" w:cs="Arial" w:eastAsia="Arial" w:hAnsi="Arial"/>
          <w:sz w:val="18"/>
          <w:szCs w:val="18"/>
          <w:color w:val="000000"/>
        </w:rPr>
        <w:t>subject to Section 7(a).</w:t>
      </w:r>
    </w:p>
    <w:p>
      <w:pPr>
        <w:spacing w:after="0" w:line="15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b w:val="1"/>
          <w:bCs w:val="1"/>
          <w:color w:val="010202"/>
        </w:rPr>
        <w:t>d</w:t>
      </w:r>
      <w:r>
        <w:rPr>
          <w:rFonts w:ascii="Arial" w:cs="Arial" w:eastAsia="Arial" w:hAnsi="Arial"/>
          <w:sz w:val="19"/>
          <w:szCs w:val="19"/>
          <w:b w:val="1"/>
          <w:bCs w:val="1"/>
          <w:color w:val="010202"/>
        </w:rPr>
        <w:t>. Resignation without Good Reason; Termination for Cause; Death or Disability.</w:t>
      </w:r>
      <w:r>
        <w:rPr>
          <w:rFonts w:ascii="Arial" w:cs="Arial" w:eastAsia="Arial" w:hAnsi="Arial"/>
          <w:sz w:val="22"/>
          <w:szCs w:val="22"/>
          <w:b w:val="1"/>
          <w:bCs w:val="1"/>
          <w:color w:val="010202"/>
        </w:rPr>
        <w:t xml:space="preserve"> </w:t>
      </w:r>
      <w:r>
        <w:rPr>
          <w:rFonts w:ascii="Arial" w:cs="Arial" w:eastAsia="Arial" w:hAnsi="Arial"/>
          <w:sz w:val="19"/>
          <w:szCs w:val="19"/>
          <w:color w:val="010202"/>
        </w:rPr>
        <w:t>If at any time</w:t>
      </w:r>
      <w:r>
        <w:rPr>
          <w:rFonts w:ascii="Arial" w:cs="Arial" w:eastAsia="Arial" w:hAnsi="Arial"/>
          <w:sz w:val="22"/>
          <w:szCs w:val="22"/>
          <w:b w:val="1"/>
          <w:bCs w:val="1"/>
          <w:color w:val="010202"/>
        </w:rPr>
        <w:t xml:space="preserve"> </w:t>
      </w:r>
      <w:r>
        <w:rPr>
          <w:rFonts w:ascii="Arial" w:cs="Arial" w:eastAsia="Arial" w:hAnsi="Arial"/>
          <w:sz w:val="19"/>
          <w:szCs w:val="19"/>
          <w:color w:val="010202"/>
        </w:rPr>
        <w:t>the Company terminates your employment for Cause, you resign your employment without Good Reason, or your employment terminates upon your death or disability, then (i) you will no longer vest in the Options or Other Equity, (ii) all payments of compensation by the Company to you hereunder will terminate immediately (except as to amounts already earned), and (iii) you will not be entitled to any severance benefits (except as otherwise below related to Disability (as defined in the applicable option plan)). In addition, you shall resign from all positions and terminate any relationships as an employee, advisor, officer or director with the Company and any of its affiliates (including without limitation any subsidiaries), each effective on the date of termination. Notwithstanding the foregoing, if your employment terminates (i) as a result of your Disability (as defined in the applicable option plan pursuant to which your Option is granted but no later than the expiration of the original term), the Option shall be exercisable for twelve (12) months following your last day of employment and (ii) as a result of your death, the Options or Other Equity granted under the Company’s 2019 Equity Incentive Plan shall be deemed vested pursuant to the terms of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74" w:name="page75"/>
    <w:bookmarkEnd w:id="74"/>
    <w:p>
      <w:pPr>
        <w:jc w:val="both"/>
        <w:ind w:firstLine="656"/>
        <w:spacing w:after="0" w:line="257" w:lineRule="auto"/>
        <w:tabs>
          <w:tab w:leader="none" w:pos="1296" w:val="left"/>
        </w:tabs>
        <w:numPr>
          <w:ilvl w:val="1"/>
          <w:numId w:val="4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Conditions to Receipt of Severance Benefits</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receipt of any severance benefits as described in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5 above will be subject to and conditioned upon your signing and not revoking a separation agreement and release of claims in a form reasonably satisfactory to the Company (the “</w:t>
      </w:r>
      <w:r>
        <w:rPr>
          <w:rFonts w:ascii="Arial" w:cs="Arial" w:eastAsia="Arial" w:hAnsi="Arial"/>
          <w:sz w:val="19"/>
          <w:szCs w:val="19"/>
          <w:b w:val="1"/>
          <w:bCs w:val="1"/>
          <w:i w:val="1"/>
          <w:iCs w:val="1"/>
          <w:color w:val="auto"/>
        </w:rPr>
        <w:t>Separation Agreement</w:t>
      </w:r>
      <w:r>
        <w:rPr>
          <w:rFonts w:ascii="Arial" w:cs="Arial" w:eastAsia="Arial" w:hAnsi="Arial"/>
          <w:sz w:val="19"/>
          <w:szCs w:val="19"/>
          <w:color w:val="auto"/>
        </w:rPr>
        <w:t>”) within the time period specified therein, but in any event no later than sixty (60) days following your Separation from Service date. No severance benefits of any kind will be paid or provided until the Separation Agreement becomes effective. Pursuant to or in connection with any termination of service to the Company, you shall also resign from all positions and terminate any relationships as an employee, advisor, officer or director with the Company and any of its affiliates (including without limitation any subsidiaries), each effective on the date of termination. For avoidance of doubt, under no circumstances will you receive severance benefits under both Sections 5(b) and 5(c) herein.</w:t>
      </w:r>
    </w:p>
    <w:p>
      <w:pPr>
        <w:spacing w:after="0" w:line="189" w:lineRule="exact"/>
        <w:rPr>
          <w:rFonts w:ascii="Arial" w:cs="Arial" w:eastAsia="Arial" w:hAnsi="Arial"/>
          <w:sz w:val="19"/>
          <w:szCs w:val="19"/>
          <w:b w:val="1"/>
          <w:bCs w:val="1"/>
          <w:color w:val="auto"/>
        </w:rPr>
      </w:pPr>
    </w:p>
    <w:p>
      <w:pPr>
        <w:ind w:left="1300" w:hanging="644"/>
        <w:spacing w:after="0"/>
        <w:tabs>
          <w:tab w:leader="none" w:pos="1300" w:val="left"/>
        </w:tabs>
        <w:numPr>
          <w:ilvl w:val="1"/>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010202"/>
        </w:rPr>
        <w:t>Tax Matters</w:t>
      </w:r>
      <w:r>
        <w:rPr>
          <w:rFonts w:ascii="Arial" w:cs="Arial" w:eastAsia="Arial" w:hAnsi="Arial"/>
          <w:sz w:val="20"/>
          <w:szCs w:val="20"/>
          <w:u w:val="single" w:color="auto"/>
          <w:color w:val="010202"/>
        </w:rPr>
        <w:t>.</w:t>
      </w:r>
    </w:p>
    <w:p>
      <w:pPr>
        <w:spacing w:after="0" w:line="235" w:lineRule="exact"/>
        <w:rPr>
          <w:rFonts w:ascii="Arial" w:cs="Arial" w:eastAsia="Arial" w:hAnsi="Arial"/>
          <w:sz w:val="20"/>
          <w:szCs w:val="20"/>
          <w:b w:val="1"/>
          <w:bCs w:val="1"/>
          <w:color w:val="auto"/>
        </w:rPr>
      </w:pPr>
    </w:p>
    <w:p>
      <w:pPr>
        <w:jc w:val="both"/>
        <w:ind w:firstLine="1304"/>
        <w:spacing w:after="0" w:line="268" w:lineRule="auto"/>
        <w:tabs>
          <w:tab w:leader="none" w:pos="1944" w:val="left"/>
        </w:tabs>
        <w:numPr>
          <w:ilvl w:val="2"/>
          <w:numId w:val="45"/>
        </w:numPr>
        <w:rPr>
          <w:rFonts w:ascii="Arial" w:cs="Arial" w:eastAsia="Arial" w:hAnsi="Arial"/>
          <w:sz w:val="18"/>
          <w:szCs w:val="18"/>
          <w:b w:val="1"/>
          <w:bCs w:val="1"/>
          <w:color w:val="auto"/>
        </w:rPr>
      </w:pPr>
      <w:r>
        <w:rPr>
          <w:rFonts w:ascii="Arial" w:cs="Arial" w:eastAsia="Arial" w:hAnsi="Arial"/>
          <w:sz w:val="18"/>
          <w:szCs w:val="18"/>
          <w:color w:val="auto"/>
        </w:rPr>
        <w:t>It is intended that all of the severance benefits and other payments payable under this Agreement satisfy, to the greatest extent possible, the exemptions from the application of Code Section 409A provided under Treasury Regulations 1.409A-1(b)(4), 1.409A-1(b)(5) and 1.409A-1(b)(9), and this Agreement will be construed to the greatest extent possible as consistent with those provisions, and to the extent no so exempt, this Agreement (and any definitions hereunder) will be construed in a manner that complies with Section 409A. For purposes of Code Section 409A (including, without limitation, for purposes of Treasury Regulation Section 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w:t>
      </w:r>
    </w:p>
    <w:p>
      <w:pPr>
        <w:spacing w:after="0" w:line="184" w:lineRule="exact"/>
        <w:rPr>
          <w:rFonts w:ascii="Arial" w:cs="Arial" w:eastAsia="Arial" w:hAnsi="Arial"/>
          <w:sz w:val="18"/>
          <w:szCs w:val="18"/>
          <w:b w:val="1"/>
          <w:bCs w:val="1"/>
          <w:color w:val="auto"/>
        </w:rPr>
      </w:pPr>
    </w:p>
    <w:p>
      <w:pPr>
        <w:jc w:val="both"/>
        <w:ind w:firstLine="1304"/>
        <w:spacing w:after="0" w:line="272" w:lineRule="auto"/>
        <w:tabs>
          <w:tab w:leader="none" w:pos="1944" w:val="left"/>
        </w:tabs>
        <w:numPr>
          <w:ilvl w:val="2"/>
          <w:numId w:val="45"/>
        </w:numPr>
        <w:rPr>
          <w:rFonts w:ascii="Arial" w:cs="Arial" w:eastAsia="Arial" w:hAnsi="Arial"/>
          <w:sz w:val="18"/>
          <w:szCs w:val="18"/>
          <w:b w:val="1"/>
          <w:bCs w:val="1"/>
          <w:color w:val="auto"/>
        </w:rPr>
      </w:pPr>
      <w:r>
        <w:rPr>
          <w:rFonts w:ascii="Arial" w:cs="Arial" w:eastAsia="Arial" w:hAnsi="Arial"/>
          <w:sz w:val="18"/>
          <w:szCs w:val="18"/>
          <w:color w:val="auto"/>
        </w:rPr>
        <w:t>To the extent the Parachute Payment Vote (as defined below) is permitted by the Regulations (as defined below), and you agree to waive (as would be required under the Regulations) the right to all or any portion of the payment or benefit you would receive pursuant to an Acquisition as a result of the provisions of this Agreement that would</w:t>
      </w:r>
    </w:p>
    <w:p>
      <w:pPr>
        <w:jc w:val="both"/>
        <w:ind w:firstLine="8"/>
        <w:spacing w:after="0" w:line="257" w:lineRule="auto"/>
        <w:tabs>
          <w:tab w:leader="none" w:pos="250" w:val="left"/>
        </w:tabs>
        <w:numPr>
          <w:ilvl w:val="0"/>
          <w:numId w:val="46"/>
        </w:numPr>
        <w:rPr>
          <w:rFonts w:ascii="Arial" w:cs="Arial" w:eastAsia="Arial" w:hAnsi="Arial"/>
          <w:sz w:val="19"/>
          <w:szCs w:val="19"/>
          <w:color w:val="auto"/>
        </w:rPr>
      </w:pPr>
      <w:r>
        <w:rPr>
          <w:rFonts w:ascii="Arial" w:cs="Arial" w:eastAsia="Arial" w:hAnsi="Arial"/>
          <w:sz w:val="19"/>
          <w:szCs w:val="19"/>
          <w:color w:val="auto"/>
        </w:rPr>
        <w:t>constitute a “parachute payment” within the meaning of Section 280G of the Code, and (ii) be subject to the excise tax imposed by Section 4999 of the Code (the “At-Risk Payments”), the Company shall use commercially reasonable efforts to timely solicit stockholder approval of the At-Risk Payments (the “Parachute Payment Vote”) in accordance with the requirements of Treasury Regulations § 1.280G-1, Q&amp;A-7 or any successor thereto (the “Regulations”).</w:t>
      </w:r>
    </w:p>
    <w:p>
      <w:pPr>
        <w:spacing w:after="0" w:line="176" w:lineRule="exact"/>
        <w:rPr>
          <w:rFonts w:ascii="Arial" w:cs="Arial" w:eastAsia="Arial" w:hAnsi="Arial"/>
          <w:sz w:val="19"/>
          <w:szCs w:val="19"/>
          <w:color w:val="auto"/>
        </w:rPr>
      </w:pPr>
    </w:p>
    <w:p>
      <w:pPr>
        <w:jc w:val="both"/>
        <w:ind w:firstLine="1304"/>
        <w:spacing w:after="0" w:line="274" w:lineRule="auto"/>
        <w:tabs>
          <w:tab w:leader="none" w:pos="1944" w:val="left"/>
        </w:tabs>
        <w:numPr>
          <w:ilvl w:val="2"/>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Excise Taxes.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this Agreement to the contrary, if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or benefit you would receive from the Company under this Agreement or otherwise (including, without limitation, any payment, benefit, entitlement or distribution paid or provided by the person or entity effecting the change in control) in connection with an Acquisition (the “Total Payments”) (a) constitute “parachute payments” within the meaning of Section 280G of the Code, and (b) but for this Section 7(c), would be subject to the excise tax imposed by Section 4999 of the Code, then you will be entitled to receive either (i) the full amount of the Total Payments (taking into account the full value of the equity awards), or (ii) a portion of the Total Payments having a value equal to $1 less than three (3) times your “base amount” (as such term is defined in Section 280G(b)(3)(A) of the Code), whichever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75" w:name="page76"/>
    <w:bookmarkEnd w:id="75"/>
    <w:p>
      <w:pPr>
        <w:jc w:val="both"/>
        <w:spacing w:after="0" w:line="269" w:lineRule="auto"/>
        <w:rPr>
          <w:sz w:val="20"/>
          <w:szCs w:val="20"/>
          <w:color w:val="auto"/>
        </w:rPr>
      </w:pPr>
      <w:r>
        <w:rPr>
          <w:rFonts w:ascii="Arial" w:cs="Arial" w:eastAsia="Arial" w:hAnsi="Arial"/>
          <w:sz w:val="18"/>
          <w:szCs w:val="18"/>
          <w:color w:val="auto"/>
        </w:rPr>
        <w:t>clauses (i) and (ii), after taking into account applicable federal, state, and local income and employment taxes and the excise tax imposed by Section 4999 of the Code, results in your receipt, on an after-tax basis, of the greatest portion of the Total Payments. Any determination required under this Section 7(c) shall be made in writing by the independent public accountants of the Company (the “Accountants”), whose determination shall be conclusive and binding for all purposes upon you and the Company. For purposes of making the calculations required by this Section 7(c), the Accountants may make reasonable assumptions and approximations concerning applicable taxes and may rely on reasonable, good-faith interpretations concerning the application of Sections 280G and 4999 of the Code. If there is a reduction pursuant to this Section 7(c) of the Total Payments to be delivered to you, such reduction shall occur in the following order: (i) any cash severance payable by reference to your base salary or annual bonus, (ii) any other cash amount payable to you, (iii) any benefit valued as a “parachute payment,” and (iv) acceleration of vesting of any equity award. This Section 7(c) shall not apply, however, to any payment or benefit if the application of Section 280G(b)(5) of the Code to such payment or benefit results in such payment or benefit not constituting a parachute payment under Section 280G(b)(2). For the avoidance of doubt, in the event additional Total Payments are made to you after the application of the cutback in this Section 7(c), which additional Total Payments result in the cutback no longer being applicable, the Company shall pay you an additional amount equal to the value of the Total Payments which were originally cutback. The Company shall determine at the end of each calendar year whether any such restoration is necessary based on additional Total Payments (if any) made during such calendar year, and shall pay such restoration not later than March 15 of the following calendar year.</w:t>
      </w:r>
    </w:p>
    <w:p>
      <w:pPr>
        <w:spacing w:after="0" w:line="195" w:lineRule="exact"/>
        <w:rPr>
          <w:sz w:val="20"/>
          <w:szCs w:val="20"/>
          <w:color w:val="auto"/>
        </w:rPr>
      </w:pPr>
    </w:p>
    <w:p>
      <w:pPr>
        <w:ind w:left="1300" w:hanging="644"/>
        <w:spacing w:after="0"/>
        <w:tabs>
          <w:tab w:leader="none" w:pos="1300" w:val="left"/>
        </w:tabs>
        <w:numPr>
          <w:ilvl w:val="1"/>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010202"/>
        </w:rPr>
        <w:t>Definitions</w:t>
      </w:r>
      <w:r>
        <w:rPr>
          <w:rFonts w:ascii="Arial" w:cs="Arial" w:eastAsia="Arial" w:hAnsi="Arial"/>
          <w:sz w:val="20"/>
          <w:szCs w:val="20"/>
          <w:u w:val="single" w:color="auto"/>
          <w:color w:val="010202"/>
        </w:rPr>
        <w:t>.</w:t>
      </w:r>
      <w:r>
        <w:rPr>
          <w:rFonts w:ascii="Arial" w:cs="Arial" w:eastAsia="Arial" w:hAnsi="Arial"/>
          <w:sz w:val="20"/>
          <w:szCs w:val="20"/>
          <w:b w:val="1"/>
          <w:bCs w:val="1"/>
          <w:color w:val="010202"/>
        </w:rPr>
        <w:t xml:space="preserve"> </w:t>
      </w:r>
      <w:r>
        <w:rPr>
          <w:rFonts w:ascii="Arial" w:cs="Arial" w:eastAsia="Arial" w:hAnsi="Arial"/>
          <w:sz w:val="20"/>
          <w:szCs w:val="20"/>
          <w:color w:val="010202"/>
        </w:rPr>
        <w:t>For purposes of this Agreement:</w:t>
      </w:r>
    </w:p>
    <w:p>
      <w:pPr>
        <w:spacing w:after="0" w:line="235" w:lineRule="exact"/>
        <w:rPr>
          <w:rFonts w:ascii="Arial" w:cs="Arial" w:eastAsia="Arial" w:hAnsi="Arial"/>
          <w:sz w:val="20"/>
          <w:szCs w:val="20"/>
          <w:b w:val="1"/>
          <w:bCs w:val="1"/>
          <w:color w:val="auto"/>
        </w:rPr>
      </w:pPr>
    </w:p>
    <w:p>
      <w:pPr>
        <w:ind w:right="20" w:firstLine="1304"/>
        <w:spacing w:after="0" w:line="260" w:lineRule="auto"/>
        <w:tabs>
          <w:tab w:leader="none" w:pos="1944" w:val="left"/>
        </w:tabs>
        <w:numPr>
          <w:ilvl w:val="2"/>
          <w:numId w:val="47"/>
        </w:numPr>
        <w:rPr>
          <w:rFonts w:ascii="Arial" w:cs="Arial" w:eastAsia="Arial" w:hAnsi="Arial"/>
          <w:sz w:val="20"/>
          <w:szCs w:val="20"/>
          <w:b w:val="1"/>
          <w:bCs w:val="1"/>
          <w:color w:val="010202"/>
        </w:rPr>
      </w:pPr>
      <w:r>
        <w:rPr>
          <w:rFonts w:ascii="Arial" w:cs="Arial" w:eastAsia="Arial" w:hAnsi="Arial"/>
          <w:sz w:val="20"/>
          <w:szCs w:val="20"/>
          <w:b w:val="1"/>
          <w:bCs w:val="1"/>
          <w:i w:val="1"/>
          <w:iCs w:val="1"/>
          <w:color w:val="010202"/>
        </w:rPr>
        <w:t xml:space="preserve">“Acquisition” </w:t>
      </w:r>
      <w:r>
        <w:rPr>
          <w:rFonts w:ascii="Arial" w:cs="Arial" w:eastAsia="Arial" w:hAnsi="Arial"/>
          <w:sz w:val="20"/>
          <w:szCs w:val="20"/>
          <w:color w:val="010202"/>
        </w:rPr>
        <w:t>shall have the same meaning as a “Change in Control” as defined in the Progyny, Inc.</w:t>
      </w:r>
      <w:r>
        <w:rPr>
          <w:rFonts w:ascii="Arial" w:cs="Arial" w:eastAsia="Arial" w:hAnsi="Arial"/>
          <w:sz w:val="20"/>
          <w:szCs w:val="20"/>
          <w:b w:val="1"/>
          <w:bCs w:val="1"/>
          <w:i w:val="1"/>
          <w:iCs w:val="1"/>
          <w:color w:val="010202"/>
        </w:rPr>
        <w:t xml:space="preserve"> </w:t>
      </w:r>
      <w:r>
        <w:rPr>
          <w:rFonts w:ascii="Arial" w:cs="Arial" w:eastAsia="Arial" w:hAnsi="Arial"/>
          <w:sz w:val="20"/>
          <w:szCs w:val="20"/>
          <w:color w:val="010202"/>
        </w:rPr>
        <w:t>2019 Equity Incentive Plan.</w:t>
      </w:r>
    </w:p>
    <w:p>
      <w:pPr>
        <w:spacing w:after="0" w:line="190" w:lineRule="exact"/>
        <w:rPr>
          <w:rFonts w:ascii="Arial" w:cs="Arial" w:eastAsia="Arial" w:hAnsi="Arial"/>
          <w:sz w:val="20"/>
          <w:szCs w:val="20"/>
          <w:b w:val="1"/>
          <w:bCs w:val="1"/>
          <w:color w:val="010202"/>
        </w:rPr>
      </w:pPr>
    </w:p>
    <w:p>
      <w:pPr>
        <w:jc w:val="both"/>
        <w:ind w:firstLine="1304"/>
        <w:spacing w:after="0" w:line="270" w:lineRule="auto"/>
        <w:tabs>
          <w:tab w:leader="none" w:pos="1944" w:val="left"/>
        </w:tabs>
        <w:numPr>
          <w:ilvl w:val="2"/>
          <w:numId w:val="47"/>
        </w:numPr>
        <w:rPr>
          <w:rFonts w:ascii="Arial" w:cs="Arial" w:eastAsia="Arial" w:hAnsi="Arial"/>
          <w:sz w:val="18"/>
          <w:szCs w:val="18"/>
          <w:b w:val="1"/>
          <w:bCs w:val="1"/>
          <w:color w:val="010202"/>
        </w:rPr>
      </w:pPr>
      <w:r>
        <w:rPr>
          <w:rFonts w:ascii="Arial" w:cs="Arial" w:eastAsia="Arial" w:hAnsi="Arial"/>
          <w:sz w:val="18"/>
          <w:szCs w:val="18"/>
          <w:b w:val="1"/>
          <w:bCs w:val="1"/>
          <w:i w:val="1"/>
          <w:iCs w:val="1"/>
          <w:color w:val="010202"/>
        </w:rPr>
        <w:t xml:space="preserve">“Cause” </w:t>
      </w:r>
      <w:r>
        <w:rPr>
          <w:rFonts w:ascii="Arial" w:cs="Arial" w:eastAsia="Arial" w:hAnsi="Arial"/>
          <w:sz w:val="18"/>
          <w:szCs w:val="18"/>
          <w:color w:val="010202"/>
        </w:rPr>
        <w:t>for your employment termination will be deemed to exist at any time after the occurrence</w:t>
      </w:r>
      <w:r>
        <w:rPr>
          <w:rFonts w:ascii="Arial" w:cs="Arial" w:eastAsia="Arial" w:hAnsi="Arial"/>
          <w:sz w:val="18"/>
          <w:szCs w:val="18"/>
          <w:b w:val="1"/>
          <w:bCs w:val="1"/>
          <w:i w:val="1"/>
          <w:iCs w:val="1"/>
          <w:color w:val="010202"/>
        </w:rPr>
        <w:t xml:space="preserve"> </w:t>
      </w:r>
      <w:r>
        <w:rPr>
          <w:rFonts w:ascii="Arial" w:cs="Arial" w:eastAsia="Arial" w:hAnsi="Arial"/>
          <w:sz w:val="18"/>
          <w:szCs w:val="18"/>
          <w:color w:val="010202"/>
        </w:rPr>
        <w:t xml:space="preserve">of one of more of the following: (i) your commission of, conviction for, or guilty plea to, a felony or crime involving moral turpitude; (ii) a willful refusal by you to comply with the lawful, material and reasonable instructions of the Company (or its subsidiaries), or to otherwise materially perform your duties as lawfully and reasonably determined by the Company (or its subsidiaries), in each case that is not cured by you (if such refusal is of a type that is capable of being cured) within 15 days of written notice being given to you of such refusal; (iii) any willful act or acts of dishonesty undertaken by you and intended to result in your (or any other person’s) material gain or personal enrichment at the expense of the Company, its subsidiaries or any of its or their customers, partners, affiliates, or employees; (iv) any willful act of gross misconduct by you which is injurious to the Company or its subsidiaries; or (v) any material breach by you of your obligations under any agreement between you and the Company or its subsidiaries, including without limitation this Agreement or your </w:t>
      </w:r>
      <w:r>
        <w:rPr>
          <w:rFonts w:ascii="Arial" w:cs="Arial" w:eastAsia="Arial" w:hAnsi="Arial"/>
          <w:sz w:val="18"/>
          <w:szCs w:val="18"/>
          <w:color w:val="000000"/>
        </w:rPr>
        <w:t>Proprietary</w:t>
      </w:r>
      <w:r>
        <w:rPr>
          <w:rFonts w:ascii="Arial" w:cs="Arial" w:eastAsia="Arial" w:hAnsi="Arial"/>
          <w:sz w:val="18"/>
          <w:szCs w:val="18"/>
          <w:color w:val="010202"/>
        </w:rPr>
        <w:t xml:space="preserve"> </w:t>
      </w:r>
      <w:r>
        <w:rPr>
          <w:rFonts w:ascii="Arial" w:cs="Arial" w:eastAsia="Arial" w:hAnsi="Arial"/>
          <w:sz w:val="18"/>
          <w:szCs w:val="18"/>
          <w:color w:val="000000"/>
        </w:rPr>
        <w:t>Information, Inventions and Non-Solicitation/Non-Competition Agreement</w:t>
      </w:r>
      <w:r>
        <w:rPr>
          <w:rFonts w:ascii="Arial" w:cs="Arial" w:eastAsia="Arial" w:hAnsi="Arial"/>
          <w:sz w:val="18"/>
          <w:szCs w:val="18"/>
          <w:color w:val="010202"/>
        </w:rPr>
        <w:t>, that is not cured by you (if such breach is of a</w:t>
      </w:r>
      <w:r>
        <w:rPr>
          <w:rFonts w:ascii="Arial" w:cs="Arial" w:eastAsia="Arial" w:hAnsi="Arial"/>
          <w:sz w:val="18"/>
          <w:szCs w:val="18"/>
          <w:color w:val="000000"/>
        </w:rPr>
        <w:t xml:space="preserve"> </w:t>
      </w:r>
      <w:r>
        <w:rPr>
          <w:rFonts w:ascii="Arial" w:cs="Arial" w:eastAsia="Arial" w:hAnsi="Arial"/>
          <w:sz w:val="18"/>
          <w:szCs w:val="18"/>
          <w:color w:val="010202"/>
        </w:rPr>
        <w:t>type that is capable of being cured) within 15 days of written notice being given to you of such breach.</w:t>
      </w:r>
    </w:p>
    <w:p>
      <w:pPr>
        <w:spacing w:after="0" w:line="189" w:lineRule="exact"/>
        <w:rPr>
          <w:rFonts w:ascii="Arial" w:cs="Arial" w:eastAsia="Arial" w:hAnsi="Arial"/>
          <w:sz w:val="18"/>
          <w:szCs w:val="18"/>
          <w:b w:val="1"/>
          <w:bCs w:val="1"/>
          <w:color w:val="010202"/>
        </w:rPr>
      </w:pPr>
    </w:p>
    <w:p>
      <w:pPr>
        <w:ind w:left="1960" w:hanging="656"/>
        <w:spacing w:after="0"/>
        <w:tabs>
          <w:tab w:leader="none" w:pos="1960" w:val="left"/>
        </w:tabs>
        <w:numPr>
          <w:ilvl w:val="2"/>
          <w:numId w:val="47"/>
        </w:numPr>
        <w:rPr>
          <w:rFonts w:ascii="Arial" w:cs="Arial" w:eastAsia="Arial" w:hAnsi="Arial"/>
          <w:sz w:val="18"/>
          <w:szCs w:val="18"/>
          <w:b w:val="1"/>
          <w:bCs w:val="1"/>
          <w:color w:val="010202"/>
        </w:rPr>
      </w:pPr>
      <w:r>
        <w:rPr>
          <w:rFonts w:ascii="Arial" w:cs="Arial" w:eastAsia="Arial" w:hAnsi="Arial"/>
          <w:sz w:val="18"/>
          <w:szCs w:val="18"/>
          <w:b w:val="1"/>
          <w:bCs w:val="1"/>
          <w:i w:val="1"/>
          <w:iCs w:val="1"/>
          <w:color w:val="010202"/>
        </w:rPr>
        <w:t xml:space="preserve">“Good Reason” </w:t>
      </w:r>
      <w:r>
        <w:rPr>
          <w:rFonts w:ascii="Arial" w:cs="Arial" w:eastAsia="Arial" w:hAnsi="Arial"/>
          <w:sz w:val="18"/>
          <w:szCs w:val="18"/>
          <w:color w:val="010202"/>
        </w:rPr>
        <w:t>means the occurrence of any of the following without your prior written consent:</w:t>
      </w:r>
    </w:p>
    <w:p>
      <w:pPr>
        <w:spacing w:after="0" w:line="38" w:lineRule="exact"/>
        <w:rPr>
          <w:rFonts w:ascii="Arial" w:cs="Arial" w:eastAsia="Arial" w:hAnsi="Arial"/>
          <w:sz w:val="18"/>
          <w:szCs w:val="18"/>
          <w:b w:val="1"/>
          <w:bCs w:val="1"/>
          <w:color w:val="010202"/>
        </w:rPr>
      </w:pPr>
    </w:p>
    <w:p>
      <w:pPr>
        <w:jc w:val="both"/>
        <w:ind w:firstLine="8"/>
        <w:spacing w:after="0" w:line="254" w:lineRule="auto"/>
        <w:tabs>
          <w:tab w:leader="none" w:pos="247" w:val="left"/>
        </w:tabs>
        <w:numPr>
          <w:ilvl w:val="0"/>
          <w:numId w:val="48"/>
        </w:numPr>
        <w:rPr>
          <w:rFonts w:ascii="Arial" w:cs="Arial" w:eastAsia="Arial" w:hAnsi="Arial"/>
          <w:sz w:val="19"/>
          <w:szCs w:val="19"/>
          <w:color w:val="010202"/>
        </w:rPr>
      </w:pPr>
      <w:r>
        <w:rPr>
          <w:rFonts w:ascii="Arial" w:cs="Arial" w:eastAsia="Arial" w:hAnsi="Arial"/>
          <w:sz w:val="19"/>
          <w:szCs w:val="19"/>
          <w:color w:val="010202"/>
        </w:rPr>
        <w:t>a material reduction in your then-current annual base salary; except for a reduction (not to exceed 10%) that is part of a proportional reduction of the base salaries of all Company executives; (ii) relocation of your principal place of employment to a place that increases your one-way commute by more than thirty (30) miles as compared to your then-current principal place of employment immediately prior to such relocation; or (iii) a material and adverse change in your duties and responsibilities (it being agreed that a change in duties and responsibilities following an Acquisition that is inherent in the Company becoming a part of a larger business organization shall not constitute a material adverse change); provided, however, that a resignation by you shall not be considered to be for a “Good Reason” under this agreement unless (i) you provide written notice to the Board of the occurrence of the event which you contend constitutes Good Reason within thirty (30) days after the date such event occurs, which notice states your intention to resign for a “Good Reason” under this Agreement as a result thereof, (ii) the Company does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76" w:name="page77"/>
    <w:bookmarkEnd w:id="76"/>
    <w:p>
      <w:pPr>
        <w:jc w:val="both"/>
        <w:spacing w:after="0" w:line="276" w:lineRule="auto"/>
        <w:rPr>
          <w:sz w:val="20"/>
          <w:szCs w:val="20"/>
          <w:color w:val="auto"/>
        </w:rPr>
      </w:pPr>
      <w:r>
        <w:rPr>
          <w:rFonts w:ascii="Arial" w:cs="Arial" w:eastAsia="Arial" w:hAnsi="Arial"/>
          <w:sz w:val="18"/>
          <w:szCs w:val="18"/>
          <w:color w:val="010202"/>
        </w:rPr>
        <w:t>not effect a cure with respect to such event within thirty (30) days after receipt of such written notice, and (iii) you thereafter resign and cease to perform services as an employee of the Company within ten (10) days after the expiration of the Company’s cure period. Good Reason shall also include you resigning from all Company positions for any reason during the Change of Control Severance Period but no earlier than nine months after an Acquisition. The changes contemplated by this Agreement shall not constitute Good Reason under any agreement with the Company or for any purpose You agree to provide 60 days prior written notice to the Company of your decision to resign pursuant to this provision.</w:t>
      </w:r>
    </w:p>
    <w:p>
      <w:pPr>
        <w:spacing w:after="0" w:line="172" w:lineRule="exact"/>
        <w:rPr>
          <w:sz w:val="20"/>
          <w:szCs w:val="20"/>
          <w:color w:val="auto"/>
        </w:rPr>
      </w:pPr>
    </w:p>
    <w:p>
      <w:pPr>
        <w:jc w:val="both"/>
        <w:ind w:firstLine="656"/>
        <w:spacing w:after="0" w:line="268" w:lineRule="auto"/>
        <w:tabs>
          <w:tab w:leader="none" w:pos="129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of your ongoing employment with Company, you and the Company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submit to mandatory final, binding and confidential arbitration any and all disputes, claims or controversies arising out of, related to or connected with your employment with the Company, including, but not limited to, claims of discrimination, harassment, unpaid wages, breach of contract (express or implied), wrongful termination, torts, claims for stock or stock options, as well as claims based upon any federal, state or local ordinance, statute, regulation or constitutional provision, including, but not limited to, the Age Discrimination in Employment Act, 29 U.S.C. § 621,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Employee Retirement Income Security Act (ERISA), 29 U.S.C. § 1001,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Title VII of the Civil Rights Act of 1964, 42 U.S.C. § 2000e, </w:t>
      </w:r>
      <w:r>
        <w:rPr>
          <w:rFonts w:ascii="Arial" w:cs="Arial" w:eastAsia="Arial" w:hAnsi="Arial"/>
          <w:sz w:val="18"/>
          <w:szCs w:val="18"/>
          <w:i w:val="1"/>
          <w:iCs w:val="1"/>
          <w:color w:val="auto"/>
        </w:rPr>
        <w:t>et seq.</w:t>
      </w:r>
      <w:r>
        <w:rPr>
          <w:rFonts w:ascii="Arial" w:cs="Arial" w:eastAsia="Arial" w:hAnsi="Arial"/>
          <w:sz w:val="18"/>
          <w:szCs w:val="18"/>
          <w:color w:val="auto"/>
        </w:rPr>
        <w:t>, and 42 U.S.C. § 1981, and any and all state or local laws prohibiting discrimination or regulating any terms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employment “</w:t>
      </w:r>
      <w:r>
        <w:rPr>
          <w:rFonts w:ascii="Arial" w:cs="Arial" w:eastAsia="Arial" w:hAnsi="Arial"/>
          <w:sz w:val="18"/>
          <w:szCs w:val="18"/>
          <w:b w:val="1"/>
          <w:bCs w:val="1"/>
          <w:i w:val="1"/>
          <w:iCs w:val="1"/>
          <w:color w:val="auto"/>
        </w:rPr>
        <w:t>Arbitrable Claims</w:t>
      </w:r>
      <w:r>
        <w:rPr>
          <w:rFonts w:ascii="Arial" w:cs="Arial" w:eastAsia="Arial" w:hAnsi="Arial"/>
          <w:sz w:val="18"/>
          <w:szCs w:val="18"/>
          <w:color w:val="auto"/>
        </w:rPr>
        <w:t>”). Arbitration shall be the exclusive method by which to resolve all Arbitrable Claims and shall be final and binding upon the parties. BY AGREEING TO THIS ARBITRATION PROCEDURE, YOU AND THE COMPANY HEREBY WAIVE ANY RIGHTS EITHER MAY HAVE TO TRIAL BY JURY IN REGARD TO ARBITRABLE CLAIMS. The arbitration shall be conducted pursuant to the Federal Arbitration Act, 9 U.S.C. § 1-16, and to the fullest extent permitted by law, in New York, New York by a single arbitrator conducted by JAMS,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under the then-applicable JAMS rules (which can be found at http://www.jamsadr.com/rulesclauses). 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In any arbitration proceeding, you will have the right to be represented by legal counsel at your own expense (subject to applicable law requiring that the Company pay the fees and/or costs of your legal counsel).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arbitrator, and not a court, shall also be authorized to determine whether the provisions of this paragraph apply to a dispute, controversy, or claim sought to be resolved in accordance with these arbitration proceedings. The Company shall pay all costs and fees in excess of the amount of court fees that you would be required to incur if the dispute were filed or decided in a court of law. Nothing in this Agreement is intended to prevent either you or the Company from obtaining injunctive relief in court to prevent irreparable harm pending the conclusion of any such arbitration.</w:t>
      </w:r>
    </w:p>
    <w:p>
      <w:pPr>
        <w:spacing w:after="0" w:line="178" w:lineRule="exact"/>
        <w:rPr>
          <w:rFonts w:ascii="Arial" w:cs="Arial" w:eastAsia="Arial" w:hAnsi="Arial"/>
          <w:sz w:val="18"/>
          <w:szCs w:val="18"/>
          <w:b w:val="1"/>
          <w:bCs w:val="1"/>
          <w:color w:val="auto"/>
        </w:rPr>
      </w:pPr>
    </w:p>
    <w:p>
      <w:pPr>
        <w:jc w:val="both"/>
        <w:ind w:firstLine="656"/>
        <w:spacing w:after="0" w:line="245" w:lineRule="auto"/>
        <w:tabs>
          <w:tab w:leader="none" w:pos="1296"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together with the Proprietary Information, Inventions and Non-Solicitation/Non-Competition Agreement and the equity documentation referred to herein, will form the complete and exclusive statement of your employment agreement with the Company. It supersedes any other agreements or promises with respect to your employment made to you by anyone, whether oral or written, and other than those changes expressly reserved to the Company’s discretion in this letter, this letter can only be modified in a written agreement signed by you and a duly authorized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77" w:name="page78"/>
    <w:bookmarkEnd w:id="77"/>
    <w:p>
      <w:pPr>
        <w:ind w:firstLine="656"/>
        <w:spacing w:after="0" w:line="267" w:lineRule="auto"/>
        <w:tabs>
          <w:tab w:leader="none" w:pos="1296"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Acceptance</w:t>
      </w:r>
      <w:r>
        <w:rPr>
          <w:rFonts w:ascii="Arial" w:cs="Arial" w:eastAsia="Arial" w:hAnsi="Arial"/>
          <w:sz w:val="20"/>
          <w:szCs w:val="20"/>
          <w:b w:val="1"/>
          <w:bCs w:val="1"/>
          <w:color w:val="auto"/>
        </w:rPr>
        <w:t xml:space="preserve">. </w:t>
      </w:r>
      <w:r>
        <w:rPr>
          <w:rFonts w:ascii="Arial" w:cs="Arial" w:eastAsia="Arial" w:hAnsi="Arial"/>
          <w:sz w:val="20"/>
          <w:szCs w:val="20"/>
          <w:color w:val="auto"/>
        </w:rPr>
        <w:t>To indicate your acceptance of this Agreement, please sign and date this Agreement and return</w:t>
      </w:r>
      <w:r>
        <w:rPr>
          <w:rFonts w:ascii="Arial" w:cs="Arial" w:eastAsia="Arial" w:hAnsi="Arial"/>
          <w:sz w:val="20"/>
          <w:szCs w:val="20"/>
          <w:b w:val="1"/>
          <w:bCs w:val="1"/>
          <w:color w:val="auto"/>
        </w:rPr>
        <w:t xml:space="preserve"> </w:t>
      </w:r>
      <w:r>
        <w:rPr>
          <w:rFonts w:ascii="Arial" w:cs="Arial" w:eastAsia="Arial" w:hAnsi="Arial"/>
          <w:sz w:val="20"/>
          <w:szCs w:val="20"/>
          <w:color w:val="auto"/>
        </w:rPr>
        <w:t>the signed copy to me.</w:t>
      </w:r>
    </w:p>
    <w:p>
      <w:pPr>
        <w:spacing w:after="0" w:line="183"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Very truly yours,</w:t>
      </w:r>
    </w:p>
    <w:p>
      <w:pPr>
        <w:spacing w:after="0" w:line="223"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PROGYNY, INC.</w:t>
      </w:r>
    </w:p>
    <w:p>
      <w:pPr>
        <w:spacing w:after="0" w:line="235"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/s/ Pete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10160</wp:posOffset>
            </wp:positionV>
            <wp:extent cx="30600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20"/>
          <w:szCs w:val="20"/>
          <w:color w:val="auto"/>
        </w:rPr>
        <w:t>SIGNED: Pete Anevski</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understood this Agreement and hereby acknowledge, accept and agree to the terms as set forth above.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60" w:type="dxa"/>
            <w:vAlign w:val="bottom"/>
            <w:gridSpan w:val="2"/>
          </w:tcPr>
          <w:p>
            <w:pPr>
              <w:spacing w:after="0"/>
              <w:rPr>
                <w:sz w:val="20"/>
                <w:szCs w:val="20"/>
                <w:color w:val="auto"/>
              </w:rPr>
            </w:pPr>
            <w:r>
              <w:rPr>
                <w:rFonts w:ascii="Arial" w:cs="Arial" w:eastAsia="Arial" w:hAnsi="Arial"/>
                <w:sz w:val="20"/>
                <w:szCs w:val="20"/>
                <w:color w:val="auto"/>
              </w:rPr>
              <w:t>/s/ David Schlanger</w:t>
            </w:r>
          </w:p>
        </w:tc>
        <w:tc>
          <w:tcPr>
            <w:tcW w:w="5060" w:type="dxa"/>
            <w:vAlign w:val="bottom"/>
            <w:gridSpan w:val="2"/>
          </w:tcPr>
          <w:p>
            <w:pPr>
              <w:ind w:left="220"/>
              <w:spacing w:after="0"/>
              <w:rPr>
                <w:sz w:val="20"/>
                <w:szCs w:val="20"/>
                <w:color w:val="auto"/>
              </w:rPr>
            </w:pPr>
            <w:r>
              <w:rPr>
                <w:rFonts w:ascii="Arial" w:cs="Arial" w:eastAsia="Arial" w:hAnsi="Arial"/>
                <w:sz w:val="20"/>
                <w:szCs w:val="20"/>
                <w:color w:val="auto"/>
              </w:rPr>
              <w:t>12/23/2021</w:t>
            </w:r>
          </w:p>
        </w:tc>
      </w:tr>
      <w:tr>
        <w:trPr>
          <w:trHeight w:val="250"/>
        </w:trPr>
        <w:tc>
          <w:tcPr>
            <w:tcW w:w="20" w:type="dxa"/>
            <w:vAlign w:val="bottom"/>
          </w:tcPr>
          <w:p>
            <w:pPr>
              <w:spacing w:after="0"/>
              <w:rPr>
                <w:sz w:val="21"/>
                <w:szCs w:val="21"/>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SIGNED: David Schlanger</w:t>
            </w:r>
          </w:p>
        </w:tc>
        <w:tc>
          <w:tcPr>
            <w:tcW w:w="220" w:type="dxa"/>
            <w:vAlign w:val="bottom"/>
          </w:tcPr>
          <w:p>
            <w:pPr>
              <w:spacing w:after="0"/>
              <w:rPr>
                <w:sz w:val="21"/>
                <w:szCs w:val="21"/>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DATE</w:t>
            </w:r>
          </w:p>
        </w:tc>
      </w:tr>
      <w:tr>
        <w:trPr>
          <w:trHeight w:val="85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8</w:t>
            </w:r>
          </w:p>
        </w:tc>
        <w:tc>
          <w:tcPr>
            <w:tcW w:w="4840" w:type="dxa"/>
            <w:vAlign w:val="bottom"/>
          </w:tcPr>
          <w:p>
            <w:pPr>
              <w:spacing w:after="0"/>
              <w:rPr>
                <w:sz w:val="24"/>
                <w:szCs w:val="24"/>
                <w:color w:val="auto"/>
              </w:rPr>
            </w:pPr>
          </w:p>
        </w:tc>
      </w:tr>
      <w:tr>
        <w:trPr>
          <w:trHeight w:val="557"/>
        </w:trPr>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54" w:right="99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159385</wp:posOffset>
            </wp:positionV>
            <wp:extent cx="1817370" cy="5657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18173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December 17,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Pete Anevski</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 Progyny, Inc.</w:t>
      </w:r>
    </w:p>
    <w:p>
      <w:pPr>
        <w:spacing w:after="0"/>
        <w:rPr>
          <w:sz w:val="20"/>
          <w:szCs w:val="20"/>
          <w:color w:val="auto"/>
        </w:rPr>
      </w:pPr>
      <w:r>
        <w:rPr>
          <w:rFonts w:ascii="Arial" w:cs="Arial" w:eastAsia="Arial" w:hAnsi="Arial"/>
          <w:sz w:val="20"/>
          <w:szCs w:val="20"/>
          <w:color w:val="auto"/>
        </w:rPr>
        <w:t>1359 Broadway, 2nd Fl</w:t>
      </w:r>
    </w:p>
    <w:p>
      <w:pPr>
        <w:spacing w:after="0"/>
        <w:rPr>
          <w:sz w:val="20"/>
          <w:szCs w:val="20"/>
          <w:color w:val="auto"/>
        </w:rPr>
      </w:pPr>
      <w:r>
        <w:rPr>
          <w:rFonts w:ascii="Arial" w:cs="Arial" w:eastAsia="Arial" w:hAnsi="Arial"/>
          <w:sz w:val="20"/>
          <w:szCs w:val="20"/>
          <w:color w:val="auto"/>
        </w:rPr>
        <w:t>New York, NY 10018</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6"/>
          <w:szCs w:val="16"/>
          <w:b w:val="1"/>
          <w:bCs w:val="1"/>
          <w:u w:val="single" w:color="auto"/>
          <w:color w:val="auto"/>
        </w:rPr>
        <w:t>Amended and Restated Employment Agreement with Progyny, Inc.</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Dear Pete:</w:t>
      </w:r>
    </w:p>
    <w:p>
      <w:pPr>
        <w:spacing w:after="0" w:line="3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letter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confirms the terms and conditions of your ongoing employment with Progyny, Inc. (“</w:t>
      </w:r>
      <w:r>
        <w:rPr>
          <w:rFonts w:ascii="Arial" w:cs="Arial" w:eastAsia="Arial" w:hAnsi="Arial"/>
          <w:sz w:val="20"/>
          <w:szCs w:val="20"/>
          <w:b w:val="1"/>
          <w:bCs w:val="1"/>
          <w:i w:val="1"/>
          <w:iCs w:val="1"/>
          <w:color w:val="auto"/>
        </w:rPr>
        <w:t>Progyny</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replaces your previous employment letter dated December 14, 2016, as previously amended on August 18, 2018 and July 1, 2019 (the “</w:t>
      </w:r>
      <w:r>
        <w:rPr>
          <w:rFonts w:ascii="Arial" w:cs="Arial" w:eastAsia="Arial" w:hAnsi="Arial"/>
          <w:sz w:val="20"/>
          <w:szCs w:val="20"/>
          <w:b w:val="1"/>
          <w:bCs w:val="1"/>
          <w:i w:val="1"/>
          <w:iCs w:val="1"/>
          <w:color w:val="auto"/>
        </w:rPr>
        <w:t>Prior Agreement</w:t>
      </w:r>
      <w:r>
        <w:rPr>
          <w:rFonts w:ascii="Arial" w:cs="Arial" w:eastAsia="Arial" w:hAnsi="Arial"/>
          <w:sz w:val="20"/>
          <w:szCs w:val="20"/>
          <w:color w:val="auto"/>
        </w:rPr>
        <w:t>”). This Agreement will be effective as of January 1, 2022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w:t>
      </w:r>
    </w:p>
    <w:p>
      <w:pPr>
        <w:spacing w:after="0" w:line="199" w:lineRule="exact"/>
        <w:rPr>
          <w:sz w:val="20"/>
          <w:szCs w:val="20"/>
          <w:color w:val="auto"/>
        </w:rPr>
      </w:pPr>
    </w:p>
    <w:p>
      <w:pPr>
        <w:jc w:val="both"/>
        <w:ind w:firstLine="656"/>
        <w:spacing w:after="0" w:line="271" w:lineRule="auto"/>
        <w:tabs>
          <w:tab w:leader="none" w:pos="129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Your Position; Salary; Bonus 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continue to be employed on a full-time basis and based</w:t>
      </w:r>
      <w:r>
        <w:rPr>
          <w:rFonts w:ascii="Arial" w:cs="Arial" w:eastAsia="Arial" w:hAnsi="Arial"/>
          <w:sz w:val="18"/>
          <w:szCs w:val="18"/>
          <w:b w:val="1"/>
          <w:bCs w:val="1"/>
          <w:color w:val="auto"/>
        </w:rPr>
        <w:t xml:space="preserve"> </w:t>
      </w:r>
      <w:r>
        <w:rPr>
          <w:rFonts w:ascii="Arial" w:cs="Arial" w:eastAsia="Arial" w:hAnsi="Arial"/>
          <w:sz w:val="18"/>
          <w:szCs w:val="18"/>
          <w:color w:val="auto"/>
        </w:rPr>
        <w:t>out of our office located in New York, New York. Commencing on the Effective Date, you will serve as Chief Executive Officer of the Company, reporting to the Board of Directors of the Company (the “Board”), and your base salary will increase to $41,666.66 per month ($500,000.00 per year), subject to payroll deductions and applicable withholdings, paid on the Company’s regular payroll pay dates. As part of your position as Chief Executive Officer, the Company will appoint you as a member of the Board, subject to any required Board and/or stockholder approval. In the event of the termination of your employment for any reason (whether at your request or the Company’s request), or your removal from the position of Chief Executive Officer, you agree to promptly resign as a member of the Board, and all positions you hold with the Company or any of its subsidiaries, effective no later than such termination or removal date. Throughout this letter, references to approval or determination by the Board (or similar phrasing) shall mean, if you have been appointed to the Board at such time, approval by the Board with you recusing yourself from any such determination.</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may modify your compensation, position, duties and work location from time to time in its discretion, subject to your rights, if applicable, to severance as set forth herein. In the event of the termination of your employment for any reason (whether at your request or the Company’s request), or your removal from your positions, you agree to promptly resign from all positions you hold with the Company or any of its subsidiaries (including any Board positions), effective no later than such termination or removal date.</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Normal business hours are from 9:00 am to 6:00 pm, Monday through Friday. As an exempt, salaried employee, you will continue to be expected to work additional hours as required by the nature of your work assignments. Throughout your employment with the Company, you shall continue to devote your best efforts and substantially all of your business time and attention to the business and affairs of the Company, and you agree that you shall not have any other employment or consulting arrangements as long as you work for the Company, other than as the Company may expressly agree in writing. Notwithstanding your full-time business obligation to the Company, you will continue to be permitted to participate on the boards of directors of up to two non-competitive for-profit entities, and you may engage in civic and not-for-profit activities, so long as in any such case, such activities do not interfere with the performance of your duties hereunder or present a conflict of interest with the Company and that you have informed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470535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9" w:name="page80"/>
    <w:bookmarkEnd w:id="79"/>
    <w:p>
      <w:pPr>
        <w:jc w:val="both"/>
        <w:spacing w:after="0" w:line="260" w:lineRule="auto"/>
        <w:rPr>
          <w:sz w:val="20"/>
          <w:szCs w:val="20"/>
          <w:color w:val="auto"/>
        </w:rPr>
      </w:pPr>
      <w:r>
        <w:rPr>
          <w:rFonts w:ascii="Arial" w:cs="Arial" w:eastAsia="Arial" w:hAnsi="Arial"/>
          <w:sz w:val="20"/>
          <w:szCs w:val="20"/>
          <w:color w:val="auto"/>
        </w:rPr>
        <w:t>Company of the general nature of such activities and, as to any other boards of directors, you provide advance written notice to the Company.</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202"/>
        </w:rPr>
        <w:t>Commencing with the fiscal year ending on December 31, 2022 and thereafter, you will be eligible to receive an annual discretionary performance of up to a maximum of 100% of your annual salary, subject to payroll deductions and applicable withholdings, and, if the Board adopts a bonus plan applicable to Company executives, subject to the terms and conditions of such plan. Whether you receive a bonus for any given year, and the amount of any such bonus, will be determined by the Board in its good faith discretion based upon the Company’s and your achievement of objectives and milestones to be determined on an annual basis by the Board. Except as otherwise specified in Section 5 of this Agreement,</w:t>
      </w:r>
    </w:p>
    <w:p>
      <w:pPr>
        <w:spacing w:after="0" w:line="1" w:lineRule="exact"/>
        <w:rPr>
          <w:sz w:val="20"/>
          <w:szCs w:val="20"/>
          <w:color w:val="auto"/>
        </w:rPr>
      </w:pPr>
    </w:p>
    <w:p>
      <w:pPr>
        <w:jc w:val="both"/>
        <w:ind w:firstLine="8"/>
        <w:spacing w:after="0" w:line="241" w:lineRule="auto"/>
        <w:tabs>
          <w:tab w:leader="none" w:pos="256" w:val="left"/>
        </w:tabs>
        <w:numPr>
          <w:ilvl w:val="0"/>
          <w:numId w:val="52"/>
        </w:numPr>
        <w:rPr>
          <w:rFonts w:ascii="Arial" w:cs="Arial" w:eastAsia="Arial" w:hAnsi="Arial"/>
          <w:sz w:val="20"/>
          <w:szCs w:val="20"/>
          <w:color w:val="010202"/>
        </w:rPr>
      </w:pPr>
      <w:r>
        <w:rPr>
          <w:rFonts w:ascii="Arial" w:cs="Arial" w:eastAsia="Arial" w:hAnsi="Arial"/>
          <w:sz w:val="20"/>
          <w:szCs w:val="20"/>
          <w:color w:val="010202"/>
        </w:rPr>
        <w:t>you must remain an active employee through the date of payment of any such bonus in order to earn and receive that bonus and (ii) you will not be eligible for, and will not earn, any bonus (including a prorated bonus) if your employment terminates for any reason before the applicable bonus payment date.</w:t>
      </w:r>
    </w:p>
    <w:p>
      <w:pPr>
        <w:spacing w:after="0" w:line="203" w:lineRule="exact"/>
        <w:rPr>
          <w:rFonts w:ascii="Arial" w:cs="Arial" w:eastAsia="Arial" w:hAnsi="Arial"/>
          <w:sz w:val="20"/>
          <w:szCs w:val="20"/>
          <w:color w:val="010202"/>
        </w:rPr>
      </w:pPr>
    </w:p>
    <w:p>
      <w:pPr>
        <w:jc w:val="both"/>
        <w:ind w:firstLine="656"/>
        <w:spacing w:after="0" w:line="270" w:lineRule="auto"/>
        <w:tabs>
          <w:tab w:leader="none" w:pos="1296" w:val="left"/>
        </w:tabs>
        <w:numPr>
          <w:ilvl w:val="1"/>
          <w:numId w:val="52"/>
        </w:numPr>
        <w:rPr>
          <w:rFonts w:ascii="Arial" w:cs="Arial" w:eastAsia="Arial" w:hAnsi="Arial"/>
          <w:sz w:val="18"/>
          <w:szCs w:val="18"/>
          <w:b w:val="1"/>
          <w:bCs w:val="1"/>
          <w:color w:val="010202"/>
        </w:rPr>
      </w:pPr>
      <w:r>
        <w:rPr>
          <w:rFonts w:ascii="Arial" w:cs="Arial" w:eastAsia="Arial" w:hAnsi="Arial"/>
          <w:sz w:val="18"/>
          <w:szCs w:val="18"/>
          <w:b w:val="1"/>
          <w:bCs w:val="1"/>
          <w:u w:val="single" w:color="auto"/>
          <w:color w:val="010202"/>
        </w:rPr>
        <w:t>Stock Options; RSUs and PRSUs.</w:t>
      </w:r>
      <w:r>
        <w:rPr>
          <w:rFonts w:ascii="Arial" w:cs="Arial" w:eastAsia="Arial" w:hAnsi="Arial"/>
          <w:sz w:val="18"/>
          <w:szCs w:val="18"/>
          <w:b w:val="1"/>
          <w:bCs w:val="1"/>
          <w:color w:val="010202"/>
        </w:rPr>
        <w:t xml:space="preserve"> </w:t>
      </w:r>
      <w:r>
        <w:rPr>
          <w:rFonts w:ascii="Arial" w:cs="Arial" w:eastAsia="Arial" w:hAnsi="Arial"/>
          <w:sz w:val="18"/>
          <w:szCs w:val="18"/>
          <w:color w:val="010202"/>
        </w:rPr>
        <w:t>(a) You have previously been granted options to purchase shares of the</w:t>
      </w:r>
      <w:r>
        <w:rPr>
          <w:rFonts w:ascii="Arial" w:cs="Arial" w:eastAsia="Arial" w:hAnsi="Arial"/>
          <w:sz w:val="18"/>
          <w:szCs w:val="18"/>
          <w:b w:val="1"/>
          <w:bCs w:val="1"/>
          <w:color w:val="010202"/>
        </w:rPr>
        <w:t xml:space="preserve"> </w:t>
      </w:r>
      <w:r>
        <w:rPr>
          <w:rFonts w:ascii="Arial" w:cs="Arial" w:eastAsia="Arial" w:hAnsi="Arial"/>
          <w:sz w:val="18"/>
          <w:szCs w:val="18"/>
          <w:color w:val="010202"/>
        </w:rPr>
        <w:t>Company’s common stock (such options together with any other options that may be granted to you in the future, shall collectively be referred to in this Agreement as “</w:t>
      </w:r>
      <w:r>
        <w:rPr>
          <w:rFonts w:ascii="Arial" w:cs="Arial" w:eastAsia="Arial" w:hAnsi="Arial"/>
          <w:sz w:val="18"/>
          <w:szCs w:val="18"/>
          <w:b w:val="1"/>
          <w:bCs w:val="1"/>
          <w:i w:val="1"/>
          <w:iCs w:val="1"/>
          <w:color w:val="010202"/>
        </w:rPr>
        <w:t>Options</w:t>
      </w:r>
      <w:r>
        <w:rPr>
          <w:rFonts w:ascii="Arial" w:cs="Arial" w:eastAsia="Arial" w:hAnsi="Arial"/>
          <w:sz w:val="18"/>
          <w:szCs w:val="18"/>
          <w:color w:val="010202"/>
        </w:rPr>
        <w:t>”) and shall remain outstanding and continue in full force and effect in accordance with their respective terms (including, without limitation, the terms in Sections 5(b) and 5(c) below). (b) In addition, you will be granted on the Effective Date, (i) a nonqualified option to purchase 1,000,000 shares of the Company’s common stock (the “</w:t>
      </w:r>
      <w:r>
        <w:rPr>
          <w:rFonts w:ascii="Arial" w:cs="Arial" w:eastAsia="Arial" w:hAnsi="Arial"/>
          <w:sz w:val="18"/>
          <w:szCs w:val="18"/>
          <w:b w:val="1"/>
          <w:bCs w:val="1"/>
          <w:i w:val="1"/>
          <w:iCs w:val="1"/>
          <w:color w:val="010202"/>
        </w:rPr>
        <w:t>New Options</w:t>
      </w:r>
      <w:r>
        <w:rPr>
          <w:rFonts w:ascii="Arial" w:cs="Arial" w:eastAsia="Arial" w:hAnsi="Arial"/>
          <w:sz w:val="18"/>
          <w:szCs w:val="18"/>
          <w:color w:val="010202"/>
        </w:rPr>
        <w:t>”), (ii) 250,000 restricted stock units (the “</w:t>
      </w:r>
      <w:r>
        <w:rPr>
          <w:rFonts w:ascii="Arial" w:cs="Arial" w:eastAsia="Arial" w:hAnsi="Arial"/>
          <w:sz w:val="18"/>
          <w:szCs w:val="18"/>
          <w:b w:val="1"/>
          <w:bCs w:val="1"/>
          <w:i w:val="1"/>
          <w:iCs w:val="1"/>
          <w:color w:val="010202"/>
        </w:rPr>
        <w:t>New RSUs</w:t>
      </w:r>
      <w:r>
        <w:rPr>
          <w:rFonts w:ascii="Arial" w:cs="Arial" w:eastAsia="Arial" w:hAnsi="Arial"/>
          <w:sz w:val="18"/>
          <w:szCs w:val="18"/>
          <w:color w:val="010202"/>
        </w:rPr>
        <w:t>”) and (iii) 250,000 performance-based restricted stock units, which will vest upon the attainment of specified performance goals over a fivc (5) year period (the “</w:t>
      </w:r>
      <w:r>
        <w:rPr>
          <w:rFonts w:ascii="Arial" w:cs="Arial" w:eastAsia="Arial" w:hAnsi="Arial"/>
          <w:sz w:val="18"/>
          <w:szCs w:val="18"/>
          <w:b w:val="1"/>
          <w:bCs w:val="1"/>
          <w:i w:val="1"/>
          <w:iCs w:val="1"/>
          <w:color w:val="010202"/>
        </w:rPr>
        <w:t>New PRSUs</w:t>
      </w:r>
      <w:r>
        <w:rPr>
          <w:rFonts w:ascii="Arial" w:cs="Arial" w:eastAsia="Arial" w:hAnsi="Arial"/>
          <w:sz w:val="18"/>
          <w:szCs w:val="18"/>
          <w:color w:val="010202"/>
        </w:rPr>
        <w:t>”, and together with the New Options and the New RSUs, the “</w:t>
      </w:r>
      <w:r>
        <w:rPr>
          <w:rFonts w:ascii="Arial" w:cs="Arial" w:eastAsia="Arial" w:hAnsi="Arial"/>
          <w:sz w:val="18"/>
          <w:szCs w:val="18"/>
          <w:b w:val="1"/>
          <w:bCs w:val="1"/>
          <w:i w:val="1"/>
          <w:iCs w:val="1"/>
          <w:color w:val="010202"/>
        </w:rPr>
        <w:t>New Grants</w:t>
      </w:r>
      <w:r>
        <w:rPr>
          <w:rFonts w:ascii="Arial" w:cs="Arial" w:eastAsia="Arial" w:hAnsi="Arial"/>
          <w:sz w:val="18"/>
          <w:szCs w:val="18"/>
          <w:color w:val="010202"/>
        </w:rPr>
        <w:t>”), in each case subject to the terms of the 2019 Equity Incentive Plan and the standard award agreement thereunder, subject to sections 5(b) and 5(c) below. Subject to your continued employment on the applicable vesting dates (except as set forth below in Sections 5(b) and 5(c)), the New Options and New RSUs will vest over the four-year period following the Effective Date, with 25% vesting on the one-year anniversary of the Effective Date and the remaining 75% vesting in equal quarterly installments over the following 36 months (with full vesting on the fourth anniversary of the Effective Date).</w:t>
      </w:r>
    </w:p>
    <w:p>
      <w:pPr>
        <w:spacing w:after="0" w:line="185" w:lineRule="exact"/>
        <w:rPr>
          <w:rFonts w:ascii="Arial" w:cs="Arial" w:eastAsia="Arial" w:hAnsi="Arial"/>
          <w:sz w:val="18"/>
          <w:szCs w:val="18"/>
          <w:b w:val="1"/>
          <w:bCs w:val="1"/>
          <w:color w:val="010202"/>
        </w:rPr>
      </w:pPr>
    </w:p>
    <w:p>
      <w:pPr>
        <w:jc w:val="both"/>
        <w:ind w:firstLine="656"/>
        <w:spacing w:after="0" w:line="285" w:lineRule="auto"/>
        <w:tabs>
          <w:tab w:leader="none" w:pos="1296"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continue to be eligible to participate in the Company’s employee benefit plans and paid</w:t>
      </w:r>
      <w:r>
        <w:rPr>
          <w:rFonts w:ascii="Arial" w:cs="Arial" w:eastAsia="Arial" w:hAnsi="Arial"/>
          <w:sz w:val="18"/>
          <w:szCs w:val="18"/>
          <w:b w:val="1"/>
          <w:bCs w:val="1"/>
          <w:color w:val="auto"/>
        </w:rPr>
        <w:t xml:space="preserve"> </w:t>
      </w:r>
      <w:r>
        <w:rPr>
          <w:rFonts w:ascii="Arial" w:cs="Arial" w:eastAsia="Arial" w:hAnsi="Arial"/>
          <w:sz w:val="18"/>
          <w:szCs w:val="18"/>
          <w:color w:val="auto"/>
        </w:rPr>
        <w:t>time off policies of general application as they may exist from time to time, subject to any eligibility requirements imposed by such plans. The Company reserves the right to change or otherwise modify, in its sole discretion, the benefits offered to employees to conform to the Company’s general policies as they may be changed from time to time.</w:t>
      </w:r>
    </w:p>
    <w:p>
      <w:pPr>
        <w:spacing w:after="0" w:line="164" w:lineRule="exact"/>
        <w:rPr>
          <w:rFonts w:ascii="Arial" w:cs="Arial" w:eastAsia="Arial" w:hAnsi="Arial"/>
          <w:sz w:val="18"/>
          <w:szCs w:val="18"/>
          <w:b w:val="1"/>
          <w:bCs w:val="1"/>
          <w:color w:val="auto"/>
        </w:rPr>
      </w:pPr>
    </w:p>
    <w:p>
      <w:pPr>
        <w:jc w:val="both"/>
        <w:ind w:firstLine="656"/>
        <w:spacing w:after="0" w:line="243" w:lineRule="auto"/>
        <w:tabs>
          <w:tab w:leader="none" w:pos="1296" w:val="left"/>
        </w:tabs>
        <w:numPr>
          <w:ilvl w:val="1"/>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r>
        <w:rPr>
          <w:rFonts w:ascii="Arial" w:cs="Arial" w:eastAsia="Arial" w:hAnsi="Arial"/>
          <w:sz w:val="20"/>
          <w:szCs w:val="20"/>
          <w:b w:val="1"/>
          <w:bCs w:val="1"/>
          <w:color w:val="auto"/>
        </w:rPr>
        <w:t xml:space="preserve">. </w:t>
      </w:r>
      <w:r>
        <w:rPr>
          <w:rFonts w:ascii="Arial" w:cs="Arial" w:eastAsia="Arial" w:hAnsi="Arial"/>
          <w:sz w:val="20"/>
          <w:szCs w:val="20"/>
          <w:color w:val="auto"/>
        </w:rPr>
        <w:t>As an employee of the Company, you will continue to have access to certain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of the Company and you may, during the course of your employment, develop certain information or inventions that will be the property of the Company. To protect the interests of the Company, you hereby ratify the “Proprietary Information, Inventions and Non-Solicitation/Non-Competition Agreement” you previously signed. You agree that you have not, and during the period that you render services to the Company, will not (i) engage in any employment, business or activity that is in any way competitive with the business or proposed business of the Company, or (ii) assist any other person or organization in competing with the Company or in preparing to engage in competition with the business or proposed business of the Company.</w:t>
      </w:r>
    </w:p>
    <w:p>
      <w:pPr>
        <w:spacing w:after="0" w:line="202" w:lineRule="exact"/>
        <w:rPr>
          <w:rFonts w:ascii="Arial" w:cs="Arial" w:eastAsia="Arial" w:hAnsi="Arial"/>
          <w:sz w:val="20"/>
          <w:szCs w:val="20"/>
          <w:b w:val="1"/>
          <w:bCs w:val="1"/>
          <w:color w:val="auto"/>
        </w:rPr>
      </w:pPr>
    </w:p>
    <w:p>
      <w:pPr>
        <w:ind w:left="1300" w:hanging="644"/>
        <w:spacing w:after="0"/>
        <w:tabs>
          <w:tab w:leader="none" w:pos="1300" w:val="left"/>
        </w:tabs>
        <w:numPr>
          <w:ilvl w:val="1"/>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010202"/>
        </w:rPr>
        <w:t>At-Will Employment; Termination of Employment; Severance.</w:t>
      </w:r>
    </w:p>
    <w:p>
      <w:pPr>
        <w:spacing w:after="0" w:line="229" w:lineRule="exact"/>
        <w:rPr>
          <w:rFonts w:ascii="Arial" w:cs="Arial" w:eastAsia="Arial" w:hAnsi="Arial"/>
          <w:sz w:val="20"/>
          <w:szCs w:val="20"/>
          <w:b w:val="1"/>
          <w:bCs w:val="1"/>
          <w:color w:val="auto"/>
        </w:rPr>
      </w:pPr>
    </w:p>
    <w:p>
      <w:pPr>
        <w:jc w:val="both"/>
        <w:ind w:firstLine="1296"/>
        <w:spacing w:after="0" w:line="245" w:lineRule="auto"/>
        <w:rPr>
          <w:rFonts w:ascii="Arial" w:cs="Arial" w:eastAsia="Arial" w:hAnsi="Arial"/>
          <w:sz w:val="20"/>
          <w:szCs w:val="20"/>
          <w:b w:val="1"/>
          <w:bCs w:val="1"/>
          <w:color w:val="auto"/>
        </w:rPr>
      </w:pPr>
      <w:r>
        <w:rPr>
          <w:rFonts w:ascii="Arial" w:cs="Arial" w:eastAsia="Arial" w:hAnsi="Arial"/>
          <w:sz w:val="20"/>
          <w:szCs w:val="20"/>
          <w:b w:val="1"/>
          <w:bCs w:val="1"/>
          <w:color w:val="010202"/>
        </w:rPr>
        <w:t xml:space="preserve">a. At-Will Employment. </w:t>
      </w:r>
      <w:r>
        <w:rPr>
          <w:rFonts w:ascii="Arial" w:cs="Arial" w:eastAsia="Arial" w:hAnsi="Arial"/>
          <w:sz w:val="20"/>
          <w:szCs w:val="20"/>
          <w:color w:val="010202"/>
        </w:rPr>
        <w:t>Your employment with the Company will be “at will.” You may terminate</w:t>
      </w:r>
      <w:r>
        <w:rPr>
          <w:rFonts w:ascii="Arial" w:cs="Arial" w:eastAsia="Arial" w:hAnsi="Arial"/>
          <w:sz w:val="20"/>
          <w:szCs w:val="20"/>
          <w:b w:val="1"/>
          <w:bCs w:val="1"/>
          <w:color w:val="010202"/>
        </w:rPr>
        <w:t xml:space="preserve"> </w:t>
      </w:r>
      <w:r>
        <w:rPr>
          <w:rFonts w:ascii="Arial" w:cs="Arial" w:eastAsia="Arial" w:hAnsi="Arial"/>
          <w:sz w:val="20"/>
          <w:szCs w:val="20"/>
          <w:color w:val="010202"/>
        </w:rPr>
        <w:t>your employment with Company at any time and for any reason whatsoever (or no reason) simply by notifying the Company. Likewise, the Company may terminate your employment at any time, with or without Cause (as defined below) or advance notice. Your employment with the Company may also be terminated due to your death or disability. Neither the vesting of any option described in this Agreement (nor any other provision of this Agreement or any other agreement between you and the Company), 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483235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80" w:name="page81"/>
    <w:bookmarkEnd w:id="80"/>
    <w:p>
      <w:pPr>
        <w:jc w:val="both"/>
        <w:spacing w:after="0" w:line="291" w:lineRule="auto"/>
        <w:rPr>
          <w:sz w:val="20"/>
          <w:szCs w:val="20"/>
          <w:color w:val="auto"/>
        </w:rPr>
      </w:pPr>
      <w:r>
        <w:rPr>
          <w:rFonts w:ascii="Arial" w:cs="Arial" w:eastAsia="Arial" w:hAnsi="Arial"/>
          <w:sz w:val="18"/>
          <w:szCs w:val="18"/>
          <w:color w:val="010202"/>
        </w:rPr>
        <w:t>your participation in any stock option, incentive bonus, or other equity or benefit program in the future, is to be regarded as assuring you of continuing employment for any particular period of time. Your employment at-will status can only be modified in a written agreement signed by you and by a duly authorized officer of the Company (other than you).</w:t>
      </w:r>
    </w:p>
    <w:p>
      <w:pPr>
        <w:spacing w:after="0" w:line="159" w:lineRule="exact"/>
        <w:rPr>
          <w:sz w:val="20"/>
          <w:szCs w:val="20"/>
          <w:color w:val="auto"/>
        </w:rPr>
      </w:pPr>
    </w:p>
    <w:p>
      <w:pPr>
        <w:jc w:val="both"/>
        <w:ind w:firstLine="1304"/>
        <w:spacing w:after="0" w:line="259" w:lineRule="auto"/>
        <w:tabs>
          <w:tab w:leader="none" w:pos="1944" w:val="left"/>
        </w:tabs>
        <w:numPr>
          <w:ilvl w:val="1"/>
          <w:numId w:val="53"/>
        </w:numPr>
        <w:rPr>
          <w:rFonts w:ascii="Arial" w:cs="Arial" w:eastAsia="Arial" w:hAnsi="Arial"/>
          <w:sz w:val="19"/>
          <w:szCs w:val="19"/>
          <w:b w:val="1"/>
          <w:bCs w:val="1"/>
          <w:color w:val="010202"/>
        </w:rPr>
      </w:pPr>
      <w:r>
        <w:rPr>
          <w:rFonts w:ascii="Arial" w:cs="Arial" w:eastAsia="Arial" w:hAnsi="Arial"/>
          <w:sz w:val="19"/>
          <w:szCs w:val="19"/>
          <w:b w:val="1"/>
          <w:bCs w:val="1"/>
          <w:color w:val="010202"/>
        </w:rPr>
        <w:t xml:space="preserve">Termination Without Cause </w:t>
      </w:r>
      <w:r>
        <w:rPr>
          <w:rFonts w:ascii="Arial" w:cs="Arial" w:eastAsia="Arial" w:hAnsi="Arial"/>
          <w:sz w:val="19"/>
          <w:szCs w:val="19"/>
          <w:b w:val="1"/>
          <w:bCs w:val="1"/>
          <w:color w:val="000000"/>
        </w:rPr>
        <w:t>or Resignation for Good Reason</w:t>
      </w:r>
      <w:r>
        <w:rPr>
          <w:rFonts w:ascii="Arial" w:cs="Arial" w:eastAsia="Arial" w:hAnsi="Arial"/>
          <w:sz w:val="19"/>
          <w:szCs w:val="19"/>
          <w:b w:val="1"/>
          <w:bCs w:val="1"/>
          <w:color w:val="010202"/>
        </w:rPr>
        <w:t xml:space="preserve"> Not in Connection with an Acquisition. </w:t>
      </w:r>
      <w:r>
        <w:rPr>
          <w:rFonts w:ascii="Arial" w:cs="Arial" w:eastAsia="Arial" w:hAnsi="Arial"/>
          <w:sz w:val="19"/>
          <w:szCs w:val="19"/>
          <w:color w:val="010202"/>
        </w:rPr>
        <w:t>In the event your employment with the Company (or its subsidiaries) is terminated by the Company (or its</w:t>
      </w:r>
      <w:r>
        <w:rPr>
          <w:rFonts w:ascii="Arial" w:cs="Arial" w:eastAsia="Arial" w:hAnsi="Arial"/>
          <w:sz w:val="19"/>
          <w:szCs w:val="19"/>
          <w:b w:val="1"/>
          <w:bCs w:val="1"/>
          <w:color w:val="010202"/>
        </w:rPr>
        <w:t xml:space="preserve"> </w:t>
      </w:r>
      <w:r>
        <w:rPr>
          <w:rFonts w:ascii="Arial" w:cs="Arial" w:eastAsia="Arial" w:hAnsi="Arial"/>
          <w:sz w:val="19"/>
          <w:szCs w:val="19"/>
          <w:color w:val="010202"/>
        </w:rPr>
        <w:t>subsidiaries) without Cause or you resign for Good Reason (as defined below), in each case other than during the Change of Control Severance Period (as defined below), then provided such termination constitutes a “separation from service” (as defined under Treasury Regulation Section 1.409A-1(h), without regard to any alternative definition thereunder, a “</w:t>
      </w:r>
      <w:r>
        <w:rPr>
          <w:rFonts w:ascii="Arial" w:cs="Arial" w:eastAsia="Arial" w:hAnsi="Arial"/>
          <w:sz w:val="19"/>
          <w:szCs w:val="19"/>
          <w:b w:val="1"/>
          <w:bCs w:val="1"/>
          <w:i w:val="1"/>
          <w:iCs w:val="1"/>
          <w:color w:val="010202"/>
        </w:rPr>
        <w:t>Separation from Service</w:t>
      </w:r>
      <w:r>
        <w:rPr>
          <w:rFonts w:ascii="Arial" w:cs="Arial" w:eastAsia="Arial" w:hAnsi="Arial"/>
          <w:sz w:val="19"/>
          <w:szCs w:val="19"/>
          <w:color w:val="010202"/>
        </w:rPr>
        <w:t>”), and provided that you remain in compliance with the terms of this Agreement, the Company shall provide you with the following severance benefits:</w:t>
      </w:r>
    </w:p>
    <w:p>
      <w:pPr>
        <w:spacing w:after="0" w:line="212" w:lineRule="exact"/>
        <w:rPr>
          <w:rFonts w:ascii="Arial" w:cs="Arial" w:eastAsia="Arial" w:hAnsi="Arial"/>
          <w:sz w:val="19"/>
          <w:szCs w:val="19"/>
          <w:b w:val="1"/>
          <w:bCs w:val="1"/>
          <w:color w:val="010202"/>
        </w:rPr>
      </w:pPr>
    </w:p>
    <w:p>
      <w:pPr>
        <w:jc w:val="both"/>
        <w:ind w:firstLine="1952"/>
        <w:spacing w:after="0" w:line="253" w:lineRule="auto"/>
        <w:tabs>
          <w:tab w:leader="none" w:pos="2605" w:val="left"/>
        </w:tabs>
        <w:numPr>
          <w:ilvl w:val="2"/>
          <w:numId w:val="53"/>
        </w:numPr>
        <w:rPr>
          <w:rFonts w:ascii="Arial" w:cs="Arial" w:eastAsia="Arial" w:hAnsi="Arial"/>
          <w:sz w:val="20"/>
          <w:szCs w:val="20"/>
          <w:b w:val="1"/>
          <w:bCs w:val="1"/>
          <w:color w:val="010202"/>
        </w:rPr>
      </w:pPr>
      <w:r>
        <w:rPr>
          <w:rFonts w:ascii="Arial" w:cs="Arial" w:eastAsia="Arial" w:hAnsi="Arial"/>
          <w:sz w:val="18"/>
          <w:szCs w:val="18"/>
          <w:b w:val="1"/>
          <w:bCs w:val="1"/>
          <w:color w:val="010202"/>
        </w:rPr>
        <w:t xml:space="preserve">Severance Pay. </w:t>
      </w:r>
      <w:r>
        <w:rPr>
          <w:rFonts w:ascii="Arial" w:cs="Arial" w:eastAsia="Arial" w:hAnsi="Arial"/>
          <w:sz w:val="18"/>
          <w:szCs w:val="18"/>
          <w:color w:val="010202"/>
        </w:rPr>
        <w:t>The Company shall pay you, as severance, the equivalent of twelve (12)</w:t>
      </w:r>
      <w:r>
        <w:rPr>
          <w:rFonts w:ascii="Arial" w:cs="Arial" w:eastAsia="Arial" w:hAnsi="Arial"/>
          <w:sz w:val="18"/>
          <w:szCs w:val="18"/>
          <w:b w:val="1"/>
          <w:bCs w:val="1"/>
          <w:color w:val="010202"/>
        </w:rPr>
        <w:t xml:space="preserve"> </w:t>
      </w:r>
      <w:r>
        <w:rPr>
          <w:rFonts w:ascii="Arial" w:cs="Arial" w:eastAsia="Arial" w:hAnsi="Arial"/>
          <w:sz w:val="18"/>
          <w:szCs w:val="18"/>
          <w:color w:val="010202"/>
        </w:rPr>
        <w:t>months of your base salary in effect as of your employment termination date, subject to standard payroll deductions and withholdings. Subject to Section 7(a), this severance amount will be paid in installments in the form of continuation of your base salary payments, paid on the Company’s ordinary payroll dates, commencing on the Company’s first regular payroll date that is more than 60 days following such termination of your employment (the “Starting Date”), and shall be for any accrued base salary for the 60-day period plus the period from the 60</w:t>
      </w:r>
      <w:r>
        <w:rPr>
          <w:rFonts w:ascii="Arial" w:cs="Arial" w:eastAsia="Arial" w:hAnsi="Arial"/>
          <w:sz w:val="26"/>
          <w:szCs w:val="26"/>
          <w:color w:val="010202"/>
          <w:vertAlign w:val="superscript"/>
        </w:rPr>
        <w:t>th</w:t>
      </w:r>
      <w:r>
        <w:rPr>
          <w:rFonts w:ascii="Arial" w:cs="Arial" w:eastAsia="Arial" w:hAnsi="Arial"/>
          <w:sz w:val="18"/>
          <w:szCs w:val="18"/>
          <w:color w:val="010202"/>
        </w:rPr>
        <w:t xml:space="preserve"> day until the regular payroll pay date, if applicable, and all salary continuation payments thereafter, if any, shall be made on the Company’s regular payroll dates.</w:t>
      </w:r>
    </w:p>
    <w:p>
      <w:pPr>
        <w:spacing w:after="0" w:line="187" w:lineRule="exact"/>
        <w:rPr>
          <w:rFonts w:ascii="Arial" w:cs="Arial" w:eastAsia="Arial" w:hAnsi="Arial"/>
          <w:sz w:val="20"/>
          <w:szCs w:val="20"/>
          <w:b w:val="1"/>
          <w:bCs w:val="1"/>
          <w:color w:val="010202"/>
        </w:rPr>
      </w:pPr>
    </w:p>
    <w:p>
      <w:pPr>
        <w:jc w:val="both"/>
        <w:ind w:firstLine="1952"/>
        <w:spacing w:after="0" w:line="246" w:lineRule="auto"/>
        <w:tabs>
          <w:tab w:leader="none" w:pos="2592" w:val="left"/>
        </w:tabs>
        <w:numPr>
          <w:ilvl w:val="2"/>
          <w:numId w:val="53"/>
        </w:numPr>
        <w:rPr>
          <w:rFonts w:ascii="Arial" w:cs="Arial" w:eastAsia="Arial" w:hAnsi="Arial"/>
          <w:sz w:val="20"/>
          <w:szCs w:val="20"/>
          <w:b w:val="1"/>
          <w:bCs w:val="1"/>
          <w:color w:val="010202"/>
        </w:rPr>
      </w:pPr>
      <w:r>
        <w:rPr>
          <w:rFonts w:ascii="Arial" w:cs="Arial" w:eastAsia="Arial" w:hAnsi="Arial"/>
          <w:sz w:val="20"/>
          <w:szCs w:val="20"/>
          <w:b w:val="1"/>
          <w:bCs w:val="1"/>
          <w:color w:val="010202"/>
        </w:rPr>
        <w:t xml:space="preserve">Bonus. </w:t>
      </w:r>
      <w:r>
        <w:rPr>
          <w:rFonts w:ascii="Arial" w:cs="Arial" w:eastAsia="Arial" w:hAnsi="Arial"/>
          <w:sz w:val="20"/>
          <w:szCs w:val="20"/>
          <w:color w:val="010202"/>
        </w:rPr>
        <w:t>The Company shall pay you your current year target bonus in effect at the time of</w:t>
      </w:r>
      <w:r>
        <w:rPr>
          <w:rFonts w:ascii="Arial" w:cs="Arial" w:eastAsia="Arial" w:hAnsi="Arial"/>
          <w:sz w:val="20"/>
          <w:szCs w:val="20"/>
          <w:b w:val="1"/>
          <w:bCs w:val="1"/>
          <w:color w:val="010202"/>
        </w:rPr>
        <w:t xml:space="preserve"> </w:t>
      </w:r>
      <w:r>
        <w:rPr>
          <w:rFonts w:ascii="Arial" w:cs="Arial" w:eastAsia="Arial" w:hAnsi="Arial"/>
          <w:sz w:val="20"/>
          <w:szCs w:val="20"/>
          <w:color w:val="010202"/>
        </w:rPr>
        <w:t>termination, prorated (based on completed months of service) to the date of termination. Such amount will be paid on the Starting Date. For any bonus amounts relating to the prior year, you will be eligible to receive such bonus to the extent earned as determined by the Board or Company in its sole discretion, payable on the Starting Date, or if not yet determined, then within 60 days following such board of Company determination.</w:t>
      </w:r>
    </w:p>
    <w:p>
      <w:pPr>
        <w:spacing w:after="0" w:line="211" w:lineRule="exact"/>
        <w:rPr>
          <w:rFonts w:ascii="Arial" w:cs="Arial" w:eastAsia="Arial" w:hAnsi="Arial"/>
          <w:sz w:val="20"/>
          <w:szCs w:val="20"/>
          <w:b w:val="1"/>
          <w:bCs w:val="1"/>
          <w:color w:val="010202"/>
        </w:rPr>
      </w:pPr>
    </w:p>
    <w:p>
      <w:pPr>
        <w:jc w:val="both"/>
        <w:ind w:firstLine="1952"/>
        <w:spacing w:after="0" w:line="268" w:lineRule="auto"/>
        <w:tabs>
          <w:tab w:leader="none" w:pos="2605" w:val="left"/>
        </w:tabs>
        <w:numPr>
          <w:ilvl w:val="2"/>
          <w:numId w:val="53"/>
        </w:numPr>
        <w:rPr>
          <w:rFonts w:ascii="Arial" w:cs="Arial" w:eastAsia="Arial" w:hAnsi="Arial"/>
          <w:sz w:val="19"/>
          <w:szCs w:val="19"/>
          <w:b w:val="1"/>
          <w:bCs w:val="1"/>
          <w:color w:val="010202"/>
        </w:rPr>
      </w:pPr>
      <w:r>
        <w:rPr>
          <w:rFonts w:ascii="Arial" w:cs="Arial" w:eastAsia="Arial" w:hAnsi="Arial"/>
          <w:sz w:val="18"/>
          <w:szCs w:val="18"/>
          <w:b w:val="1"/>
          <w:bCs w:val="1"/>
          <w:color w:val="010202"/>
        </w:rPr>
        <w:t xml:space="preserve">Health Insurance. </w:t>
      </w:r>
      <w:r>
        <w:rPr>
          <w:rFonts w:ascii="Arial" w:cs="Arial" w:eastAsia="Arial" w:hAnsi="Arial"/>
          <w:sz w:val="18"/>
          <w:szCs w:val="18"/>
          <w:color w:val="010202"/>
        </w:rPr>
        <w:t>Provided that you timely elect continued coverage under COBRA, the</w:t>
      </w:r>
      <w:r>
        <w:rPr>
          <w:rFonts w:ascii="Arial" w:cs="Arial" w:eastAsia="Arial" w:hAnsi="Arial"/>
          <w:sz w:val="18"/>
          <w:szCs w:val="18"/>
          <w:b w:val="1"/>
          <w:bCs w:val="1"/>
          <w:color w:val="010202"/>
        </w:rPr>
        <w:t xml:space="preserve"> </w:t>
      </w:r>
      <w:r>
        <w:rPr>
          <w:rFonts w:ascii="Arial" w:cs="Arial" w:eastAsia="Arial" w:hAnsi="Arial"/>
          <w:sz w:val="18"/>
          <w:szCs w:val="18"/>
          <w:color w:val="010202"/>
        </w:rPr>
        <w:t>Company shall pay your COBRA premiums to continue your coverage (including coverage for eligible dependents, if applicable) (“</w:t>
      </w:r>
      <w:r>
        <w:rPr>
          <w:rFonts w:ascii="Arial" w:cs="Arial" w:eastAsia="Arial" w:hAnsi="Arial"/>
          <w:sz w:val="18"/>
          <w:szCs w:val="18"/>
          <w:b w:val="1"/>
          <w:bCs w:val="1"/>
          <w:i w:val="1"/>
          <w:iCs w:val="1"/>
          <w:color w:val="010202"/>
        </w:rPr>
        <w:t>COBRA Premiums</w:t>
      </w:r>
      <w:r>
        <w:rPr>
          <w:rFonts w:ascii="Arial" w:cs="Arial" w:eastAsia="Arial" w:hAnsi="Arial"/>
          <w:sz w:val="18"/>
          <w:szCs w:val="18"/>
          <w:color w:val="010202"/>
        </w:rPr>
        <w:t>”) through the period (the “</w:t>
      </w:r>
      <w:r>
        <w:rPr>
          <w:rFonts w:ascii="Arial" w:cs="Arial" w:eastAsia="Arial" w:hAnsi="Arial"/>
          <w:sz w:val="18"/>
          <w:szCs w:val="18"/>
          <w:b w:val="1"/>
          <w:bCs w:val="1"/>
          <w:i w:val="1"/>
          <w:iCs w:val="1"/>
          <w:color w:val="010202"/>
        </w:rPr>
        <w:t>COBRA Premium Period</w:t>
      </w:r>
      <w:r>
        <w:rPr>
          <w:rFonts w:ascii="Arial" w:cs="Arial" w:eastAsia="Arial" w:hAnsi="Arial"/>
          <w:sz w:val="18"/>
          <w:szCs w:val="18"/>
          <w:color w:val="010202"/>
        </w:rPr>
        <w:t>”) starting on the date of your Separation from Service and ending on the earliest to occur of: (i) the duration of the salary continuation period set forth in Section 5(b)(i) above; (ii) the date you become eligible for group health insurance coverage through a new employer; and</w:t>
      </w:r>
    </w:p>
    <w:p>
      <w:pPr>
        <w:jc w:val="both"/>
        <w:ind w:firstLine="8"/>
        <w:spacing w:after="0" w:line="260" w:lineRule="auto"/>
        <w:tabs>
          <w:tab w:leader="none" w:pos="356" w:val="left"/>
        </w:tabs>
        <w:numPr>
          <w:ilvl w:val="0"/>
          <w:numId w:val="54"/>
        </w:numPr>
        <w:rPr>
          <w:rFonts w:ascii="Arial" w:cs="Arial" w:eastAsia="Arial" w:hAnsi="Arial"/>
          <w:sz w:val="18"/>
          <w:szCs w:val="18"/>
          <w:color w:val="010202"/>
        </w:rPr>
      </w:pPr>
      <w:r>
        <w:rPr>
          <w:rFonts w:ascii="Arial" w:cs="Arial" w:eastAsia="Arial" w:hAnsi="Arial"/>
          <w:sz w:val="18"/>
          <w:szCs w:val="18"/>
          <w:color w:val="010202"/>
        </w:rPr>
        <w:t>the date you cease to be eligible for COBRA continuation coverage for any reason, including plan termination, subject to Section 7(a). In the event you become covered under another employer’s group health plan or otherwise cease to be eligible for COBRA during the COBRA Premium Period, you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 premiums for that month (including premiums for you and your eligible dependents who have elected and remain enrolled in such COBRA coverage), subject to applicable tax withholdings (such amount, the “</w:t>
      </w:r>
      <w:r>
        <w:rPr>
          <w:rFonts w:ascii="Arial" w:cs="Arial" w:eastAsia="Arial" w:hAnsi="Arial"/>
          <w:sz w:val="18"/>
          <w:szCs w:val="18"/>
          <w:b w:val="1"/>
          <w:bCs w:val="1"/>
          <w:i w:val="1"/>
          <w:iCs w:val="1"/>
          <w:color w:val="010202"/>
        </w:rPr>
        <w:t>Special Cash Payment</w:t>
      </w:r>
      <w:r>
        <w:rPr>
          <w:rFonts w:ascii="Arial" w:cs="Arial" w:eastAsia="Arial" w:hAnsi="Arial"/>
          <w:sz w:val="18"/>
          <w:szCs w:val="18"/>
          <w:color w:val="010202"/>
        </w:rPr>
        <w:t>”), for the remainder of the COBRA Premium Period. You may, but are not obligated to, use such Special Cash Payments toward the cost of COBRA premiums. In the event the Company opts for the Special Cash Payments, then on the thirtieth (30</w:t>
      </w:r>
      <w:r>
        <w:rPr>
          <w:rFonts w:ascii="Arial" w:cs="Arial" w:eastAsia="Arial" w:hAnsi="Arial"/>
          <w:sz w:val="26"/>
          <w:szCs w:val="26"/>
          <w:color w:val="010202"/>
          <w:vertAlign w:val="superscript"/>
        </w:rPr>
        <w:t>th</w:t>
      </w:r>
      <w:r>
        <w:rPr>
          <w:rFonts w:ascii="Arial" w:cs="Arial" w:eastAsia="Arial" w:hAnsi="Arial"/>
          <w:sz w:val="18"/>
          <w:szCs w:val="18"/>
          <w:color w:val="010202"/>
        </w:rPr>
        <w:t>) day following your Separation from Service, the Company will make the first payment to you under this paragraph, in a lump sum, equal to the aggregate Special Cash Payments that the Company would have paid to you through such date had the Special Cash Payments commenced on the first day of the first month following the Separation from Service through such thirtieth (30</w:t>
      </w:r>
      <w:r>
        <w:rPr>
          <w:rFonts w:ascii="Arial" w:cs="Arial" w:eastAsia="Arial" w:hAnsi="Arial"/>
          <w:sz w:val="11"/>
          <w:szCs w:val="11"/>
          <w:color w:val="010202"/>
        </w:rPr>
        <w:t>th</w:t>
      </w:r>
      <w:r>
        <w:rPr>
          <w:rFonts w:ascii="Arial" w:cs="Arial" w:eastAsia="Arial" w:hAnsi="Arial"/>
          <w:sz w:val="18"/>
          <w:szCs w:val="18"/>
          <w:color w:val="010202"/>
        </w:rPr>
        <w:t>) day, with the balance of the Special Cash Payments paid thereafter on the schedule described above, subject to Section 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81" w:name="page82"/>
    <w:bookmarkEnd w:id="81"/>
    <w:p>
      <w:pPr>
        <w:jc w:val="both"/>
        <w:ind w:firstLine="1952"/>
        <w:spacing w:after="0" w:line="271" w:lineRule="auto"/>
        <w:tabs>
          <w:tab w:leader="none" w:pos="2592" w:val="left"/>
        </w:tabs>
        <w:numPr>
          <w:ilvl w:val="1"/>
          <w:numId w:val="55"/>
        </w:numPr>
        <w:rPr>
          <w:rFonts w:ascii="Arial" w:cs="Arial" w:eastAsia="Arial" w:hAnsi="Arial"/>
          <w:sz w:val="18"/>
          <w:szCs w:val="18"/>
          <w:b w:val="1"/>
          <w:bCs w:val="1"/>
          <w:color w:val="010202"/>
        </w:rPr>
      </w:pPr>
      <w:r>
        <w:rPr>
          <w:rFonts w:ascii="Arial" w:cs="Arial" w:eastAsia="Arial" w:hAnsi="Arial"/>
          <w:sz w:val="18"/>
          <w:szCs w:val="18"/>
          <w:b w:val="1"/>
          <w:bCs w:val="1"/>
          <w:color w:val="010202"/>
        </w:rPr>
        <w:t xml:space="preserve">Vesting Acceleration; Extension of time to Exercise. </w:t>
      </w:r>
      <w:r>
        <w:rPr>
          <w:rFonts w:ascii="Arial" w:cs="Arial" w:eastAsia="Arial" w:hAnsi="Arial"/>
          <w:sz w:val="18"/>
          <w:szCs w:val="18"/>
          <w:color w:val="000000"/>
        </w:rPr>
        <w:t>The vesting of any then-unvested</w:t>
      </w:r>
      <w:r>
        <w:rPr>
          <w:rFonts w:ascii="Arial" w:cs="Arial" w:eastAsia="Arial" w:hAnsi="Arial"/>
          <w:sz w:val="18"/>
          <w:szCs w:val="18"/>
          <w:b w:val="1"/>
          <w:bCs w:val="1"/>
          <w:color w:val="010202"/>
        </w:rPr>
        <w:t xml:space="preserve"> </w:t>
      </w:r>
      <w:r>
        <w:rPr>
          <w:rFonts w:ascii="Arial" w:cs="Arial" w:eastAsia="Arial" w:hAnsi="Arial"/>
          <w:sz w:val="18"/>
          <w:szCs w:val="18"/>
          <w:color w:val="000000"/>
        </w:rPr>
        <w:t xml:space="preserve">shares subject </w:t>
      </w:r>
      <w:r>
        <w:rPr>
          <w:rFonts w:ascii="Arial" w:cs="Arial" w:eastAsia="Arial" w:hAnsi="Arial"/>
          <w:sz w:val="18"/>
          <w:szCs w:val="18"/>
          <w:color w:val="010202"/>
        </w:rPr>
        <w:t>to the Options shall be accelerated in an amount equal to twelve (12) months of vesting, up to the full vesting</w:t>
      </w:r>
      <w:r>
        <w:rPr>
          <w:rFonts w:ascii="Arial" w:cs="Arial" w:eastAsia="Arial" w:hAnsi="Arial"/>
          <w:sz w:val="18"/>
          <w:szCs w:val="18"/>
          <w:color w:val="000000"/>
        </w:rPr>
        <w:t xml:space="preserve"> </w:t>
      </w:r>
      <w:r>
        <w:rPr>
          <w:rFonts w:ascii="Arial" w:cs="Arial" w:eastAsia="Arial" w:hAnsi="Arial"/>
          <w:sz w:val="18"/>
          <w:szCs w:val="18"/>
          <w:color w:val="010202"/>
        </w:rPr>
        <w:t xml:space="preserve">of the grant, such that the accelerated vesting shares subject to the Options shall be deemed immediately vested and exercisable as of your last day of employment. Additionally the Options shall be exercisable for twelve (12) months following your last day of employment </w:t>
      </w:r>
      <w:r>
        <w:rPr>
          <w:rFonts w:ascii="Arial" w:cs="Arial" w:eastAsia="Arial" w:hAnsi="Arial"/>
          <w:sz w:val="18"/>
          <w:szCs w:val="18"/>
          <w:color w:val="000000"/>
        </w:rPr>
        <w:t>(but no later than the expiration of the original term)</w:t>
      </w:r>
      <w:r>
        <w:rPr>
          <w:rFonts w:ascii="Arial" w:cs="Arial" w:eastAsia="Arial" w:hAnsi="Arial"/>
          <w:sz w:val="18"/>
          <w:szCs w:val="18"/>
          <w:color w:val="010202"/>
        </w:rPr>
        <w:t>. In addition, if any other form of equity compensation is awarded to you during your employment, including without limitation the New Grants (the “</w:t>
      </w:r>
      <w:r>
        <w:rPr>
          <w:rFonts w:ascii="Arial" w:cs="Arial" w:eastAsia="Arial" w:hAnsi="Arial"/>
          <w:sz w:val="18"/>
          <w:szCs w:val="18"/>
          <w:b w:val="1"/>
          <w:bCs w:val="1"/>
          <w:i w:val="1"/>
          <w:iCs w:val="1"/>
          <w:color w:val="010202"/>
        </w:rPr>
        <w:t>Other</w:t>
      </w:r>
      <w:r>
        <w:rPr>
          <w:rFonts w:ascii="Arial" w:cs="Arial" w:eastAsia="Arial" w:hAnsi="Arial"/>
          <w:sz w:val="18"/>
          <w:szCs w:val="18"/>
          <w:color w:val="010202"/>
        </w:rPr>
        <w:t xml:space="preserve"> </w:t>
      </w:r>
      <w:r>
        <w:rPr>
          <w:rFonts w:ascii="Arial" w:cs="Arial" w:eastAsia="Arial" w:hAnsi="Arial"/>
          <w:sz w:val="18"/>
          <w:szCs w:val="18"/>
          <w:b w:val="1"/>
          <w:bCs w:val="1"/>
          <w:i w:val="1"/>
          <w:iCs w:val="1"/>
          <w:color w:val="010202"/>
        </w:rPr>
        <w:t>Equity</w:t>
      </w:r>
      <w:r>
        <w:rPr>
          <w:rFonts w:ascii="Arial" w:cs="Arial" w:eastAsia="Arial" w:hAnsi="Arial"/>
          <w:sz w:val="18"/>
          <w:szCs w:val="18"/>
          <w:color w:val="010202"/>
        </w:rPr>
        <w:t>”), the vesting of any of the then-unvested equity that would have vested over the following twelve months shall be</w:t>
      </w:r>
      <w:r>
        <w:rPr>
          <w:rFonts w:ascii="Arial" w:cs="Arial" w:eastAsia="Arial" w:hAnsi="Arial"/>
          <w:sz w:val="18"/>
          <w:szCs w:val="18"/>
          <w:b w:val="1"/>
          <w:bCs w:val="1"/>
          <w:i w:val="1"/>
          <w:iCs w:val="1"/>
          <w:color w:val="010202"/>
        </w:rPr>
        <w:t xml:space="preserve"> </w:t>
      </w:r>
      <w:r>
        <w:rPr>
          <w:rFonts w:ascii="Arial" w:cs="Arial" w:eastAsia="Arial" w:hAnsi="Arial"/>
          <w:sz w:val="18"/>
          <w:szCs w:val="18"/>
          <w:color w:val="010202"/>
        </w:rPr>
        <w:t>accelerated and deemed vested on the date of termination and paid or delivered in accordance with the award agreement, but no later than March 15 of the year following the year in which the termination occurs and subject to Section 7(a). Notwithstanding the foregoing, with respect to the New PRSUs, 100% of such grant will vest in the event of such a termination whether or not the performance goals have been attained.</w:t>
      </w:r>
    </w:p>
    <w:p>
      <w:pPr>
        <w:spacing w:after="0" w:line="183" w:lineRule="exact"/>
        <w:rPr>
          <w:rFonts w:ascii="Arial" w:cs="Arial" w:eastAsia="Arial" w:hAnsi="Arial"/>
          <w:sz w:val="18"/>
          <w:szCs w:val="18"/>
          <w:b w:val="1"/>
          <w:bCs w:val="1"/>
          <w:color w:val="010202"/>
        </w:rPr>
      </w:pPr>
    </w:p>
    <w:p>
      <w:pPr>
        <w:jc w:val="both"/>
        <w:ind w:firstLine="1304"/>
        <w:spacing w:after="0" w:line="258" w:lineRule="auto"/>
        <w:tabs>
          <w:tab w:leader="none" w:pos="1944" w:val="left"/>
        </w:tabs>
        <w:numPr>
          <w:ilvl w:val="0"/>
          <w:numId w:val="56"/>
        </w:numPr>
        <w:rPr>
          <w:rFonts w:ascii="Arial" w:cs="Arial" w:eastAsia="Arial" w:hAnsi="Arial"/>
          <w:sz w:val="19"/>
          <w:szCs w:val="19"/>
          <w:b w:val="1"/>
          <w:bCs w:val="1"/>
          <w:color w:val="010202"/>
        </w:rPr>
      </w:pPr>
      <w:r>
        <w:rPr>
          <w:rFonts w:ascii="Arial" w:cs="Arial" w:eastAsia="Arial" w:hAnsi="Arial"/>
          <w:sz w:val="19"/>
          <w:szCs w:val="19"/>
          <w:b w:val="1"/>
          <w:bCs w:val="1"/>
          <w:color w:val="auto"/>
        </w:rPr>
        <w:t xml:space="preserve">Termination Without Cause or Resignation for Good Reason in Connection </w:t>
      </w:r>
      <w:r>
        <w:rPr>
          <w:rFonts w:ascii="Arial" w:cs="Arial" w:eastAsia="Arial" w:hAnsi="Arial"/>
          <w:sz w:val="19"/>
          <w:szCs w:val="19"/>
          <w:b w:val="1"/>
          <w:bCs w:val="1"/>
          <w:color w:val="010202"/>
        </w:rPr>
        <w:t>with an</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10202"/>
        </w:rPr>
        <w:t xml:space="preserve">Acquisition. </w:t>
      </w:r>
      <w:r>
        <w:rPr>
          <w:rFonts w:ascii="Arial" w:cs="Arial" w:eastAsia="Arial" w:hAnsi="Arial"/>
          <w:sz w:val="19"/>
          <w:szCs w:val="19"/>
          <w:color w:val="010202"/>
        </w:rPr>
        <w:t>In the event your employment with the Company (or its subsidiaries) is terminated by the Company (or its</w:t>
      </w:r>
      <w:r>
        <w:rPr>
          <w:rFonts w:ascii="Arial" w:cs="Arial" w:eastAsia="Arial" w:hAnsi="Arial"/>
          <w:sz w:val="19"/>
          <w:szCs w:val="19"/>
          <w:b w:val="1"/>
          <w:bCs w:val="1"/>
          <w:color w:val="010202"/>
        </w:rPr>
        <w:t xml:space="preserve"> </w:t>
      </w:r>
      <w:r>
        <w:rPr>
          <w:rFonts w:ascii="Arial" w:cs="Arial" w:eastAsia="Arial" w:hAnsi="Arial"/>
          <w:sz w:val="19"/>
          <w:szCs w:val="19"/>
          <w:color w:val="010202"/>
        </w:rPr>
        <w:t>subsidiaries) without Cause, or you resign for Good Reason, in either case (x) during the period (the “</w:t>
      </w:r>
      <w:r>
        <w:rPr>
          <w:rFonts w:ascii="Arial" w:cs="Arial" w:eastAsia="Arial" w:hAnsi="Arial"/>
          <w:sz w:val="19"/>
          <w:szCs w:val="19"/>
          <w:b w:val="1"/>
          <w:bCs w:val="1"/>
          <w:i w:val="1"/>
          <w:iCs w:val="1"/>
          <w:color w:val="010202"/>
        </w:rPr>
        <w:t>Change of Control</w:t>
      </w:r>
      <w:r>
        <w:rPr>
          <w:rFonts w:ascii="Arial" w:cs="Arial" w:eastAsia="Arial" w:hAnsi="Arial"/>
          <w:sz w:val="19"/>
          <w:szCs w:val="19"/>
          <w:color w:val="010202"/>
        </w:rPr>
        <w:t xml:space="preserve"> </w:t>
      </w:r>
      <w:r>
        <w:rPr>
          <w:rFonts w:ascii="Arial" w:cs="Arial" w:eastAsia="Arial" w:hAnsi="Arial"/>
          <w:sz w:val="19"/>
          <w:szCs w:val="19"/>
          <w:b w:val="1"/>
          <w:bCs w:val="1"/>
          <w:i w:val="1"/>
          <w:iCs w:val="1"/>
          <w:color w:val="010202"/>
        </w:rPr>
        <w:t>Severance Period</w:t>
      </w:r>
      <w:r>
        <w:rPr>
          <w:rFonts w:ascii="Arial" w:cs="Arial" w:eastAsia="Arial" w:hAnsi="Arial"/>
          <w:sz w:val="19"/>
          <w:szCs w:val="19"/>
          <w:color w:val="010202"/>
        </w:rPr>
        <w:t>”) commencing with the date that is one (1) month prior to the execution of a definitive agreement</w:t>
      </w:r>
      <w:r>
        <w:rPr>
          <w:rFonts w:ascii="Arial" w:cs="Arial" w:eastAsia="Arial" w:hAnsi="Arial"/>
          <w:sz w:val="19"/>
          <w:szCs w:val="19"/>
          <w:b w:val="1"/>
          <w:bCs w:val="1"/>
          <w:i w:val="1"/>
          <w:iCs w:val="1"/>
          <w:color w:val="010202"/>
        </w:rPr>
        <w:t xml:space="preserve"> </w:t>
      </w:r>
      <w:r>
        <w:rPr>
          <w:rFonts w:ascii="Arial" w:cs="Arial" w:eastAsia="Arial" w:hAnsi="Arial"/>
          <w:sz w:val="19"/>
          <w:szCs w:val="19"/>
          <w:color w:val="010202"/>
        </w:rPr>
        <w:t>governing an Acquisition (as defined below) and ending on the two (2) year anniversary of the closing of the same Acquisition, or (y) within two (2) years after the closing of any other Acquisition, then provided such termination constitutes a Separation from Service, and provided that you remain in compliance with the terms of this Agreement, the Company shall provide you with the following severance benefits:</w:t>
      </w:r>
    </w:p>
    <w:p>
      <w:pPr>
        <w:spacing w:after="0" w:line="173" w:lineRule="exact"/>
        <w:rPr>
          <w:rFonts w:ascii="Arial" w:cs="Arial" w:eastAsia="Arial" w:hAnsi="Arial"/>
          <w:sz w:val="19"/>
          <w:szCs w:val="19"/>
          <w:b w:val="1"/>
          <w:bCs w:val="1"/>
          <w:color w:val="010202"/>
        </w:rPr>
      </w:pPr>
    </w:p>
    <w:p>
      <w:pPr>
        <w:ind w:firstLine="1952"/>
        <w:spacing w:after="0" w:line="267" w:lineRule="auto"/>
        <w:tabs>
          <w:tab w:leader="none" w:pos="2592" w:val="left"/>
        </w:tabs>
        <w:numPr>
          <w:ilvl w:val="1"/>
          <w:numId w:val="56"/>
        </w:numPr>
        <w:rPr>
          <w:rFonts w:ascii="Arial" w:cs="Arial" w:eastAsia="Arial" w:hAnsi="Arial"/>
          <w:sz w:val="20"/>
          <w:szCs w:val="20"/>
          <w:b w:val="1"/>
          <w:bCs w:val="1"/>
          <w:color w:val="010202"/>
        </w:rPr>
      </w:pPr>
      <w:r>
        <w:rPr>
          <w:rFonts w:ascii="Arial" w:cs="Arial" w:eastAsia="Arial" w:hAnsi="Arial"/>
          <w:sz w:val="20"/>
          <w:szCs w:val="20"/>
          <w:b w:val="1"/>
          <w:bCs w:val="1"/>
          <w:color w:val="auto"/>
        </w:rPr>
        <w:t>Severance Pay</w:t>
      </w:r>
      <w:r>
        <w:rPr>
          <w:rFonts w:ascii="Arial" w:cs="Arial" w:eastAsia="Arial" w:hAnsi="Arial"/>
          <w:sz w:val="20"/>
          <w:szCs w:val="20"/>
          <w:color w:val="auto"/>
        </w:rPr>
        <w:t>. The Company shall pay you, as severance, the Severance Payments,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conditions set forth in Section 5(b)(i) above.</w:t>
      </w:r>
    </w:p>
    <w:p>
      <w:pPr>
        <w:spacing w:after="0" w:line="163" w:lineRule="exact"/>
        <w:rPr>
          <w:rFonts w:ascii="Arial" w:cs="Arial" w:eastAsia="Arial" w:hAnsi="Arial"/>
          <w:sz w:val="20"/>
          <w:szCs w:val="20"/>
          <w:b w:val="1"/>
          <w:bCs w:val="1"/>
          <w:color w:val="010202"/>
        </w:rPr>
      </w:pPr>
    </w:p>
    <w:p>
      <w:pPr>
        <w:jc w:val="both"/>
        <w:ind w:firstLine="1952"/>
        <w:spacing w:after="0" w:line="246" w:lineRule="auto"/>
        <w:tabs>
          <w:tab w:leader="none" w:pos="2592" w:val="left"/>
        </w:tabs>
        <w:numPr>
          <w:ilvl w:val="1"/>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Bonus</w:t>
      </w:r>
      <w:r>
        <w:rPr>
          <w:rFonts w:ascii="Arial" w:cs="Arial" w:eastAsia="Arial" w:hAnsi="Arial"/>
          <w:sz w:val="20"/>
          <w:szCs w:val="20"/>
          <w:color w:val="auto"/>
        </w:rPr>
        <w:t>. The Company shall pay you (A) your bonus for the year prior to the year of</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to the extent not previously paid, calculated under the terms and conditions set forth in Section 5(b)(ii) above and (B) a pro rata portion of the bonus for the year in which the termination occurs calculated under the terms and conditions set forth in Section 5(b)(ii) above based on the number of days worked in such year. Such payments to be made within sixty days of the date of termination, subject to Section 7(a).</w:t>
      </w:r>
    </w:p>
    <w:p>
      <w:pPr>
        <w:spacing w:after="0" w:line="184" w:lineRule="exact"/>
        <w:rPr>
          <w:rFonts w:ascii="Arial" w:cs="Arial" w:eastAsia="Arial" w:hAnsi="Arial"/>
          <w:sz w:val="20"/>
          <w:szCs w:val="20"/>
          <w:b w:val="1"/>
          <w:bCs w:val="1"/>
          <w:color w:val="auto"/>
        </w:rPr>
      </w:pPr>
    </w:p>
    <w:p>
      <w:pPr>
        <w:jc w:val="both"/>
        <w:ind w:firstLine="1952"/>
        <w:spacing w:after="0" w:line="253" w:lineRule="auto"/>
        <w:tabs>
          <w:tab w:leader="none" w:pos="2592" w:val="left"/>
        </w:tabs>
        <w:numPr>
          <w:ilvl w:val="1"/>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Health Insurance</w:t>
      </w:r>
      <w:r>
        <w:rPr>
          <w:rFonts w:ascii="Arial" w:cs="Arial" w:eastAsia="Arial" w:hAnsi="Arial"/>
          <w:sz w:val="20"/>
          <w:szCs w:val="20"/>
          <w:color w:val="auto"/>
        </w:rPr>
        <w:t>. The Company shall pay your COBRA Premiums or Special Cash</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as applicable, through the COBRA Premium Period, under the terms and conditions set forth in Section 5(b)(iii) above.</w:t>
      </w:r>
    </w:p>
    <w:p>
      <w:pPr>
        <w:spacing w:after="0" w:line="177" w:lineRule="exact"/>
        <w:rPr>
          <w:rFonts w:ascii="Arial" w:cs="Arial" w:eastAsia="Arial" w:hAnsi="Arial"/>
          <w:sz w:val="20"/>
          <w:szCs w:val="20"/>
          <w:b w:val="1"/>
          <w:bCs w:val="1"/>
          <w:color w:val="auto"/>
        </w:rPr>
      </w:pPr>
    </w:p>
    <w:p>
      <w:pPr>
        <w:jc w:val="both"/>
        <w:ind w:firstLine="1952"/>
        <w:spacing w:after="0" w:line="275" w:lineRule="auto"/>
        <w:tabs>
          <w:tab w:leader="none" w:pos="2592"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Acceleration; Extension of time to Exercise. </w:t>
      </w:r>
      <w:r>
        <w:rPr>
          <w:rFonts w:ascii="Arial" w:cs="Arial" w:eastAsia="Arial" w:hAnsi="Arial"/>
          <w:sz w:val="18"/>
          <w:szCs w:val="18"/>
          <w:color w:val="auto"/>
        </w:rPr>
        <w:t>The vesting of any then-unvested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subject to the Options shall be accelerated such that 100% of the shares subject to the Options shall be deemed immediately vested and exercisable as of your last day of employment. Additionally, the Options shall be exercisable for twelve (12) months following your last day of employment (but no later than the expiration of the original term). In addition, any Other Equity shall be deemed 100% vested (including with respect to the PRSUs whether or not the performance goals have been attained) and paid or delivered in accordance with the applicable award agreement, </w:t>
      </w:r>
      <w:r>
        <w:rPr>
          <w:rFonts w:ascii="Arial" w:cs="Arial" w:eastAsia="Arial" w:hAnsi="Arial"/>
          <w:sz w:val="18"/>
          <w:szCs w:val="18"/>
          <w:color w:val="010202"/>
        </w:rPr>
        <w:t>but no later than March 15 of</w:t>
      </w:r>
      <w:r>
        <w:rPr>
          <w:rFonts w:ascii="Arial" w:cs="Arial" w:eastAsia="Arial" w:hAnsi="Arial"/>
          <w:sz w:val="18"/>
          <w:szCs w:val="18"/>
          <w:color w:val="auto"/>
        </w:rPr>
        <w:t xml:space="preserve"> </w:t>
      </w:r>
      <w:r>
        <w:rPr>
          <w:rFonts w:ascii="Arial" w:cs="Arial" w:eastAsia="Arial" w:hAnsi="Arial"/>
          <w:sz w:val="18"/>
          <w:szCs w:val="18"/>
          <w:color w:val="010202"/>
        </w:rPr>
        <w:t xml:space="preserve">the year following the year in which the termination occurs and </w:t>
      </w:r>
      <w:r>
        <w:rPr>
          <w:rFonts w:ascii="Arial" w:cs="Arial" w:eastAsia="Arial" w:hAnsi="Arial"/>
          <w:sz w:val="18"/>
          <w:szCs w:val="18"/>
          <w:color w:val="000000"/>
        </w:rPr>
        <w:t>subject to Section 7(a).</w:t>
      </w:r>
    </w:p>
    <w:p>
      <w:pPr>
        <w:spacing w:after="0" w:line="17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010202"/>
        </w:rPr>
        <w:t>d</w:t>
      </w:r>
      <w:r>
        <w:rPr>
          <w:rFonts w:ascii="Arial" w:cs="Arial" w:eastAsia="Arial" w:hAnsi="Arial"/>
          <w:sz w:val="19"/>
          <w:szCs w:val="19"/>
          <w:b w:val="1"/>
          <w:bCs w:val="1"/>
          <w:color w:val="010202"/>
        </w:rPr>
        <w:t>. Resignation without Good Reason; Termination for Cause; Death or Disability.</w:t>
      </w:r>
      <w:r>
        <w:rPr>
          <w:rFonts w:ascii="Arial" w:cs="Arial" w:eastAsia="Arial" w:hAnsi="Arial"/>
          <w:sz w:val="22"/>
          <w:szCs w:val="22"/>
          <w:b w:val="1"/>
          <w:bCs w:val="1"/>
          <w:color w:val="010202"/>
        </w:rPr>
        <w:t xml:space="preserve"> </w:t>
      </w:r>
      <w:r>
        <w:rPr>
          <w:rFonts w:ascii="Arial" w:cs="Arial" w:eastAsia="Arial" w:hAnsi="Arial"/>
          <w:sz w:val="19"/>
          <w:szCs w:val="19"/>
          <w:color w:val="010202"/>
        </w:rPr>
        <w:t>If at any time</w:t>
      </w:r>
      <w:r>
        <w:rPr>
          <w:rFonts w:ascii="Arial" w:cs="Arial" w:eastAsia="Arial" w:hAnsi="Arial"/>
          <w:sz w:val="22"/>
          <w:szCs w:val="22"/>
          <w:b w:val="1"/>
          <w:bCs w:val="1"/>
          <w:color w:val="010202"/>
        </w:rPr>
        <w:t xml:space="preserve"> </w:t>
      </w:r>
      <w:r>
        <w:rPr>
          <w:rFonts w:ascii="Arial" w:cs="Arial" w:eastAsia="Arial" w:hAnsi="Arial"/>
          <w:sz w:val="19"/>
          <w:szCs w:val="19"/>
          <w:color w:val="010202"/>
        </w:rPr>
        <w:t>the Company terminates your employment for Cause, you resign your employment without Good Reason, or your employment terminates upon your death or disability, then (i) you will no longer vest in the Options or Other Equity, (ii) all payments of compensation by the Company to you hereunder will terminate immediately (except as to amounts already earned), and (iii) you will not be entitled to any severance benefits (except as otherwise below related to Disability (as defined in the applicable option plan)). In addition, you shall resign from all positions and terminate any relationships as an employee, advisor, officer or director with the Company and any of its affiliates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82" w:name="page83"/>
    <w:bookmarkEnd w:id="82"/>
    <w:p>
      <w:pPr>
        <w:jc w:val="both"/>
        <w:spacing w:after="0" w:line="260" w:lineRule="auto"/>
        <w:rPr>
          <w:sz w:val="20"/>
          <w:szCs w:val="20"/>
          <w:color w:val="auto"/>
        </w:rPr>
      </w:pPr>
      <w:r>
        <w:rPr>
          <w:rFonts w:ascii="Arial" w:cs="Arial" w:eastAsia="Arial" w:hAnsi="Arial"/>
          <w:sz w:val="19"/>
          <w:szCs w:val="19"/>
          <w:color w:val="010202"/>
        </w:rPr>
        <w:t>limitation any subsidiaries), each effective on the date of termination. Notwithstanding the foregoing, if your employment terminates (i) as a result of your Disability (as defined in the applicable option plan pursuant to which your Option is granted but no later than the expiration of the original term), the Option shall be exercisable for twelve (12) months following your last day of employment and (ii) as a result of your death, the Options or Other Equity granted under the Company’s 2019 Equity Incentive Plan shall be deemed vested pursuant to the terms of such plan.</w:t>
      </w:r>
    </w:p>
    <w:p>
      <w:pPr>
        <w:spacing w:after="0" w:line="188" w:lineRule="exact"/>
        <w:rPr>
          <w:sz w:val="20"/>
          <w:szCs w:val="20"/>
          <w:color w:val="auto"/>
        </w:rPr>
      </w:pPr>
    </w:p>
    <w:p>
      <w:pPr>
        <w:jc w:val="both"/>
        <w:ind w:firstLine="656"/>
        <w:spacing w:after="0" w:line="257" w:lineRule="auto"/>
        <w:tabs>
          <w:tab w:leader="none" w:pos="1296" w:val="left"/>
        </w:tabs>
        <w:numPr>
          <w:ilvl w:val="1"/>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Conditions to Receipt of Severance Benefits</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receipt of any severance benefits as described in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5 above will be subject to and conditioned upon your signing and not revoking a separation agreement and release of claims in a form reasonably satisfactory to the Company (the “</w:t>
      </w:r>
      <w:r>
        <w:rPr>
          <w:rFonts w:ascii="Arial" w:cs="Arial" w:eastAsia="Arial" w:hAnsi="Arial"/>
          <w:sz w:val="19"/>
          <w:szCs w:val="19"/>
          <w:b w:val="1"/>
          <w:bCs w:val="1"/>
          <w:i w:val="1"/>
          <w:iCs w:val="1"/>
          <w:color w:val="auto"/>
        </w:rPr>
        <w:t>Separation Agreement</w:t>
      </w:r>
      <w:r>
        <w:rPr>
          <w:rFonts w:ascii="Arial" w:cs="Arial" w:eastAsia="Arial" w:hAnsi="Arial"/>
          <w:sz w:val="19"/>
          <w:szCs w:val="19"/>
          <w:color w:val="auto"/>
        </w:rPr>
        <w:t>”) within the time period specified therein, but in any event no later than sixty (60) days following your Separation from Service date. No severance benefits of any kind will be paid or provided until the Separation Agreement becomes effective. Pursuant to or in connection with any termination of service to the Company, you shall also resign from all positions and terminate any relationships as an employee, advisor, officer or director with the Company and any of its affiliates (including without limitation any subsidiaries), each effective on the date of termination. For avoidance of doubt, under no circumstances will you receive severance benefits under both Sections 5(b) and 5(c) herein.</w:t>
      </w:r>
    </w:p>
    <w:p>
      <w:pPr>
        <w:spacing w:after="0" w:line="189" w:lineRule="exact"/>
        <w:rPr>
          <w:rFonts w:ascii="Arial" w:cs="Arial" w:eastAsia="Arial" w:hAnsi="Arial"/>
          <w:sz w:val="19"/>
          <w:szCs w:val="19"/>
          <w:b w:val="1"/>
          <w:bCs w:val="1"/>
          <w:color w:val="auto"/>
        </w:rPr>
      </w:pPr>
    </w:p>
    <w:p>
      <w:pPr>
        <w:ind w:left="1300" w:hanging="644"/>
        <w:spacing w:after="0"/>
        <w:tabs>
          <w:tab w:leader="none" w:pos="1300" w:val="left"/>
        </w:tabs>
        <w:numPr>
          <w:ilvl w:val="1"/>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010202"/>
        </w:rPr>
        <w:t>Tax Matters</w:t>
      </w:r>
      <w:r>
        <w:rPr>
          <w:rFonts w:ascii="Arial" w:cs="Arial" w:eastAsia="Arial" w:hAnsi="Arial"/>
          <w:sz w:val="20"/>
          <w:szCs w:val="20"/>
          <w:u w:val="single" w:color="auto"/>
          <w:color w:val="010202"/>
        </w:rPr>
        <w:t>.</w:t>
      </w:r>
    </w:p>
    <w:p>
      <w:pPr>
        <w:spacing w:after="0" w:line="235" w:lineRule="exact"/>
        <w:rPr>
          <w:rFonts w:ascii="Arial" w:cs="Arial" w:eastAsia="Arial" w:hAnsi="Arial"/>
          <w:sz w:val="20"/>
          <w:szCs w:val="20"/>
          <w:b w:val="1"/>
          <w:bCs w:val="1"/>
          <w:color w:val="auto"/>
        </w:rPr>
      </w:pPr>
    </w:p>
    <w:p>
      <w:pPr>
        <w:jc w:val="both"/>
        <w:ind w:firstLine="1304"/>
        <w:spacing w:after="0" w:line="268" w:lineRule="auto"/>
        <w:tabs>
          <w:tab w:leader="none" w:pos="1944" w:val="left"/>
        </w:tabs>
        <w:numPr>
          <w:ilvl w:val="2"/>
          <w:numId w:val="57"/>
        </w:numPr>
        <w:rPr>
          <w:rFonts w:ascii="Arial" w:cs="Arial" w:eastAsia="Arial" w:hAnsi="Arial"/>
          <w:sz w:val="18"/>
          <w:szCs w:val="18"/>
          <w:b w:val="1"/>
          <w:bCs w:val="1"/>
          <w:color w:val="auto"/>
        </w:rPr>
      </w:pPr>
      <w:r>
        <w:rPr>
          <w:rFonts w:ascii="Arial" w:cs="Arial" w:eastAsia="Arial" w:hAnsi="Arial"/>
          <w:sz w:val="18"/>
          <w:szCs w:val="18"/>
          <w:color w:val="auto"/>
        </w:rPr>
        <w:t>It is intended that all of the severance benefits and other payments payable under this Agreement satisfy, to the greatest extent possible, the exemptions from the application of Code Section 409A provided under Treasury Regulations 1.409A-1(b)(4), 1.409A-1(b)(5) and 1.409A-1(b)(9), and this Agreement will be construed to the greatest extent possible as consistent with those provisions, and to the extent no so exempt, this Agreement (and any definitions hereunder) will be construed in a manner that complies with Section 409A. For purposes of Code Section 409A (including, without limitation, for purposes of Treasury Regulation Section 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w:t>
      </w:r>
    </w:p>
    <w:p>
      <w:pPr>
        <w:spacing w:after="0" w:line="184" w:lineRule="exact"/>
        <w:rPr>
          <w:rFonts w:ascii="Arial" w:cs="Arial" w:eastAsia="Arial" w:hAnsi="Arial"/>
          <w:sz w:val="18"/>
          <w:szCs w:val="18"/>
          <w:b w:val="1"/>
          <w:bCs w:val="1"/>
          <w:color w:val="auto"/>
        </w:rPr>
      </w:pPr>
    </w:p>
    <w:p>
      <w:pPr>
        <w:jc w:val="both"/>
        <w:ind w:firstLine="1304"/>
        <w:spacing w:after="0" w:line="272" w:lineRule="auto"/>
        <w:tabs>
          <w:tab w:leader="none" w:pos="1944" w:val="left"/>
        </w:tabs>
        <w:numPr>
          <w:ilvl w:val="2"/>
          <w:numId w:val="57"/>
        </w:numPr>
        <w:rPr>
          <w:rFonts w:ascii="Arial" w:cs="Arial" w:eastAsia="Arial" w:hAnsi="Arial"/>
          <w:sz w:val="18"/>
          <w:szCs w:val="18"/>
          <w:b w:val="1"/>
          <w:bCs w:val="1"/>
          <w:color w:val="auto"/>
        </w:rPr>
      </w:pPr>
      <w:r>
        <w:rPr>
          <w:rFonts w:ascii="Arial" w:cs="Arial" w:eastAsia="Arial" w:hAnsi="Arial"/>
          <w:sz w:val="18"/>
          <w:szCs w:val="18"/>
          <w:color w:val="auto"/>
        </w:rPr>
        <w:t>To the extent the Parachute Payment Vote (as defined below) is permitted by the Regulations (as defined below), and you agree to waive (as would be required under the Regulations) the right to all or any portion of the payment or benefit you would receive pursuant to an Acquisition as a result of the provisions of this Agreement that would</w:t>
      </w:r>
    </w:p>
    <w:p>
      <w:pPr>
        <w:jc w:val="both"/>
        <w:ind w:firstLine="8"/>
        <w:spacing w:after="0" w:line="257" w:lineRule="auto"/>
        <w:tabs>
          <w:tab w:leader="none" w:pos="250" w:val="left"/>
        </w:tabs>
        <w:numPr>
          <w:ilvl w:val="0"/>
          <w:numId w:val="58"/>
        </w:numPr>
        <w:rPr>
          <w:rFonts w:ascii="Arial" w:cs="Arial" w:eastAsia="Arial" w:hAnsi="Arial"/>
          <w:sz w:val="19"/>
          <w:szCs w:val="19"/>
          <w:color w:val="auto"/>
        </w:rPr>
      </w:pPr>
      <w:r>
        <w:rPr>
          <w:rFonts w:ascii="Arial" w:cs="Arial" w:eastAsia="Arial" w:hAnsi="Arial"/>
          <w:sz w:val="19"/>
          <w:szCs w:val="19"/>
          <w:color w:val="auto"/>
        </w:rPr>
        <w:t>constitute a “parachute payment” within the meaning of Section 280G of the Code, and (ii) be subject to the excise tax imposed by Section 4999 of the Code (the “At-Risk Payments”), the Company shall use commercially reasonable efforts to timely solicit stockholder approval of the At-Risk Payments (the “Parachute Payment Vote”) in accordance with the requirements of Treasury Regulations § 1.280G-1, Q&amp;A-7 or any successor thereto (the “Regulations”).</w:t>
      </w:r>
    </w:p>
    <w:p>
      <w:pPr>
        <w:spacing w:after="0" w:line="176" w:lineRule="exact"/>
        <w:rPr>
          <w:rFonts w:ascii="Arial" w:cs="Arial" w:eastAsia="Arial" w:hAnsi="Arial"/>
          <w:sz w:val="19"/>
          <w:szCs w:val="19"/>
          <w:color w:val="auto"/>
        </w:rPr>
      </w:pPr>
    </w:p>
    <w:p>
      <w:pPr>
        <w:ind w:firstLine="1304"/>
        <w:spacing w:after="0" w:line="267" w:lineRule="auto"/>
        <w:tabs>
          <w:tab w:leader="none" w:pos="1944" w:val="left"/>
        </w:tabs>
        <w:numPr>
          <w:ilvl w:val="2"/>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Excise Taxes.</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other provision of this Agreement to the contrary, if any</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or benefit you would receive from the Company under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607060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83" w:name="page84"/>
    <w:bookmarkEnd w:id="83"/>
    <w:p>
      <w:pPr>
        <w:jc w:val="both"/>
        <w:spacing w:after="0" w:line="268" w:lineRule="auto"/>
        <w:rPr>
          <w:sz w:val="20"/>
          <w:szCs w:val="20"/>
          <w:color w:val="auto"/>
        </w:rPr>
      </w:pPr>
      <w:r>
        <w:rPr>
          <w:rFonts w:ascii="Arial" w:cs="Arial" w:eastAsia="Arial" w:hAnsi="Arial"/>
          <w:sz w:val="18"/>
          <w:szCs w:val="18"/>
          <w:color w:val="auto"/>
        </w:rPr>
        <w:t>otherwise (including, without limitation, any payment, benefit, entitlement or distribution paid or provided by the person or entity effecting the change in control) in connection with an Acquisition (the “Total Payments”) (a) constitute “parachute payments” within the meaning of Section 280G of the Code, and (b) but for this Section 7(c), would be subject to the excise tax imposed by Section 4999 of the Code, then you will be entitled to receive either (i) the full amount of the Total Payments (taking into account the full value of the equity awards), or (ii) a portion of the Total Payments having a value equal to $1 less than three (3) times your “base amount” (as such term is defined in Section 280G(b)(3)(A) of the Code), whichever of clauses (i) and (ii), after taking into account applicable federal, state, and local income and employment taxes and the excise tax imposed by Section 4999 of the Code, results in your receipt, on an after-tax basis, of the greatest portion of the Total Payments. Any determination required under this Section 7(c) shall be made in writing by the independent public accountants of the Company (the “Accountants”), whose determination shall be conclusive and binding for all purposes upon you and the Company. For purposes of making the calculations required by this Section 7(c), the Accountants may make reasonable assumptions and approximations concerning applicable taxes and may rely on reasonable, good-faith interpretations concerning the application of Sections 280G and 4999 of the Code. If there is a reduction pursuant to this Section 7(c) of the Total Payments to be delivered to you, such reduction shall occur in the following order: (i) any cash severance payable by reference to your base salary or annual bonus, (ii) any other cash amount payable to you, (iii) any benefit valued as a “parachute payment,” and (iv) acceleration of vesting of any equity award. This Section 7(c) shall not apply, however, to any payment or benefit if the application of Section 280G(b)(5) of the Code to such payment or benefit results in such payment or benefit not constituting a parachute payment under Section 280G(b)(2). For the avoidance of doubt, in the event additional Total Payments are made to you after the application of the cutback in this Section 7(c), which additional Total Payments result in the cutback no longer being applicable, the Company shall pay you an additional amount equal to the value of the Total Payments which were originally cutback. The Company shall determine at the end of each calendar year whether any such restoration is necessary based on additional Total Payments (if any) made during such calendar year, and shall pay such restoration not later than March 15 of the following calendar year.</w:t>
      </w:r>
    </w:p>
    <w:p>
      <w:pPr>
        <w:spacing w:after="0" w:line="199" w:lineRule="exact"/>
        <w:rPr>
          <w:sz w:val="20"/>
          <w:szCs w:val="20"/>
          <w:color w:val="auto"/>
        </w:rPr>
      </w:pPr>
    </w:p>
    <w:p>
      <w:pPr>
        <w:ind w:left="1300" w:hanging="644"/>
        <w:spacing w:after="0"/>
        <w:tabs>
          <w:tab w:leader="none" w:pos="1300" w:val="left"/>
        </w:tabs>
        <w:numPr>
          <w:ilvl w:val="1"/>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010202"/>
        </w:rPr>
        <w:t>Definitions</w:t>
      </w:r>
      <w:r>
        <w:rPr>
          <w:rFonts w:ascii="Arial" w:cs="Arial" w:eastAsia="Arial" w:hAnsi="Arial"/>
          <w:sz w:val="20"/>
          <w:szCs w:val="20"/>
          <w:u w:val="single" w:color="auto"/>
          <w:color w:val="010202"/>
        </w:rPr>
        <w:t>.</w:t>
      </w:r>
      <w:r>
        <w:rPr>
          <w:rFonts w:ascii="Arial" w:cs="Arial" w:eastAsia="Arial" w:hAnsi="Arial"/>
          <w:sz w:val="20"/>
          <w:szCs w:val="20"/>
          <w:b w:val="1"/>
          <w:bCs w:val="1"/>
          <w:color w:val="010202"/>
        </w:rPr>
        <w:t xml:space="preserve"> </w:t>
      </w:r>
      <w:r>
        <w:rPr>
          <w:rFonts w:ascii="Arial" w:cs="Arial" w:eastAsia="Arial" w:hAnsi="Arial"/>
          <w:sz w:val="20"/>
          <w:szCs w:val="20"/>
          <w:color w:val="010202"/>
        </w:rPr>
        <w:t>For purposes of this Agreement:</w:t>
      </w:r>
    </w:p>
    <w:p>
      <w:pPr>
        <w:spacing w:after="0" w:line="235" w:lineRule="exact"/>
        <w:rPr>
          <w:rFonts w:ascii="Arial" w:cs="Arial" w:eastAsia="Arial" w:hAnsi="Arial"/>
          <w:sz w:val="20"/>
          <w:szCs w:val="20"/>
          <w:b w:val="1"/>
          <w:bCs w:val="1"/>
          <w:color w:val="auto"/>
        </w:rPr>
      </w:pPr>
    </w:p>
    <w:p>
      <w:pPr>
        <w:ind w:right="20" w:firstLine="1304"/>
        <w:spacing w:after="0" w:line="260" w:lineRule="auto"/>
        <w:tabs>
          <w:tab w:leader="none" w:pos="1944" w:val="left"/>
        </w:tabs>
        <w:numPr>
          <w:ilvl w:val="2"/>
          <w:numId w:val="59"/>
        </w:numPr>
        <w:rPr>
          <w:rFonts w:ascii="Arial" w:cs="Arial" w:eastAsia="Arial" w:hAnsi="Arial"/>
          <w:sz w:val="20"/>
          <w:szCs w:val="20"/>
          <w:b w:val="1"/>
          <w:bCs w:val="1"/>
          <w:color w:val="010202"/>
        </w:rPr>
      </w:pPr>
      <w:r>
        <w:rPr>
          <w:rFonts w:ascii="Arial" w:cs="Arial" w:eastAsia="Arial" w:hAnsi="Arial"/>
          <w:sz w:val="20"/>
          <w:szCs w:val="20"/>
          <w:b w:val="1"/>
          <w:bCs w:val="1"/>
          <w:i w:val="1"/>
          <w:iCs w:val="1"/>
          <w:color w:val="010202"/>
        </w:rPr>
        <w:t xml:space="preserve">“Acquisition” </w:t>
      </w:r>
      <w:r>
        <w:rPr>
          <w:rFonts w:ascii="Arial" w:cs="Arial" w:eastAsia="Arial" w:hAnsi="Arial"/>
          <w:sz w:val="20"/>
          <w:szCs w:val="20"/>
          <w:color w:val="010202"/>
        </w:rPr>
        <w:t>shall have the same meaning as a “Change in Control” as defined in the Progyny, Inc.</w:t>
      </w:r>
      <w:r>
        <w:rPr>
          <w:rFonts w:ascii="Arial" w:cs="Arial" w:eastAsia="Arial" w:hAnsi="Arial"/>
          <w:sz w:val="20"/>
          <w:szCs w:val="20"/>
          <w:b w:val="1"/>
          <w:bCs w:val="1"/>
          <w:i w:val="1"/>
          <w:iCs w:val="1"/>
          <w:color w:val="010202"/>
        </w:rPr>
        <w:t xml:space="preserve"> </w:t>
      </w:r>
      <w:r>
        <w:rPr>
          <w:rFonts w:ascii="Arial" w:cs="Arial" w:eastAsia="Arial" w:hAnsi="Arial"/>
          <w:sz w:val="20"/>
          <w:szCs w:val="20"/>
          <w:color w:val="010202"/>
        </w:rPr>
        <w:t>2019 Equity Incentive Plan.</w:t>
      </w:r>
    </w:p>
    <w:p>
      <w:pPr>
        <w:spacing w:after="0" w:line="190" w:lineRule="exact"/>
        <w:rPr>
          <w:rFonts w:ascii="Arial" w:cs="Arial" w:eastAsia="Arial" w:hAnsi="Arial"/>
          <w:sz w:val="20"/>
          <w:szCs w:val="20"/>
          <w:b w:val="1"/>
          <w:bCs w:val="1"/>
          <w:color w:val="010202"/>
        </w:rPr>
      </w:pPr>
    </w:p>
    <w:p>
      <w:pPr>
        <w:jc w:val="both"/>
        <w:ind w:firstLine="1304"/>
        <w:spacing w:after="0" w:line="270" w:lineRule="auto"/>
        <w:tabs>
          <w:tab w:leader="none" w:pos="1944" w:val="left"/>
        </w:tabs>
        <w:numPr>
          <w:ilvl w:val="2"/>
          <w:numId w:val="59"/>
        </w:numPr>
        <w:rPr>
          <w:rFonts w:ascii="Arial" w:cs="Arial" w:eastAsia="Arial" w:hAnsi="Arial"/>
          <w:sz w:val="18"/>
          <w:szCs w:val="18"/>
          <w:b w:val="1"/>
          <w:bCs w:val="1"/>
          <w:color w:val="010202"/>
        </w:rPr>
      </w:pPr>
      <w:r>
        <w:rPr>
          <w:rFonts w:ascii="Arial" w:cs="Arial" w:eastAsia="Arial" w:hAnsi="Arial"/>
          <w:sz w:val="18"/>
          <w:szCs w:val="18"/>
          <w:b w:val="1"/>
          <w:bCs w:val="1"/>
          <w:i w:val="1"/>
          <w:iCs w:val="1"/>
          <w:color w:val="010202"/>
        </w:rPr>
        <w:t xml:space="preserve">“Cause” </w:t>
      </w:r>
      <w:r>
        <w:rPr>
          <w:rFonts w:ascii="Arial" w:cs="Arial" w:eastAsia="Arial" w:hAnsi="Arial"/>
          <w:sz w:val="18"/>
          <w:szCs w:val="18"/>
          <w:color w:val="010202"/>
        </w:rPr>
        <w:t>for your employment termination will be deemed to exist at any time after the occurrence</w:t>
      </w:r>
      <w:r>
        <w:rPr>
          <w:rFonts w:ascii="Arial" w:cs="Arial" w:eastAsia="Arial" w:hAnsi="Arial"/>
          <w:sz w:val="18"/>
          <w:szCs w:val="18"/>
          <w:b w:val="1"/>
          <w:bCs w:val="1"/>
          <w:i w:val="1"/>
          <w:iCs w:val="1"/>
          <w:color w:val="010202"/>
        </w:rPr>
        <w:t xml:space="preserve"> </w:t>
      </w:r>
      <w:r>
        <w:rPr>
          <w:rFonts w:ascii="Arial" w:cs="Arial" w:eastAsia="Arial" w:hAnsi="Arial"/>
          <w:sz w:val="18"/>
          <w:szCs w:val="18"/>
          <w:color w:val="010202"/>
        </w:rPr>
        <w:t xml:space="preserve">of one of more of the following: (i) your commission of, conviction for, or guilty plea to, a felony or crime involving moral turpitude; (ii) a willful refusal by you to comply with the lawful, material and reasonable instructions of the Company (or its subsidiaries), or to otherwise materially perform your duties as lawfully and reasonably determined by the Company (or its subsidiaries), in each case that is not cured by you (if such refusal is of a type that is capable of being cured) within 15 days of written notice being given to you of such refusal; (iii) any willful act or acts of dishonesty undertaken by you and intended to result in your (or any other person’s) material gain or personal enrichment at the expense of the Company, its subsidiaries or any of its or their customers, partners, affiliates, or employees; (iv) any willful act of gross misconduct by you which is injurious to the Company or its subsidiaries; or (v) any material breach by you of your obligations under any agreement between you and the Company or its subsidiaries, including without limitation this Agreement or your </w:t>
      </w:r>
      <w:r>
        <w:rPr>
          <w:rFonts w:ascii="Arial" w:cs="Arial" w:eastAsia="Arial" w:hAnsi="Arial"/>
          <w:sz w:val="18"/>
          <w:szCs w:val="18"/>
          <w:color w:val="000000"/>
        </w:rPr>
        <w:t>Proprietary</w:t>
      </w:r>
      <w:r>
        <w:rPr>
          <w:rFonts w:ascii="Arial" w:cs="Arial" w:eastAsia="Arial" w:hAnsi="Arial"/>
          <w:sz w:val="18"/>
          <w:szCs w:val="18"/>
          <w:color w:val="010202"/>
        </w:rPr>
        <w:t xml:space="preserve"> </w:t>
      </w:r>
      <w:r>
        <w:rPr>
          <w:rFonts w:ascii="Arial" w:cs="Arial" w:eastAsia="Arial" w:hAnsi="Arial"/>
          <w:sz w:val="18"/>
          <w:szCs w:val="18"/>
          <w:color w:val="000000"/>
        </w:rPr>
        <w:t>Information, Inventions and Non-Solicitation/Non-Competition Agreement</w:t>
      </w:r>
      <w:r>
        <w:rPr>
          <w:rFonts w:ascii="Arial" w:cs="Arial" w:eastAsia="Arial" w:hAnsi="Arial"/>
          <w:sz w:val="18"/>
          <w:szCs w:val="18"/>
          <w:color w:val="010202"/>
        </w:rPr>
        <w:t>, that is not cured by you (if such breach is of a</w:t>
      </w:r>
      <w:r>
        <w:rPr>
          <w:rFonts w:ascii="Arial" w:cs="Arial" w:eastAsia="Arial" w:hAnsi="Arial"/>
          <w:sz w:val="18"/>
          <w:szCs w:val="18"/>
          <w:color w:val="000000"/>
        </w:rPr>
        <w:t xml:space="preserve"> </w:t>
      </w:r>
      <w:r>
        <w:rPr>
          <w:rFonts w:ascii="Arial" w:cs="Arial" w:eastAsia="Arial" w:hAnsi="Arial"/>
          <w:sz w:val="18"/>
          <w:szCs w:val="18"/>
          <w:color w:val="010202"/>
        </w:rPr>
        <w:t>type that is capable of being cured) within 15 days of written notice being given to you of such breach.</w:t>
      </w:r>
    </w:p>
    <w:p>
      <w:pPr>
        <w:spacing w:after="0" w:line="189" w:lineRule="exact"/>
        <w:rPr>
          <w:rFonts w:ascii="Arial" w:cs="Arial" w:eastAsia="Arial" w:hAnsi="Arial"/>
          <w:sz w:val="18"/>
          <w:szCs w:val="18"/>
          <w:b w:val="1"/>
          <w:bCs w:val="1"/>
          <w:color w:val="010202"/>
        </w:rPr>
      </w:pPr>
    </w:p>
    <w:p>
      <w:pPr>
        <w:ind w:left="1960" w:hanging="656"/>
        <w:spacing w:after="0"/>
        <w:tabs>
          <w:tab w:leader="none" w:pos="1960" w:val="left"/>
        </w:tabs>
        <w:numPr>
          <w:ilvl w:val="2"/>
          <w:numId w:val="59"/>
        </w:numPr>
        <w:rPr>
          <w:rFonts w:ascii="Arial" w:cs="Arial" w:eastAsia="Arial" w:hAnsi="Arial"/>
          <w:sz w:val="18"/>
          <w:szCs w:val="18"/>
          <w:b w:val="1"/>
          <w:bCs w:val="1"/>
          <w:color w:val="010202"/>
        </w:rPr>
      </w:pPr>
      <w:r>
        <w:rPr>
          <w:rFonts w:ascii="Arial" w:cs="Arial" w:eastAsia="Arial" w:hAnsi="Arial"/>
          <w:sz w:val="18"/>
          <w:szCs w:val="18"/>
          <w:b w:val="1"/>
          <w:bCs w:val="1"/>
          <w:i w:val="1"/>
          <w:iCs w:val="1"/>
          <w:color w:val="010202"/>
        </w:rPr>
        <w:t xml:space="preserve">“Good Reason” </w:t>
      </w:r>
      <w:r>
        <w:rPr>
          <w:rFonts w:ascii="Arial" w:cs="Arial" w:eastAsia="Arial" w:hAnsi="Arial"/>
          <w:sz w:val="18"/>
          <w:szCs w:val="18"/>
          <w:color w:val="010202"/>
        </w:rPr>
        <w:t>means the occurrence of any of the following without your prior written consent:</w:t>
      </w:r>
    </w:p>
    <w:p>
      <w:pPr>
        <w:spacing w:after="0" w:line="38" w:lineRule="exact"/>
        <w:rPr>
          <w:rFonts w:ascii="Arial" w:cs="Arial" w:eastAsia="Arial" w:hAnsi="Arial"/>
          <w:sz w:val="18"/>
          <w:szCs w:val="18"/>
          <w:b w:val="1"/>
          <w:bCs w:val="1"/>
          <w:color w:val="010202"/>
        </w:rPr>
      </w:pPr>
    </w:p>
    <w:p>
      <w:pPr>
        <w:jc w:val="both"/>
        <w:ind w:firstLine="8"/>
        <w:spacing w:after="0" w:line="241" w:lineRule="auto"/>
        <w:tabs>
          <w:tab w:leader="none" w:pos="247" w:val="left"/>
        </w:tabs>
        <w:numPr>
          <w:ilvl w:val="0"/>
          <w:numId w:val="60"/>
        </w:numPr>
        <w:rPr>
          <w:rFonts w:ascii="Arial" w:cs="Arial" w:eastAsia="Arial" w:hAnsi="Arial"/>
          <w:sz w:val="20"/>
          <w:szCs w:val="20"/>
          <w:color w:val="010202"/>
        </w:rPr>
      </w:pPr>
      <w:r>
        <w:rPr>
          <w:rFonts w:ascii="Arial" w:cs="Arial" w:eastAsia="Arial" w:hAnsi="Arial"/>
          <w:sz w:val="20"/>
          <w:szCs w:val="20"/>
          <w:color w:val="010202"/>
        </w:rPr>
        <w:t>a material reduction in your then-current annual base salary; except for a reduction (not to exceed 10%) that is part of a proportional reduction of the base salaries of all Company executives; (ii) relocation of your principal place of employment to a place that increases your one-way commute by more than thirty (30) miles as compared to your then-current principal place of employment immediately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84" w:name="page85"/>
    <w:bookmarkEnd w:id="84"/>
    <w:p>
      <w:pPr>
        <w:jc w:val="both"/>
        <w:spacing w:after="0" w:line="271" w:lineRule="auto"/>
        <w:rPr>
          <w:sz w:val="20"/>
          <w:szCs w:val="20"/>
          <w:color w:val="auto"/>
        </w:rPr>
      </w:pPr>
      <w:r>
        <w:rPr>
          <w:rFonts w:ascii="Arial" w:cs="Arial" w:eastAsia="Arial" w:hAnsi="Arial"/>
          <w:sz w:val="18"/>
          <w:szCs w:val="18"/>
          <w:color w:val="010202"/>
        </w:rPr>
        <w:t>to such relocation; or (iii) a material and adverse change in your duties and responsibilities (it being agreed that a change in duties and responsibilities following an Acquisition that is inherent in the Company becoming a part of a larger business organization shall not constitute a material adverse change); provided, however, that a resignation by you shall not be considered to be for a “Good Reason” under this agreement unless (i) you provide written notice to the Board of the occurrence of the event which you contend constitutes Good Reason within thirty (30) days after the date such event occurs, which notice states your intention to resign for a “Good Reason” under this Agreement as a result thereof, (ii) the Company does not effect a cure with respect to such event within thirty (30) days after receipt of such written notice, and (iii) you thereafter resign and cease to perform services as an employee of the Company within ten (10) days after the expiration of the Company’s cure period. Good Reason shall also include you resigning from all Company positions for any reason during the Change of Control Severance Period but no earlier than nine months after an Acquisition. You agree to provide 60 days prior written notice to the Company of your decision to resign pursuant to this provision.</w:t>
      </w:r>
    </w:p>
    <w:p>
      <w:pPr>
        <w:spacing w:after="0" w:line="177" w:lineRule="exact"/>
        <w:rPr>
          <w:sz w:val="20"/>
          <w:szCs w:val="20"/>
          <w:color w:val="auto"/>
        </w:rPr>
      </w:pPr>
    </w:p>
    <w:p>
      <w:pPr>
        <w:jc w:val="both"/>
        <w:ind w:firstLine="656"/>
        <w:spacing w:after="0" w:line="268" w:lineRule="auto"/>
        <w:tabs>
          <w:tab w:leader="none" w:pos="129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of your ongoing employment with Company, you and the Company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submit to mandatory final, binding and confidential arbitration any and all disputes, claims or controversies arising out of, related to or connected with your employment with the Company, including, but not limited to, claims of discrimination, harassment, unpaid wages, breach of contract (express or implied), wrongful termination, torts, claims for stock or stock options, as well as claims based upon any federal, state or local ordinance, statute, regulation or constitutional provision, including, but not limited to, the Age Discrimination in Employment Act, 29 U.S.C. § 621,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Employee Retirement Income Security Act (ERISA), 29 U.S.C. § 1001,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Title VII of the Civil Rights Act of 1964, 42 U.S.C. § 2000e, </w:t>
      </w:r>
      <w:r>
        <w:rPr>
          <w:rFonts w:ascii="Arial" w:cs="Arial" w:eastAsia="Arial" w:hAnsi="Arial"/>
          <w:sz w:val="18"/>
          <w:szCs w:val="18"/>
          <w:i w:val="1"/>
          <w:iCs w:val="1"/>
          <w:color w:val="auto"/>
        </w:rPr>
        <w:t>et seq.</w:t>
      </w:r>
      <w:r>
        <w:rPr>
          <w:rFonts w:ascii="Arial" w:cs="Arial" w:eastAsia="Arial" w:hAnsi="Arial"/>
          <w:sz w:val="18"/>
          <w:szCs w:val="18"/>
          <w:color w:val="auto"/>
        </w:rPr>
        <w:t>, and 42 U.S.C. § 1981, and any and all state or local laws prohibiting discrimination or regulating any terms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employment “</w:t>
      </w:r>
      <w:r>
        <w:rPr>
          <w:rFonts w:ascii="Arial" w:cs="Arial" w:eastAsia="Arial" w:hAnsi="Arial"/>
          <w:sz w:val="18"/>
          <w:szCs w:val="18"/>
          <w:b w:val="1"/>
          <w:bCs w:val="1"/>
          <w:i w:val="1"/>
          <w:iCs w:val="1"/>
          <w:color w:val="auto"/>
        </w:rPr>
        <w:t>Arbitrable Claims</w:t>
      </w:r>
      <w:r>
        <w:rPr>
          <w:rFonts w:ascii="Arial" w:cs="Arial" w:eastAsia="Arial" w:hAnsi="Arial"/>
          <w:sz w:val="18"/>
          <w:szCs w:val="18"/>
          <w:color w:val="auto"/>
        </w:rPr>
        <w:t>”). Arbitration shall be the exclusive method by which to resolve all Arbitrable Claims and shall be final and binding upon the parties. BY AGREEING TO THIS ARBITRATION PROCEDURE, YOU AND THE COMPANY HEREBY WAIVE ANY RIGHTS EITHER MAY HAVE TO TRIAL BY JURY IN REGARD TO ARBITRABLE CLAIMS. The arbitration shall be conducted pursuant to the Federal Arbitration Act, 9 U.S.C. § 1-16, and to the fullest extent permitted by law, in New York, New York by a single arbitrator conducted by JAMS,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under the then-applicable JAMS rules (which can be found at http://www.jamsadr.com/rulesclauses). 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In any arbitration proceeding, you will have the right to be represented by legal counsel at your own expense (subject to applicable law requiring that the Company pay the fees and/or costs of your legal counsel).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arbitrator, and not a court, shall also be authorized to determine whether the provisions of this paragraph apply to a dispute, controversy, or claim sought to be resolved in accordance with these arbitration proceedings. The Company shall pay all costs and fees in excess of the amount of court fees that you would be required to incur if the dispute were filed or decided in a court of law. Nothing in this Agreement is intended to prevent either you or the Company from obtaining injunctive relief in court to prevent irreparable harm pending the conclusion of any such arbitration.</w:t>
      </w:r>
    </w:p>
    <w:p>
      <w:pPr>
        <w:spacing w:after="0" w:line="178" w:lineRule="exact"/>
        <w:rPr>
          <w:rFonts w:ascii="Arial" w:cs="Arial" w:eastAsia="Arial" w:hAnsi="Arial"/>
          <w:sz w:val="18"/>
          <w:szCs w:val="18"/>
          <w:b w:val="1"/>
          <w:bCs w:val="1"/>
          <w:color w:val="auto"/>
        </w:rPr>
      </w:pPr>
    </w:p>
    <w:p>
      <w:pPr>
        <w:jc w:val="both"/>
        <w:ind w:firstLine="656"/>
        <w:spacing w:after="0" w:line="253" w:lineRule="auto"/>
        <w:tabs>
          <w:tab w:leader="none" w:pos="1296"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together with the Proprietary Information, Inventions and Non-Solicitation/Non-Competition Agreement and the equity documentation referred to herein, will form the complete and exclusive statement of your employment 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478790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85" w:name="page86"/>
    <w:bookmarkEnd w:id="85"/>
    <w:p>
      <w:pPr>
        <w:jc w:val="both"/>
        <w:spacing w:after="0" w:line="269" w:lineRule="auto"/>
        <w:rPr>
          <w:sz w:val="20"/>
          <w:szCs w:val="20"/>
          <w:color w:val="auto"/>
        </w:rPr>
      </w:pPr>
      <w:r>
        <w:rPr>
          <w:rFonts w:ascii="Arial" w:cs="Arial" w:eastAsia="Arial" w:hAnsi="Arial"/>
          <w:sz w:val="19"/>
          <w:szCs w:val="19"/>
          <w:color w:val="auto"/>
        </w:rPr>
        <w:t>It supersedes any other agreements or promises with respect to your employment made to you by anyone, whether oral or written, and other than those changes expressly reserved to the Company’s discretion in this letter, this letter can only be modified in a written agreement signed by you and a duly authorized officer of the Company.</w:t>
      </w:r>
    </w:p>
    <w:p>
      <w:pPr>
        <w:spacing w:after="0" w:line="177" w:lineRule="exact"/>
        <w:rPr>
          <w:sz w:val="20"/>
          <w:szCs w:val="20"/>
          <w:color w:val="auto"/>
        </w:rPr>
      </w:pPr>
    </w:p>
    <w:p>
      <w:pPr>
        <w:ind w:firstLine="656"/>
        <w:spacing w:after="0" w:line="267" w:lineRule="auto"/>
        <w:tabs>
          <w:tab w:leader="none" w:pos="1296"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Acceptance</w:t>
      </w:r>
      <w:r>
        <w:rPr>
          <w:rFonts w:ascii="Arial" w:cs="Arial" w:eastAsia="Arial" w:hAnsi="Arial"/>
          <w:sz w:val="20"/>
          <w:szCs w:val="20"/>
          <w:b w:val="1"/>
          <w:bCs w:val="1"/>
          <w:color w:val="auto"/>
        </w:rPr>
        <w:t xml:space="preserve">. </w:t>
      </w:r>
      <w:r>
        <w:rPr>
          <w:rFonts w:ascii="Arial" w:cs="Arial" w:eastAsia="Arial" w:hAnsi="Arial"/>
          <w:sz w:val="20"/>
          <w:szCs w:val="20"/>
          <w:color w:val="auto"/>
        </w:rPr>
        <w:t>To indicate your acceptance of this Agreement, please sign and date this Agreement and return</w:t>
      </w:r>
      <w:r>
        <w:rPr>
          <w:rFonts w:ascii="Arial" w:cs="Arial" w:eastAsia="Arial" w:hAnsi="Arial"/>
          <w:sz w:val="20"/>
          <w:szCs w:val="20"/>
          <w:b w:val="1"/>
          <w:bCs w:val="1"/>
          <w:color w:val="auto"/>
        </w:rPr>
        <w:t xml:space="preserve"> </w:t>
      </w:r>
      <w:r>
        <w:rPr>
          <w:rFonts w:ascii="Arial" w:cs="Arial" w:eastAsia="Arial" w:hAnsi="Arial"/>
          <w:sz w:val="20"/>
          <w:szCs w:val="20"/>
          <w:color w:val="auto"/>
        </w:rPr>
        <w:t>the signed copy to me.</w:t>
      </w:r>
    </w:p>
    <w:p>
      <w:pPr>
        <w:spacing w:after="0" w:line="183"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Very truly yours,</w:t>
      </w:r>
    </w:p>
    <w:p>
      <w:pPr>
        <w:spacing w:after="0" w:line="223"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PROGYNY, INC.</w:t>
      </w:r>
    </w:p>
    <w:p>
      <w:pPr>
        <w:spacing w:after="0" w:line="235"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/s/ David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10160</wp:posOffset>
            </wp:positionV>
            <wp:extent cx="30600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David Schlanger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understood this Agreement and hereby acknowledge, accept and agree to the terms as set forth above.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80" w:type="dxa"/>
            <w:vAlign w:val="bottom"/>
            <w:gridSpan w:val="3"/>
          </w:tcPr>
          <w:p>
            <w:pPr>
              <w:spacing w:after="0"/>
              <w:rPr>
                <w:sz w:val="20"/>
                <w:szCs w:val="20"/>
                <w:color w:val="auto"/>
              </w:rPr>
            </w:pPr>
            <w:r>
              <w:rPr>
                <w:rFonts w:ascii="Arial" w:cs="Arial" w:eastAsia="Arial" w:hAnsi="Arial"/>
                <w:sz w:val="20"/>
                <w:szCs w:val="20"/>
                <w:color w:val="auto"/>
              </w:rPr>
              <w:t>/s/ Pete Anevski</w:t>
            </w:r>
          </w:p>
        </w:tc>
        <w:tc>
          <w:tcPr>
            <w:tcW w:w="4840" w:type="dxa"/>
            <w:vAlign w:val="bottom"/>
          </w:tcPr>
          <w:p>
            <w:pPr>
              <w:spacing w:after="0"/>
              <w:rPr>
                <w:sz w:val="20"/>
                <w:szCs w:val="20"/>
                <w:color w:val="auto"/>
              </w:rPr>
            </w:pPr>
            <w:r>
              <w:rPr>
                <w:rFonts w:ascii="Arial" w:cs="Arial" w:eastAsia="Arial" w:hAnsi="Arial"/>
                <w:sz w:val="20"/>
                <w:szCs w:val="20"/>
                <w:color w:val="auto"/>
              </w:rPr>
              <w:t>12/23/2021</w:t>
            </w:r>
          </w:p>
        </w:tc>
      </w:tr>
      <w:tr>
        <w:trPr>
          <w:trHeight w:val="250"/>
        </w:trPr>
        <w:tc>
          <w:tcPr>
            <w:tcW w:w="20" w:type="dxa"/>
            <w:vAlign w:val="bottom"/>
          </w:tcPr>
          <w:p>
            <w:pPr>
              <w:spacing w:after="0"/>
              <w:rPr>
                <w:sz w:val="21"/>
                <w:szCs w:val="21"/>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Pete Anevski</w:t>
            </w:r>
          </w:p>
        </w:tc>
        <w:tc>
          <w:tcPr>
            <w:tcW w:w="220" w:type="dxa"/>
            <w:vAlign w:val="bottom"/>
          </w:tcPr>
          <w:p>
            <w:pPr>
              <w:spacing w:after="0"/>
              <w:rPr>
                <w:sz w:val="21"/>
                <w:szCs w:val="21"/>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DATE</w:t>
            </w:r>
          </w:p>
        </w:tc>
      </w:tr>
      <w:tr>
        <w:trPr>
          <w:trHeight w:val="750"/>
        </w:trPr>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52" w:right="999"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159385</wp:posOffset>
            </wp:positionV>
            <wp:extent cx="1817370" cy="5657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18173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December 17,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Michael Sturmer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 Progyny, Inc.</w:t>
      </w:r>
    </w:p>
    <w:p>
      <w:pPr>
        <w:spacing w:after="0"/>
        <w:rPr>
          <w:sz w:val="20"/>
          <w:szCs w:val="20"/>
          <w:color w:val="auto"/>
        </w:rPr>
      </w:pPr>
      <w:r>
        <w:rPr>
          <w:rFonts w:ascii="Arial" w:cs="Arial" w:eastAsia="Arial" w:hAnsi="Arial"/>
          <w:sz w:val="20"/>
          <w:szCs w:val="20"/>
          <w:color w:val="auto"/>
        </w:rPr>
        <w:t>1359 Broadway, 2nd Fl</w:t>
      </w:r>
    </w:p>
    <w:p>
      <w:pPr>
        <w:spacing w:after="0"/>
        <w:rPr>
          <w:sz w:val="20"/>
          <w:szCs w:val="20"/>
          <w:color w:val="auto"/>
        </w:rPr>
      </w:pPr>
      <w:r>
        <w:rPr>
          <w:rFonts w:ascii="Arial" w:cs="Arial" w:eastAsia="Arial" w:hAnsi="Arial"/>
          <w:sz w:val="20"/>
          <w:szCs w:val="20"/>
          <w:color w:val="auto"/>
        </w:rPr>
        <w:t>New York, NY 10018</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RE: Amended and Restated Michael Sturmer Employment Agreement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Dear Michael:</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letter agreement (“Agreement”) confirms the terms and conditions of your ongoing employment with Progyny, Inc. (“Progyny” or “Company”) and replaces your previous employment letter dated January 14, 2021. This Agreement will be effective as of January 1, 2022 (the “Effective Date”).</w:t>
      </w:r>
    </w:p>
    <w:p>
      <w:pPr>
        <w:spacing w:after="0" w:line="193" w:lineRule="exact"/>
        <w:rPr>
          <w:sz w:val="20"/>
          <w:szCs w:val="20"/>
          <w:color w:val="auto"/>
        </w:rPr>
      </w:pPr>
    </w:p>
    <w:p>
      <w:pPr>
        <w:ind w:firstLine="8"/>
        <w:spacing w:after="0" w:line="293" w:lineRule="auto"/>
        <w:tabs>
          <w:tab w:leader="none" w:pos="324"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Position</w:t>
      </w:r>
      <w:r>
        <w:rPr>
          <w:rFonts w:ascii="Arial" w:cs="Arial" w:eastAsia="Arial" w:hAnsi="Arial"/>
          <w:sz w:val="19"/>
          <w:szCs w:val="19"/>
          <w:color w:val="auto"/>
        </w:rPr>
        <w:t>. Commencing on the Effective Date, your position will be</w:t>
      </w:r>
      <w:r>
        <w:rPr>
          <w:rFonts w:ascii="Arial" w:cs="Arial" w:eastAsia="Arial" w:hAnsi="Arial"/>
          <w:sz w:val="19"/>
          <w:szCs w:val="19"/>
          <w:b w:val="1"/>
          <w:bCs w:val="1"/>
          <w:color w:val="auto"/>
        </w:rPr>
        <w:t xml:space="preserve"> President </w:t>
      </w:r>
      <w:r>
        <w:rPr>
          <w:rFonts w:ascii="Arial" w:cs="Arial" w:eastAsia="Arial" w:hAnsi="Arial"/>
          <w:sz w:val="19"/>
          <w:szCs w:val="19"/>
          <w:color w:val="auto"/>
        </w:rPr>
        <w:t>and you will report to the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of the Company. Your principal place of employment will continue to be Progyny’s New York office.</w:t>
      </w:r>
    </w:p>
    <w:p>
      <w:pPr>
        <w:spacing w:after="0" w:line="155" w:lineRule="exact"/>
        <w:rPr>
          <w:rFonts w:ascii="Arial" w:cs="Arial" w:eastAsia="Arial" w:hAnsi="Arial"/>
          <w:sz w:val="19"/>
          <w:szCs w:val="19"/>
          <w:b w:val="1"/>
          <w:bCs w:val="1"/>
          <w:color w:val="auto"/>
        </w:rPr>
      </w:pPr>
    </w:p>
    <w:p>
      <w:pPr>
        <w:ind w:left="340" w:hanging="332"/>
        <w:spacing w:after="0"/>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color w:val="auto"/>
        </w:rPr>
        <w:t>: As an employee of Progyny, you will receive the following compensation and benefits: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color w:val="auto"/>
        </w:rPr>
        <w:t>. Your annual base salary will continue to be</w:t>
      </w:r>
      <w:r>
        <w:rPr>
          <w:rFonts w:ascii="Arial" w:cs="Arial" w:eastAsia="Arial" w:hAnsi="Arial"/>
          <w:sz w:val="20"/>
          <w:szCs w:val="20"/>
          <w:b w:val="1"/>
          <w:bCs w:val="1"/>
          <w:color w:val="auto"/>
        </w:rPr>
        <w:t xml:space="preserve"> $425,000</w:t>
      </w:r>
      <w:r>
        <w:rPr>
          <w:rFonts w:ascii="Arial" w:cs="Arial" w:eastAsia="Arial" w:hAnsi="Arial"/>
          <w:sz w:val="20"/>
          <w:szCs w:val="20"/>
          <w:color w:val="auto"/>
        </w:rPr>
        <w:t>, less applicable deductions authorized by you and</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law, which will be paid in accordance with the Company’s normal payroll practices. The Company, in its sole judgement and discretion, may modify your salary upon periodic review.</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u w:val="single" w:color="auto"/>
          <w:color w:val="auto"/>
        </w:rPr>
        <w:t>Variable Compensation</w:t>
      </w:r>
      <w:r>
        <w:rPr>
          <w:rFonts w:ascii="Arial" w:cs="Arial" w:eastAsia="Arial" w:hAnsi="Arial"/>
          <w:sz w:val="19"/>
          <w:szCs w:val="19"/>
          <w:color w:val="auto"/>
        </w:rPr>
        <w:t>. You are eligible for an annual discretionary bonus up to a maximum of</w:t>
      </w:r>
      <w:r>
        <w:rPr>
          <w:rFonts w:ascii="Arial" w:cs="Arial" w:eastAsia="Arial" w:hAnsi="Arial"/>
          <w:sz w:val="19"/>
          <w:szCs w:val="19"/>
          <w:b w:val="1"/>
          <w:bCs w:val="1"/>
          <w:color w:val="auto"/>
        </w:rPr>
        <w:t xml:space="preserve"> 75% </w:t>
      </w:r>
      <w:r>
        <w:rPr>
          <w:rFonts w:ascii="Arial" w:cs="Arial" w:eastAsia="Arial" w:hAnsi="Arial"/>
          <w:sz w:val="19"/>
          <w:szCs w:val="19"/>
          <w:color w:val="auto"/>
        </w:rPr>
        <w:t>of your 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i w:val="1"/>
          <w:iCs w:val="1"/>
          <w:color w:val="auto"/>
        </w:rPr>
        <w:t>Target Bonus</w:t>
      </w:r>
      <w:r>
        <w:rPr>
          <w:rFonts w:ascii="Arial" w:cs="Arial" w:eastAsia="Arial" w:hAnsi="Arial"/>
          <w:sz w:val="19"/>
          <w:szCs w:val="19"/>
          <w:color w:val="auto"/>
        </w:rPr>
        <w:t>”) beginning with fiscal year 2021. In order to receive the Target Bonus or any portion of the Target Bonus, you must achieve certain individual performance goals, Progyny must achieve certain performance targets, and you must be employed with the Company on the date the bonus is paid. The actual amount of your annual bonus will be determined by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in its sole discretion.</w:t>
      </w:r>
    </w:p>
    <w:p>
      <w:pPr>
        <w:spacing w:after="0" w:line="184"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b w:val="1"/>
          <w:bCs w:val="1"/>
          <w:u w:val="single" w:color="auto"/>
          <w:color w:val="auto"/>
        </w:rPr>
        <w:t>Stock Options and RSUs</w:t>
      </w:r>
      <w:r>
        <w:rPr>
          <w:rFonts w:ascii="Arial" w:cs="Arial" w:eastAsia="Arial" w:hAnsi="Arial"/>
          <w:sz w:val="19"/>
          <w:szCs w:val="19"/>
          <w:color w:val="auto"/>
        </w:rPr>
        <w:t>. You have previously been granted an equity award comprised of a nonqualified option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purchase </w:t>
      </w:r>
      <w:r>
        <w:rPr>
          <w:rFonts w:ascii="Arial" w:cs="Arial" w:eastAsia="Arial" w:hAnsi="Arial"/>
          <w:sz w:val="19"/>
          <w:szCs w:val="19"/>
          <w:b w:val="1"/>
          <w:bCs w:val="1"/>
          <w:color w:val="auto"/>
        </w:rPr>
        <w:t>600,000</w:t>
      </w:r>
      <w:r>
        <w:rPr>
          <w:rFonts w:ascii="Arial" w:cs="Arial" w:eastAsia="Arial" w:hAnsi="Arial"/>
          <w:sz w:val="19"/>
          <w:szCs w:val="19"/>
          <w:color w:val="auto"/>
        </w:rPr>
        <w:t xml:space="preserve"> shares of the Company’s Common Stock and </w:t>
      </w:r>
      <w:r>
        <w:rPr>
          <w:rFonts w:ascii="Arial" w:cs="Arial" w:eastAsia="Arial" w:hAnsi="Arial"/>
          <w:sz w:val="19"/>
          <w:szCs w:val="19"/>
          <w:b w:val="1"/>
          <w:bCs w:val="1"/>
          <w:color w:val="auto"/>
        </w:rPr>
        <w:t>250,000</w:t>
      </w:r>
      <w:r>
        <w:rPr>
          <w:rFonts w:ascii="Arial" w:cs="Arial" w:eastAsia="Arial" w:hAnsi="Arial"/>
          <w:sz w:val="19"/>
          <w:szCs w:val="19"/>
          <w:color w:val="auto"/>
        </w:rPr>
        <w:t xml:space="preserve"> restricted stock units (your right to receive shares of the Company’s Common Stock in the future) (“RSUs”). Subject to your continued employment with the Company, the awards will continue to vest in accordance with your equity award agreements with the Company (the “Award Agreements”) and the standard terms and conditions under the Company’s equity plan as in effect from time to time. The Award Agreements shall continue in full force and effect in accordance with their respective terms.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u w:val="single" w:color="auto"/>
          <w:color w:val="auto"/>
        </w:rPr>
        <w:t>Employee Benefits</w:t>
      </w:r>
      <w:r>
        <w:rPr>
          <w:rFonts w:ascii="Arial" w:cs="Arial" w:eastAsia="Arial" w:hAnsi="Arial"/>
          <w:sz w:val="20"/>
          <w:szCs w:val="20"/>
          <w:color w:val="auto"/>
        </w:rPr>
        <w:t>. You will continue to be eligible to participate in the Company’s employee benefit plans as they may</w:t>
      </w:r>
      <w:r>
        <w:rPr>
          <w:rFonts w:ascii="Arial" w:cs="Arial" w:eastAsia="Arial" w:hAnsi="Arial"/>
          <w:sz w:val="20"/>
          <w:szCs w:val="20"/>
          <w:b w:val="1"/>
          <w:bCs w:val="1"/>
          <w:color w:val="auto"/>
        </w:rPr>
        <w:t xml:space="preserve"> </w:t>
      </w:r>
      <w:r>
        <w:rPr>
          <w:rFonts w:ascii="Arial" w:cs="Arial" w:eastAsia="Arial" w:hAnsi="Arial"/>
          <w:sz w:val="20"/>
          <w:szCs w:val="20"/>
          <w:color w:val="auto"/>
        </w:rPr>
        <w:t>exist from time to time, subject to any eligibility requirements imposed by such plans, including its health and welfare and paid time off benefits. The Company reserves the right to modify or terminate its employee benefit plans, in whole or in part, at any time in its sole discretion.</w:t>
      </w:r>
    </w:p>
    <w:p>
      <w:pPr>
        <w:spacing w:after="0" w:line="197" w:lineRule="exact"/>
        <w:rPr>
          <w:sz w:val="20"/>
          <w:szCs w:val="20"/>
          <w:color w:val="auto"/>
        </w:rPr>
      </w:pPr>
    </w:p>
    <w:p>
      <w:pPr>
        <w:ind w:firstLine="8"/>
        <w:spacing w:after="0" w:line="267" w:lineRule="auto"/>
        <w:tabs>
          <w:tab w:leader="none" w:pos="324"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Non-Disclosure and Non-Compete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As an employee of the Company, you will continue to have access to</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confidential information of the Company and you may, during the course of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7" w:name="page88"/>
    <w:bookmarkEnd w:id="87"/>
    <w:p>
      <w:pPr>
        <w:jc w:val="both"/>
        <w:spacing w:after="0" w:line="250" w:lineRule="auto"/>
        <w:rPr>
          <w:sz w:val="20"/>
          <w:szCs w:val="20"/>
          <w:color w:val="auto"/>
        </w:rPr>
      </w:pPr>
      <w:r>
        <w:rPr>
          <w:rFonts w:ascii="Arial" w:cs="Arial" w:eastAsia="Arial" w:hAnsi="Arial"/>
          <w:sz w:val="20"/>
          <w:szCs w:val="20"/>
          <w:color w:val="auto"/>
        </w:rPr>
        <w:t>employment, develop certain information or inventions that will be the property of the Company. To protect the interests of the Company, you hereby ratify the “Proprietary Information, Inventions and Non-Solicitation/Non-Competition Agreement” you previously signed.</w:t>
      </w:r>
    </w:p>
    <w:p>
      <w:pPr>
        <w:spacing w:after="0" w:line="193" w:lineRule="exact"/>
        <w:rPr>
          <w:sz w:val="20"/>
          <w:szCs w:val="20"/>
          <w:color w:val="auto"/>
        </w:rPr>
      </w:pPr>
    </w:p>
    <w:p>
      <w:pPr>
        <w:jc w:val="both"/>
        <w:ind w:firstLine="8"/>
        <w:spacing w:after="0" w:line="257" w:lineRule="auto"/>
        <w:tabs>
          <w:tab w:leader="none" w:pos="3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At-Will Employment</w:t>
      </w:r>
      <w:r>
        <w:rPr>
          <w:rFonts w:ascii="Arial" w:cs="Arial" w:eastAsia="Arial" w:hAnsi="Arial"/>
          <w:sz w:val="19"/>
          <w:szCs w:val="19"/>
          <w:color w:val="auto"/>
        </w:rPr>
        <w:t>. Your employment with the Company will be “at will”, which means that it is for no specified</w:t>
      </w:r>
      <w:r>
        <w:rPr>
          <w:rFonts w:ascii="Arial" w:cs="Arial" w:eastAsia="Arial" w:hAnsi="Arial"/>
          <w:sz w:val="19"/>
          <w:szCs w:val="19"/>
          <w:b w:val="1"/>
          <w:bCs w:val="1"/>
          <w:color w:val="auto"/>
        </w:rPr>
        <w:t xml:space="preserve"> </w:t>
      </w:r>
      <w:r>
        <w:rPr>
          <w:rFonts w:ascii="Arial" w:cs="Arial" w:eastAsia="Arial" w:hAnsi="Arial"/>
          <w:sz w:val="19"/>
          <w:szCs w:val="19"/>
          <w:color w:val="auto"/>
        </w:rPr>
        <w:t>term or duration. You may terminate your employment with Company at any time and for any reason whatsoever simply by notifying the Company, subject to the notice provisions required to resign for Good Reason (as defined below). Likewise, the Company may terminate your employment at any time, with or without Cause (as defined below) or advance notice, subject to the consequences set forth in Section 5. Neither the vesting of the Options or RSUs described in this Agreement (nor any other provision of this Agreement or any other agreement between you and the Company), nor your participation in any stock option, incentive bonus, or other benefit program in the future, is to be regarded as assuring you of continuing employment for any particular period of time. Your employment at-will status can only be modified in a written agreement signed by you and by an officer of Progyny.</w:t>
      </w:r>
    </w:p>
    <w:p>
      <w:pPr>
        <w:spacing w:after="0" w:line="189" w:lineRule="exact"/>
        <w:rPr>
          <w:rFonts w:ascii="Arial" w:cs="Arial" w:eastAsia="Arial" w:hAnsi="Arial"/>
          <w:sz w:val="19"/>
          <w:szCs w:val="19"/>
          <w:b w:val="1"/>
          <w:bCs w:val="1"/>
          <w:color w:val="auto"/>
        </w:rPr>
      </w:pPr>
    </w:p>
    <w:p>
      <w:pPr>
        <w:ind w:left="340" w:hanging="332"/>
        <w:spacing w:after="0"/>
        <w:tabs>
          <w:tab w:leader="none" w:pos="34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Employment; Severance.</w:t>
      </w:r>
    </w:p>
    <w:p>
      <w:pPr>
        <w:spacing w:after="0" w:line="229" w:lineRule="exact"/>
        <w:rPr>
          <w:rFonts w:ascii="Arial" w:cs="Arial" w:eastAsia="Arial" w:hAnsi="Arial"/>
          <w:sz w:val="20"/>
          <w:szCs w:val="20"/>
          <w:b w:val="1"/>
          <w:bCs w:val="1"/>
          <w:color w:val="auto"/>
        </w:rPr>
      </w:pPr>
    </w:p>
    <w:p>
      <w:pPr>
        <w:jc w:val="both"/>
        <w:ind w:firstLine="324"/>
        <w:spacing w:after="0" w:line="259" w:lineRule="auto"/>
        <w:rPr>
          <w:rFonts w:ascii="Arial" w:cs="Arial" w:eastAsia="Arial" w:hAnsi="Arial"/>
          <w:sz w:val="20"/>
          <w:szCs w:val="20"/>
          <w:b w:val="1"/>
          <w:bCs w:val="1"/>
          <w:color w:val="auto"/>
        </w:rPr>
      </w:pPr>
      <w:r>
        <w:rPr>
          <w:rFonts w:ascii="Arial" w:cs="Arial" w:eastAsia="Arial" w:hAnsi="Arial"/>
          <w:sz w:val="19"/>
          <w:szCs w:val="19"/>
          <w:b w:val="1"/>
          <w:bCs w:val="1"/>
          <w:color w:val="000101"/>
        </w:rPr>
        <w:t xml:space="preserve">a. Termination Without Cause </w:t>
      </w:r>
      <w:r>
        <w:rPr>
          <w:rFonts w:ascii="Arial" w:cs="Arial" w:eastAsia="Arial" w:hAnsi="Arial"/>
          <w:sz w:val="19"/>
          <w:szCs w:val="19"/>
          <w:b w:val="1"/>
          <w:bCs w:val="1"/>
          <w:color w:val="000000"/>
        </w:rPr>
        <w:t>or Resignation for Good Reason</w:t>
      </w:r>
      <w:r>
        <w:rPr>
          <w:rFonts w:ascii="Arial" w:cs="Arial" w:eastAsia="Arial" w:hAnsi="Arial"/>
          <w:sz w:val="19"/>
          <w:szCs w:val="19"/>
          <w:b w:val="1"/>
          <w:bCs w:val="1"/>
          <w:color w:val="000101"/>
        </w:rPr>
        <w:t xml:space="preserve">. </w:t>
      </w:r>
      <w:r>
        <w:rPr>
          <w:rFonts w:ascii="Arial" w:cs="Arial" w:eastAsia="Arial" w:hAnsi="Arial"/>
          <w:sz w:val="19"/>
          <w:szCs w:val="19"/>
          <w:color w:val="000000"/>
        </w:rPr>
        <w:t>In the event your employment with the Company</w:t>
      </w:r>
      <w:r>
        <w:rPr>
          <w:rFonts w:ascii="Arial" w:cs="Arial" w:eastAsia="Arial" w:hAnsi="Arial"/>
          <w:sz w:val="19"/>
          <w:szCs w:val="19"/>
          <w:b w:val="1"/>
          <w:bCs w:val="1"/>
          <w:color w:val="000101"/>
        </w:rPr>
        <w:t xml:space="preserve"> </w:t>
      </w:r>
      <w:r>
        <w:rPr>
          <w:rFonts w:ascii="Arial" w:cs="Arial" w:eastAsia="Arial" w:hAnsi="Arial"/>
          <w:sz w:val="19"/>
          <w:szCs w:val="19"/>
          <w:color w:val="000000"/>
        </w:rPr>
        <w:t xml:space="preserve">(and its subsidiaries) is terminated by the Company (or such subsidiary if applicable) without Cause or you resign for Good Reason, then provided such termination constitutes a “separation from service” (as defined under Treasury Regulation Section 1.409A-1(h), without regard to any alternative definition thereunder, a </w:t>
      </w:r>
      <w:r>
        <w:rPr>
          <w:rFonts w:ascii="Arial" w:cs="Arial" w:eastAsia="Arial" w:hAnsi="Arial"/>
          <w:sz w:val="19"/>
          <w:szCs w:val="19"/>
          <w:color w:val="000101"/>
        </w:rPr>
        <w:t>“</w:t>
      </w:r>
      <w:r>
        <w:rPr>
          <w:rFonts w:ascii="Arial" w:cs="Arial" w:eastAsia="Arial" w:hAnsi="Arial"/>
          <w:sz w:val="19"/>
          <w:szCs w:val="19"/>
          <w:b w:val="1"/>
          <w:bCs w:val="1"/>
          <w:i w:val="1"/>
          <w:iCs w:val="1"/>
          <w:color w:val="000101"/>
        </w:rPr>
        <w:t>Separation from Service</w:t>
      </w:r>
      <w:r>
        <w:rPr>
          <w:rFonts w:ascii="Arial" w:cs="Arial" w:eastAsia="Arial" w:hAnsi="Arial"/>
          <w:sz w:val="19"/>
          <w:szCs w:val="19"/>
          <w:color w:val="000101"/>
        </w:rPr>
        <w:t>”),</w:t>
      </w:r>
      <w:r>
        <w:rPr>
          <w:rFonts w:ascii="Arial" w:cs="Arial" w:eastAsia="Arial" w:hAnsi="Arial"/>
          <w:sz w:val="19"/>
          <w:szCs w:val="19"/>
          <w:color w:val="000000"/>
        </w:rPr>
        <w:t xml:space="preserve"> and provided that the Release Condition (as defined below in Section 5(d)) is satisfied and you remain in compliance with the terms of this Agreement (including, without limitation, the Non-Disclosure and Non-Compete Agreement), the Company shall provide you with the following severance payments and benefits:</w:t>
      </w:r>
    </w:p>
    <w:p>
      <w:pPr>
        <w:spacing w:after="0" w:line="185" w:lineRule="exact"/>
        <w:rPr>
          <w:rFonts w:ascii="Arial" w:cs="Arial" w:eastAsia="Arial" w:hAnsi="Arial"/>
          <w:sz w:val="20"/>
          <w:szCs w:val="20"/>
          <w:b w:val="1"/>
          <w:bCs w:val="1"/>
          <w:color w:val="auto"/>
        </w:rPr>
      </w:pPr>
    </w:p>
    <w:p>
      <w:pPr>
        <w:jc w:val="both"/>
        <w:ind w:left="980" w:hanging="324"/>
        <w:spacing w:after="0" w:line="259" w:lineRule="auto"/>
        <w:tabs>
          <w:tab w:leader="none" w:pos="980" w:val="left"/>
        </w:tabs>
        <w:numPr>
          <w:ilvl w:val="2"/>
          <w:numId w:val="65"/>
        </w:numPr>
        <w:rPr>
          <w:rFonts w:ascii="Arial" w:cs="Arial" w:eastAsia="Arial" w:hAnsi="Arial"/>
          <w:sz w:val="19"/>
          <w:szCs w:val="19"/>
          <w:color w:val="000101"/>
        </w:rPr>
      </w:pPr>
      <w:r>
        <w:rPr>
          <w:rFonts w:ascii="Arial" w:cs="Arial" w:eastAsia="Arial" w:hAnsi="Arial"/>
          <w:sz w:val="19"/>
          <w:szCs w:val="19"/>
          <w:b w:val="1"/>
          <w:bCs w:val="1"/>
          <w:color w:val="000101"/>
        </w:rPr>
        <w:t xml:space="preserve">Severance Pay. </w:t>
      </w:r>
      <w:r>
        <w:rPr>
          <w:rFonts w:ascii="Arial" w:cs="Arial" w:eastAsia="Arial" w:hAnsi="Arial"/>
          <w:sz w:val="19"/>
          <w:szCs w:val="19"/>
          <w:color w:val="000101"/>
        </w:rPr>
        <w:t>The Company shall pay you, as severance, the equivalent of twelve (12) months of your base</w:t>
      </w:r>
      <w:r>
        <w:rPr>
          <w:rFonts w:ascii="Arial" w:cs="Arial" w:eastAsia="Arial" w:hAnsi="Arial"/>
          <w:sz w:val="19"/>
          <w:szCs w:val="19"/>
          <w:b w:val="1"/>
          <w:bCs w:val="1"/>
          <w:color w:val="000101"/>
        </w:rPr>
        <w:t xml:space="preserve"> </w:t>
      </w:r>
      <w:r>
        <w:rPr>
          <w:rFonts w:ascii="Arial" w:cs="Arial" w:eastAsia="Arial" w:hAnsi="Arial"/>
          <w:sz w:val="19"/>
          <w:szCs w:val="19"/>
          <w:color w:val="000101"/>
        </w:rPr>
        <w:t>salary in effect as of your employment termination date, subject to standard payroll deductions and withholdings. This severance amount will be paid in equal installments in the form of continuation of your base salary payments, paid on the Company’s ordinary payroll dates, commencing on the Company’s first regular payroll date that is 60 days following such termination of your employment (the “</w:t>
      </w:r>
      <w:r>
        <w:rPr>
          <w:rFonts w:ascii="Arial" w:cs="Arial" w:eastAsia="Arial" w:hAnsi="Arial"/>
          <w:sz w:val="19"/>
          <w:szCs w:val="19"/>
          <w:b w:val="1"/>
          <w:bCs w:val="1"/>
          <w:i w:val="1"/>
          <w:iCs w:val="1"/>
          <w:color w:val="000101"/>
        </w:rPr>
        <w:t>Starting Date</w:t>
      </w:r>
      <w:r>
        <w:rPr>
          <w:rFonts w:ascii="Arial" w:cs="Arial" w:eastAsia="Arial" w:hAnsi="Arial"/>
          <w:sz w:val="19"/>
          <w:szCs w:val="19"/>
          <w:color w:val="000101"/>
        </w:rPr>
        <w:t>”). The first payment of severance on the Starting Date will include any base salary that would have been paid if the release referenced below were effective on the date of termination.</w:t>
      </w:r>
    </w:p>
    <w:p>
      <w:pPr>
        <w:spacing w:after="0" w:line="185" w:lineRule="exact"/>
        <w:rPr>
          <w:rFonts w:ascii="Arial" w:cs="Arial" w:eastAsia="Arial" w:hAnsi="Arial"/>
          <w:sz w:val="19"/>
          <w:szCs w:val="19"/>
          <w:color w:val="000101"/>
        </w:rPr>
      </w:pPr>
    </w:p>
    <w:p>
      <w:pPr>
        <w:jc w:val="both"/>
        <w:ind w:left="980" w:hanging="324"/>
        <w:spacing w:after="0" w:line="245" w:lineRule="auto"/>
        <w:tabs>
          <w:tab w:leader="none" w:pos="980" w:val="left"/>
        </w:tabs>
        <w:numPr>
          <w:ilvl w:val="2"/>
          <w:numId w:val="65"/>
        </w:numPr>
        <w:rPr>
          <w:rFonts w:ascii="Arial" w:cs="Arial" w:eastAsia="Arial" w:hAnsi="Arial"/>
          <w:sz w:val="20"/>
          <w:szCs w:val="20"/>
          <w:color w:val="000101"/>
        </w:rPr>
      </w:pPr>
      <w:r>
        <w:rPr>
          <w:rFonts w:ascii="Arial" w:cs="Arial" w:eastAsia="Arial" w:hAnsi="Arial"/>
          <w:sz w:val="20"/>
          <w:szCs w:val="20"/>
          <w:b w:val="1"/>
          <w:bCs w:val="1"/>
          <w:color w:val="000101"/>
        </w:rPr>
        <w:t>Bonus</w:t>
      </w:r>
      <w:r>
        <w:rPr>
          <w:rFonts w:ascii="Arial" w:cs="Arial" w:eastAsia="Arial" w:hAnsi="Arial"/>
          <w:sz w:val="20"/>
          <w:szCs w:val="20"/>
          <w:color w:val="000101"/>
        </w:rPr>
        <w:t>. The Company shall pay you your Target Bonus for the year in which your termination occurs, prorated</w:t>
      </w:r>
      <w:r>
        <w:rPr>
          <w:rFonts w:ascii="Arial" w:cs="Arial" w:eastAsia="Arial" w:hAnsi="Arial"/>
          <w:sz w:val="20"/>
          <w:szCs w:val="20"/>
          <w:b w:val="1"/>
          <w:bCs w:val="1"/>
          <w:color w:val="000101"/>
        </w:rPr>
        <w:t xml:space="preserve"> </w:t>
      </w:r>
      <w:r>
        <w:rPr>
          <w:rFonts w:ascii="Arial" w:cs="Arial" w:eastAsia="Arial" w:hAnsi="Arial"/>
          <w:sz w:val="20"/>
          <w:szCs w:val="20"/>
          <w:color w:val="000101"/>
        </w:rPr>
        <w:t>(based on completed months of service) to the date of termination. Such amount will be paid on the Starting Date. For any annual bonus relating to the prior year that has not yet been paid, you will be eligible to receive such bonus calculated under the terms and conditions set forth in Section 2, as determined by the Board in its sole discretion, payable on the Starting Date, or if not yet determined, then within sixty (60) days following such Board determination.</w:t>
      </w:r>
    </w:p>
    <w:p>
      <w:pPr>
        <w:spacing w:after="0" w:line="197" w:lineRule="exact"/>
        <w:rPr>
          <w:rFonts w:ascii="Arial" w:cs="Arial" w:eastAsia="Arial" w:hAnsi="Arial"/>
          <w:sz w:val="20"/>
          <w:szCs w:val="20"/>
          <w:color w:val="000101"/>
        </w:rPr>
      </w:pPr>
    </w:p>
    <w:p>
      <w:pPr>
        <w:jc w:val="both"/>
        <w:ind w:left="980" w:hanging="324"/>
        <w:spacing w:after="0" w:line="274" w:lineRule="auto"/>
        <w:tabs>
          <w:tab w:leader="none" w:pos="980" w:val="left"/>
        </w:tabs>
        <w:numPr>
          <w:ilvl w:val="2"/>
          <w:numId w:val="65"/>
        </w:numPr>
        <w:rPr>
          <w:rFonts w:ascii="Arial" w:cs="Arial" w:eastAsia="Arial" w:hAnsi="Arial"/>
          <w:sz w:val="18"/>
          <w:szCs w:val="18"/>
          <w:color w:val="000101"/>
        </w:rPr>
      </w:pPr>
      <w:r>
        <w:rPr>
          <w:rFonts w:ascii="Arial" w:cs="Arial" w:eastAsia="Arial" w:hAnsi="Arial"/>
          <w:sz w:val="18"/>
          <w:szCs w:val="18"/>
          <w:b w:val="1"/>
          <w:bCs w:val="1"/>
          <w:color w:val="000101"/>
        </w:rPr>
        <w:t xml:space="preserve">Health Insurance. </w:t>
      </w:r>
      <w:r>
        <w:rPr>
          <w:rFonts w:ascii="Arial" w:cs="Arial" w:eastAsia="Arial" w:hAnsi="Arial"/>
          <w:sz w:val="18"/>
          <w:szCs w:val="18"/>
          <w:color w:val="000101"/>
        </w:rPr>
        <w:t>Provided that you timely elect continued coverage under COBRA, the Company shall pay</w:t>
      </w:r>
      <w:r>
        <w:rPr>
          <w:rFonts w:ascii="Arial" w:cs="Arial" w:eastAsia="Arial" w:hAnsi="Arial"/>
          <w:sz w:val="18"/>
          <w:szCs w:val="18"/>
          <w:b w:val="1"/>
          <w:bCs w:val="1"/>
          <w:color w:val="000101"/>
        </w:rPr>
        <w:t xml:space="preserve"> </w:t>
      </w:r>
      <w:r>
        <w:rPr>
          <w:rFonts w:ascii="Arial" w:cs="Arial" w:eastAsia="Arial" w:hAnsi="Arial"/>
          <w:sz w:val="18"/>
          <w:szCs w:val="18"/>
          <w:color w:val="000101"/>
        </w:rPr>
        <w:t>your COBRA premiums to continue your coverage (including coverage for eligible dependents, if applicable) (“</w:t>
      </w:r>
      <w:r>
        <w:rPr>
          <w:rFonts w:ascii="Arial" w:cs="Arial" w:eastAsia="Arial" w:hAnsi="Arial"/>
          <w:sz w:val="18"/>
          <w:szCs w:val="18"/>
          <w:b w:val="1"/>
          <w:bCs w:val="1"/>
          <w:i w:val="1"/>
          <w:iCs w:val="1"/>
          <w:color w:val="000101"/>
        </w:rPr>
        <w:t>COBRA Premiums</w:t>
      </w:r>
      <w:r>
        <w:rPr>
          <w:rFonts w:ascii="Arial" w:cs="Arial" w:eastAsia="Arial" w:hAnsi="Arial"/>
          <w:sz w:val="18"/>
          <w:szCs w:val="18"/>
          <w:color w:val="000101"/>
        </w:rPr>
        <w:t>”) through the period (the “</w:t>
      </w:r>
      <w:r>
        <w:rPr>
          <w:rFonts w:ascii="Arial" w:cs="Arial" w:eastAsia="Arial" w:hAnsi="Arial"/>
          <w:sz w:val="18"/>
          <w:szCs w:val="18"/>
          <w:b w:val="1"/>
          <w:bCs w:val="1"/>
          <w:i w:val="1"/>
          <w:iCs w:val="1"/>
          <w:color w:val="000101"/>
        </w:rPr>
        <w:t>COBRA Premium Period</w:t>
      </w:r>
      <w:r>
        <w:rPr>
          <w:rFonts w:ascii="Arial" w:cs="Arial" w:eastAsia="Arial" w:hAnsi="Arial"/>
          <w:sz w:val="18"/>
          <w:szCs w:val="18"/>
          <w:color w:val="000101"/>
        </w:rPr>
        <w:t>”) starting on the date of your termination of employment and ending on the earliest to occur of: (i) the duration of the salary continuation period set forth in Section 5(a)(i) above; (ii) the date you become eligible for group health insurance coverage through a new employer; and (iii) the date you cease to be eligible for COBRA continuation coverage for any reason, including plan termination. In the event you become covered under another employer’s group health plan or otherwise cease to be eligible for COBRA during the COBRA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88" w:name="page89"/>
    <w:bookmarkEnd w:id="88"/>
    <w:p>
      <w:pPr>
        <w:jc w:val="both"/>
        <w:ind w:left="972"/>
        <w:spacing w:after="0" w:line="255" w:lineRule="auto"/>
        <w:rPr>
          <w:sz w:val="20"/>
          <w:szCs w:val="20"/>
          <w:color w:val="auto"/>
        </w:rPr>
      </w:pPr>
      <w:r>
        <w:rPr>
          <w:rFonts w:ascii="Arial" w:cs="Arial" w:eastAsia="Arial" w:hAnsi="Arial"/>
          <w:sz w:val="19"/>
          <w:szCs w:val="19"/>
          <w:color w:val="000101"/>
        </w:rPr>
        <w:t>Period, you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 premiums for that month (including premiums for you and your eligible dependents who have elected and remain enrolled in such COBRA coverage), subject to applicable tax withholdings (such amount, the “</w:t>
      </w:r>
      <w:r>
        <w:rPr>
          <w:rFonts w:ascii="Arial" w:cs="Arial" w:eastAsia="Arial" w:hAnsi="Arial"/>
          <w:sz w:val="19"/>
          <w:szCs w:val="19"/>
          <w:b w:val="1"/>
          <w:bCs w:val="1"/>
          <w:i w:val="1"/>
          <w:iCs w:val="1"/>
          <w:color w:val="000101"/>
        </w:rPr>
        <w:t>Special Cash Payment</w:t>
      </w:r>
      <w:r>
        <w:rPr>
          <w:rFonts w:ascii="Arial" w:cs="Arial" w:eastAsia="Arial" w:hAnsi="Arial"/>
          <w:sz w:val="19"/>
          <w:szCs w:val="19"/>
          <w:color w:val="000101"/>
        </w:rPr>
        <w:t>”), for the remainder of the COBRA Premium Period. You may, but are not obligated to, use such Special Cash Payments toward the cost of COBRA premiums. In the event the Company opts for the Special Cash Payments, then on the Starting Date, the Company will make the first payment to you under this paragraph, in a lump sum, equal to the aggregate Special Cash Payments that the Company would have paid to you through such date had the Special Cash Payments commenced on the first day of the first month following your termination date, with the balance of the Special Cash Payments paid thereafter on the schedule described above.</w:t>
      </w:r>
    </w:p>
    <w:p>
      <w:pPr>
        <w:spacing w:after="0" w:line="189" w:lineRule="exact"/>
        <w:rPr>
          <w:sz w:val="20"/>
          <w:szCs w:val="20"/>
          <w:color w:val="auto"/>
        </w:rPr>
      </w:pPr>
    </w:p>
    <w:p>
      <w:pPr>
        <w:jc w:val="both"/>
        <w:ind w:left="972" w:hanging="324"/>
        <w:spacing w:after="0" w:line="280" w:lineRule="auto"/>
        <w:tabs>
          <w:tab w:leader="none" w:pos="972" w:val="left"/>
        </w:tabs>
        <w:numPr>
          <w:ilvl w:val="2"/>
          <w:numId w:val="66"/>
        </w:numPr>
        <w:rPr>
          <w:rFonts w:ascii="Arial" w:cs="Arial" w:eastAsia="Arial" w:hAnsi="Arial"/>
          <w:sz w:val="18"/>
          <w:szCs w:val="18"/>
          <w:color w:val="000101"/>
        </w:rPr>
      </w:pPr>
      <w:r>
        <w:rPr>
          <w:rFonts w:ascii="Arial" w:cs="Arial" w:eastAsia="Arial" w:hAnsi="Arial"/>
          <w:sz w:val="18"/>
          <w:szCs w:val="18"/>
          <w:b w:val="1"/>
          <w:bCs w:val="1"/>
          <w:color w:val="000101"/>
        </w:rPr>
        <w:t>Vesting; Extension of time to Exercise</w:t>
      </w:r>
      <w:r>
        <w:rPr>
          <w:rFonts w:ascii="Arial" w:cs="Arial" w:eastAsia="Arial" w:hAnsi="Arial"/>
          <w:sz w:val="18"/>
          <w:szCs w:val="18"/>
          <w:color w:val="000101"/>
        </w:rPr>
        <w:t>. (A) If your employment is terminated, then that portion of the Option</w:t>
      </w:r>
      <w:r>
        <w:rPr>
          <w:rFonts w:ascii="Arial" w:cs="Arial" w:eastAsia="Arial" w:hAnsi="Arial"/>
          <w:sz w:val="18"/>
          <w:szCs w:val="18"/>
          <w:b w:val="1"/>
          <w:bCs w:val="1"/>
          <w:color w:val="000101"/>
        </w:rPr>
        <w:t xml:space="preserve"> </w:t>
      </w:r>
      <w:r>
        <w:rPr>
          <w:rFonts w:ascii="Arial" w:cs="Arial" w:eastAsia="Arial" w:hAnsi="Arial"/>
          <w:sz w:val="18"/>
          <w:szCs w:val="18"/>
          <w:color w:val="000101"/>
        </w:rPr>
        <w:t>that was scheduled to vest over the one year period following the date of termination shall remain outstanding and continue to vest until the one year anniversary of the date of termination. The remaining unvested portion of the Options shall be forfeited on the date of termination. Additionally, the vested Options (including those that vest pursuant to this subsection) shall be exercisable for six (6) months following the last vesting date.</w:t>
      </w:r>
    </w:p>
    <w:p>
      <w:pPr>
        <w:spacing w:after="0" w:line="175" w:lineRule="exact"/>
        <w:rPr>
          <w:rFonts w:ascii="Arial" w:cs="Arial" w:eastAsia="Arial" w:hAnsi="Arial"/>
          <w:sz w:val="18"/>
          <w:szCs w:val="18"/>
          <w:color w:val="000101"/>
        </w:rPr>
      </w:pPr>
    </w:p>
    <w:p>
      <w:pPr>
        <w:jc w:val="both"/>
        <w:ind w:left="972" w:firstLine="50"/>
        <w:spacing w:after="0" w:line="306" w:lineRule="auto"/>
        <w:tabs>
          <w:tab w:leader="none" w:pos="1334" w:val="left"/>
        </w:tabs>
        <w:numPr>
          <w:ilvl w:val="4"/>
          <w:numId w:val="66"/>
        </w:numPr>
        <w:rPr>
          <w:rFonts w:ascii="Arial" w:cs="Arial" w:eastAsia="Arial" w:hAnsi="Arial"/>
          <w:sz w:val="18"/>
          <w:szCs w:val="18"/>
          <w:color w:val="000101"/>
        </w:rPr>
      </w:pPr>
      <w:r>
        <w:rPr>
          <w:rFonts w:ascii="Arial" w:cs="Arial" w:eastAsia="Arial" w:hAnsi="Arial"/>
          <w:sz w:val="18"/>
          <w:szCs w:val="18"/>
          <w:color w:val="000101"/>
        </w:rPr>
        <w:t>In addition, if you are terminated, then that portion of the RSUs that was scheduled to vest over the one year period following the date of termination shall be deemed vested but the shares will be delivered on the applicable vesting dates (but no later than the March 15</w:t>
      </w:r>
      <w:r>
        <w:rPr>
          <w:rFonts w:ascii="Arial" w:cs="Arial" w:eastAsia="Arial" w:hAnsi="Arial"/>
          <w:sz w:val="26"/>
          <w:szCs w:val="26"/>
          <w:color w:val="000101"/>
          <w:vertAlign w:val="superscript"/>
        </w:rPr>
        <w:t>th</w:t>
      </w:r>
      <w:r>
        <w:rPr>
          <w:rFonts w:ascii="Arial" w:cs="Arial" w:eastAsia="Arial" w:hAnsi="Arial"/>
          <w:sz w:val="18"/>
          <w:szCs w:val="18"/>
          <w:color w:val="000101"/>
        </w:rPr>
        <w:t xml:space="preserve"> following the year in which the termination occurs).</w:t>
      </w:r>
    </w:p>
    <w:p>
      <w:pPr>
        <w:spacing w:after="0" w:line="8" w:lineRule="exact"/>
        <w:rPr>
          <w:rFonts w:ascii="Arial" w:cs="Arial" w:eastAsia="Arial" w:hAnsi="Arial"/>
          <w:sz w:val="18"/>
          <w:szCs w:val="18"/>
          <w:color w:val="000101"/>
        </w:rPr>
      </w:pPr>
    </w:p>
    <w:p>
      <w:pPr>
        <w:jc w:val="both"/>
        <w:ind w:left="972"/>
        <w:spacing w:after="0" w:line="250" w:lineRule="auto"/>
        <w:tabs>
          <w:tab w:leader="none" w:pos="1292" w:val="left"/>
        </w:tabs>
        <w:numPr>
          <w:ilvl w:val="3"/>
          <w:numId w:val="66"/>
        </w:numPr>
        <w:rPr>
          <w:rFonts w:ascii="Arial" w:cs="Arial" w:eastAsia="Arial" w:hAnsi="Arial"/>
          <w:sz w:val="20"/>
          <w:szCs w:val="20"/>
          <w:color w:val="000101"/>
        </w:rPr>
      </w:pPr>
      <w:r>
        <w:rPr>
          <w:rFonts w:ascii="Arial" w:cs="Arial" w:eastAsia="Arial" w:hAnsi="Arial"/>
          <w:sz w:val="20"/>
          <w:szCs w:val="20"/>
          <w:color w:val="000101"/>
        </w:rPr>
        <w:t>If any other form of equity compensation is awarded to you during your employment (“Other Equity”), and your employment is terminated by the Company without Cause or by you for Good Reason, the treatment described above shall apply to the Other Equity.</w:t>
      </w:r>
    </w:p>
    <w:p>
      <w:pPr>
        <w:spacing w:after="0" w:line="193" w:lineRule="exact"/>
        <w:rPr>
          <w:rFonts w:ascii="Arial" w:cs="Arial" w:eastAsia="Arial" w:hAnsi="Arial"/>
          <w:sz w:val="20"/>
          <w:szCs w:val="20"/>
          <w:color w:val="000101"/>
        </w:rPr>
      </w:pPr>
    </w:p>
    <w:p>
      <w:pPr>
        <w:jc w:val="both"/>
        <w:ind w:left="-8" w:firstLine="332"/>
        <w:spacing w:after="0" w:line="304" w:lineRule="auto"/>
        <w:tabs>
          <w:tab w:leader="none" w:pos="640" w:val="left"/>
        </w:tabs>
        <w:numPr>
          <w:ilvl w:val="1"/>
          <w:numId w:val="67"/>
        </w:numPr>
        <w:rPr>
          <w:rFonts w:ascii="Arial" w:cs="Arial" w:eastAsia="Arial" w:hAnsi="Arial"/>
          <w:sz w:val="16"/>
          <w:szCs w:val="16"/>
          <w:b w:val="1"/>
          <w:bCs w:val="1"/>
          <w:color w:val="000101"/>
        </w:rPr>
      </w:pPr>
      <w:r>
        <w:rPr>
          <w:rFonts w:ascii="Arial" w:cs="Arial" w:eastAsia="Arial" w:hAnsi="Arial"/>
          <w:sz w:val="16"/>
          <w:szCs w:val="16"/>
          <w:b w:val="1"/>
          <w:bCs w:val="1"/>
          <w:color w:val="000101"/>
        </w:rPr>
        <w:t xml:space="preserve">Termination Without Cause </w:t>
      </w:r>
      <w:r>
        <w:rPr>
          <w:rFonts w:ascii="Arial" w:cs="Arial" w:eastAsia="Arial" w:hAnsi="Arial"/>
          <w:sz w:val="16"/>
          <w:szCs w:val="16"/>
          <w:b w:val="1"/>
          <w:bCs w:val="1"/>
          <w:color w:val="000000"/>
        </w:rPr>
        <w:t>or Resignation for Good Reason in Connection with an Acquisition.</w:t>
      </w:r>
      <w:r>
        <w:rPr>
          <w:rFonts w:ascii="Arial" w:cs="Arial" w:eastAsia="Arial" w:hAnsi="Arial"/>
          <w:sz w:val="16"/>
          <w:szCs w:val="16"/>
          <w:b w:val="1"/>
          <w:bCs w:val="1"/>
          <w:color w:val="000101"/>
        </w:rPr>
        <w:t xml:space="preserve"> </w:t>
      </w:r>
      <w:r>
        <w:rPr>
          <w:rFonts w:ascii="Arial" w:cs="Arial" w:eastAsia="Arial" w:hAnsi="Arial"/>
          <w:sz w:val="16"/>
          <w:szCs w:val="16"/>
          <w:color w:val="000000"/>
        </w:rPr>
        <w:t>In the event</w:t>
      </w:r>
      <w:r>
        <w:rPr>
          <w:rFonts w:ascii="Arial" w:cs="Arial" w:eastAsia="Arial" w:hAnsi="Arial"/>
          <w:sz w:val="16"/>
          <w:szCs w:val="16"/>
          <w:b w:val="1"/>
          <w:bCs w:val="1"/>
          <w:color w:val="000101"/>
        </w:rPr>
        <w:t xml:space="preserve"> </w:t>
      </w:r>
      <w:r>
        <w:rPr>
          <w:rFonts w:ascii="Arial" w:cs="Arial" w:eastAsia="Arial" w:hAnsi="Arial"/>
          <w:sz w:val="16"/>
          <w:szCs w:val="16"/>
          <w:color w:val="000000"/>
        </w:rPr>
        <w:t>your employment with the Company (or its subsidiaries) is terminated by the Company (or its subsidiaries) without Cause or you resign for Good Reason, in either case during the period (the “</w:t>
      </w:r>
      <w:r>
        <w:rPr>
          <w:rFonts w:ascii="Arial" w:cs="Arial" w:eastAsia="Arial" w:hAnsi="Arial"/>
          <w:sz w:val="16"/>
          <w:szCs w:val="16"/>
          <w:b w:val="1"/>
          <w:bCs w:val="1"/>
          <w:i w:val="1"/>
          <w:iCs w:val="1"/>
          <w:color w:val="000000"/>
        </w:rPr>
        <w:t>Change of Control Severance Period</w:t>
      </w:r>
      <w:r>
        <w:rPr>
          <w:rFonts w:ascii="Arial" w:cs="Arial" w:eastAsia="Arial" w:hAnsi="Arial"/>
          <w:sz w:val="16"/>
          <w:szCs w:val="16"/>
          <w:color w:val="000000"/>
        </w:rPr>
        <w:t>”), (x) commencing with the date that is one (1) month prior to the execution of a definitive agreement for a transaction that, if consummated, would result in an Acquisition (as defined below) and ending on the one (1) year anniversary of the closing of the same Acquisition; so long as such Acquisition closes within one year of the date of such definitive agreement, or (y) within one</w:t>
      </w:r>
    </w:p>
    <w:p>
      <w:pPr>
        <w:jc w:val="both"/>
        <w:ind w:left="-8" w:firstLine="8"/>
        <w:spacing w:after="0" w:line="276" w:lineRule="auto"/>
        <w:tabs>
          <w:tab w:leader="none" w:pos="272"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year after the closing of any other Acquisition, then provided such termination constitutes a Separation from Service, and provided that you remain in compliance with the terms of this Agreement (including, without limitation, the Non-Disclosure and Non-Compete Agreement), the Company shall provide you with (i) severance payments and benefits set forth in Section 5(a) above;(ii) all of the </w:t>
      </w:r>
      <w:r>
        <w:rPr>
          <w:rFonts w:ascii="Arial" w:cs="Arial" w:eastAsia="Arial" w:hAnsi="Arial"/>
          <w:sz w:val="18"/>
          <w:szCs w:val="18"/>
          <w:color w:val="000101"/>
        </w:rPr>
        <w:t>unvested Options held by you as of the date of your termination shall be accelerated such that 100%</w:t>
      </w:r>
      <w:r>
        <w:rPr>
          <w:rFonts w:ascii="Arial" w:cs="Arial" w:eastAsia="Arial" w:hAnsi="Arial"/>
          <w:sz w:val="18"/>
          <w:szCs w:val="18"/>
          <w:color w:val="auto"/>
        </w:rPr>
        <w:t xml:space="preserve"> </w:t>
      </w:r>
      <w:r>
        <w:rPr>
          <w:rFonts w:ascii="Arial" w:cs="Arial" w:eastAsia="Arial" w:hAnsi="Arial"/>
          <w:sz w:val="18"/>
          <w:szCs w:val="18"/>
          <w:color w:val="000101"/>
        </w:rPr>
        <w:t xml:space="preserve">of the shares subject to the Options shall be deemed fully and immediately vested and shall be exercisable for six (6) months following your last day of </w:t>
      </w:r>
      <w:r>
        <w:rPr>
          <w:rFonts w:ascii="Arial" w:cs="Arial" w:eastAsia="Arial" w:hAnsi="Arial"/>
          <w:sz w:val="18"/>
          <w:szCs w:val="18"/>
          <w:color w:val="000000"/>
        </w:rPr>
        <w:t>employment (but no later than the expiration of the original term)</w:t>
      </w:r>
      <w:r>
        <w:rPr>
          <w:rFonts w:ascii="Arial" w:cs="Arial" w:eastAsia="Arial" w:hAnsi="Arial"/>
          <w:sz w:val="18"/>
          <w:szCs w:val="18"/>
          <w:color w:val="000101"/>
        </w:rPr>
        <w:t>; and (iii) any Other Equity shall be deemed 100% vested on the date of termination and paid or delivered in accordance with the applicable award agreement (but no later than the March 15</w:t>
      </w:r>
      <w:r>
        <w:rPr>
          <w:rFonts w:ascii="Arial" w:cs="Arial" w:eastAsia="Arial" w:hAnsi="Arial"/>
          <w:sz w:val="26"/>
          <w:szCs w:val="26"/>
          <w:color w:val="000101"/>
          <w:vertAlign w:val="superscript"/>
        </w:rPr>
        <w:t>th</w:t>
      </w:r>
      <w:r>
        <w:rPr>
          <w:rFonts w:ascii="Arial" w:cs="Arial" w:eastAsia="Arial" w:hAnsi="Arial"/>
          <w:sz w:val="18"/>
          <w:szCs w:val="18"/>
          <w:color w:val="000101"/>
        </w:rPr>
        <w:t xml:space="preserve"> following the year in which the termination occurs), subject to Section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661670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52" w:right="999" w:bottom="1440" w:gutter="0" w:footer="0" w:header="0"/>
        </w:sectPr>
      </w:pPr>
    </w:p>
    <w:bookmarkStart w:id="89" w:name="page90"/>
    <w:bookmarkEnd w:id="89"/>
    <w:p>
      <w:pPr>
        <w:jc w:val="both"/>
        <w:ind w:left="-332" w:firstLine="332"/>
        <w:spacing w:after="0" w:line="273" w:lineRule="auto"/>
        <w:tabs>
          <w:tab w:leader="none" w:pos="316" w:val="left"/>
        </w:tabs>
        <w:numPr>
          <w:ilvl w:val="0"/>
          <w:numId w:val="69"/>
        </w:numPr>
        <w:rPr>
          <w:rFonts w:ascii="Arial" w:cs="Arial" w:eastAsia="Arial" w:hAnsi="Arial"/>
          <w:sz w:val="18"/>
          <w:szCs w:val="18"/>
          <w:b w:val="1"/>
          <w:bCs w:val="1"/>
          <w:color w:val="000101"/>
        </w:rPr>
      </w:pPr>
      <w:r>
        <w:rPr>
          <w:rFonts w:ascii="Arial" w:cs="Arial" w:eastAsia="Arial" w:hAnsi="Arial"/>
          <w:sz w:val="18"/>
          <w:szCs w:val="18"/>
          <w:b w:val="1"/>
          <w:bCs w:val="1"/>
          <w:color w:val="000101"/>
        </w:rPr>
        <w:t xml:space="preserve">Resignation without Good Reason; Termination for Cause; Death or Disability. </w:t>
      </w:r>
      <w:r>
        <w:rPr>
          <w:rFonts w:ascii="Arial" w:cs="Arial" w:eastAsia="Arial" w:hAnsi="Arial"/>
          <w:sz w:val="18"/>
          <w:szCs w:val="18"/>
          <w:color w:val="000101"/>
        </w:rPr>
        <w:t>If at any time the Company</w:t>
      </w:r>
      <w:r>
        <w:rPr>
          <w:rFonts w:ascii="Arial" w:cs="Arial" w:eastAsia="Arial" w:hAnsi="Arial"/>
          <w:sz w:val="18"/>
          <w:szCs w:val="18"/>
          <w:b w:val="1"/>
          <w:bCs w:val="1"/>
          <w:color w:val="000101"/>
        </w:rPr>
        <w:t xml:space="preserve"> </w:t>
      </w:r>
      <w:r>
        <w:rPr>
          <w:rFonts w:ascii="Arial" w:cs="Arial" w:eastAsia="Arial" w:hAnsi="Arial"/>
          <w:sz w:val="18"/>
          <w:szCs w:val="18"/>
          <w:color w:val="000101"/>
        </w:rPr>
        <w:t xml:space="preserve">terminates your employment for Cause, you resign your employment without Good Reason, or your employment terminates upon your death or disability, then (i) you will no longer vest in the Options or RSUs referenced in Section 2 above, or any Other Equity, (ii) all payments of compensation by the Company to you hereunder will terminate immediately (except as to amounts already earned), and (iii) you will not be entitled to any severance benefits. In addition, you shall resign from all positions and terminate any relationships as an employee, advisor, officer, or director with the Company and any of its affiliates (including without limitation any subsidiaries), each effective on the date of termination. Notwithstanding the foregoing, in the event of your death, your equity awards granted under the Company’s 2019 </w:t>
      </w:r>
      <w:r>
        <w:rPr>
          <w:rFonts w:ascii="Arial" w:cs="Arial" w:eastAsia="Arial" w:hAnsi="Arial"/>
          <w:sz w:val="18"/>
          <w:szCs w:val="18"/>
          <w:color w:val="010202"/>
        </w:rPr>
        <w:t>E</w:t>
      </w:r>
      <w:r>
        <w:rPr>
          <w:rFonts w:ascii="Arial" w:cs="Arial" w:eastAsia="Arial" w:hAnsi="Arial"/>
          <w:sz w:val="18"/>
          <w:szCs w:val="18"/>
          <w:color w:val="000101"/>
        </w:rPr>
        <w:t>quity Incentive Plan shall be deemed vested pursuant to the terms of such plan.</w:t>
      </w:r>
    </w:p>
    <w:p>
      <w:pPr>
        <w:spacing w:after="0" w:line="175" w:lineRule="exact"/>
        <w:rPr>
          <w:rFonts w:ascii="Arial" w:cs="Arial" w:eastAsia="Arial" w:hAnsi="Arial"/>
          <w:sz w:val="18"/>
          <w:szCs w:val="18"/>
          <w:b w:val="1"/>
          <w:bCs w:val="1"/>
          <w:color w:val="000101"/>
        </w:rPr>
      </w:pPr>
    </w:p>
    <w:p>
      <w:pPr>
        <w:jc w:val="both"/>
        <w:ind w:left="-332" w:firstLine="332"/>
        <w:spacing w:after="0" w:line="257" w:lineRule="auto"/>
        <w:tabs>
          <w:tab w:leader="none" w:pos="316"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Conditions to Receipt of Severance Benefits. </w:t>
      </w:r>
      <w:r>
        <w:rPr>
          <w:rFonts w:ascii="Arial" w:cs="Arial" w:eastAsia="Arial" w:hAnsi="Arial"/>
          <w:sz w:val="19"/>
          <w:szCs w:val="19"/>
          <w:color w:val="auto"/>
        </w:rPr>
        <w:t>The receipt of any severance benefits (including, without limitation,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provisions regarding vesting of equity) as described in Sections 5(a) or (b) above will be subject to and conditioned upon your signing (and not revoking, if such a right is afforded to you) a separation agreement and release of claims in a form reasonably satisfactory to the Company (the “</w:t>
      </w:r>
      <w:r>
        <w:rPr>
          <w:rFonts w:ascii="Arial" w:cs="Arial" w:eastAsia="Arial" w:hAnsi="Arial"/>
          <w:sz w:val="19"/>
          <w:szCs w:val="19"/>
          <w:b w:val="1"/>
          <w:bCs w:val="1"/>
          <w:i w:val="1"/>
          <w:iCs w:val="1"/>
          <w:color w:val="auto"/>
        </w:rPr>
        <w:t>Separation Agreement</w:t>
      </w:r>
      <w:r>
        <w:rPr>
          <w:rFonts w:ascii="Arial" w:cs="Arial" w:eastAsia="Arial" w:hAnsi="Arial"/>
          <w:sz w:val="19"/>
          <w:szCs w:val="19"/>
          <w:color w:val="auto"/>
        </w:rPr>
        <w:t>”) within the time period specified therein (the “</w:t>
      </w:r>
      <w:r>
        <w:rPr>
          <w:rFonts w:ascii="Arial" w:cs="Arial" w:eastAsia="Arial" w:hAnsi="Arial"/>
          <w:sz w:val="19"/>
          <w:szCs w:val="19"/>
          <w:b w:val="1"/>
          <w:bCs w:val="1"/>
          <w:color w:val="auto"/>
        </w:rPr>
        <w:t>Release</w:t>
      </w:r>
      <w:r>
        <w:rPr>
          <w:rFonts w:ascii="Arial" w:cs="Arial" w:eastAsia="Arial" w:hAnsi="Arial"/>
          <w:sz w:val="19"/>
          <w:szCs w:val="19"/>
          <w:color w:val="auto"/>
        </w:rPr>
        <w:t xml:space="preserve"> </w:t>
      </w:r>
      <w:r>
        <w:rPr>
          <w:rFonts w:ascii="Arial" w:cs="Arial" w:eastAsia="Arial" w:hAnsi="Arial"/>
          <w:sz w:val="19"/>
          <w:szCs w:val="19"/>
          <w:b w:val="1"/>
          <w:bCs w:val="1"/>
          <w:color w:val="auto"/>
        </w:rPr>
        <w:t>Condition</w:t>
      </w:r>
      <w:r>
        <w:rPr>
          <w:rFonts w:ascii="Arial" w:cs="Arial" w:eastAsia="Arial" w:hAnsi="Arial"/>
          <w:sz w:val="19"/>
          <w:szCs w:val="19"/>
          <w:color w:val="auto"/>
        </w:rPr>
        <w:t>”), but in any event no later than sixty (60) days following your termination date. No severance benefits of any</w:t>
      </w:r>
      <w:r>
        <w:rPr>
          <w:rFonts w:ascii="Arial" w:cs="Arial" w:eastAsia="Arial" w:hAnsi="Arial"/>
          <w:sz w:val="19"/>
          <w:szCs w:val="19"/>
          <w:b w:val="1"/>
          <w:bCs w:val="1"/>
          <w:color w:val="auto"/>
        </w:rPr>
        <w:t xml:space="preserve"> </w:t>
      </w:r>
      <w:r>
        <w:rPr>
          <w:rFonts w:ascii="Arial" w:cs="Arial" w:eastAsia="Arial" w:hAnsi="Arial"/>
          <w:sz w:val="19"/>
          <w:szCs w:val="19"/>
          <w:color w:val="auto"/>
        </w:rPr>
        <w:t>kind will be paid or provided until the Separation Agreement becomes effective. Pursuant to or in connection with any termination of employment with the Company, you shall also resign from all positions and terminate any relationships as an employee, advisor, officer, or director with the Company and any of its affiliates (including without limitation any subsidiaries), each effective on the date of termination.</w:t>
      </w:r>
    </w:p>
    <w:p>
      <w:pPr>
        <w:spacing w:after="0" w:line="189" w:lineRule="exact"/>
        <w:rPr>
          <w:rFonts w:ascii="Arial" w:cs="Arial" w:eastAsia="Arial" w:hAnsi="Arial"/>
          <w:sz w:val="19"/>
          <w:szCs w:val="19"/>
          <w:b w:val="1"/>
          <w:bCs w:val="1"/>
          <w:color w:val="auto"/>
        </w:rPr>
      </w:pPr>
    </w:p>
    <w:p>
      <w:pPr>
        <w:ind w:left="328" w:hanging="328"/>
        <w:spacing w:after="0"/>
        <w:tabs>
          <w:tab w:leader="none" w:pos="328" w:val="left"/>
        </w:tabs>
        <w:numPr>
          <w:ilvl w:val="0"/>
          <w:numId w:val="69"/>
        </w:numPr>
        <w:rPr>
          <w:rFonts w:ascii="Arial" w:cs="Arial" w:eastAsia="Arial" w:hAnsi="Arial"/>
          <w:sz w:val="20"/>
          <w:szCs w:val="20"/>
          <w:b w:val="1"/>
          <w:bCs w:val="1"/>
          <w:color w:val="000101"/>
        </w:rPr>
      </w:pPr>
      <w:r>
        <w:rPr>
          <w:rFonts w:ascii="Arial" w:cs="Arial" w:eastAsia="Arial" w:hAnsi="Arial"/>
          <w:sz w:val="20"/>
          <w:szCs w:val="20"/>
          <w:b w:val="1"/>
          <w:bCs w:val="1"/>
          <w:color w:val="000101"/>
        </w:rPr>
        <w:t>Definitions</w:t>
      </w:r>
      <w:r>
        <w:rPr>
          <w:rFonts w:ascii="Arial" w:cs="Arial" w:eastAsia="Arial" w:hAnsi="Arial"/>
          <w:sz w:val="20"/>
          <w:szCs w:val="20"/>
          <w:color w:val="000101"/>
        </w:rPr>
        <w:t>. For purposes of this Agreement:</w:t>
      </w:r>
    </w:p>
    <w:p>
      <w:pPr>
        <w:spacing w:after="0" w:line="235" w:lineRule="exact"/>
        <w:rPr>
          <w:rFonts w:ascii="Arial" w:cs="Arial" w:eastAsia="Arial" w:hAnsi="Arial"/>
          <w:sz w:val="20"/>
          <w:szCs w:val="20"/>
          <w:b w:val="1"/>
          <w:bCs w:val="1"/>
          <w:color w:val="000101"/>
        </w:rPr>
      </w:pPr>
    </w:p>
    <w:p>
      <w:pPr>
        <w:ind w:left="648" w:right="20" w:hanging="324"/>
        <w:spacing w:after="0" w:line="260" w:lineRule="auto"/>
        <w:tabs>
          <w:tab w:leader="none" w:pos="648" w:val="left"/>
        </w:tabs>
        <w:numPr>
          <w:ilvl w:val="1"/>
          <w:numId w:val="69"/>
        </w:numPr>
        <w:rPr>
          <w:rFonts w:ascii="Arial" w:cs="Arial" w:eastAsia="Arial" w:hAnsi="Arial"/>
          <w:sz w:val="20"/>
          <w:szCs w:val="20"/>
          <w:color w:val="010202"/>
        </w:rPr>
      </w:pPr>
      <w:r>
        <w:rPr>
          <w:rFonts w:ascii="Arial" w:cs="Arial" w:eastAsia="Arial" w:hAnsi="Arial"/>
          <w:sz w:val="20"/>
          <w:szCs w:val="20"/>
          <w:b w:val="1"/>
          <w:bCs w:val="1"/>
          <w:i w:val="1"/>
          <w:iCs w:val="1"/>
          <w:color w:val="010202"/>
        </w:rPr>
        <w:t xml:space="preserve">“Acquisition” </w:t>
      </w:r>
      <w:r>
        <w:rPr>
          <w:rFonts w:ascii="Arial" w:cs="Arial" w:eastAsia="Arial" w:hAnsi="Arial"/>
          <w:sz w:val="20"/>
          <w:szCs w:val="20"/>
          <w:color w:val="010202"/>
        </w:rPr>
        <w:t>shall have the same meaning as a “Change in Control” as defined in the Progyny, Inc. 2019</w:t>
      </w:r>
      <w:r>
        <w:rPr>
          <w:rFonts w:ascii="Arial" w:cs="Arial" w:eastAsia="Arial" w:hAnsi="Arial"/>
          <w:sz w:val="20"/>
          <w:szCs w:val="20"/>
          <w:b w:val="1"/>
          <w:bCs w:val="1"/>
          <w:i w:val="1"/>
          <w:iCs w:val="1"/>
          <w:color w:val="010202"/>
        </w:rPr>
        <w:t xml:space="preserve"> </w:t>
      </w:r>
      <w:r>
        <w:rPr>
          <w:rFonts w:ascii="Arial" w:cs="Arial" w:eastAsia="Arial" w:hAnsi="Arial"/>
          <w:sz w:val="20"/>
          <w:szCs w:val="20"/>
          <w:color w:val="010202"/>
        </w:rPr>
        <w:t>Equity Incentive Plan.</w:t>
      </w:r>
    </w:p>
    <w:p>
      <w:pPr>
        <w:spacing w:after="0" w:line="184" w:lineRule="exact"/>
        <w:rPr>
          <w:rFonts w:ascii="Arial" w:cs="Arial" w:eastAsia="Arial" w:hAnsi="Arial"/>
          <w:sz w:val="20"/>
          <w:szCs w:val="20"/>
          <w:color w:val="010202"/>
        </w:rPr>
      </w:pPr>
    </w:p>
    <w:p>
      <w:pPr>
        <w:jc w:val="both"/>
        <w:ind w:left="648" w:hanging="324"/>
        <w:spacing w:after="0" w:line="255" w:lineRule="auto"/>
        <w:tabs>
          <w:tab w:leader="none" w:pos="648" w:val="left"/>
        </w:tabs>
        <w:numPr>
          <w:ilvl w:val="1"/>
          <w:numId w:val="69"/>
        </w:numPr>
        <w:rPr>
          <w:rFonts w:ascii="Arial" w:cs="Arial" w:eastAsia="Arial" w:hAnsi="Arial"/>
          <w:sz w:val="19"/>
          <w:szCs w:val="19"/>
          <w:color w:val="000101"/>
        </w:rPr>
      </w:pPr>
      <w:r>
        <w:rPr>
          <w:rFonts w:ascii="Arial" w:cs="Arial" w:eastAsia="Arial" w:hAnsi="Arial"/>
          <w:sz w:val="19"/>
          <w:szCs w:val="19"/>
          <w:color w:val="000101"/>
        </w:rPr>
        <w:t>“</w:t>
      </w:r>
      <w:r>
        <w:rPr>
          <w:rFonts w:ascii="Arial" w:cs="Arial" w:eastAsia="Arial" w:hAnsi="Arial"/>
          <w:sz w:val="19"/>
          <w:szCs w:val="19"/>
          <w:b w:val="1"/>
          <w:bCs w:val="1"/>
          <w:color w:val="000101"/>
        </w:rPr>
        <w:t>Cause</w:t>
      </w:r>
      <w:r>
        <w:rPr>
          <w:rFonts w:ascii="Arial" w:cs="Arial" w:eastAsia="Arial" w:hAnsi="Arial"/>
          <w:sz w:val="19"/>
          <w:szCs w:val="19"/>
          <w:color w:val="000101"/>
        </w:rPr>
        <w:t>” for your employment termination will be deemed to exist at any time after the occurrence of one of more of the following: (i) your commission of, conviction for, or guilty plea to, a felony or crime involving moral turpitude; (ii) a willful refusal by you to comply with the lawful, material and reasonable instructions of the Company (or its subsidiaries), or to otherwise materially perform your duties as lawfully and reasonably determined by the Company (or its subsidiaries), in each case that is not cured by you (if such refusal is of a type that is capable of being cured) within 15 days of written notice being given to you of such refusal; (iii) any willful act or acts of dishonesty undertaken by you and intended to result in your (or any other person’s) material gain or personal enrichment at the expense of the Company, its subsidiaries or any of its or their customers, partners, affiliates, or employees; (iv) any willful act of gross misconduct by you which is injurious to the Company or its subsidiaries; (v) any material breach by you of your obligations under any agreement between you and the Company or its subsidiaries, including without limitation this Agreement or the Non-Disclosure and Non-Compete Agreement, that is not cured by you (if such breach is of a type that is capable of being cured) within 15 days of written notice being given to you of such breach; (vi) or any material non-fulfillment of your primary role duties.</w:t>
      </w:r>
    </w:p>
    <w:p>
      <w:pPr>
        <w:spacing w:after="0" w:line="192" w:lineRule="exact"/>
        <w:rPr>
          <w:rFonts w:ascii="Arial" w:cs="Arial" w:eastAsia="Arial" w:hAnsi="Arial"/>
          <w:sz w:val="19"/>
          <w:szCs w:val="19"/>
          <w:color w:val="000101"/>
        </w:rPr>
      </w:pPr>
    </w:p>
    <w:p>
      <w:pPr>
        <w:jc w:val="both"/>
        <w:ind w:left="648" w:hanging="324"/>
        <w:spacing w:after="0" w:line="322" w:lineRule="auto"/>
        <w:tabs>
          <w:tab w:leader="none" w:pos="648" w:val="left"/>
        </w:tabs>
        <w:numPr>
          <w:ilvl w:val="1"/>
          <w:numId w:val="69"/>
        </w:numPr>
        <w:rPr>
          <w:rFonts w:ascii="Arial" w:cs="Arial" w:eastAsia="Arial" w:hAnsi="Arial"/>
          <w:sz w:val="16"/>
          <w:szCs w:val="16"/>
          <w:color w:val="000101"/>
        </w:rPr>
      </w:pPr>
      <w:r>
        <w:rPr>
          <w:rFonts w:ascii="Arial" w:cs="Arial" w:eastAsia="Arial" w:hAnsi="Arial"/>
          <w:sz w:val="16"/>
          <w:szCs w:val="16"/>
          <w:color w:val="000101"/>
        </w:rPr>
        <w:t>“</w:t>
      </w:r>
      <w:r>
        <w:rPr>
          <w:rFonts w:ascii="Arial" w:cs="Arial" w:eastAsia="Arial" w:hAnsi="Arial"/>
          <w:sz w:val="16"/>
          <w:szCs w:val="16"/>
          <w:b w:val="1"/>
          <w:bCs w:val="1"/>
          <w:color w:val="000101"/>
        </w:rPr>
        <w:t>Good Reason</w:t>
      </w:r>
      <w:r>
        <w:rPr>
          <w:rFonts w:ascii="Arial" w:cs="Arial" w:eastAsia="Arial" w:hAnsi="Arial"/>
          <w:sz w:val="16"/>
          <w:szCs w:val="16"/>
          <w:color w:val="000101"/>
        </w:rPr>
        <w:t>” means the occurrence of any of the following without your prior written consent: (i) a material reduction in your then-current annual base salary; except for a reduction (not to exceed 10%) that is part of a proportional reduction of the base salaries of all Company executives; (ii) relocation of your principal place of employment to a place that increases your one-way commute by more than thirty (30) miles as compared to your then-current principal place of employment immediately prior to such relocation; or (iii) a material and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448310</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346" w:right="999" w:bottom="1440" w:gutter="0" w:footer="0" w:header="0"/>
        </w:sectPr>
      </w:pPr>
    </w:p>
    <w:bookmarkStart w:id="90" w:name="page91"/>
    <w:bookmarkEnd w:id="90"/>
    <w:p>
      <w:pPr>
        <w:jc w:val="both"/>
        <w:ind w:left="972"/>
        <w:spacing w:after="0" w:line="272" w:lineRule="auto"/>
        <w:rPr>
          <w:sz w:val="20"/>
          <w:szCs w:val="20"/>
          <w:color w:val="auto"/>
        </w:rPr>
      </w:pPr>
      <w:r>
        <w:rPr>
          <w:rFonts w:ascii="Arial" w:cs="Arial" w:eastAsia="Arial" w:hAnsi="Arial"/>
          <w:sz w:val="18"/>
          <w:szCs w:val="18"/>
          <w:color w:val="000101"/>
        </w:rPr>
        <w:t>change in your duties and responsibilities (it being agreed that a change in duties and responsibilities following an Acquisition that is inherent in the Company becoming part of a larger business organization shall not be an event of Good Reason); provided, however, that a resignation by you shall not be considered to be for a “Good Reason” under this Agreement unless: (1) you provide written notice to the Company of the occurrence of the event which you contend constitutes Good Reason within thirty (30) days after the date such event occurs, which notice states your intention to resign for a “Good Reason” under this Agreement as a result thereof, (2) the Company does not effect a cure with respect to such event within thirty (30) days after receipt of such written notice, and (3) you thereafter resign and cease to perform services as an employee of the Company within ten (10) days after the expiration of the Company’s cure period.</w:t>
      </w:r>
    </w:p>
    <w:p>
      <w:pPr>
        <w:spacing w:after="0" w:line="178" w:lineRule="exact"/>
        <w:rPr>
          <w:sz w:val="20"/>
          <w:szCs w:val="20"/>
          <w:color w:val="auto"/>
        </w:rPr>
      </w:pPr>
    </w:p>
    <w:p>
      <w:pPr>
        <w:jc w:val="both"/>
        <w:ind w:left="-8" w:firstLine="8"/>
        <w:spacing w:after="0" w:line="268" w:lineRule="auto"/>
        <w:tabs>
          <w:tab w:leader="none" w:pos="316"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It is intended that all of the severance payments and benefits, and all other payments payable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satisfy, to the greatest extent possible, the exemptions from the application of Code Section 409A provided under Treasury Regulations 1.409A-1(b)(4), 1.409A-1(b)(5) and 1.409A-1(b)(9) (“collectively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and this Agreement will be construed to the greatest extent possible as consistent with those provisions, and to the extent not so exempt, this Agreement (and any definitions hereunder) will be construed in a manner that complies with Section 409A. For purposes of Code Section 409A (including, without limitation, for purposes of Treasury Regulation Section 1.409A-2(b)(2) (iii)), your right to receive any installment payments under this letter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The parties agree that this Agreement may be amended as may be necessary to fully comply with Section 409A in order to preserve the payments and benefits provided hereunder. Notwithstanding the foregoing, the Company makes no representation or warranty and will have no liability to you or to any other person if any of the provisions of this Agreement are determined to constitute deferred compensation subject to Section 409A, but does not satisfy an exemption from, or the conditions of, Section 409A.</w:t>
      </w:r>
    </w:p>
    <w:p>
      <w:pPr>
        <w:spacing w:after="0" w:line="190" w:lineRule="exact"/>
        <w:rPr>
          <w:rFonts w:ascii="Arial" w:cs="Arial" w:eastAsia="Arial" w:hAnsi="Arial"/>
          <w:sz w:val="18"/>
          <w:szCs w:val="18"/>
          <w:b w:val="1"/>
          <w:bCs w:val="1"/>
          <w:color w:val="auto"/>
        </w:rPr>
      </w:pPr>
    </w:p>
    <w:p>
      <w:pPr>
        <w:jc w:val="both"/>
        <w:ind w:left="-8" w:firstLine="8"/>
        <w:spacing w:after="0" w:line="256" w:lineRule="auto"/>
        <w:tabs>
          <w:tab w:leader="none" w:pos="316"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Arbitration.</w:t>
      </w:r>
      <w:r>
        <w:rPr>
          <w:rFonts w:ascii="Arial" w:cs="Arial" w:eastAsia="Arial" w:hAnsi="Arial"/>
          <w:sz w:val="19"/>
          <w:szCs w:val="19"/>
          <w:b w:val="1"/>
          <w:bCs w:val="1"/>
          <w:color w:val="auto"/>
        </w:rPr>
        <w:t xml:space="preserve"> </w:t>
      </w:r>
      <w:r>
        <w:rPr>
          <w:rFonts w:ascii="Arial" w:cs="Arial" w:eastAsia="Arial" w:hAnsi="Arial"/>
          <w:sz w:val="19"/>
          <w:szCs w:val="19"/>
          <w:color w:val="auto"/>
        </w:rPr>
        <w:t>As a condition of your ongoing employment with the Company, you and the Company agree to submit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mandatory final, binding and confidential arbitration any and all disputes, claims or controversies arising out of, related to or connected with your employment with the Company, including, but not limited to, claims of discrimination, harassment, unpaid wages, breach of contract (express or implied), wrongful termination, torts, claims for stock or stock options, as well as claims based upon any federal, state or local ordinance, statute, regulation or constitutional provision, including, but not limited to, the Age Discrimination in Employment Act, 29 U.S.C. § 621,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Employee Retirement Income Security Act (ERISA), 29 U.S.C. § 1001,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Title VII of the Civil Rights Act of 1964, 42 U.S.C. § 2000e, </w:t>
      </w:r>
      <w:r>
        <w:rPr>
          <w:rFonts w:ascii="Arial" w:cs="Arial" w:eastAsia="Arial" w:hAnsi="Arial"/>
          <w:sz w:val="19"/>
          <w:szCs w:val="19"/>
          <w:i w:val="1"/>
          <w:iCs w:val="1"/>
          <w:color w:val="auto"/>
        </w:rPr>
        <w:t>et seq.</w:t>
      </w:r>
      <w:r>
        <w:rPr>
          <w:rFonts w:ascii="Arial" w:cs="Arial" w:eastAsia="Arial" w:hAnsi="Arial"/>
          <w:sz w:val="19"/>
          <w:szCs w:val="19"/>
          <w:color w:val="auto"/>
        </w:rPr>
        <w:t>, and 42 U.S.C. § 1981, and any and all state or local laws prohibiting discrimination or regulating any terms or conditions of employment “</w:t>
      </w:r>
      <w:r>
        <w:rPr>
          <w:rFonts w:ascii="Arial" w:cs="Arial" w:eastAsia="Arial" w:hAnsi="Arial"/>
          <w:sz w:val="19"/>
          <w:szCs w:val="19"/>
          <w:b w:val="1"/>
          <w:bCs w:val="1"/>
          <w:i w:val="1"/>
          <w:iCs w:val="1"/>
          <w:color w:val="auto"/>
        </w:rPr>
        <w:t>Arbitrable Claims</w:t>
      </w:r>
      <w:r>
        <w:rPr>
          <w:rFonts w:ascii="Arial" w:cs="Arial" w:eastAsia="Arial" w:hAnsi="Arial"/>
          <w:sz w:val="19"/>
          <w:szCs w:val="19"/>
          <w:color w:val="auto"/>
        </w:rPr>
        <w:t>”). Arbitration shall be the exclusive method by which to resolve all Arbitrable Claims and shall be final and binding upon the parties.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480695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52" w:right="999" w:bottom="1440" w:gutter="0" w:footer="0" w:header="0"/>
        </w:sectPr>
      </w:pPr>
    </w:p>
    <w:bookmarkStart w:id="91" w:name="page92"/>
    <w:bookmarkEnd w:id="91"/>
    <w:p>
      <w:pPr>
        <w:jc w:val="both"/>
        <w:spacing w:after="0" w:line="268" w:lineRule="auto"/>
        <w:rPr>
          <w:sz w:val="20"/>
          <w:szCs w:val="20"/>
          <w:color w:val="auto"/>
        </w:rPr>
      </w:pPr>
      <w:r>
        <w:rPr>
          <w:rFonts w:ascii="Arial" w:cs="Arial" w:eastAsia="Arial" w:hAnsi="Arial"/>
          <w:sz w:val="18"/>
          <w:szCs w:val="18"/>
          <w:color w:val="auto"/>
        </w:rPr>
        <w:t>AGREEING TO THIS ARBITRATION PROCEDURE, YOU AND THE COMPANY HEREBY WAIVE ANY RIGHTS EITHER MAY HAVE TO TRIAL BY JURY IN REGARD TO ARBITRABLE CLAIMS. The arbitration shall be conducted pursuant to the Federal Arbitration Act, 9 U.S.C. § 1-16, and to the fullest extent permitted by law, in New York, New York by a single arbitrator conducted by JAMS,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under the then-applicable JAMS rules (which can be found at http://www.jamsadr.com/rulesclauses). 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In any arbitration proceeding, you will have the right to be represented by legal counsel at your own expense (subject to applicable law requiring that the Company pay the fees and/or costs of your legal counsel).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arbitrator, and not a court, shall also be authorized to determine whether the provisions of this paragraph apply to a dispute, controversy, or claim sought to be resolved in accordance with these arbitration proceedings. The Company shall pay all costs and fees in excess of the amount of court fees that you would be required to incur if the dispute were filed or decided in a court of law. Nothing in this Agreement is intended to prevent either you or the Company from obtaining injunctive relief in court to prevent irreparable harm pending the conclusion of any such arbitration.</w:t>
      </w:r>
    </w:p>
    <w:p>
      <w:pPr>
        <w:spacing w:after="0" w:line="189" w:lineRule="exact"/>
        <w:rPr>
          <w:sz w:val="20"/>
          <w:szCs w:val="20"/>
          <w:color w:val="auto"/>
        </w:rPr>
      </w:pPr>
    </w:p>
    <w:p>
      <w:pPr>
        <w:jc w:val="both"/>
        <w:ind w:firstLine="8"/>
        <w:spacing w:after="0" w:line="256" w:lineRule="auto"/>
        <w:tabs>
          <w:tab w:leader="none" w:pos="324"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Prior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We wish to impress upon you that we do not want you to, and we hereby direct you not to, use or</w:t>
      </w:r>
      <w:r>
        <w:rPr>
          <w:rFonts w:ascii="Arial" w:cs="Arial" w:eastAsia="Arial" w:hAnsi="Arial"/>
          <w:sz w:val="19"/>
          <w:szCs w:val="19"/>
          <w:b w:val="1"/>
          <w:bCs w:val="1"/>
          <w:color w:val="auto"/>
        </w:rPr>
        <w:t xml:space="preserve"> </w:t>
      </w:r>
      <w:r>
        <w:rPr>
          <w:rFonts w:ascii="Arial" w:cs="Arial" w:eastAsia="Arial" w:hAnsi="Arial"/>
          <w:sz w:val="19"/>
          <w:szCs w:val="19"/>
          <w:color w:val="auto"/>
        </w:rPr>
        <w:t>disclose any confidential or proprietary material of any current or former employer in your work for the Company, bring onto Company premises any unpublished documents or property belonging to any former employer or other person to whom you have an obligation of confidentiality, or violate any other obligations you may have to any current or former employer or other third party. You agree that during the period that you render services to the Company, you will not (i) engage in any employment, business or activity that is in any way competitive with the business or proposed business of the Company, or (ii) assist any other person or organization in competing with the Company or in preparing to engage in competition with the business or proposed business of the Company. You represent that your signing of this Agreement and your employment with the Company will not violate any agreement currently in place between you and any current or past employers, or between you and any other parties.</w:t>
      </w:r>
    </w:p>
    <w:p>
      <w:pPr>
        <w:spacing w:after="0" w:line="193" w:lineRule="exact"/>
        <w:rPr>
          <w:rFonts w:ascii="Arial" w:cs="Arial" w:eastAsia="Arial" w:hAnsi="Arial"/>
          <w:sz w:val="19"/>
          <w:szCs w:val="19"/>
          <w:b w:val="1"/>
          <w:bCs w:val="1"/>
          <w:color w:val="auto"/>
        </w:rPr>
      </w:pPr>
    </w:p>
    <w:p>
      <w:pPr>
        <w:jc w:val="both"/>
        <w:ind w:firstLine="8"/>
        <w:spacing w:after="0" w:line="245" w:lineRule="auto"/>
        <w:tabs>
          <w:tab w:leader="none" w:pos="324"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Agreement, together with Non-Disclosure and Non-Compete Agreement and the Option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RSU award agreements and the corresponding equity plan, will form the complete and exclusive statement of your ongoing employment agreement with the Company. It supersedes any other agreements or promises with respect to your employment made to you by anyone, whether oral or written, and other than those changes expressly reserved to the Company’s discretion in this Agreement. This Agreement can only be modified in a written agreement signed by you and a duly authorized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92" w:name="page93"/>
    <w:bookmarkEnd w:id="92"/>
    <w:p>
      <w:pPr>
        <w:spacing w:after="0"/>
        <w:rPr>
          <w:sz w:val="20"/>
          <w:szCs w:val="20"/>
          <w:color w:val="auto"/>
        </w:rPr>
      </w:pPr>
      <w:r>
        <w:rPr>
          <w:rFonts w:ascii="Arial" w:cs="Arial" w:eastAsia="Arial" w:hAnsi="Arial"/>
          <w:sz w:val="20"/>
          <w:szCs w:val="20"/>
          <w:b w:val="1"/>
          <w:bCs w:val="1"/>
          <w:color w:val="auto"/>
        </w:rPr>
        <w:t>Acceptance: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indicate your acceptance of the terms of this Agreement, please sign and date the Agreement below.</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/s/ Pete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10160</wp:posOffset>
            </wp:positionV>
            <wp:extent cx="30600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20"/>
          <w:szCs w:val="20"/>
          <w:b w:val="1"/>
          <w:bCs w:val="1"/>
          <w:color w:val="auto"/>
        </w:rPr>
        <w:t>Pete Anevski</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President and Chief Operating Officer</w:t>
      </w:r>
    </w:p>
    <w:p>
      <w:pPr>
        <w:spacing w:after="0" w:line="200" w:lineRule="exact"/>
        <w:rPr>
          <w:sz w:val="20"/>
          <w:szCs w:val="20"/>
          <w:color w:val="auto"/>
        </w:rPr>
      </w:pPr>
    </w:p>
    <w:p>
      <w:pPr>
        <w:spacing w:after="0" w:line="243"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Progyny,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understood this Agreement and hereby acknowledge, accept, and agree to the terms as set forth above.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80" w:type="dxa"/>
            <w:vAlign w:val="bottom"/>
            <w:gridSpan w:val="3"/>
          </w:tcPr>
          <w:p>
            <w:pPr>
              <w:spacing w:after="0"/>
              <w:rPr>
                <w:sz w:val="20"/>
                <w:szCs w:val="20"/>
                <w:color w:val="auto"/>
              </w:rPr>
            </w:pPr>
            <w:r>
              <w:rPr>
                <w:rFonts w:ascii="Arial" w:cs="Arial" w:eastAsia="Arial" w:hAnsi="Arial"/>
                <w:sz w:val="20"/>
                <w:szCs w:val="20"/>
                <w:color w:val="auto"/>
              </w:rPr>
              <w:t>/s/ Michael Sturmer</w:t>
            </w:r>
          </w:p>
        </w:tc>
        <w:tc>
          <w:tcPr>
            <w:tcW w:w="4840" w:type="dxa"/>
            <w:vAlign w:val="bottom"/>
          </w:tcPr>
          <w:p>
            <w:pPr>
              <w:spacing w:after="0"/>
              <w:rPr>
                <w:sz w:val="20"/>
                <w:szCs w:val="20"/>
                <w:color w:val="auto"/>
              </w:rPr>
            </w:pPr>
            <w:r>
              <w:rPr>
                <w:rFonts w:ascii="Arial" w:cs="Arial" w:eastAsia="Arial" w:hAnsi="Arial"/>
                <w:sz w:val="20"/>
                <w:szCs w:val="20"/>
                <w:color w:val="auto"/>
              </w:rPr>
              <w:t>12/23/2021</w:t>
            </w:r>
          </w:p>
        </w:tc>
      </w:tr>
      <w:tr>
        <w:trPr>
          <w:trHeight w:val="250"/>
        </w:trPr>
        <w:tc>
          <w:tcPr>
            <w:tcW w:w="20" w:type="dxa"/>
            <w:vAlign w:val="bottom"/>
          </w:tcPr>
          <w:p>
            <w:pPr>
              <w:spacing w:after="0"/>
              <w:rPr>
                <w:sz w:val="21"/>
                <w:szCs w:val="21"/>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SIGNED: MICHAEL STURMER</w:t>
            </w:r>
          </w:p>
        </w:tc>
        <w:tc>
          <w:tcPr>
            <w:tcW w:w="220" w:type="dxa"/>
            <w:vAlign w:val="bottom"/>
          </w:tcPr>
          <w:p>
            <w:pPr>
              <w:spacing w:after="0"/>
              <w:rPr>
                <w:sz w:val="21"/>
                <w:szCs w:val="21"/>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DATE:</w:t>
            </w:r>
          </w:p>
        </w:tc>
      </w:tr>
      <w:tr>
        <w:trPr>
          <w:trHeight w:val="750"/>
        </w:trPr>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6" w:right="99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Anevski, certify that:</w:t>
      </w:r>
    </w:p>
    <w:p>
      <w:pPr>
        <w:spacing w:after="0" w:line="225"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00" w:right="20" w:hanging="444"/>
        <w:spacing w:after="0" w:line="311" w:lineRule="auto"/>
        <w:tabs>
          <w:tab w:leader="none" w:pos="11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100" w:right="300" w:hanging="444"/>
        <w:spacing w:after="0" w:line="311" w:lineRule="auto"/>
        <w:tabs>
          <w:tab w:leader="none" w:pos="11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100" w:right="160" w:hanging="444"/>
        <w:spacing w:after="0" w:line="263" w:lineRule="auto"/>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100" w:right="280" w:hanging="444"/>
        <w:spacing w:after="0" w:line="259" w:lineRule="auto"/>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100" w:right="80" w:hanging="444"/>
        <w:spacing w:after="0" w:line="263" w:lineRule="auto"/>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100" w:right="460" w:hanging="444"/>
        <w:spacing w:after="0" w:line="277" w:lineRule="auto"/>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May 6, 2022</w:t>
            </w:r>
          </w:p>
        </w:tc>
        <w:tc>
          <w:tcPr>
            <w:tcW w:w="2260" w:type="dxa"/>
            <w:vAlign w:val="bottom"/>
          </w:tcPr>
          <w:p>
            <w:pPr>
              <w:ind w:left="192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Anevski</w:t>
            </w:r>
          </w:p>
        </w:tc>
      </w:tr>
      <w:tr>
        <w:trPr>
          <w:trHeight w:val="222"/>
        </w:trPr>
        <w:tc>
          <w:tcPr>
            <w:tcW w:w="3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Peter Anevski</w:t>
            </w:r>
          </w:p>
        </w:tc>
      </w:tr>
      <w:tr>
        <w:trPr>
          <w:trHeight w:val="216"/>
        </w:trPr>
        <w:tc>
          <w:tcPr>
            <w:tcW w:w="3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Executive Chief Officer</w:t>
            </w:r>
          </w:p>
        </w:tc>
      </w:tr>
      <w:tr>
        <w:trPr>
          <w:trHeight w:val="230"/>
        </w:trPr>
        <w:tc>
          <w:tcPr>
            <w:tcW w:w="3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776"/>
        </w:trPr>
        <w:tc>
          <w:tcPr>
            <w:tcW w:w="3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80" w:right="20" w:hanging="424"/>
        <w:spacing w:after="0" w:line="311" w:lineRule="auto"/>
        <w:tabs>
          <w:tab w:leader="none" w:pos="10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080" w:right="300" w:hanging="424"/>
        <w:spacing w:after="0" w:line="311" w:lineRule="auto"/>
        <w:tabs>
          <w:tab w:leader="none" w:pos="10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080" w:right="180" w:hanging="424"/>
        <w:spacing w:after="0" w:line="263" w:lineRule="auto"/>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080" w:right="280" w:hanging="424"/>
        <w:spacing w:after="0" w:line="259" w:lineRule="auto"/>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80" w:right="100" w:hanging="424"/>
        <w:spacing w:after="0" w:line="263" w:lineRule="auto"/>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80" w:right="480" w:hanging="424"/>
        <w:spacing w:after="0" w:line="277" w:lineRule="auto"/>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May 6, 2022</w:t>
            </w:r>
          </w:p>
        </w:tc>
        <w:tc>
          <w:tcPr>
            <w:tcW w:w="2220" w:type="dxa"/>
            <w:vAlign w:val="bottom"/>
          </w:tcPr>
          <w:p>
            <w:pPr>
              <w:ind w:left="19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Livingston</w:t>
            </w:r>
          </w:p>
        </w:tc>
      </w:tr>
      <w:tr>
        <w:trPr>
          <w:trHeight w:val="222"/>
        </w:trPr>
        <w:tc>
          <w:tcPr>
            <w:tcW w:w="32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6"/>
              </w:rPr>
              <w:t>Mark Livingston</w:t>
            </w:r>
          </w:p>
        </w:tc>
      </w:tr>
      <w:tr>
        <w:trPr>
          <w:trHeight w:val="216"/>
        </w:trPr>
        <w:tc>
          <w:tcPr>
            <w:tcW w:w="3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776"/>
        </w:trPr>
        <w:tc>
          <w:tcPr>
            <w:tcW w:w="3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ended March 31, 2022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880" w:right="620" w:hanging="440"/>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880" w:right="640" w:hanging="440"/>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Date: May 6, 2022</w:t>
            </w:r>
          </w:p>
        </w:tc>
        <w:tc>
          <w:tcPr>
            <w:tcW w:w="2000" w:type="dxa"/>
            <w:vAlign w:val="bottom"/>
          </w:tcPr>
          <w:p>
            <w:pPr>
              <w:ind w:left="17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Anevski</w:t>
            </w:r>
          </w:p>
        </w:tc>
      </w:tr>
      <w:tr>
        <w:trPr>
          <w:trHeight w:val="222"/>
        </w:trPr>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Peter Anevski</w:t>
            </w:r>
          </w:p>
        </w:tc>
      </w:tr>
      <w:tr>
        <w:trPr>
          <w:trHeight w:val="216"/>
        </w:trPr>
        <w:tc>
          <w:tcPr>
            <w:tcW w:w="3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776"/>
        </w:trPr>
        <w:tc>
          <w:tcPr>
            <w:tcW w:w="30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ended March 31, 2022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880" w:right="620" w:hanging="440"/>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880" w:right="640" w:hanging="440"/>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Date: May 6, 2022</w:t>
            </w:r>
          </w:p>
        </w:tc>
        <w:tc>
          <w:tcPr>
            <w:tcW w:w="2000" w:type="dxa"/>
            <w:vAlign w:val="bottom"/>
          </w:tcPr>
          <w:p>
            <w:pPr>
              <w:ind w:left="1720"/>
              <w:spacing w:after="0"/>
              <w:rPr>
                <w:sz w:val="20"/>
                <w:szCs w:val="20"/>
                <w:color w:val="auto"/>
              </w:rPr>
            </w:pPr>
            <w:r>
              <w:rPr>
                <w:rFonts w:ascii="Arial" w:cs="Arial" w:eastAsia="Arial" w:hAnsi="Arial"/>
                <w:sz w:val="18"/>
                <w:szCs w:val="18"/>
                <w:color w:val="auto"/>
                <w:w w:val="99"/>
              </w:rPr>
              <w:t>By:</w:t>
            </w: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Mark Livingston</w:t>
            </w:r>
          </w:p>
        </w:tc>
      </w:tr>
      <w:tr>
        <w:trPr>
          <w:trHeight w:val="222"/>
        </w:trPr>
        <w:tc>
          <w:tcPr>
            <w:tcW w:w="30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Mark Livingston</w:t>
            </w:r>
          </w:p>
        </w:tc>
      </w:tr>
      <w:tr>
        <w:trPr>
          <w:trHeight w:val="216"/>
        </w:trPr>
        <w:tc>
          <w:tcPr>
            <w:tcW w:w="3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776"/>
        </w:trPr>
        <w:tc>
          <w:tcPr>
            <w:tcW w:w="30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2"/>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decimal"/>
      <w:start w:val="3"/>
    </w:lvl>
  </w:abstractNum>
  <w:abstractNum w:abstractNumId="8">
    <w:nsid w:val="70A64E2A"/>
    <w:multiLevelType w:val="hybridMultilevel"/>
    <w:lvl w:ilvl="0">
      <w:lvlJc w:val="left"/>
      <w:lvlText w:val="%1."/>
      <w:numFmt w:val="decimal"/>
      <w:start w:val="4"/>
    </w:lvl>
  </w:abstractNum>
  <w:abstractNum w:abstractNumId="9">
    <w:nsid w:val="6A2342EC"/>
    <w:multiLevelType w:val="hybridMultilevel"/>
    <w:lvl w:ilvl="0">
      <w:lvlJc w:val="left"/>
      <w:lvlText w:val="%1."/>
      <w:numFmt w:val="decimal"/>
      <w:start w:val="5"/>
    </w:lvl>
  </w:abstractNum>
  <w:abstractNum w:abstractNumId="10">
    <w:nsid w:val="2A487CB0"/>
    <w:multiLevelType w:val="hybridMultilevel"/>
    <w:lvl w:ilvl="0">
      <w:lvlJc w:val="left"/>
      <w:lvlText w:val="%1."/>
      <w:numFmt w:val="decimal"/>
      <w:start w:val="6"/>
    </w:lvl>
  </w:abstractNum>
  <w:abstractNum w:abstractNumId="11">
    <w:nsid w:val="1D4ED43B"/>
    <w:multiLevelType w:val="hybridMultilevel"/>
    <w:lvl w:ilvl="0">
      <w:lvlJc w:val="left"/>
      <w:lvlText w:val="%1."/>
      <w:numFmt w:val="decimal"/>
      <w:start w:val="7"/>
    </w:lvl>
  </w:abstractNum>
  <w:abstractNum w:abstractNumId="12">
    <w:nsid w:val="725A06FB"/>
    <w:multiLevelType w:val="hybridMultilevel"/>
    <w:lvl w:ilvl="0">
      <w:lvlJc w:val="left"/>
      <w:lvlText w:val="%1."/>
      <w:numFmt w:val="decimal"/>
      <w:start w:val="8"/>
    </w:lvl>
  </w:abstractNum>
  <w:abstractNum w:abstractNumId="13">
    <w:nsid w:val="2CD89A32"/>
    <w:multiLevelType w:val="hybridMultilevel"/>
    <w:lvl w:ilvl="0">
      <w:lvlJc w:val="left"/>
      <w:lvlText w:val="%1."/>
      <w:numFmt w:val="decimal"/>
      <w:start w:val="9"/>
    </w:lvl>
  </w:abstractNum>
  <w:abstractNum w:abstractNumId="14">
    <w:nsid w:val="57E4CCAF"/>
    <w:multiLevelType w:val="hybridMultilevel"/>
    <w:lvl w:ilvl="0">
      <w:lvlJc w:val="left"/>
      <w:lvlText w:val="%1."/>
      <w:numFmt w:val="decimal"/>
      <w:start w:val="10"/>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
      <w:numFmt w:val="bullet"/>
      <w:start w:val="1"/>
    </w:lvl>
    <w:lvl w:ilvl="1">
      <w:lvlJc w:val="left"/>
      <w:lvlText w:val="%2"/>
      <w:numFmt w:val="decimal"/>
      <w:start w:val="104"/>
    </w:lvl>
  </w:abstractNum>
  <w:abstractNum w:abstractNumId="38">
    <w:nsid w:val="1CF10FD8"/>
    <w:multiLevelType w:val="hybridMultilevel"/>
    <w:lvl w:ilvl="0">
      <w:lvlJc w:val="left"/>
      <w:lvlText w:val="**"/>
      <w:numFmt w:val="bullet"/>
      <w:start w:val="1"/>
    </w:lvl>
    <w:lvl w:ilvl="1">
      <w:lvlJc w:val="left"/>
      <w:lvlText w:val="%2"/>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2"/>
    </w:lvl>
    <w:lvl w:ilvl="1">
      <w:lvlJc w:val="left"/>
      <w:lvlText w:val="%2."/>
      <w:numFmt w:val="lowerLetter"/>
      <w:start w:val="1"/>
    </w:lvl>
  </w:abstractNum>
  <w:abstractNum w:abstractNumId="41">
    <w:nsid w:val="47398C89"/>
    <w:multiLevelType w:val="hybridMultilevel"/>
    <w:lvl w:ilvl="0">
      <w:lvlJc w:val="left"/>
      <w:lvlText w:val="%1"/>
      <w:numFmt w:val="lowerRoman"/>
      <w:start w:val="1"/>
    </w:lvl>
    <w:lvl w:ilvl="1">
      <w:lvlJc w:val="left"/>
      <w:lvlText w:val="(%2)"/>
      <w:numFmt w:val="lowerRoman"/>
      <w:start w:val="1"/>
    </w:lvl>
  </w:abstractNum>
  <w:abstractNum w:abstractNumId="42">
    <w:nsid w:val="354FE9F9"/>
    <w:multiLevelType w:val="hybridMultilevel"/>
    <w:lvl w:ilvl="0">
      <w:lvlJc w:val="left"/>
      <w:lvlText w:val="(%1)"/>
      <w:numFmt w:val="lowerRoman"/>
      <w:start w:val="3"/>
    </w:lvl>
    <w:lvl w:ilvl="1">
      <w:lvlJc w:val="left"/>
      <w:lvlText w:val="(%2)"/>
      <w:numFmt w:val="lowerRoman"/>
      <w:start w:val="4"/>
    </w:lvl>
  </w:abstractNum>
  <w:abstractNum w:abstractNumId="43">
    <w:nsid w:val="15B5AF5C"/>
    <w:multiLevelType w:val="hybridMultilevel"/>
    <w:lvl w:ilvl="0">
      <w:lvlJc w:val="left"/>
      <w:lvlText w:val="%1."/>
      <w:numFmt w:val="lowerLetter"/>
      <w:start w:val="3"/>
    </w:lvl>
    <w:lvl w:ilvl="1">
      <w:lvlJc w:val="left"/>
      <w:lvlText w:val="(%2)"/>
      <w:numFmt w:val="lowerRoman"/>
      <w:start w:val="1"/>
    </w:lvl>
  </w:abstractNum>
  <w:abstractNum w:abstractNumId="44">
    <w:nsid w:val="741226BB"/>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45">
    <w:nsid w:val="D34B6A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46">
    <w:nsid w:val="10233C99"/>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47">
    <w:nsid w:val="3F6AB60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48">
    <w:nsid w:val="61574095"/>
    <w:multiLevelType w:val="hybridMultilevel"/>
    <w:lvl w:ilvl="0">
      <w:lvlJc w:val="left"/>
      <w:lvlText w:val="%1."/>
      <w:numFmt w:val="decimal"/>
      <w:start w:val="9"/>
    </w:lvl>
  </w:abstractNum>
  <w:abstractNum w:abstractNumId="49">
    <w:nsid w:val="7E0C57B1"/>
    <w:multiLevelType w:val="hybridMultilevel"/>
    <w:lvl w:ilvl="0">
      <w:lvlJc w:val="left"/>
      <w:lvlText w:val="%1."/>
      <w:numFmt w:val="decimal"/>
      <w:start w:val="1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lowerRoman"/>
      <w:start w:val="1"/>
    </w:lvl>
    <w:lvl w:ilvl="1">
      <w:lvlJc w:val="left"/>
      <w:lvlText w:val="%2."/>
      <w:numFmt w:val="decimal"/>
      <w:start w:val="2"/>
    </w:lvl>
  </w:abstractNum>
  <w:abstractNum w:abstractNumId="52">
    <w:nsid w:val="310C50B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53">
    <w:nsid w:val="5FF87E05"/>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54">
    <w:nsid w:val="2F305DEF"/>
    <w:multiLevelType w:val="hybridMultilevel"/>
    <w:lvl w:ilvl="0">
      <w:lvlJc w:val="left"/>
      <w:lvlText w:val="%1"/>
      <w:numFmt w:val="lowerLetter"/>
      <w:start w:val="1"/>
    </w:lvl>
    <w:lvl w:ilvl="1">
      <w:lvlJc w:val="left"/>
      <w:lvlText w:val="(%2)"/>
      <w:numFmt w:val="lowerRoman"/>
      <w:start w:val="4"/>
    </w:lvl>
  </w:abstractNum>
  <w:abstractNum w:abstractNumId="55">
    <w:nsid w:val="25A70BF7"/>
    <w:multiLevelType w:val="hybridMultilevel"/>
    <w:lvl w:ilvl="0">
      <w:lvlJc w:val="left"/>
      <w:lvlText w:val="%1."/>
      <w:numFmt w:val="lowerLetter"/>
      <w:start w:val="3"/>
    </w:lvl>
    <w:lvl w:ilvl="1">
      <w:lvlJc w:val="left"/>
      <w:lvlText w:val="(%2)"/>
      <w:numFmt w:val="lowerRoman"/>
      <w:start w:val="1"/>
    </w:lvl>
  </w:abstractNum>
  <w:abstractNum w:abstractNumId="56">
    <w:nsid w:val="1DBABF00"/>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57">
    <w:nsid w:val="4AD084E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58">
    <w:nsid w:val="1F48EAA1"/>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59">
    <w:nsid w:val="1381823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60">
    <w:nsid w:val="5DB70AE5"/>
    <w:multiLevelType w:val="hybridMultilevel"/>
    <w:lvl w:ilvl="0">
      <w:lvlJc w:val="left"/>
      <w:lvlText w:val="%1."/>
      <w:numFmt w:val="decimal"/>
      <w:start w:val="9"/>
    </w:lvl>
  </w:abstractNum>
  <w:abstractNum w:abstractNumId="61">
    <w:nsid w:val="100F8FCA"/>
    <w:multiLevelType w:val="hybridMultilevel"/>
    <w:lvl w:ilvl="0">
      <w:lvlJc w:val="left"/>
      <w:lvlText w:val="%1."/>
      <w:numFmt w:val="decimal"/>
      <w:start w:val="1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3"/>
    </w:lvl>
  </w:abstractNum>
  <w:abstractNum w:abstractNumId="64">
    <w:nsid w:val="5F5E7FD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5">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2"/>
    </w:lvl>
    <w:lvl w:ilvl="4">
      <w:lvlJc w:val="left"/>
      <w:lvlText w:val="(%5)"/>
      <w:numFmt w:val="upperLetter"/>
      <w:start w:val="2"/>
    </w:lvl>
  </w:abstractNum>
  <w:abstractNum w:abstractNumId="66">
    <w:nsid w:val="799D02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67">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68">
    <w:nsid w:val="42C296BD"/>
    <w:multiLevelType w:val="hybridMultilevel"/>
    <w:lvl w:ilvl="0">
      <w:lvlJc w:val="left"/>
      <w:lvlText w:val="%1."/>
      <w:numFmt w:val="lowerLetter"/>
      <w:start w:val="3"/>
    </w:lvl>
    <w:lvl w:ilvl="1">
      <w:lvlJc w:val="left"/>
      <w:lvlText w:val="%2."/>
      <w:numFmt w:val="lowerRoman"/>
      <w:start w:val="1"/>
    </w:lvl>
  </w:abstractNum>
  <w:abstractNum w:abstractNumId="69">
    <w:nsid w:val="168E121F"/>
    <w:multiLevelType w:val="hybridMultilevel"/>
    <w:lvl w:ilvl="0">
      <w:lvlJc w:val="left"/>
      <w:lvlText w:val="%1."/>
      <w:numFmt w:val="decimal"/>
      <w:start w:val="6"/>
    </w:lvl>
  </w:abstractNum>
  <w:abstractNum w:abstractNumId="70">
    <w:nsid w:val="1EBA5D23"/>
    <w:multiLevelType w:val="hybridMultilevel"/>
    <w:lvl w:ilvl="0">
      <w:lvlJc w:val="left"/>
      <w:lvlText w:val="%1."/>
      <w:numFmt w:val="decimal"/>
      <w:start w:val="8"/>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jpe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jpe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jpe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85" Type="http://schemas.openxmlformats.org/officeDocument/2006/relationships/hyperlink" Target="http://www.sec.gov/Archives/edgar/data/1551306/000110465919058484/a19-21599_1ex3d1.htm" TargetMode="External"/><Relationship Id="rId86" Type="http://schemas.openxmlformats.org/officeDocument/2006/relationships/hyperlink" Target="http://www.sec.gov/Archives/edgar/data/1551306/000104746919005487/a2239750zex-3_4.htm" TargetMode="External"/><Relationship Id="rId87" Type="http://schemas.openxmlformats.org/officeDocument/2006/relationships/hyperlink" Target="http://www.sec.gov/Archives/edgar/data/1551306/000104746919005727/a2239825zex-4_1.htm" TargetMode="External"/><Relationship Id="rId88" Type="http://schemas.openxmlformats.org/officeDocument/2006/relationships/hyperlink" Target="http://www.sec.gov/Archives/edgar/data/1551306/000104746919005727/a2239825zex-4_2.htm" TargetMode="External"/><Relationship Id="rId89" Type="http://schemas.openxmlformats.org/officeDocument/2006/relationships/hyperlink" Target="http://www.sec.gov/Archives/edgar/data/1551306/000104746919005727/a2239825zex-4_3.htm" TargetMode="External"/><Relationship Id="rId90" Type="http://schemas.openxmlformats.org/officeDocument/2006/relationships/hyperlink" Target="http://www.sec.gov/Archives/edgar/data/1551306/000104746919005727/a2239825zex-4_4.htm" TargetMode="External"/><Relationship Id="rId91" Type="http://schemas.openxmlformats.org/officeDocument/2006/relationships/hyperlink" Target="http://www.sec.gov/Archives/edgar/data/1551306/000104746919005727/a2239825zex-4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2022-05-07T02:41:43Z</dcterms:created>
  <dcterms:modified xsi:type="dcterms:W3CDTF">2022-05-07T02:41:43Z</dcterms:modified>
</cp:coreProperties>
</file>